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976FEF"/>
    <w:p w14:paraId="19546AAD"/>
    <w:p w14:paraId="537A09CA"/>
    <w:p w14:paraId="2E93530C"/>
    <w:p w14:paraId="60EA2235"/>
    <w:p w14:paraId="315BC135"/>
    <w:p w14:paraId="670B8F0B"/>
    <w:p w14:paraId="7C2BF1FC"/>
    <w:p w14:paraId="4B7748DC"/>
    <w:p w14:paraId="3E25DC11"/>
    <w:p w14:paraId="7696D75D">
      <w:pPr>
        <w:jc w:val="center"/>
        <w:rPr>
          <w:sz w:val="44"/>
          <w:szCs w:val="44"/>
        </w:rPr>
      </w:pPr>
    </w:p>
    <w:p w14:paraId="13DAB000">
      <w:pPr>
        <w:spacing w:line="360" w:lineRule="auto"/>
        <w:jc w:val="center"/>
        <w:rPr>
          <w:rFonts w:asciiTheme="majorEastAsia" w:hAnsiTheme="majorEastAsia" w:eastAsiaTheme="majorEastAsia" w:cstheme="majorEastAsia"/>
          <w:sz w:val="44"/>
          <w:szCs w:val="44"/>
        </w:rPr>
      </w:pPr>
      <w:r>
        <w:rPr>
          <w:rFonts w:hint="eastAsia" w:asciiTheme="majorEastAsia" w:hAnsiTheme="majorEastAsia" w:eastAsiaTheme="majorEastAsia" w:cstheme="majorEastAsia"/>
          <w:sz w:val="44"/>
          <w:szCs w:val="44"/>
        </w:rPr>
        <w:t xml:space="preserve">   </w:t>
      </w:r>
    </w:p>
    <w:p w14:paraId="52B1880A">
      <w:pPr>
        <w:jc w:val="center"/>
        <w:rPr>
          <w:rFonts w:asciiTheme="minorEastAsia" w:hAnsiTheme="minorEastAsia" w:cstheme="minorEastAsia"/>
          <w:b/>
          <w:bCs/>
          <w:sz w:val="52"/>
          <w:szCs w:val="52"/>
        </w:rPr>
      </w:pPr>
      <w:r>
        <w:rPr>
          <w:rFonts w:hint="eastAsia" w:asciiTheme="minorEastAsia" w:hAnsiTheme="minorEastAsia" w:cstheme="minorEastAsia"/>
          <w:b/>
          <w:bCs/>
          <w:sz w:val="52"/>
          <w:szCs w:val="52"/>
        </w:rPr>
        <w:t>招标文件</w:t>
      </w:r>
    </w:p>
    <w:p w14:paraId="187923FD">
      <w:pPr>
        <w:jc w:val="center"/>
        <w:rPr>
          <w:rFonts w:asciiTheme="majorEastAsia" w:hAnsiTheme="majorEastAsia" w:eastAsiaTheme="majorEastAsia" w:cstheme="majorEastAsia"/>
          <w:b/>
          <w:sz w:val="84"/>
          <w:szCs w:val="84"/>
        </w:rPr>
      </w:pPr>
    </w:p>
    <w:p w14:paraId="6F6BE017">
      <w:pPr>
        <w:jc w:val="center"/>
        <w:rPr>
          <w:sz w:val="84"/>
          <w:szCs w:val="84"/>
        </w:rPr>
      </w:pPr>
    </w:p>
    <w:p w14:paraId="26645B4F">
      <w:pPr>
        <w:rPr>
          <w:sz w:val="84"/>
          <w:szCs w:val="84"/>
        </w:rPr>
      </w:pPr>
    </w:p>
    <w:tbl>
      <w:tblPr>
        <w:tblStyle w:val="21"/>
        <w:tblpPr w:leftFromText="180" w:rightFromText="180" w:vertAnchor="text" w:tblpX="-222" w:tblpY="197"/>
        <w:tblOverlap w:val="never"/>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0"/>
        <w:gridCol w:w="7009"/>
      </w:tblGrid>
      <w:tr w14:paraId="0B3F4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2030" w:type="dxa"/>
            <w:vAlign w:val="center"/>
          </w:tcPr>
          <w:p w14:paraId="79FFA76E">
            <w:pPr>
              <w:jc w:val="left"/>
              <w:rPr>
                <w:sz w:val="32"/>
                <w:szCs w:val="32"/>
              </w:rPr>
            </w:pPr>
            <w:r>
              <w:rPr>
                <w:rFonts w:hint="eastAsia"/>
                <w:sz w:val="32"/>
                <w:szCs w:val="32"/>
              </w:rPr>
              <w:t>招标编号：</w:t>
            </w:r>
          </w:p>
        </w:tc>
        <w:tc>
          <w:tcPr>
            <w:tcW w:w="7009" w:type="dxa"/>
          </w:tcPr>
          <w:p w14:paraId="5F8314AE">
            <w:pPr>
              <w:jc w:val="left"/>
              <w:rPr>
                <w:sz w:val="32"/>
                <w:szCs w:val="32"/>
              </w:rPr>
            </w:pPr>
          </w:p>
        </w:tc>
      </w:tr>
      <w:tr w14:paraId="4F129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2030" w:type="dxa"/>
            <w:vAlign w:val="center"/>
          </w:tcPr>
          <w:p w14:paraId="38C9FC41">
            <w:pPr>
              <w:jc w:val="left"/>
              <w:rPr>
                <w:sz w:val="32"/>
                <w:szCs w:val="32"/>
              </w:rPr>
            </w:pPr>
            <w:r>
              <w:rPr>
                <w:rFonts w:hint="eastAsia"/>
                <w:sz w:val="32"/>
                <w:szCs w:val="32"/>
              </w:rPr>
              <w:t>项目名称：</w:t>
            </w:r>
          </w:p>
        </w:tc>
        <w:tc>
          <w:tcPr>
            <w:tcW w:w="7009" w:type="dxa"/>
            <w:vAlign w:val="bottom"/>
          </w:tcPr>
          <w:p w14:paraId="68EE0643">
            <w:pPr>
              <w:jc w:val="left"/>
              <w:rPr>
                <w:rFonts w:hint="default" w:eastAsiaTheme="minorEastAsia"/>
                <w:sz w:val="32"/>
                <w:szCs w:val="32"/>
                <w:lang w:val="en-US" w:eastAsia="zh-CN"/>
              </w:rPr>
            </w:pPr>
            <w:r>
              <w:rPr>
                <w:rFonts w:hint="eastAsia" w:ascii="宋体" w:hAnsi="宋体" w:eastAsia="宋体" w:cs="宋体"/>
                <w:color w:val="auto"/>
                <w:sz w:val="32"/>
                <w:szCs w:val="32"/>
                <w:lang w:val="en-US" w:eastAsia="zh-CN"/>
              </w:rPr>
              <w:t>2026年度医疗废物周转桶采购项目</w:t>
            </w:r>
          </w:p>
        </w:tc>
      </w:tr>
      <w:tr w14:paraId="311F3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2030" w:type="dxa"/>
            <w:vAlign w:val="center"/>
          </w:tcPr>
          <w:p w14:paraId="603039C5">
            <w:pPr>
              <w:jc w:val="left"/>
              <w:rPr>
                <w:sz w:val="32"/>
                <w:szCs w:val="32"/>
              </w:rPr>
            </w:pPr>
            <w:r>
              <w:rPr>
                <w:rFonts w:hint="eastAsia"/>
                <w:sz w:val="32"/>
                <w:szCs w:val="32"/>
              </w:rPr>
              <w:t>招标人：</w:t>
            </w:r>
          </w:p>
        </w:tc>
        <w:tc>
          <w:tcPr>
            <w:tcW w:w="7009" w:type="dxa"/>
          </w:tcPr>
          <w:p w14:paraId="5D3F82F2">
            <w:pPr>
              <w:jc w:val="left"/>
              <w:rPr>
                <w:sz w:val="32"/>
                <w:szCs w:val="32"/>
              </w:rPr>
            </w:pPr>
            <w:r>
              <w:rPr>
                <w:rFonts w:hint="eastAsia"/>
                <w:sz w:val="32"/>
                <w:szCs w:val="32"/>
              </w:rPr>
              <w:t>深圳市深环绿盾环保科技有限公司</w:t>
            </w:r>
          </w:p>
        </w:tc>
      </w:tr>
    </w:tbl>
    <w:p w14:paraId="735B9BF8">
      <w:pPr>
        <w:jc w:val="left"/>
        <w:rPr>
          <w:sz w:val="32"/>
          <w:szCs w:val="32"/>
        </w:rPr>
      </w:pPr>
    </w:p>
    <w:p w14:paraId="15FA9510">
      <w:pPr>
        <w:jc w:val="left"/>
        <w:rPr>
          <w:sz w:val="32"/>
          <w:szCs w:val="32"/>
        </w:rPr>
      </w:pPr>
    </w:p>
    <w:p w14:paraId="531D4E90">
      <w:pPr>
        <w:jc w:val="left"/>
        <w:rPr>
          <w:sz w:val="32"/>
          <w:szCs w:val="32"/>
        </w:rPr>
      </w:pPr>
    </w:p>
    <w:p w14:paraId="0910F379">
      <w:pPr>
        <w:jc w:val="center"/>
        <w:rPr>
          <w:rFonts w:ascii="宋体" w:hAnsi="宋体"/>
          <w:b/>
          <w:sz w:val="32"/>
          <w:szCs w:val="32"/>
        </w:rPr>
      </w:pPr>
      <w:r>
        <w:rPr>
          <w:rFonts w:hint="eastAsia" w:ascii="宋体" w:hAnsi="宋体"/>
          <w:b/>
          <w:sz w:val="32"/>
          <w:szCs w:val="32"/>
          <w:lang w:eastAsia="zh-CN"/>
        </w:rPr>
        <w:t>二〇二六</w:t>
      </w:r>
      <w:r>
        <w:rPr>
          <w:rFonts w:hint="eastAsia" w:ascii="宋体" w:hAnsi="宋体"/>
          <w:b/>
          <w:sz w:val="32"/>
          <w:szCs w:val="32"/>
        </w:rPr>
        <w:t>年</w:t>
      </w:r>
    </w:p>
    <w:p w14:paraId="7B4B9967">
      <w:pPr>
        <w:jc w:val="center"/>
        <w:rPr>
          <w:rFonts w:ascii="宋体" w:hAnsi="宋体"/>
          <w:b/>
          <w:sz w:val="32"/>
          <w:szCs w:val="32"/>
        </w:rPr>
      </w:pPr>
    </w:p>
    <w:p w14:paraId="023D8E2F">
      <w:pPr>
        <w:jc w:val="center"/>
        <w:rPr>
          <w:rFonts w:ascii="宋体" w:hAnsi="宋体"/>
          <w:b/>
          <w:sz w:val="32"/>
          <w:szCs w:val="32"/>
        </w:rPr>
      </w:pPr>
    </w:p>
    <w:p w14:paraId="7FCEB05D">
      <w:pPr>
        <w:jc w:val="center"/>
        <w:rPr>
          <w:rFonts w:ascii="宋体" w:hAnsi="宋体"/>
          <w:b/>
          <w:sz w:val="32"/>
          <w:szCs w:val="32"/>
        </w:rPr>
      </w:pPr>
    </w:p>
    <w:p w14:paraId="4C32E7D8">
      <w:pPr>
        <w:jc w:val="center"/>
        <w:rPr>
          <w:rFonts w:ascii="宋体"/>
          <w:b/>
          <w:sz w:val="32"/>
          <w:szCs w:val="32"/>
        </w:rPr>
      </w:pPr>
    </w:p>
    <w:p w14:paraId="448C57EE">
      <w:pPr>
        <w:pStyle w:val="12"/>
        <w:ind w:firstLine="450"/>
        <w:rPr>
          <w:rFonts w:ascii="宋体"/>
          <w:b/>
          <w:sz w:val="32"/>
          <w:szCs w:val="32"/>
        </w:rPr>
      </w:pPr>
    </w:p>
    <w:p w14:paraId="215950BC">
      <w:pPr>
        <w:pStyle w:val="12"/>
        <w:ind w:firstLine="450"/>
        <w:rPr>
          <w:rFonts w:ascii="宋体"/>
          <w:b/>
          <w:sz w:val="32"/>
          <w:szCs w:val="32"/>
        </w:rPr>
      </w:pPr>
    </w:p>
    <w:p w14:paraId="59FF3DAE">
      <w:pPr>
        <w:pStyle w:val="12"/>
      </w:pPr>
    </w:p>
    <w:p w14:paraId="10FB5FBC">
      <w:pPr>
        <w:pStyle w:val="16"/>
        <w:tabs>
          <w:tab w:val="right" w:leader="dot" w:pos="8303"/>
        </w:tabs>
        <w:rPr>
          <w:rFonts w:ascii="黑体" w:eastAsia="黑体"/>
          <w:sz w:val="32"/>
          <w:szCs w:val="32"/>
        </w:rPr>
      </w:pPr>
      <w:bookmarkStart w:id="0" w:name="_Toc236803063"/>
      <w:bookmarkStart w:id="1" w:name="_Toc22212"/>
      <w:bookmarkStart w:id="2" w:name="_Toc16993"/>
      <w:bookmarkStart w:id="3" w:name="_Toc6878"/>
      <w:bookmarkStart w:id="4" w:name="_Toc5898"/>
      <w:bookmarkStart w:id="5" w:name="_Toc375817681"/>
      <w:r>
        <w:rPr>
          <w:rFonts w:hint="eastAsia" w:ascii="黑体" w:eastAsia="黑体"/>
          <w:sz w:val="32"/>
          <w:szCs w:val="32"/>
        </w:rPr>
        <w:t xml:space="preserve">                         目录</w:t>
      </w:r>
    </w:p>
    <w:p w14:paraId="2852B82C">
      <w:pPr>
        <w:pStyle w:val="16"/>
        <w:tabs>
          <w:tab w:val="right" w:leader="dot" w:pos="8313"/>
        </w:tabs>
      </w:pPr>
      <w:r>
        <w:rPr>
          <w:rFonts w:ascii="黑体" w:eastAsia="黑体"/>
          <w:sz w:val="32"/>
          <w:szCs w:val="32"/>
        </w:rPr>
        <w:fldChar w:fldCharType="begin"/>
      </w:r>
      <w:r>
        <w:rPr>
          <w:rFonts w:ascii="黑体" w:eastAsia="黑体"/>
          <w:sz w:val="32"/>
          <w:szCs w:val="32"/>
        </w:rPr>
        <w:instrText xml:space="preserve"> TOC \o "1-3" \h \z \u </w:instrText>
      </w:r>
      <w:r>
        <w:rPr>
          <w:rFonts w:ascii="黑体" w:eastAsia="黑体"/>
          <w:sz w:val="32"/>
          <w:szCs w:val="32"/>
        </w:rPr>
        <w:fldChar w:fldCharType="separate"/>
      </w:r>
      <w:r>
        <w:rPr>
          <w:rFonts w:ascii="黑体" w:eastAsia="黑体"/>
          <w:szCs w:val="32"/>
        </w:rPr>
        <w:fldChar w:fldCharType="begin"/>
      </w:r>
      <w:r>
        <w:rPr>
          <w:rFonts w:ascii="黑体" w:eastAsia="黑体"/>
          <w:szCs w:val="32"/>
        </w:rPr>
        <w:instrText xml:space="preserve"> HYPERLINK \l _Toc13200 </w:instrText>
      </w:r>
      <w:r>
        <w:rPr>
          <w:rFonts w:ascii="黑体" w:eastAsia="黑体"/>
          <w:szCs w:val="32"/>
        </w:rPr>
        <w:fldChar w:fldCharType="separate"/>
      </w:r>
      <w:r>
        <w:rPr>
          <w:rFonts w:hint="eastAsia" w:ascii="黑体" w:eastAsia="黑体"/>
          <w:szCs w:val="32"/>
        </w:rPr>
        <w:t>第一章投标人须知</w:t>
      </w:r>
      <w:r>
        <w:tab/>
      </w:r>
      <w:r>
        <w:fldChar w:fldCharType="begin"/>
      </w:r>
      <w:r>
        <w:instrText xml:space="preserve"> PAGEREF _Toc13200 \h </w:instrText>
      </w:r>
      <w:r>
        <w:fldChar w:fldCharType="separate"/>
      </w:r>
      <w:r>
        <w:t>2</w:t>
      </w:r>
      <w:r>
        <w:fldChar w:fldCharType="end"/>
      </w:r>
      <w:r>
        <w:rPr>
          <w:rFonts w:ascii="黑体" w:eastAsia="黑体"/>
          <w:szCs w:val="32"/>
        </w:rPr>
        <w:fldChar w:fldCharType="end"/>
      </w:r>
    </w:p>
    <w:p w14:paraId="6BFD6260">
      <w:pPr>
        <w:pStyle w:val="16"/>
        <w:tabs>
          <w:tab w:val="right" w:leader="dot" w:pos="8313"/>
        </w:tabs>
      </w:pPr>
      <w:r>
        <w:rPr>
          <w:rFonts w:ascii="黑体" w:eastAsia="黑体"/>
          <w:szCs w:val="32"/>
        </w:rPr>
        <w:fldChar w:fldCharType="begin"/>
      </w:r>
      <w:r>
        <w:rPr>
          <w:rFonts w:ascii="黑体" w:eastAsia="黑体"/>
          <w:szCs w:val="32"/>
        </w:rPr>
        <w:instrText xml:space="preserve"> HYPERLINK \l _Toc16546 </w:instrText>
      </w:r>
      <w:r>
        <w:rPr>
          <w:rFonts w:ascii="黑体" w:eastAsia="黑体"/>
          <w:szCs w:val="32"/>
        </w:rPr>
        <w:fldChar w:fldCharType="separate"/>
      </w:r>
      <w:r>
        <w:rPr>
          <w:rFonts w:hint="eastAsia" w:ascii="黑体" w:eastAsia="黑体"/>
          <w:szCs w:val="32"/>
        </w:rPr>
        <w:t>第二章招标需求要览</w:t>
      </w:r>
      <w:r>
        <w:tab/>
      </w:r>
      <w:r>
        <w:fldChar w:fldCharType="begin"/>
      </w:r>
      <w:r>
        <w:instrText xml:space="preserve"> PAGEREF _Toc16546 \h </w:instrText>
      </w:r>
      <w:r>
        <w:fldChar w:fldCharType="separate"/>
      </w:r>
      <w:r>
        <w:t>4</w:t>
      </w:r>
      <w:r>
        <w:fldChar w:fldCharType="end"/>
      </w:r>
      <w:r>
        <w:rPr>
          <w:rFonts w:ascii="黑体" w:eastAsia="黑体"/>
          <w:szCs w:val="32"/>
        </w:rPr>
        <w:fldChar w:fldCharType="end"/>
      </w:r>
    </w:p>
    <w:p w14:paraId="43BAB623">
      <w:pPr>
        <w:pStyle w:val="17"/>
        <w:tabs>
          <w:tab w:val="right" w:leader="dot" w:pos="8313"/>
        </w:tabs>
      </w:pPr>
      <w:r>
        <w:rPr>
          <w:rFonts w:ascii="黑体" w:eastAsia="黑体"/>
          <w:szCs w:val="32"/>
        </w:rPr>
        <w:fldChar w:fldCharType="begin"/>
      </w:r>
      <w:r>
        <w:rPr>
          <w:rFonts w:ascii="黑体" w:eastAsia="黑体"/>
          <w:szCs w:val="32"/>
        </w:rPr>
        <w:instrText xml:space="preserve"> HYPERLINK \l _Toc23558 </w:instrText>
      </w:r>
      <w:r>
        <w:rPr>
          <w:rFonts w:ascii="黑体" w:eastAsia="黑体"/>
          <w:szCs w:val="32"/>
        </w:rPr>
        <w:fldChar w:fldCharType="separate"/>
      </w:r>
      <w:r>
        <w:rPr>
          <w:rFonts w:hint="eastAsia" w:ascii="楷体_GB2312" w:eastAsia="楷体_GB2312"/>
        </w:rPr>
        <w:t>第一节商务要求</w:t>
      </w:r>
      <w:r>
        <w:tab/>
      </w:r>
      <w:r>
        <w:fldChar w:fldCharType="begin"/>
      </w:r>
      <w:r>
        <w:instrText xml:space="preserve"> PAGEREF _Toc23558 \h </w:instrText>
      </w:r>
      <w:r>
        <w:fldChar w:fldCharType="separate"/>
      </w:r>
      <w:r>
        <w:t>4</w:t>
      </w:r>
      <w:r>
        <w:fldChar w:fldCharType="end"/>
      </w:r>
      <w:r>
        <w:rPr>
          <w:rFonts w:ascii="黑体" w:eastAsia="黑体"/>
          <w:szCs w:val="32"/>
        </w:rPr>
        <w:fldChar w:fldCharType="end"/>
      </w:r>
    </w:p>
    <w:p w14:paraId="2F6528D7">
      <w:pPr>
        <w:pStyle w:val="17"/>
        <w:tabs>
          <w:tab w:val="right" w:leader="dot" w:pos="8313"/>
        </w:tabs>
      </w:pPr>
      <w:r>
        <w:rPr>
          <w:rFonts w:ascii="黑体" w:eastAsia="黑体"/>
          <w:szCs w:val="32"/>
        </w:rPr>
        <w:fldChar w:fldCharType="begin"/>
      </w:r>
      <w:r>
        <w:rPr>
          <w:rFonts w:ascii="黑体" w:eastAsia="黑体"/>
          <w:szCs w:val="32"/>
        </w:rPr>
        <w:instrText xml:space="preserve"> HYPERLINK \l _Toc26814 </w:instrText>
      </w:r>
      <w:r>
        <w:rPr>
          <w:rFonts w:ascii="黑体" w:eastAsia="黑体"/>
          <w:szCs w:val="32"/>
        </w:rPr>
        <w:fldChar w:fldCharType="separate"/>
      </w:r>
      <w:r>
        <w:rPr>
          <w:rFonts w:hint="eastAsia" w:ascii="楷体_GB2312" w:eastAsia="楷体_GB2312"/>
        </w:rPr>
        <w:t>第二节技术要求</w:t>
      </w:r>
      <w:r>
        <w:tab/>
      </w:r>
      <w:r>
        <w:fldChar w:fldCharType="begin"/>
      </w:r>
      <w:r>
        <w:instrText xml:space="preserve"> PAGEREF _Toc26814 \h </w:instrText>
      </w:r>
      <w:r>
        <w:fldChar w:fldCharType="separate"/>
      </w:r>
      <w:r>
        <w:t>7</w:t>
      </w:r>
      <w:r>
        <w:fldChar w:fldCharType="end"/>
      </w:r>
      <w:r>
        <w:rPr>
          <w:rFonts w:ascii="黑体" w:eastAsia="黑体"/>
          <w:szCs w:val="32"/>
        </w:rPr>
        <w:fldChar w:fldCharType="end"/>
      </w:r>
    </w:p>
    <w:p w14:paraId="12416322">
      <w:pPr>
        <w:pStyle w:val="17"/>
        <w:tabs>
          <w:tab w:val="right" w:leader="dot" w:pos="8313"/>
        </w:tabs>
      </w:pPr>
      <w:r>
        <w:rPr>
          <w:rFonts w:ascii="黑体" w:eastAsia="黑体"/>
          <w:szCs w:val="32"/>
        </w:rPr>
        <w:fldChar w:fldCharType="begin"/>
      </w:r>
      <w:r>
        <w:rPr>
          <w:rFonts w:ascii="黑体" w:eastAsia="黑体"/>
          <w:szCs w:val="32"/>
        </w:rPr>
        <w:instrText xml:space="preserve"> HYPERLINK \l _Toc29152 </w:instrText>
      </w:r>
      <w:r>
        <w:rPr>
          <w:rFonts w:ascii="黑体" w:eastAsia="黑体"/>
          <w:szCs w:val="32"/>
        </w:rPr>
        <w:fldChar w:fldCharType="separate"/>
      </w:r>
      <w:r>
        <w:rPr>
          <w:rFonts w:hint="eastAsia" w:ascii="楷体_GB2312" w:hAnsi="宋体" w:eastAsia="楷体_GB2312"/>
        </w:rPr>
        <w:t>第三节投标方须知专用表</w:t>
      </w:r>
      <w:r>
        <w:tab/>
      </w:r>
      <w:r>
        <w:fldChar w:fldCharType="begin"/>
      </w:r>
      <w:r>
        <w:instrText xml:space="preserve"> PAGEREF _Toc29152 \h </w:instrText>
      </w:r>
      <w:r>
        <w:fldChar w:fldCharType="separate"/>
      </w:r>
      <w:r>
        <w:t>10</w:t>
      </w:r>
      <w:r>
        <w:fldChar w:fldCharType="end"/>
      </w:r>
      <w:r>
        <w:rPr>
          <w:rFonts w:ascii="黑体" w:eastAsia="黑体"/>
          <w:szCs w:val="32"/>
        </w:rPr>
        <w:fldChar w:fldCharType="end"/>
      </w:r>
    </w:p>
    <w:p w14:paraId="25191DDD">
      <w:pPr>
        <w:pStyle w:val="17"/>
        <w:tabs>
          <w:tab w:val="right" w:leader="dot" w:pos="8313"/>
        </w:tabs>
      </w:pPr>
      <w:r>
        <w:rPr>
          <w:rFonts w:ascii="黑体" w:eastAsia="黑体"/>
          <w:szCs w:val="32"/>
        </w:rPr>
        <w:fldChar w:fldCharType="begin"/>
      </w:r>
      <w:r>
        <w:rPr>
          <w:rFonts w:ascii="黑体" w:eastAsia="黑体"/>
          <w:szCs w:val="32"/>
        </w:rPr>
        <w:instrText xml:space="preserve"> HYPERLINK \l _Toc9422 </w:instrText>
      </w:r>
      <w:r>
        <w:rPr>
          <w:rFonts w:ascii="黑体" w:eastAsia="黑体"/>
          <w:szCs w:val="32"/>
        </w:rPr>
        <w:fldChar w:fldCharType="separate"/>
      </w:r>
      <w:r>
        <w:rPr>
          <w:rFonts w:hint="eastAsia" w:ascii="楷体_GB2312" w:eastAsia="楷体_GB2312"/>
        </w:rPr>
        <w:t>第四节投标文件否决性条款摘要</w:t>
      </w:r>
      <w:r>
        <w:tab/>
      </w:r>
      <w:r>
        <w:fldChar w:fldCharType="begin"/>
      </w:r>
      <w:r>
        <w:instrText xml:space="preserve"> PAGEREF _Toc9422 \h </w:instrText>
      </w:r>
      <w:r>
        <w:fldChar w:fldCharType="separate"/>
      </w:r>
      <w:r>
        <w:t>11</w:t>
      </w:r>
      <w:r>
        <w:fldChar w:fldCharType="end"/>
      </w:r>
      <w:r>
        <w:rPr>
          <w:rFonts w:ascii="黑体" w:eastAsia="黑体"/>
          <w:szCs w:val="32"/>
        </w:rPr>
        <w:fldChar w:fldCharType="end"/>
      </w:r>
    </w:p>
    <w:p w14:paraId="60C6EBCF">
      <w:pPr>
        <w:pStyle w:val="17"/>
        <w:tabs>
          <w:tab w:val="right" w:leader="dot" w:pos="8313"/>
        </w:tabs>
      </w:pPr>
      <w:r>
        <w:rPr>
          <w:rFonts w:ascii="黑体" w:eastAsia="黑体"/>
          <w:szCs w:val="32"/>
        </w:rPr>
        <w:fldChar w:fldCharType="begin"/>
      </w:r>
      <w:r>
        <w:rPr>
          <w:rFonts w:ascii="黑体" w:eastAsia="黑体"/>
          <w:szCs w:val="32"/>
        </w:rPr>
        <w:instrText xml:space="preserve"> HYPERLINK \l _Toc19575 </w:instrText>
      </w:r>
      <w:r>
        <w:rPr>
          <w:rFonts w:ascii="黑体" w:eastAsia="黑体"/>
          <w:szCs w:val="32"/>
        </w:rPr>
        <w:fldChar w:fldCharType="separate"/>
      </w:r>
      <w:r>
        <w:rPr>
          <w:rFonts w:hint="eastAsia" w:ascii="楷体_GB2312" w:eastAsia="楷体_GB2312"/>
        </w:rPr>
        <w:t>第五节评标办法</w:t>
      </w:r>
      <w:r>
        <w:tab/>
      </w:r>
      <w:r>
        <w:fldChar w:fldCharType="begin"/>
      </w:r>
      <w:r>
        <w:instrText xml:space="preserve"> PAGEREF _Toc19575 \h </w:instrText>
      </w:r>
      <w:r>
        <w:fldChar w:fldCharType="separate"/>
      </w:r>
      <w:r>
        <w:t>12</w:t>
      </w:r>
      <w:r>
        <w:fldChar w:fldCharType="end"/>
      </w:r>
      <w:r>
        <w:rPr>
          <w:rFonts w:ascii="黑体" w:eastAsia="黑体"/>
          <w:szCs w:val="32"/>
        </w:rPr>
        <w:fldChar w:fldCharType="end"/>
      </w:r>
    </w:p>
    <w:p w14:paraId="5499901A">
      <w:pPr>
        <w:pStyle w:val="16"/>
        <w:tabs>
          <w:tab w:val="right" w:leader="dot" w:pos="8313"/>
        </w:tabs>
      </w:pPr>
      <w:r>
        <w:rPr>
          <w:rFonts w:ascii="黑体" w:eastAsia="黑体"/>
          <w:szCs w:val="32"/>
        </w:rPr>
        <w:fldChar w:fldCharType="begin"/>
      </w:r>
      <w:r>
        <w:rPr>
          <w:rFonts w:ascii="黑体" w:eastAsia="黑体"/>
          <w:szCs w:val="32"/>
        </w:rPr>
        <w:instrText xml:space="preserve"> HYPERLINK \l _Toc20946 </w:instrText>
      </w:r>
      <w:r>
        <w:rPr>
          <w:rFonts w:ascii="黑体" w:eastAsia="黑体"/>
          <w:szCs w:val="32"/>
        </w:rPr>
        <w:fldChar w:fldCharType="separate"/>
      </w:r>
      <w:r>
        <w:rPr>
          <w:rFonts w:hint="eastAsia" w:ascii="黑体" w:eastAsia="黑体"/>
          <w:szCs w:val="32"/>
        </w:rPr>
        <w:t>第三章投标方须知</w:t>
      </w:r>
      <w:r>
        <w:tab/>
      </w:r>
      <w:r>
        <w:fldChar w:fldCharType="begin"/>
      </w:r>
      <w:r>
        <w:instrText xml:space="preserve"> PAGEREF _Toc20946 \h </w:instrText>
      </w:r>
      <w:r>
        <w:fldChar w:fldCharType="separate"/>
      </w:r>
      <w:r>
        <w:t>18</w:t>
      </w:r>
      <w:r>
        <w:fldChar w:fldCharType="end"/>
      </w:r>
      <w:r>
        <w:rPr>
          <w:rFonts w:ascii="黑体" w:eastAsia="黑体"/>
          <w:szCs w:val="32"/>
        </w:rPr>
        <w:fldChar w:fldCharType="end"/>
      </w:r>
    </w:p>
    <w:p w14:paraId="257672CE">
      <w:pPr>
        <w:pStyle w:val="17"/>
        <w:tabs>
          <w:tab w:val="right" w:leader="dot" w:pos="8313"/>
        </w:tabs>
      </w:pPr>
      <w:r>
        <w:rPr>
          <w:rFonts w:ascii="黑体" w:eastAsia="黑体"/>
          <w:szCs w:val="32"/>
        </w:rPr>
        <w:fldChar w:fldCharType="begin"/>
      </w:r>
      <w:r>
        <w:rPr>
          <w:rFonts w:ascii="黑体" w:eastAsia="黑体"/>
          <w:szCs w:val="32"/>
        </w:rPr>
        <w:instrText xml:space="preserve"> HYPERLINK \l _Toc21426 </w:instrText>
      </w:r>
      <w:r>
        <w:rPr>
          <w:rFonts w:ascii="黑体" w:eastAsia="黑体"/>
          <w:szCs w:val="32"/>
        </w:rPr>
        <w:fldChar w:fldCharType="separate"/>
      </w:r>
      <w:r>
        <w:rPr>
          <w:rFonts w:hint="eastAsia" w:ascii="楷体_GB2312" w:eastAsia="楷体_GB2312"/>
          <w:szCs w:val="24"/>
        </w:rPr>
        <w:t>一说明</w:t>
      </w:r>
      <w:r>
        <w:tab/>
      </w:r>
      <w:r>
        <w:fldChar w:fldCharType="begin"/>
      </w:r>
      <w:r>
        <w:instrText xml:space="preserve"> PAGEREF _Toc21426 \h </w:instrText>
      </w:r>
      <w:r>
        <w:fldChar w:fldCharType="separate"/>
      </w:r>
      <w:r>
        <w:t>18</w:t>
      </w:r>
      <w:r>
        <w:fldChar w:fldCharType="end"/>
      </w:r>
      <w:r>
        <w:rPr>
          <w:rFonts w:ascii="黑体" w:eastAsia="黑体"/>
          <w:szCs w:val="32"/>
        </w:rPr>
        <w:fldChar w:fldCharType="end"/>
      </w:r>
    </w:p>
    <w:p w14:paraId="323674CA">
      <w:pPr>
        <w:pStyle w:val="17"/>
        <w:tabs>
          <w:tab w:val="right" w:leader="dot" w:pos="8313"/>
        </w:tabs>
      </w:pPr>
      <w:r>
        <w:rPr>
          <w:rFonts w:ascii="黑体" w:eastAsia="黑体"/>
          <w:szCs w:val="32"/>
        </w:rPr>
        <w:fldChar w:fldCharType="begin"/>
      </w:r>
      <w:r>
        <w:rPr>
          <w:rFonts w:ascii="黑体" w:eastAsia="黑体"/>
          <w:szCs w:val="32"/>
        </w:rPr>
        <w:instrText xml:space="preserve"> HYPERLINK \l _Toc17261 </w:instrText>
      </w:r>
      <w:r>
        <w:rPr>
          <w:rFonts w:ascii="黑体" w:eastAsia="黑体"/>
          <w:szCs w:val="32"/>
        </w:rPr>
        <w:fldChar w:fldCharType="separate"/>
      </w:r>
      <w:r>
        <w:rPr>
          <w:rFonts w:hint="eastAsia" w:ascii="楷体_GB2312" w:eastAsia="楷体_GB2312"/>
          <w:szCs w:val="24"/>
        </w:rPr>
        <w:t>二招标文件</w:t>
      </w:r>
      <w:r>
        <w:tab/>
      </w:r>
      <w:r>
        <w:fldChar w:fldCharType="begin"/>
      </w:r>
      <w:r>
        <w:instrText xml:space="preserve"> PAGEREF _Toc17261 \h </w:instrText>
      </w:r>
      <w:r>
        <w:fldChar w:fldCharType="separate"/>
      </w:r>
      <w:r>
        <w:t>19</w:t>
      </w:r>
      <w:r>
        <w:fldChar w:fldCharType="end"/>
      </w:r>
      <w:r>
        <w:rPr>
          <w:rFonts w:ascii="黑体" w:eastAsia="黑体"/>
          <w:szCs w:val="32"/>
        </w:rPr>
        <w:fldChar w:fldCharType="end"/>
      </w:r>
    </w:p>
    <w:p w14:paraId="41B474C8">
      <w:pPr>
        <w:pStyle w:val="17"/>
        <w:tabs>
          <w:tab w:val="right" w:leader="dot" w:pos="8313"/>
        </w:tabs>
      </w:pPr>
      <w:r>
        <w:rPr>
          <w:rFonts w:ascii="黑体" w:eastAsia="黑体"/>
          <w:szCs w:val="32"/>
        </w:rPr>
        <w:fldChar w:fldCharType="begin"/>
      </w:r>
      <w:r>
        <w:rPr>
          <w:rFonts w:ascii="黑体" w:eastAsia="黑体"/>
          <w:szCs w:val="32"/>
        </w:rPr>
        <w:instrText xml:space="preserve"> HYPERLINK \l _Toc21141 </w:instrText>
      </w:r>
      <w:r>
        <w:rPr>
          <w:rFonts w:ascii="黑体" w:eastAsia="黑体"/>
          <w:szCs w:val="32"/>
        </w:rPr>
        <w:fldChar w:fldCharType="separate"/>
      </w:r>
      <w:r>
        <w:rPr>
          <w:rFonts w:hint="eastAsia" w:ascii="楷体_GB2312" w:eastAsia="楷体_GB2312"/>
          <w:szCs w:val="24"/>
        </w:rPr>
        <w:t>三投标文件的编制</w:t>
      </w:r>
      <w:r>
        <w:tab/>
      </w:r>
      <w:r>
        <w:fldChar w:fldCharType="begin"/>
      </w:r>
      <w:r>
        <w:instrText xml:space="preserve"> PAGEREF _Toc21141 \h </w:instrText>
      </w:r>
      <w:r>
        <w:fldChar w:fldCharType="separate"/>
      </w:r>
      <w:r>
        <w:t>20</w:t>
      </w:r>
      <w:r>
        <w:fldChar w:fldCharType="end"/>
      </w:r>
      <w:r>
        <w:rPr>
          <w:rFonts w:ascii="黑体" w:eastAsia="黑体"/>
          <w:szCs w:val="32"/>
        </w:rPr>
        <w:fldChar w:fldCharType="end"/>
      </w:r>
    </w:p>
    <w:p w14:paraId="189573DD">
      <w:pPr>
        <w:pStyle w:val="17"/>
        <w:tabs>
          <w:tab w:val="right" w:leader="dot" w:pos="8313"/>
        </w:tabs>
      </w:pPr>
      <w:r>
        <w:rPr>
          <w:rFonts w:ascii="黑体" w:eastAsia="黑体"/>
          <w:szCs w:val="32"/>
        </w:rPr>
        <w:fldChar w:fldCharType="begin"/>
      </w:r>
      <w:r>
        <w:rPr>
          <w:rFonts w:ascii="黑体" w:eastAsia="黑体"/>
          <w:szCs w:val="32"/>
        </w:rPr>
        <w:instrText xml:space="preserve"> HYPERLINK \l _Toc3776 </w:instrText>
      </w:r>
      <w:r>
        <w:rPr>
          <w:rFonts w:ascii="黑体" w:eastAsia="黑体"/>
          <w:szCs w:val="32"/>
        </w:rPr>
        <w:fldChar w:fldCharType="separate"/>
      </w:r>
      <w:r>
        <w:rPr>
          <w:rFonts w:hint="eastAsia" w:ascii="楷体_GB2312" w:eastAsia="楷体_GB2312"/>
          <w:szCs w:val="24"/>
        </w:rPr>
        <w:t>四投标文件的递交</w:t>
      </w:r>
      <w:r>
        <w:tab/>
      </w:r>
      <w:r>
        <w:fldChar w:fldCharType="begin"/>
      </w:r>
      <w:r>
        <w:instrText xml:space="preserve"> PAGEREF _Toc3776 \h </w:instrText>
      </w:r>
      <w:r>
        <w:fldChar w:fldCharType="separate"/>
      </w:r>
      <w:r>
        <w:t>22</w:t>
      </w:r>
      <w:r>
        <w:fldChar w:fldCharType="end"/>
      </w:r>
      <w:r>
        <w:rPr>
          <w:rFonts w:ascii="黑体" w:eastAsia="黑体"/>
          <w:szCs w:val="32"/>
        </w:rPr>
        <w:fldChar w:fldCharType="end"/>
      </w:r>
    </w:p>
    <w:p w14:paraId="5F843F4A">
      <w:pPr>
        <w:pStyle w:val="17"/>
        <w:tabs>
          <w:tab w:val="right" w:leader="dot" w:pos="8313"/>
        </w:tabs>
      </w:pPr>
      <w:r>
        <w:rPr>
          <w:rFonts w:ascii="黑体" w:eastAsia="黑体"/>
          <w:szCs w:val="32"/>
        </w:rPr>
        <w:fldChar w:fldCharType="begin"/>
      </w:r>
      <w:r>
        <w:rPr>
          <w:rFonts w:ascii="黑体" w:eastAsia="黑体"/>
          <w:szCs w:val="32"/>
        </w:rPr>
        <w:instrText xml:space="preserve"> HYPERLINK \l _Toc20292 </w:instrText>
      </w:r>
      <w:r>
        <w:rPr>
          <w:rFonts w:ascii="黑体" w:eastAsia="黑体"/>
          <w:szCs w:val="32"/>
        </w:rPr>
        <w:fldChar w:fldCharType="separate"/>
      </w:r>
      <w:r>
        <w:rPr>
          <w:rFonts w:hint="eastAsia" w:ascii="楷体_GB2312" w:eastAsia="楷体_GB2312"/>
          <w:szCs w:val="24"/>
        </w:rPr>
        <w:t>五开标与评标</w:t>
      </w:r>
      <w:r>
        <w:tab/>
      </w:r>
      <w:r>
        <w:fldChar w:fldCharType="begin"/>
      </w:r>
      <w:r>
        <w:instrText xml:space="preserve"> PAGEREF _Toc20292 \h </w:instrText>
      </w:r>
      <w:r>
        <w:fldChar w:fldCharType="separate"/>
      </w:r>
      <w:r>
        <w:t>23</w:t>
      </w:r>
      <w:r>
        <w:fldChar w:fldCharType="end"/>
      </w:r>
      <w:r>
        <w:rPr>
          <w:rFonts w:ascii="黑体" w:eastAsia="黑体"/>
          <w:szCs w:val="32"/>
        </w:rPr>
        <w:fldChar w:fldCharType="end"/>
      </w:r>
    </w:p>
    <w:p w14:paraId="0A44156A">
      <w:pPr>
        <w:pStyle w:val="17"/>
        <w:tabs>
          <w:tab w:val="right" w:leader="dot" w:pos="8313"/>
        </w:tabs>
      </w:pPr>
      <w:r>
        <w:rPr>
          <w:rFonts w:ascii="黑体" w:eastAsia="黑体"/>
          <w:szCs w:val="32"/>
        </w:rPr>
        <w:fldChar w:fldCharType="begin"/>
      </w:r>
      <w:r>
        <w:rPr>
          <w:rFonts w:ascii="黑体" w:eastAsia="黑体"/>
          <w:szCs w:val="32"/>
        </w:rPr>
        <w:instrText xml:space="preserve"> HYPERLINK \l _Toc22746 </w:instrText>
      </w:r>
      <w:r>
        <w:rPr>
          <w:rFonts w:ascii="黑体" w:eastAsia="黑体"/>
          <w:szCs w:val="32"/>
        </w:rPr>
        <w:fldChar w:fldCharType="separate"/>
      </w:r>
      <w:r>
        <w:rPr>
          <w:rFonts w:hint="eastAsia" w:ascii="楷体_GB2312" w:eastAsia="楷体_GB2312"/>
          <w:szCs w:val="24"/>
        </w:rPr>
        <w:t>六授予合同</w:t>
      </w:r>
      <w:r>
        <w:tab/>
      </w:r>
      <w:r>
        <w:fldChar w:fldCharType="begin"/>
      </w:r>
      <w:r>
        <w:instrText xml:space="preserve"> PAGEREF _Toc22746 \h </w:instrText>
      </w:r>
      <w:r>
        <w:fldChar w:fldCharType="separate"/>
      </w:r>
      <w:r>
        <w:t>25</w:t>
      </w:r>
      <w:r>
        <w:fldChar w:fldCharType="end"/>
      </w:r>
      <w:r>
        <w:rPr>
          <w:rFonts w:ascii="黑体" w:eastAsia="黑体"/>
          <w:szCs w:val="32"/>
        </w:rPr>
        <w:fldChar w:fldCharType="end"/>
      </w:r>
    </w:p>
    <w:p w14:paraId="74F30EA0">
      <w:pPr>
        <w:pStyle w:val="16"/>
        <w:tabs>
          <w:tab w:val="right" w:leader="dot" w:pos="8313"/>
        </w:tabs>
      </w:pPr>
      <w:r>
        <w:rPr>
          <w:rFonts w:ascii="黑体" w:eastAsia="黑体"/>
          <w:szCs w:val="32"/>
        </w:rPr>
        <w:fldChar w:fldCharType="begin"/>
      </w:r>
      <w:r>
        <w:rPr>
          <w:rFonts w:ascii="黑体" w:eastAsia="黑体"/>
          <w:szCs w:val="32"/>
        </w:rPr>
        <w:instrText xml:space="preserve"> HYPERLINK \l _Toc7203 </w:instrText>
      </w:r>
      <w:r>
        <w:rPr>
          <w:rFonts w:ascii="黑体" w:eastAsia="黑体"/>
          <w:szCs w:val="32"/>
        </w:rPr>
        <w:fldChar w:fldCharType="separate"/>
      </w:r>
      <w:r>
        <w:rPr>
          <w:rFonts w:hint="eastAsia" w:ascii="黑体" w:eastAsia="黑体"/>
          <w:szCs w:val="32"/>
        </w:rPr>
        <w:t>第四章合同条款（范本仅供参考）</w:t>
      </w:r>
      <w:r>
        <w:tab/>
      </w:r>
      <w:r>
        <w:fldChar w:fldCharType="begin"/>
      </w:r>
      <w:r>
        <w:instrText xml:space="preserve"> PAGEREF _Toc7203 \h </w:instrText>
      </w:r>
      <w:r>
        <w:fldChar w:fldCharType="separate"/>
      </w:r>
      <w:r>
        <w:t>26</w:t>
      </w:r>
      <w:r>
        <w:fldChar w:fldCharType="end"/>
      </w:r>
      <w:r>
        <w:rPr>
          <w:rFonts w:ascii="黑体" w:eastAsia="黑体"/>
          <w:szCs w:val="32"/>
        </w:rPr>
        <w:fldChar w:fldCharType="end"/>
      </w:r>
    </w:p>
    <w:p w14:paraId="464BE7E6">
      <w:pPr>
        <w:pStyle w:val="16"/>
        <w:tabs>
          <w:tab w:val="right" w:leader="dot" w:pos="8313"/>
        </w:tabs>
      </w:pPr>
      <w:r>
        <w:rPr>
          <w:rFonts w:ascii="黑体" w:eastAsia="黑体"/>
          <w:szCs w:val="32"/>
        </w:rPr>
        <w:fldChar w:fldCharType="begin"/>
      </w:r>
      <w:r>
        <w:rPr>
          <w:rFonts w:ascii="黑体" w:eastAsia="黑体"/>
          <w:szCs w:val="32"/>
        </w:rPr>
        <w:instrText xml:space="preserve"> HYPERLINK \l _Toc11737 </w:instrText>
      </w:r>
      <w:r>
        <w:rPr>
          <w:rFonts w:ascii="黑体" w:eastAsia="黑体"/>
          <w:szCs w:val="32"/>
        </w:rPr>
        <w:fldChar w:fldCharType="separate"/>
      </w:r>
      <w:r>
        <w:rPr>
          <w:rFonts w:hint="eastAsia" w:ascii="黑体" w:eastAsia="黑体"/>
          <w:szCs w:val="32"/>
        </w:rPr>
        <w:t>第五章投标文件格式</w:t>
      </w:r>
      <w:r>
        <w:tab/>
      </w:r>
      <w:r>
        <w:fldChar w:fldCharType="begin"/>
      </w:r>
      <w:r>
        <w:instrText xml:space="preserve"> PAGEREF _Toc11737 \h </w:instrText>
      </w:r>
      <w:r>
        <w:fldChar w:fldCharType="separate"/>
      </w:r>
      <w:r>
        <w:t>29</w:t>
      </w:r>
      <w:r>
        <w:fldChar w:fldCharType="end"/>
      </w:r>
      <w:r>
        <w:rPr>
          <w:rFonts w:ascii="黑体" w:eastAsia="黑体"/>
          <w:szCs w:val="32"/>
        </w:rPr>
        <w:fldChar w:fldCharType="end"/>
      </w:r>
    </w:p>
    <w:p w14:paraId="53ACE156">
      <w:pPr>
        <w:pStyle w:val="17"/>
        <w:tabs>
          <w:tab w:val="right" w:leader="dot" w:pos="8313"/>
        </w:tabs>
      </w:pPr>
      <w:r>
        <w:rPr>
          <w:rFonts w:ascii="黑体" w:eastAsia="黑体"/>
          <w:szCs w:val="32"/>
        </w:rPr>
        <w:fldChar w:fldCharType="begin"/>
      </w:r>
      <w:r>
        <w:rPr>
          <w:rFonts w:ascii="黑体" w:eastAsia="黑体"/>
          <w:szCs w:val="32"/>
        </w:rPr>
        <w:instrText xml:space="preserve"> HYPERLINK \l _Toc13052 </w:instrText>
      </w:r>
      <w:r>
        <w:rPr>
          <w:rFonts w:ascii="黑体" w:eastAsia="黑体"/>
          <w:szCs w:val="32"/>
        </w:rPr>
        <w:fldChar w:fldCharType="separate"/>
      </w:r>
      <w:r>
        <w:rPr>
          <w:rFonts w:hint="eastAsia" w:ascii="楷体_GB2312" w:hAnsi="宋体" w:eastAsia="楷体_GB2312"/>
          <w:szCs w:val="21"/>
        </w:rPr>
        <w:t>格式</w:t>
      </w:r>
      <w:r>
        <w:rPr>
          <w:rFonts w:eastAsia="楷体_GB2312"/>
          <w:szCs w:val="21"/>
        </w:rPr>
        <w:t>1.</w:t>
      </w:r>
      <w:r>
        <w:rPr>
          <w:rFonts w:hint="eastAsia" w:eastAsia="楷体_GB2312"/>
          <w:szCs w:val="21"/>
        </w:rPr>
        <w:t>投标书</w:t>
      </w:r>
      <w:r>
        <w:tab/>
      </w:r>
      <w:r>
        <w:fldChar w:fldCharType="begin"/>
      </w:r>
      <w:r>
        <w:instrText xml:space="preserve"> PAGEREF _Toc13052 \h </w:instrText>
      </w:r>
      <w:r>
        <w:fldChar w:fldCharType="separate"/>
      </w:r>
      <w:r>
        <w:t>29</w:t>
      </w:r>
      <w:r>
        <w:fldChar w:fldCharType="end"/>
      </w:r>
      <w:r>
        <w:rPr>
          <w:rFonts w:ascii="黑体" w:eastAsia="黑体"/>
          <w:szCs w:val="32"/>
        </w:rPr>
        <w:fldChar w:fldCharType="end"/>
      </w:r>
    </w:p>
    <w:p w14:paraId="6D33BF05">
      <w:pPr>
        <w:pStyle w:val="17"/>
        <w:tabs>
          <w:tab w:val="right" w:leader="dot" w:pos="8313"/>
        </w:tabs>
      </w:pPr>
      <w:r>
        <w:rPr>
          <w:rFonts w:ascii="黑体" w:eastAsia="黑体"/>
          <w:szCs w:val="32"/>
        </w:rPr>
        <w:fldChar w:fldCharType="begin"/>
      </w:r>
      <w:r>
        <w:rPr>
          <w:rFonts w:ascii="黑体" w:eastAsia="黑体"/>
          <w:szCs w:val="32"/>
        </w:rPr>
        <w:instrText xml:space="preserve"> HYPERLINK \l _Toc19957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3.</w:t>
      </w:r>
      <w:r>
        <w:rPr>
          <w:rFonts w:hint="eastAsia" w:ascii="楷体_GB2312" w:hAnsi="宋体" w:eastAsia="楷体_GB2312"/>
          <w:szCs w:val="21"/>
        </w:rPr>
        <w:t>投标分项报价表</w:t>
      </w:r>
      <w:r>
        <w:tab/>
      </w:r>
      <w:r>
        <w:fldChar w:fldCharType="begin"/>
      </w:r>
      <w:r>
        <w:instrText xml:space="preserve"> PAGEREF _Toc19957 \h </w:instrText>
      </w:r>
      <w:r>
        <w:fldChar w:fldCharType="separate"/>
      </w:r>
      <w:r>
        <w:t>32</w:t>
      </w:r>
      <w:r>
        <w:fldChar w:fldCharType="end"/>
      </w:r>
      <w:r>
        <w:rPr>
          <w:rFonts w:ascii="黑体" w:eastAsia="黑体"/>
          <w:szCs w:val="32"/>
        </w:rPr>
        <w:fldChar w:fldCharType="end"/>
      </w:r>
    </w:p>
    <w:p w14:paraId="2517A2D0">
      <w:pPr>
        <w:pStyle w:val="17"/>
        <w:tabs>
          <w:tab w:val="right" w:leader="dot" w:pos="8313"/>
        </w:tabs>
      </w:pPr>
      <w:r>
        <w:rPr>
          <w:rFonts w:ascii="黑体" w:eastAsia="黑体"/>
          <w:szCs w:val="32"/>
        </w:rPr>
        <w:fldChar w:fldCharType="begin"/>
      </w:r>
      <w:r>
        <w:rPr>
          <w:rFonts w:ascii="黑体" w:eastAsia="黑体"/>
          <w:szCs w:val="32"/>
        </w:rPr>
        <w:instrText xml:space="preserve"> HYPERLINK \l _Toc12883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4.</w:t>
      </w:r>
      <w:r>
        <w:rPr>
          <w:rFonts w:hint="eastAsia" w:ascii="楷体_GB2312" w:hAnsi="宋体" w:eastAsia="楷体_GB2312"/>
          <w:szCs w:val="21"/>
        </w:rPr>
        <w:t>货物说明一览表</w:t>
      </w:r>
      <w:r>
        <w:tab/>
      </w:r>
      <w:r>
        <w:fldChar w:fldCharType="begin"/>
      </w:r>
      <w:r>
        <w:instrText xml:space="preserve"> PAGEREF _Toc12883 \h </w:instrText>
      </w:r>
      <w:r>
        <w:fldChar w:fldCharType="separate"/>
      </w:r>
      <w:r>
        <w:t>33</w:t>
      </w:r>
      <w:r>
        <w:fldChar w:fldCharType="end"/>
      </w:r>
      <w:r>
        <w:rPr>
          <w:rFonts w:ascii="黑体" w:eastAsia="黑体"/>
          <w:szCs w:val="32"/>
        </w:rPr>
        <w:fldChar w:fldCharType="end"/>
      </w:r>
    </w:p>
    <w:p w14:paraId="1B1783A9">
      <w:pPr>
        <w:pStyle w:val="17"/>
        <w:tabs>
          <w:tab w:val="right" w:leader="dot" w:pos="8313"/>
        </w:tabs>
      </w:pPr>
      <w:r>
        <w:rPr>
          <w:rFonts w:ascii="黑体" w:eastAsia="黑体"/>
          <w:szCs w:val="32"/>
        </w:rPr>
        <w:fldChar w:fldCharType="begin"/>
      </w:r>
      <w:r>
        <w:rPr>
          <w:rFonts w:ascii="黑体" w:eastAsia="黑体"/>
          <w:szCs w:val="32"/>
        </w:rPr>
        <w:instrText xml:space="preserve"> HYPERLINK \l _Toc2062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 xml:space="preserve">5. </w:t>
      </w:r>
      <w:r>
        <w:rPr>
          <w:rFonts w:hint="eastAsia" w:ascii="楷体_GB2312" w:hAnsi="宋体" w:eastAsia="楷体_GB2312"/>
          <w:szCs w:val="21"/>
        </w:rPr>
        <w:t>技术性能参数的详细描述</w:t>
      </w:r>
      <w:r>
        <w:tab/>
      </w:r>
      <w:r>
        <w:fldChar w:fldCharType="begin"/>
      </w:r>
      <w:r>
        <w:instrText xml:space="preserve"> PAGEREF _Toc2062 \h </w:instrText>
      </w:r>
      <w:r>
        <w:fldChar w:fldCharType="separate"/>
      </w:r>
      <w:r>
        <w:t>34</w:t>
      </w:r>
      <w:r>
        <w:fldChar w:fldCharType="end"/>
      </w:r>
      <w:r>
        <w:rPr>
          <w:rFonts w:ascii="黑体" w:eastAsia="黑体"/>
          <w:szCs w:val="32"/>
        </w:rPr>
        <w:fldChar w:fldCharType="end"/>
      </w:r>
    </w:p>
    <w:p w14:paraId="21EFD570">
      <w:pPr>
        <w:pStyle w:val="17"/>
        <w:tabs>
          <w:tab w:val="right" w:leader="dot" w:pos="8313"/>
        </w:tabs>
      </w:pPr>
      <w:r>
        <w:rPr>
          <w:rFonts w:ascii="黑体" w:eastAsia="黑体"/>
          <w:szCs w:val="32"/>
        </w:rPr>
        <w:fldChar w:fldCharType="begin"/>
      </w:r>
      <w:r>
        <w:rPr>
          <w:rFonts w:ascii="黑体" w:eastAsia="黑体"/>
          <w:szCs w:val="32"/>
        </w:rPr>
        <w:instrText xml:space="preserve"> HYPERLINK \l _Toc22092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6.</w:t>
      </w:r>
      <w:r>
        <w:rPr>
          <w:rFonts w:hint="eastAsia" w:ascii="楷体_GB2312" w:hAnsi="宋体" w:eastAsia="楷体_GB2312"/>
          <w:szCs w:val="21"/>
        </w:rPr>
        <w:t>技术规格响应</w:t>
      </w:r>
      <w:r>
        <w:rPr>
          <w:rFonts w:ascii="楷体_GB2312" w:hAnsi="宋体" w:eastAsia="楷体_GB2312"/>
          <w:szCs w:val="21"/>
        </w:rPr>
        <w:t>/</w:t>
      </w:r>
      <w:r>
        <w:rPr>
          <w:rFonts w:hint="eastAsia" w:ascii="楷体_GB2312" w:hAnsi="宋体" w:eastAsia="楷体_GB2312"/>
          <w:szCs w:val="21"/>
        </w:rPr>
        <w:t>偏离表</w:t>
      </w:r>
      <w:r>
        <w:tab/>
      </w:r>
      <w:r>
        <w:fldChar w:fldCharType="begin"/>
      </w:r>
      <w:r>
        <w:instrText xml:space="preserve"> PAGEREF _Toc22092 \h </w:instrText>
      </w:r>
      <w:r>
        <w:fldChar w:fldCharType="separate"/>
      </w:r>
      <w:r>
        <w:t>35</w:t>
      </w:r>
      <w:r>
        <w:fldChar w:fldCharType="end"/>
      </w:r>
      <w:r>
        <w:rPr>
          <w:rFonts w:ascii="黑体" w:eastAsia="黑体"/>
          <w:szCs w:val="32"/>
        </w:rPr>
        <w:fldChar w:fldCharType="end"/>
      </w:r>
    </w:p>
    <w:p w14:paraId="3C23E46D">
      <w:pPr>
        <w:pStyle w:val="17"/>
        <w:tabs>
          <w:tab w:val="right" w:leader="dot" w:pos="8313"/>
        </w:tabs>
      </w:pPr>
      <w:r>
        <w:rPr>
          <w:rFonts w:ascii="黑体" w:eastAsia="黑体"/>
          <w:szCs w:val="32"/>
        </w:rPr>
        <w:fldChar w:fldCharType="begin"/>
      </w:r>
      <w:r>
        <w:rPr>
          <w:rFonts w:ascii="黑体" w:eastAsia="黑体"/>
          <w:szCs w:val="32"/>
        </w:rPr>
        <w:instrText xml:space="preserve"> HYPERLINK \l _Toc13683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 xml:space="preserve">7. </w:t>
      </w:r>
      <w:r>
        <w:rPr>
          <w:rFonts w:hint="eastAsia" w:ascii="楷体_GB2312" w:hAnsi="宋体" w:eastAsia="楷体_GB2312"/>
          <w:szCs w:val="21"/>
        </w:rPr>
        <w:t>商务条款响应</w:t>
      </w:r>
      <w:r>
        <w:rPr>
          <w:rFonts w:ascii="楷体_GB2312" w:hAnsi="宋体" w:eastAsia="楷体_GB2312"/>
          <w:szCs w:val="21"/>
        </w:rPr>
        <w:t>/</w:t>
      </w:r>
      <w:r>
        <w:rPr>
          <w:rFonts w:hint="eastAsia" w:ascii="楷体_GB2312" w:hAnsi="宋体" w:eastAsia="楷体_GB2312"/>
          <w:szCs w:val="21"/>
        </w:rPr>
        <w:t>偏离表</w:t>
      </w:r>
      <w:r>
        <w:tab/>
      </w:r>
      <w:r>
        <w:fldChar w:fldCharType="begin"/>
      </w:r>
      <w:r>
        <w:instrText xml:space="preserve"> PAGEREF _Toc13683 \h </w:instrText>
      </w:r>
      <w:r>
        <w:fldChar w:fldCharType="separate"/>
      </w:r>
      <w:r>
        <w:t>36</w:t>
      </w:r>
      <w:r>
        <w:fldChar w:fldCharType="end"/>
      </w:r>
      <w:r>
        <w:rPr>
          <w:rFonts w:ascii="黑体" w:eastAsia="黑体"/>
          <w:szCs w:val="32"/>
        </w:rPr>
        <w:fldChar w:fldCharType="end"/>
      </w:r>
    </w:p>
    <w:p w14:paraId="6BAFE5AC">
      <w:pPr>
        <w:pStyle w:val="17"/>
        <w:tabs>
          <w:tab w:val="right" w:leader="dot" w:pos="8313"/>
        </w:tabs>
      </w:pPr>
      <w:r>
        <w:rPr>
          <w:rFonts w:ascii="黑体" w:eastAsia="黑体"/>
          <w:szCs w:val="32"/>
        </w:rPr>
        <w:fldChar w:fldCharType="begin"/>
      </w:r>
      <w:r>
        <w:rPr>
          <w:rFonts w:ascii="黑体" w:eastAsia="黑体"/>
          <w:szCs w:val="32"/>
        </w:rPr>
        <w:instrText xml:space="preserve"> HYPERLINK \l _Toc20944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8.</w:t>
      </w:r>
      <w:r>
        <w:rPr>
          <w:rFonts w:hint="eastAsia" w:ascii="楷体_GB2312" w:hAnsi="宋体" w:eastAsia="楷体_GB2312"/>
          <w:szCs w:val="21"/>
        </w:rPr>
        <w:t>公司情况介绍</w:t>
      </w:r>
      <w:r>
        <w:tab/>
      </w:r>
      <w:r>
        <w:fldChar w:fldCharType="begin"/>
      </w:r>
      <w:r>
        <w:instrText xml:space="preserve"> PAGEREF _Toc20944 \h </w:instrText>
      </w:r>
      <w:r>
        <w:fldChar w:fldCharType="separate"/>
      </w:r>
      <w:r>
        <w:t>37</w:t>
      </w:r>
      <w:r>
        <w:fldChar w:fldCharType="end"/>
      </w:r>
      <w:r>
        <w:rPr>
          <w:rFonts w:ascii="黑体" w:eastAsia="黑体"/>
          <w:szCs w:val="32"/>
        </w:rPr>
        <w:fldChar w:fldCharType="end"/>
      </w:r>
    </w:p>
    <w:p w14:paraId="09BB863B">
      <w:pPr>
        <w:pStyle w:val="17"/>
        <w:tabs>
          <w:tab w:val="right" w:leader="dot" w:pos="8313"/>
        </w:tabs>
      </w:pPr>
      <w:r>
        <w:rPr>
          <w:rFonts w:ascii="黑体" w:eastAsia="黑体"/>
          <w:szCs w:val="32"/>
        </w:rPr>
        <w:fldChar w:fldCharType="begin"/>
      </w:r>
      <w:r>
        <w:rPr>
          <w:rFonts w:ascii="黑体" w:eastAsia="黑体"/>
          <w:szCs w:val="32"/>
        </w:rPr>
        <w:instrText xml:space="preserve"> HYPERLINK \l _Toc18672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 xml:space="preserve">9. </w:t>
      </w:r>
      <w:r>
        <w:rPr>
          <w:rFonts w:hint="eastAsia" w:ascii="楷体_GB2312" w:hAnsi="宋体" w:eastAsia="楷体_GB2312"/>
          <w:szCs w:val="21"/>
        </w:rPr>
        <w:t>售后服务计划</w:t>
      </w:r>
      <w:r>
        <w:tab/>
      </w:r>
      <w:r>
        <w:fldChar w:fldCharType="begin"/>
      </w:r>
      <w:r>
        <w:instrText xml:space="preserve"> PAGEREF _Toc18672 \h </w:instrText>
      </w:r>
      <w:r>
        <w:fldChar w:fldCharType="separate"/>
      </w:r>
      <w:r>
        <w:t>38</w:t>
      </w:r>
      <w:r>
        <w:fldChar w:fldCharType="end"/>
      </w:r>
      <w:r>
        <w:rPr>
          <w:rFonts w:ascii="黑体" w:eastAsia="黑体"/>
          <w:szCs w:val="32"/>
        </w:rPr>
        <w:fldChar w:fldCharType="end"/>
      </w:r>
    </w:p>
    <w:p w14:paraId="56321179">
      <w:pPr>
        <w:pStyle w:val="17"/>
        <w:tabs>
          <w:tab w:val="right" w:leader="dot" w:pos="8313"/>
        </w:tabs>
      </w:pPr>
      <w:r>
        <w:rPr>
          <w:rFonts w:ascii="黑体" w:eastAsia="黑体"/>
          <w:szCs w:val="32"/>
        </w:rPr>
        <w:fldChar w:fldCharType="begin"/>
      </w:r>
      <w:r>
        <w:rPr>
          <w:rFonts w:ascii="黑体" w:eastAsia="黑体"/>
          <w:szCs w:val="32"/>
        </w:rPr>
        <w:instrText xml:space="preserve"> HYPERLINK \l _Toc20952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10.</w:t>
      </w:r>
      <w:r>
        <w:rPr>
          <w:rFonts w:hint="eastAsia" w:ascii="楷体_GB2312" w:hAnsi="宋体" w:eastAsia="楷体_GB2312"/>
          <w:szCs w:val="21"/>
        </w:rPr>
        <w:t>法定代表人证明书</w:t>
      </w:r>
      <w:r>
        <w:tab/>
      </w:r>
      <w:r>
        <w:fldChar w:fldCharType="begin"/>
      </w:r>
      <w:r>
        <w:instrText xml:space="preserve"> PAGEREF _Toc20952 \h </w:instrText>
      </w:r>
      <w:r>
        <w:fldChar w:fldCharType="separate"/>
      </w:r>
      <w:r>
        <w:t>39</w:t>
      </w:r>
      <w:r>
        <w:fldChar w:fldCharType="end"/>
      </w:r>
      <w:r>
        <w:rPr>
          <w:rFonts w:ascii="黑体" w:eastAsia="黑体"/>
          <w:szCs w:val="32"/>
        </w:rPr>
        <w:fldChar w:fldCharType="end"/>
      </w:r>
    </w:p>
    <w:p w14:paraId="79F65CF1">
      <w:pPr>
        <w:pStyle w:val="17"/>
        <w:tabs>
          <w:tab w:val="right" w:leader="dot" w:pos="8313"/>
        </w:tabs>
      </w:pPr>
      <w:r>
        <w:rPr>
          <w:rFonts w:ascii="黑体" w:eastAsia="黑体"/>
          <w:szCs w:val="32"/>
        </w:rPr>
        <w:fldChar w:fldCharType="begin"/>
      </w:r>
      <w:r>
        <w:rPr>
          <w:rFonts w:ascii="黑体" w:eastAsia="黑体"/>
          <w:szCs w:val="32"/>
        </w:rPr>
        <w:instrText xml:space="preserve"> HYPERLINK \l _Toc13176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 xml:space="preserve">11. </w:t>
      </w:r>
      <w:r>
        <w:rPr>
          <w:rFonts w:hint="eastAsia" w:ascii="楷体_GB2312" w:hAnsi="宋体" w:eastAsia="楷体_GB2312"/>
          <w:szCs w:val="21"/>
        </w:rPr>
        <w:t>法定代表人授权书</w:t>
      </w:r>
      <w:r>
        <w:tab/>
      </w:r>
      <w:r>
        <w:fldChar w:fldCharType="begin"/>
      </w:r>
      <w:r>
        <w:instrText xml:space="preserve"> PAGEREF _Toc13176 \h </w:instrText>
      </w:r>
      <w:r>
        <w:fldChar w:fldCharType="separate"/>
      </w:r>
      <w:r>
        <w:t>40</w:t>
      </w:r>
      <w:r>
        <w:fldChar w:fldCharType="end"/>
      </w:r>
      <w:r>
        <w:rPr>
          <w:rFonts w:ascii="黑体" w:eastAsia="黑体"/>
          <w:szCs w:val="32"/>
        </w:rPr>
        <w:fldChar w:fldCharType="end"/>
      </w:r>
    </w:p>
    <w:p w14:paraId="199DE834">
      <w:pPr>
        <w:pStyle w:val="17"/>
        <w:tabs>
          <w:tab w:val="right" w:leader="dot" w:pos="8313"/>
        </w:tabs>
      </w:pPr>
      <w:r>
        <w:rPr>
          <w:rFonts w:ascii="黑体" w:eastAsia="黑体"/>
          <w:szCs w:val="32"/>
        </w:rPr>
        <w:fldChar w:fldCharType="begin"/>
      </w:r>
      <w:r>
        <w:rPr>
          <w:rFonts w:ascii="黑体" w:eastAsia="黑体"/>
          <w:szCs w:val="32"/>
        </w:rPr>
        <w:instrText xml:space="preserve"> HYPERLINK \l _Toc1025 </w:instrText>
      </w:r>
      <w:r>
        <w:rPr>
          <w:rFonts w:ascii="黑体" w:eastAsia="黑体"/>
          <w:szCs w:val="32"/>
        </w:rPr>
        <w:fldChar w:fldCharType="separate"/>
      </w:r>
      <w:r>
        <w:rPr>
          <w:rFonts w:hint="eastAsia" w:ascii="楷体_GB2312" w:hAnsi="宋体" w:eastAsia="楷体_GB2312"/>
          <w:szCs w:val="21"/>
        </w:rPr>
        <w:t>格式</w:t>
      </w:r>
      <w:r>
        <w:rPr>
          <w:rFonts w:ascii="楷体_GB2312" w:hAnsi="宋体" w:eastAsia="楷体_GB2312"/>
          <w:szCs w:val="21"/>
        </w:rPr>
        <w:t>12.</w:t>
      </w:r>
      <w:r>
        <w:rPr>
          <w:rFonts w:hint="eastAsia" w:ascii="楷体_GB2312" w:hAnsi="宋体" w:eastAsia="楷体_GB2312"/>
          <w:szCs w:val="21"/>
        </w:rPr>
        <w:t>资格证明文件</w:t>
      </w:r>
      <w:r>
        <w:tab/>
      </w:r>
      <w:r>
        <w:fldChar w:fldCharType="begin"/>
      </w:r>
      <w:r>
        <w:instrText xml:space="preserve"> PAGEREF _Toc1025 \h </w:instrText>
      </w:r>
      <w:r>
        <w:fldChar w:fldCharType="separate"/>
      </w:r>
      <w:r>
        <w:t>41</w:t>
      </w:r>
      <w:r>
        <w:fldChar w:fldCharType="end"/>
      </w:r>
      <w:r>
        <w:rPr>
          <w:rFonts w:ascii="黑体" w:eastAsia="黑体"/>
          <w:szCs w:val="32"/>
        </w:rPr>
        <w:fldChar w:fldCharType="end"/>
      </w:r>
    </w:p>
    <w:p w14:paraId="0FFFBF45">
      <w:pPr>
        <w:widowControl/>
        <w:jc w:val="left"/>
        <w:rPr>
          <w:rFonts w:ascii="黑体" w:eastAsia="黑体"/>
          <w:sz w:val="32"/>
          <w:szCs w:val="32"/>
        </w:rPr>
      </w:pPr>
      <w:r>
        <w:rPr>
          <w:rFonts w:ascii="黑体" w:eastAsia="黑体"/>
          <w:szCs w:val="32"/>
        </w:rPr>
        <w:fldChar w:fldCharType="end"/>
      </w:r>
    </w:p>
    <w:p w14:paraId="01482278">
      <w:pPr>
        <w:widowControl/>
        <w:jc w:val="left"/>
        <w:rPr>
          <w:rFonts w:ascii="黑体" w:eastAsia="黑体"/>
          <w:sz w:val="32"/>
          <w:szCs w:val="32"/>
        </w:rPr>
      </w:pPr>
    </w:p>
    <w:p w14:paraId="54E251A4">
      <w:pPr>
        <w:widowControl/>
        <w:jc w:val="left"/>
        <w:rPr>
          <w:rFonts w:ascii="黑体" w:eastAsia="黑体"/>
          <w:sz w:val="32"/>
          <w:szCs w:val="32"/>
        </w:rPr>
      </w:pPr>
    </w:p>
    <w:p w14:paraId="117FF087">
      <w:pPr>
        <w:widowControl/>
        <w:jc w:val="left"/>
        <w:rPr>
          <w:rFonts w:ascii="黑体" w:eastAsia="黑体"/>
          <w:sz w:val="32"/>
          <w:szCs w:val="32"/>
        </w:rPr>
      </w:pPr>
    </w:p>
    <w:p w14:paraId="4541A035">
      <w:pPr>
        <w:widowControl/>
        <w:jc w:val="left"/>
        <w:rPr>
          <w:rFonts w:ascii="黑体" w:eastAsia="黑体"/>
          <w:sz w:val="32"/>
          <w:szCs w:val="32"/>
        </w:rPr>
      </w:pPr>
    </w:p>
    <w:p w14:paraId="012B5B7C">
      <w:pPr>
        <w:widowControl/>
        <w:jc w:val="left"/>
        <w:rPr>
          <w:rFonts w:ascii="黑体" w:eastAsia="黑体"/>
          <w:sz w:val="32"/>
          <w:szCs w:val="32"/>
        </w:rPr>
      </w:pPr>
    </w:p>
    <w:p w14:paraId="39377957">
      <w:pPr>
        <w:pStyle w:val="12"/>
        <w:ind w:firstLine="448"/>
        <w:rPr>
          <w:rFonts w:ascii="黑体" w:eastAsia="黑体"/>
          <w:sz w:val="32"/>
          <w:szCs w:val="32"/>
        </w:rPr>
      </w:pPr>
    </w:p>
    <w:p w14:paraId="6E14A515">
      <w:pPr>
        <w:pStyle w:val="12"/>
        <w:ind w:firstLine="448"/>
        <w:rPr>
          <w:rFonts w:ascii="黑体" w:eastAsia="黑体"/>
          <w:sz w:val="32"/>
          <w:szCs w:val="32"/>
        </w:rPr>
      </w:pPr>
    </w:p>
    <w:p w14:paraId="5C103020">
      <w:pPr>
        <w:pStyle w:val="12"/>
        <w:ind w:firstLine="448"/>
        <w:rPr>
          <w:rFonts w:ascii="黑体" w:eastAsia="黑体"/>
          <w:sz w:val="32"/>
          <w:szCs w:val="32"/>
        </w:rPr>
      </w:pPr>
    </w:p>
    <w:p w14:paraId="745AF832">
      <w:pPr>
        <w:pStyle w:val="12"/>
        <w:ind w:firstLine="448"/>
        <w:rPr>
          <w:rFonts w:ascii="黑体" w:eastAsia="黑体"/>
          <w:sz w:val="32"/>
          <w:szCs w:val="32"/>
        </w:rPr>
      </w:pPr>
    </w:p>
    <w:p w14:paraId="2C5D7237">
      <w:pPr>
        <w:pStyle w:val="12"/>
        <w:ind w:firstLine="448"/>
        <w:rPr>
          <w:rFonts w:ascii="黑体" w:eastAsia="黑体"/>
          <w:sz w:val="32"/>
          <w:szCs w:val="32"/>
        </w:rPr>
      </w:pPr>
    </w:p>
    <w:p w14:paraId="70272067">
      <w:pPr>
        <w:widowControl/>
        <w:jc w:val="left"/>
        <w:rPr>
          <w:rFonts w:ascii="黑体" w:eastAsia="黑体"/>
          <w:sz w:val="32"/>
          <w:szCs w:val="32"/>
        </w:rPr>
      </w:pPr>
    </w:p>
    <w:p w14:paraId="05C2ADDB">
      <w:pPr>
        <w:pStyle w:val="2"/>
        <w:jc w:val="center"/>
        <w:rPr>
          <w:rFonts w:ascii="黑体"/>
          <w:sz w:val="32"/>
          <w:szCs w:val="32"/>
        </w:rPr>
      </w:pPr>
      <w:bookmarkStart w:id="6" w:name="_Toc13200"/>
      <w:r>
        <w:rPr>
          <w:rFonts w:hint="eastAsia" w:ascii="黑体" w:eastAsia="黑体"/>
          <w:sz w:val="32"/>
          <w:szCs w:val="32"/>
        </w:rPr>
        <w:t>第一章投标</w:t>
      </w:r>
      <w:bookmarkEnd w:id="0"/>
      <w:bookmarkEnd w:id="1"/>
      <w:bookmarkEnd w:id="2"/>
      <w:bookmarkEnd w:id="3"/>
      <w:bookmarkEnd w:id="4"/>
      <w:bookmarkEnd w:id="5"/>
      <w:r>
        <w:rPr>
          <w:rFonts w:hint="eastAsia" w:ascii="黑体" w:eastAsia="黑体"/>
          <w:sz w:val="32"/>
          <w:szCs w:val="32"/>
        </w:rPr>
        <w:t>人须知</w:t>
      </w:r>
      <w:bookmarkEnd w:id="6"/>
    </w:p>
    <w:p w14:paraId="01F43B64">
      <w:pPr>
        <w:pStyle w:val="7"/>
        <w:spacing w:line="360" w:lineRule="auto"/>
        <w:jc w:val="both"/>
        <w:rPr>
          <w:rFonts w:hAnsi="宋体"/>
          <w:sz w:val="24"/>
          <w:szCs w:val="24"/>
        </w:rPr>
      </w:pPr>
      <w:bookmarkStart w:id="7" w:name="_Toc236803064"/>
      <w:bookmarkStart w:id="8" w:name="_Toc375817682"/>
      <w:r>
        <w:rPr>
          <w:rFonts w:hint="eastAsia" w:hAnsi="宋体"/>
          <w:sz w:val="24"/>
          <w:szCs w:val="24"/>
        </w:rPr>
        <w:t>日期</w:t>
      </w:r>
      <w:r>
        <w:rPr>
          <w:rFonts w:hint="eastAsia" w:hAnsi="宋体"/>
          <w:sz w:val="24"/>
          <w:szCs w:val="24"/>
          <w:lang w:eastAsia="zh-CN"/>
        </w:rPr>
        <w:t>：</w:t>
      </w:r>
      <w:r>
        <w:rPr>
          <w:rFonts w:hAnsi="宋体"/>
          <w:sz w:val="24"/>
          <w:szCs w:val="24"/>
        </w:rPr>
        <w:t>20</w:t>
      </w:r>
      <w:r>
        <w:rPr>
          <w:rFonts w:hint="eastAsia" w:hAnsi="宋体"/>
          <w:sz w:val="24"/>
          <w:szCs w:val="24"/>
        </w:rPr>
        <w:t>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p>
    <w:p w14:paraId="5ECCFCF5">
      <w:pPr>
        <w:spacing w:line="360" w:lineRule="auto"/>
        <w:jc w:val="left"/>
        <w:rPr>
          <w:rFonts w:ascii="宋体" w:hAnsi="宋体"/>
          <w:sz w:val="24"/>
          <w:szCs w:val="24"/>
        </w:rPr>
      </w:pPr>
      <w:r>
        <w:rPr>
          <w:rFonts w:hint="eastAsia" w:ascii="宋体" w:hAnsi="宋体"/>
          <w:sz w:val="24"/>
          <w:szCs w:val="24"/>
        </w:rPr>
        <w:t>项目编号：</w:t>
      </w:r>
    </w:p>
    <w:p w14:paraId="7A3760C6">
      <w:pPr>
        <w:spacing w:line="360" w:lineRule="auto"/>
        <w:ind w:firstLine="480" w:firstLineChars="200"/>
        <w:jc w:val="left"/>
        <w:rPr>
          <w:rFonts w:ascii="宋体" w:hAnsi="宋体"/>
          <w:sz w:val="24"/>
          <w:szCs w:val="24"/>
        </w:rPr>
      </w:pPr>
      <w:r>
        <w:rPr>
          <w:rFonts w:hint="eastAsia" w:ascii="宋体" w:hAnsi="宋体"/>
          <w:sz w:val="24"/>
          <w:szCs w:val="24"/>
        </w:rPr>
        <w:t>深圳市深环绿盾环保科技有限公司（以下简称招标方）根据相关法规的规定，现就</w:t>
      </w:r>
      <w:r>
        <w:rPr>
          <w:rFonts w:hint="eastAsia" w:ascii="宋体" w:hAnsi="宋体" w:eastAsia="宋体" w:cs="宋体"/>
          <w:color w:val="auto"/>
          <w:sz w:val="24"/>
          <w:szCs w:val="24"/>
          <w:lang w:val="en-US" w:eastAsia="zh-CN"/>
        </w:rPr>
        <w:t>采购2026年度医疗废物周转桶</w:t>
      </w:r>
      <w:r>
        <w:rPr>
          <w:rFonts w:hint="eastAsia" w:ascii="宋体" w:hAnsi="宋体"/>
          <w:sz w:val="24"/>
          <w:szCs w:val="24"/>
        </w:rPr>
        <w:t>采取自行公开招标，择优选定供应商</w:t>
      </w:r>
      <w:r>
        <w:rPr>
          <w:rFonts w:hint="eastAsia" w:ascii="宋体" w:hAnsi="宋体"/>
          <w:sz w:val="24"/>
          <w:szCs w:val="24"/>
          <w:lang w:eastAsia="zh-CN"/>
        </w:rPr>
        <w:t>，</w:t>
      </w:r>
      <w:r>
        <w:rPr>
          <w:rFonts w:hint="eastAsia" w:ascii="宋体" w:hAnsi="宋体"/>
          <w:sz w:val="24"/>
          <w:szCs w:val="24"/>
        </w:rPr>
        <w:t>下列货物提交密封投标：</w:t>
      </w:r>
    </w:p>
    <w:tbl>
      <w:tblPr>
        <w:tblStyle w:val="21"/>
        <w:tblW w:w="9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1"/>
        <w:gridCol w:w="6345"/>
      </w:tblGrid>
      <w:tr w14:paraId="71F8C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831" w:type="dxa"/>
            <w:shd w:val="clear" w:color="auto" w:fill="auto"/>
            <w:vAlign w:val="center"/>
          </w:tcPr>
          <w:p w14:paraId="40CC5BC5">
            <w:pPr>
              <w:adjustRightInd w:val="0"/>
              <w:snapToGrid w:val="0"/>
              <w:jc w:val="center"/>
              <w:rPr>
                <w:bCs/>
                <w:sz w:val="24"/>
                <w:szCs w:val="24"/>
              </w:rPr>
            </w:pPr>
            <w:r>
              <w:rPr>
                <w:bCs/>
                <w:sz w:val="24"/>
                <w:szCs w:val="24"/>
              </w:rPr>
              <w:t>公告</w:t>
            </w:r>
            <w:r>
              <w:rPr>
                <w:rFonts w:hint="eastAsia"/>
                <w:bCs/>
                <w:sz w:val="24"/>
                <w:szCs w:val="24"/>
              </w:rPr>
              <w:t>日期</w:t>
            </w:r>
          </w:p>
        </w:tc>
        <w:tc>
          <w:tcPr>
            <w:tcW w:w="6345" w:type="dxa"/>
            <w:shd w:val="clear" w:color="auto" w:fill="auto"/>
            <w:vAlign w:val="center"/>
          </w:tcPr>
          <w:p w14:paraId="22D168B1">
            <w:pPr>
              <w:adjustRightInd w:val="0"/>
              <w:snapToGrid w:val="0"/>
              <w:jc w:val="left"/>
              <w:rPr>
                <w:bCs/>
                <w:sz w:val="24"/>
                <w:szCs w:val="24"/>
                <w:u w:val="single"/>
              </w:rPr>
            </w:pPr>
            <w:r>
              <w:rPr>
                <w:rFonts w:hint="eastAsia"/>
                <w:bCs/>
                <w:sz w:val="24"/>
                <w:szCs w:val="24"/>
              </w:rPr>
              <w:t>2026</w:t>
            </w:r>
            <w:r>
              <w:rPr>
                <w:bCs/>
                <w:sz w:val="24"/>
                <w:szCs w:val="24"/>
              </w:rPr>
              <w:t>年</w:t>
            </w:r>
            <w:r>
              <w:rPr>
                <w:rFonts w:hint="eastAsia"/>
                <w:bCs/>
                <w:sz w:val="24"/>
                <w:szCs w:val="24"/>
                <w:lang w:val="en-US" w:eastAsia="zh-CN"/>
              </w:rPr>
              <w:t xml:space="preserve"> 7</w:t>
            </w:r>
            <w:r>
              <w:rPr>
                <w:bCs/>
                <w:sz w:val="24"/>
                <w:szCs w:val="24"/>
              </w:rPr>
              <w:t>月</w:t>
            </w:r>
            <w:r>
              <w:rPr>
                <w:rFonts w:hint="eastAsia"/>
                <w:bCs/>
                <w:sz w:val="24"/>
                <w:szCs w:val="24"/>
                <w:lang w:val="en-US" w:eastAsia="zh-CN"/>
              </w:rPr>
              <w:t xml:space="preserve"> 10 </w:t>
            </w:r>
            <w:r>
              <w:rPr>
                <w:bCs/>
                <w:sz w:val="24"/>
                <w:szCs w:val="24"/>
                <w:highlight w:val="none"/>
              </w:rPr>
              <w:t>日</w:t>
            </w:r>
          </w:p>
        </w:tc>
      </w:tr>
      <w:tr w14:paraId="6F94F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exact"/>
          <w:jc w:val="center"/>
        </w:trPr>
        <w:tc>
          <w:tcPr>
            <w:tcW w:w="2831" w:type="dxa"/>
            <w:shd w:val="clear" w:color="auto" w:fill="auto"/>
            <w:vAlign w:val="center"/>
          </w:tcPr>
          <w:p w14:paraId="769E944F">
            <w:pPr>
              <w:adjustRightInd w:val="0"/>
              <w:snapToGrid w:val="0"/>
              <w:jc w:val="center"/>
              <w:rPr>
                <w:bCs/>
                <w:sz w:val="24"/>
                <w:szCs w:val="24"/>
              </w:rPr>
            </w:pPr>
            <w:r>
              <w:rPr>
                <w:rFonts w:hint="eastAsia"/>
                <w:bCs/>
                <w:sz w:val="24"/>
                <w:szCs w:val="24"/>
              </w:rPr>
              <w:t>项目</w:t>
            </w:r>
            <w:r>
              <w:rPr>
                <w:bCs/>
                <w:sz w:val="24"/>
                <w:szCs w:val="24"/>
              </w:rPr>
              <w:t>编号</w:t>
            </w:r>
          </w:p>
        </w:tc>
        <w:tc>
          <w:tcPr>
            <w:tcW w:w="6345" w:type="dxa"/>
            <w:shd w:val="clear" w:color="auto" w:fill="auto"/>
            <w:vAlign w:val="center"/>
          </w:tcPr>
          <w:p w14:paraId="39C8AB65">
            <w:pPr>
              <w:adjustRightInd w:val="0"/>
              <w:snapToGrid w:val="0"/>
              <w:jc w:val="left"/>
              <w:rPr>
                <w:rFonts w:ascii="微软雅黑" w:hAnsi="微软雅黑" w:eastAsia="微软雅黑" w:cs="微软雅黑"/>
                <w:bCs/>
                <w:sz w:val="24"/>
                <w:szCs w:val="24"/>
                <w:shd w:val="clear" w:color="auto" w:fill="FEFEFE"/>
              </w:rPr>
            </w:pPr>
          </w:p>
        </w:tc>
      </w:tr>
      <w:tr w14:paraId="6AE16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exact"/>
          <w:jc w:val="center"/>
        </w:trPr>
        <w:tc>
          <w:tcPr>
            <w:tcW w:w="2831" w:type="dxa"/>
            <w:shd w:val="clear" w:color="auto" w:fill="auto"/>
            <w:vAlign w:val="center"/>
          </w:tcPr>
          <w:p w14:paraId="1DE217FA">
            <w:pPr>
              <w:adjustRightInd w:val="0"/>
              <w:snapToGrid w:val="0"/>
              <w:jc w:val="center"/>
              <w:rPr>
                <w:bCs/>
                <w:sz w:val="24"/>
                <w:szCs w:val="24"/>
              </w:rPr>
            </w:pPr>
            <w:r>
              <w:rPr>
                <w:rFonts w:hint="eastAsia"/>
                <w:bCs/>
                <w:sz w:val="24"/>
                <w:szCs w:val="24"/>
              </w:rPr>
              <w:t>项目</w:t>
            </w:r>
            <w:r>
              <w:rPr>
                <w:bCs/>
                <w:sz w:val="24"/>
                <w:szCs w:val="24"/>
              </w:rPr>
              <w:t>名称</w:t>
            </w:r>
          </w:p>
        </w:tc>
        <w:tc>
          <w:tcPr>
            <w:tcW w:w="6345" w:type="dxa"/>
            <w:shd w:val="clear" w:color="auto" w:fill="auto"/>
            <w:vAlign w:val="center"/>
          </w:tcPr>
          <w:p w14:paraId="0DB6250B">
            <w:pPr>
              <w:adjustRightInd w:val="0"/>
              <w:snapToGrid w:val="0"/>
              <w:jc w:val="left"/>
              <w:rPr>
                <w:rFonts w:eastAsia="微软雅黑"/>
                <w:bCs/>
                <w:sz w:val="24"/>
                <w:szCs w:val="24"/>
              </w:rPr>
            </w:pPr>
            <w:r>
              <w:rPr>
                <w:rFonts w:hint="eastAsia"/>
                <w:sz w:val="24"/>
                <w:szCs w:val="24"/>
                <w:lang w:val="en-US" w:eastAsia="zh-CN"/>
              </w:rPr>
              <w:t>2026年度</w:t>
            </w:r>
            <w:r>
              <w:rPr>
                <w:rFonts w:hint="eastAsia" w:ascii="宋体" w:hAnsi="宋体" w:eastAsia="宋体" w:cs="宋体"/>
                <w:color w:val="auto"/>
                <w:sz w:val="24"/>
                <w:szCs w:val="24"/>
                <w:lang w:val="en-US" w:eastAsia="zh-CN"/>
              </w:rPr>
              <w:t>医疗废物周转桶</w:t>
            </w:r>
            <w:r>
              <w:rPr>
                <w:rFonts w:hint="eastAsia"/>
                <w:sz w:val="24"/>
                <w:szCs w:val="24"/>
                <w:lang w:val="en-US" w:eastAsia="zh-CN"/>
              </w:rPr>
              <w:t>采购项目</w:t>
            </w:r>
          </w:p>
        </w:tc>
      </w:tr>
      <w:tr w14:paraId="7B98E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2831" w:type="dxa"/>
            <w:shd w:val="clear" w:color="auto" w:fill="auto"/>
            <w:vAlign w:val="center"/>
          </w:tcPr>
          <w:p w14:paraId="0DFCDACE">
            <w:pPr>
              <w:adjustRightInd w:val="0"/>
              <w:snapToGrid w:val="0"/>
              <w:jc w:val="center"/>
              <w:rPr>
                <w:bCs/>
                <w:sz w:val="24"/>
                <w:szCs w:val="24"/>
              </w:rPr>
            </w:pPr>
            <w:r>
              <w:rPr>
                <w:rFonts w:hint="eastAsia"/>
                <w:bCs/>
                <w:sz w:val="24"/>
                <w:szCs w:val="24"/>
              </w:rPr>
              <w:t>项目类别</w:t>
            </w:r>
          </w:p>
        </w:tc>
        <w:tc>
          <w:tcPr>
            <w:tcW w:w="6345" w:type="dxa"/>
            <w:shd w:val="clear" w:color="auto" w:fill="auto"/>
            <w:vAlign w:val="center"/>
          </w:tcPr>
          <w:p w14:paraId="77903A95">
            <w:pPr>
              <w:adjustRightInd w:val="0"/>
              <w:snapToGrid w:val="0"/>
              <w:jc w:val="left"/>
              <w:rPr>
                <w:bCs/>
                <w:sz w:val="24"/>
                <w:szCs w:val="24"/>
              </w:rPr>
            </w:pPr>
            <w:r>
              <w:rPr>
                <w:rFonts w:hint="eastAsia"/>
                <w:bCs/>
                <w:sz w:val="24"/>
                <w:szCs w:val="24"/>
              </w:rPr>
              <w:t>货物类</w:t>
            </w:r>
          </w:p>
        </w:tc>
      </w:tr>
      <w:tr w14:paraId="395BB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831" w:type="dxa"/>
            <w:shd w:val="clear" w:color="auto" w:fill="auto"/>
            <w:vAlign w:val="center"/>
          </w:tcPr>
          <w:p w14:paraId="2FB918F5">
            <w:pPr>
              <w:adjustRightInd w:val="0"/>
              <w:snapToGrid w:val="0"/>
              <w:jc w:val="center"/>
              <w:rPr>
                <w:b/>
                <w:snapToGrid w:val="0"/>
                <w:sz w:val="24"/>
                <w:szCs w:val="24"/>
              </w:rPr>
            </w:pPr>
            <w:r>
              <w:rPr>
                <w:rFonts w:hint="eastAsia"/>
                <w:sz w:val="24"/>
                <w:szCs w:val="24"/>
              </w:rPr>
              <w:t>服务地点</w:t>
            </w:r>
          </w:p>
        </w:tc>
        <w:tc>
          <w:tcPr>
            <w:tcW w:w="6345" w:type="dxa"/>
            <w:shd w:val="clear" w:color="auto" w:fill="auto"/>
            <w:vAlign w:val="center"/>
          </w:tcPr>
          <w:p w14:paraId="33386A0B">
            <w:pPr>
              <w:adjustRightInd w:val="0"/>
              <w:snapToGrid w:val="0"/>
              <w:jc w:val="left"/>
              <w:rPr>
                <w:snapToGrid w:val="0"/>
                <w:sz w:val="24"/>
                <w:szCs w:val="24"/>
              </w:rPr>
            </w:pPr>
            <w:r>
              <w:rPr>
                <w:rFonts w:hint="eastAsia"/>
                <w:sz w:val="24"/>
                <w:szCs w:val="24"/>
              </w:rPr>
              <w:t>深圳市龙岗区龙岗街道龙岭南路64号</w:t>
            </w:r>
          </w:p>
        </w:tc>
      </w:tr>
      <w:tr w14:paraId="319BE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2831" w:type="dxa"/>
            <w:shd w:val="clear" w:color="auto" w:fill="auto"/>
            <w:vAlign w:val="center"/>
          </w:tcPr>
          <w:p w14:paraId="5B636895">
            <w:pPr>
              <w:adjustRightInd w:val="0"/>
              <w:snapToGrid w:val="0"/>
              <w:jc w:val="center"/>
              <w:rPr>
                <w:sz w:val="24"/>
                <w:szCs w:val="24"/>
              </w:rPr>
            </w:pPr>
            <w:r>
              <w:rPr>
                <w:rFonts w:hint="eastAsia"/>
                <w:sz w:val="24"/>
                <w:szCs w:val="24"/>
              </w:rPr>
              <w:t>服务期</w:t>
            </w:r>
          </w:p>
        </w:tc>
        <w:tc>
          <w:tcPr>
            <w:tcW w:w="6345" w:type="dxa"/>
            <w:shd w:val="clear" w:color="auto" w:fill="auto"/>
            <w:vAlign w:val="center"/>
          </w:tcPr>
          <w:p w14:paraId="4051092F">
            <w:pPr>
              <w:adjustRightInd w:val="0"/>
              <w:snapToGrid w:val="0"/>
              <w:jc w:val="left"/>
              <w:rPr>
                <w:sz w:val="24"/>
                <w:szCs w:val="24"/>
              </w:rPr>
            </w:pPr>
            <w:r>
              <w:rPr>
                <w:bCs/>
                <w:sz w:val="24"/>
                <w:szCs w:val="24"/>
              </w:rPr>
              <w:t>产品</w:t>
            </w:r>
            <w:r>
              <w:rPr>
                <w:rFonts w:hint="eastAsia"/>
                <w:bCs/>
                <w:sz w:val="24"/>
                <w:szCs w:val="24"/>
              </w:rPr>
              <w:t>自</w:t>
            </w:r>
            <w:r>
              <w:rPr>
                <w:bCs/>
                <w:sz w:val="24"/>
                <w:szCs w:val="24"/>
              </w:rPr>
              <w:t>合格验收之日起享</w:t>
            </w:r>
            <w:r>
              <w:rPr>
                <w:rFonts w:hint="eastAsia"/>
                <w:bCs/>
                <w:sz w:val="24"/>
                <w:szCs w:val="24"/>
              </w:rPr>
              <w:t>受一</w:t>
            </w:r>
            <w:r>
              <w:rPr>
                <w:bCs/>
                <w:sz w:val="24"/>
                <w:szCs w:val="24"/>
              </w:rPr>
              <w:t>年</w:t>
            </w:r>
            <w:r>
              <w:rPr>
                <w:rFonts w:hint="eastAsia"/>
                <w:bCs/>
                <w:sz w:val="24"/>
                <w:szCs w:val="24"/>
              </w:rPr>
              <w:t>的</w:t>
            </w:r>
            <w:r>
              <w:rPr>
                <w:bCs/>
                <w:sz w:val="24"/>
                <w:szCs w:val="24"/>
              </w:rPr>
              <w:t>质保</w:t>
            </w:r>
            <w:r>
              <w:rPr>
                <w:rFonts w:hint="eastAsia"/>
                <w:bCs/>
                <w:sz w:val="24"/>
                <w:szCs w:val="24"/>
              </w:rPr>
              <w:t>期</w:t>
            </w:r>
            <w:r>
              <w:rPr>
                <w:bCs/>
                <w:sz w:val="24"/>
                <w:szCs w:val="24"/>
              </w:rPr>
              <w:t>，</w:t>
            </w:r>
            <w:r>
              <w:rPr>
                <w:rFonts w:hint="eastAsia"/>
                <w:bCs/>
                <w:sz w:val="24"/>
                <w:szCs w:val="24"/>
              </w:rPr>
              <w:t>并提供优惠的后期维保方案。</w:t>
            </w:r>
            <w:r>
              <w:rPr>
                <w:bCs/>
                <w:sz w:val="24"/>
                <w:szCs w:val="24"/>
              </w:rPr>
              <w:t>质保期内产品出现质量问题，</w:t>
            </w:r>
            <w:r>
              <w:rPr>
                <w:rFonts w:hint="eastAsia"/>
                <w:bCs/>
                <w:sz w:val="24"/>
                <w:szCs w:val="24"/>
              </w:rPr>
              <w:t>中标</w:t>
            </w:r>
            <w:r>
              <w:rPr>
                <w:bCs/>
                <w:sz w:val="24"/>
                <w:szCs w:val="24"/>
              </w:rPr>
              <w:t>方应负责免费</w:t>
            </w:r>
            <w:r>
              <w:rPr>
                <w:rFonts w:hint="eastAsia"/>
                <w:bCs/>
                <w:color w:val="auto"/>
                <w:sz w:val="24"/>
                <w:szCs w:val="24"/>
                <w:lang w:val="en-US" w:eastAsia="zh-CN"/>
              </w:rPr>
              <w:t>更换及</w:t>
            </w:r>
            <w:r>
              <w:rPr>
                <w:bCs/>
                <w:color w:val="auto"/>
                <w:sz w:val="24"/>
                <w:szCs w:val="24"/>
              </w:rPr>
              <w:t>维修。</w:t>
            </w:r>
          </w:p>
        </w:tc>
      </w:tr>
      <w:tr w14:paraId="66F5B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831" w:type="dxa"/>
            <w:shd w:val="clear" w:color="auto" w:fill="auto"/>
            <w:vAlign w:val="center"/>
          </w:tcPr>
          <w:p w14:paraId="1F81D0DB">
            <w:pPr>
              <w:adjustRightInd w:val="0"/>
              <w:snapToGrid w:val="0"/>
              <w:jc w:val="center"/>
              <w:rPr>
                <w:sz w:val="24"/>
                <w:szCs w:val="24"/>
              </w:rPr>
            </w:pPr>
            <w:r>
              <w:rPr>
                <w:rFonts w:hint="eastAsia"/>
                <w:sz w:val="24"/>
                <w:szCs w:val="24"/>
              </w:rPr>
              <w:t>投标人资格要求</w:t>
            </w:r>
          </w:p>
        </w:tc>
        <w:tc>
          <w:tcPr>
            <w:tcW w:w="6345" w:type="dxa"/>
            <w:shd w:val="clear" w:color="auto" w:fill="auto"/>
            <w:vAlign w:val="center"/>
          </w:tcPr>
          <w:p w14:paraId="67EBA9A7">
            <w:pPr>
              <w:adjustRightInd w:val="0"/>
              <w:snapToGrid w:val="0"/>
              <w:jc w:val="left"/>
              <w:rPr>
                <w:sz w:val="24"/>
                <w:szCs w:val="24"/>
              </w:rPr>
            </w:pPr>
            <w:r>
              <w:rPr>
                <w:rFonts w:hint="eastAsia"/>
                <w:sz w:val="24"/>
                <w:szCs w:val="24"/>
                <w:lang w:eastAsia="zh-CN"/>
              </w:rPr>
              <w:t>1.</w:t>
            </w:r>
            <w:r>
              <w:rPr>
                <w:rFonts w:hint="eastAsia"/>
                <w:sz w:val="24"/>
                <w:szCs w:val="24"/>
              </w:rPr>
              <w:t>投标人法人代表证明书及身份证复印件。</w:t>
            </w:r>
          </w:p>
          <w:p w14:paraId="41231DA6">
            <w:pPr>
              <w:adjustRightInd w:val="0"/>
              <w:snapToGrid w:val="0"/>
              <w:jc w:val="left"/>
              <w:rPr>
                <w:sz w:val="24"/>
                <w:szCs w:val="24"/>
              </w:rPr>
            </w:pPr>
            <w:r>
              <w:rPr>
                <w:rFonts w:hint="eastAsia"/>
                <w:sz w:val="24"/>
                <w:szCs w:val="24"/>
                <w:lang w:eastAsia="zh-CN"/>
              </w:rPr>
              <w:t>2.</w:t>
            </w:r>
            <w:r>
              <w:rPr>
                <w:rFonts w:hint="eastAsia"/>
                <w:sz w:val="24"/>
                <w:szCs w:val="24"/>
              </w:rPr>
              <w:t>投标人法人代表授权书及被授权人身份证复印件。</w:t>
            </w:r>
          </w:p>
          <w:p w14:paraId="66BACC8B">
            <w:pPr>
              <w:adjustRightInd w:val="0"/>
              <w:snapToGrid w:val="0"/>
              <w:jc w:val="left"/>
              <w:rPr>
                <w:sz w:val="24"/>
                <w:szCs w:val="24"/>
              </w:rPr>
            </w:pPr>
            <w:r>
              <w:rPr>
                <w:rFonts w:hint="eastAsia"/>
                <w:sz w:val="24"/>
                <w:szCs w:val="24"/>
                <w:lang w:eastAsia="zh-CN"/>
              </w:rPr>
              <w:t>3.</w:t>
            </w:r>
            <w:r>
              <w:rPr>
                <w:rFonts w:hint="eastAsia"/>
                <w:sz w:val="24"/>
                <w:szCs w:val="24"/>
              </w:rPr>
              <w:t>投标人必须是在中华人民共和国境内注册并合法运作的独立法人机构或在深圳市依法设立并领取营业执照的分支机构，</w:t>
            </w:r>
            <w:r>
              <w:rPr>
                <w:rFonts w:hint="eastAsia"/>
                <w:sz w:val="24"/>
                <w:szCs w:val="24"/>
                <w:lang w:val="en-US" w:eastAsia="zh-CN"/>
              </w:rPr>
              <w:t>是</w:t>
            </w:r>
            <w:r>
              <w:rPr>
                <w:rFonts w:hint="eastAsia" w:ascii="宋体" w:hAnsi="宋体" w:eastAsia="宋体" w:cs="宋体"/>
                <w:color w:val="auto"/>
                <w:sz w:val="24"/>
                <w:szCs w:val="24"/>
                <w:lang w:val="en-US" w:eastAsia="zh-CN"/>
              </w:rPr>
              <w:t>医疗废物周转桶制造商或其</w:t>
            </w:r>
            <w:r>
              <w:rPr>
                <w:rFonts w:hint="eastAsia"/>
                <w:sz w:val="24"/>
                <w:szCs w:val="24"/>
              </w:rPr>
              <w:t>授权代理商</w:t>
            </w:r>
            <w:r>
              <w:rPr>
                <w:rFonts w:hint="eastAsia"/>
                <w:sz w:val="24"/>
                <w:szCs w:val="24"/>
                <w:lang w:val="en-US" w:eastAsia="zh-CN"/>
              </w:rPr>
              <w:t>的</w:t>
            </w:r>
            <w:r>
              <w:rPr>
                <w:rFonts w:hint="eastAsia"/>
                <w:sz w:val="24"/>
                <w:szCs w:val="24"/>
              </w:rPr>
              <w:t>（投标人需提供营业执照，代理商需提供授权证明文件）。</w:t>
            </w:r>
          </w:p>
          <w:p w14:paraId="5C81CDBE">
            <w:pPr>
              <w:adjustRightInd w:val="0"/>
              <w:snapToGrid w:val="0"/>
              <w:jc w:val="left"/>
              <w:rPr>
                <w:sz w:val="24"/>
                <w:szCs w:val="24"/>
              </w:rPr>
            </w:pPr>
            <w:r>
              <w:rPr>
                <w:rFonts w:hint="eastAsia"/>
                <w:sz w:val="24"/>
                <w:szCs w:val="24"/>
                <w:lang w:eastAsia="zh-CN"/>
              </w:rPr>
              <w:t>4.</w:t>
            </w:r>
            <w:r>
              <w:rPr>
                <w:rFonts w:hint="eastAsia"/>
                <w:sz w:val="24"/>
                <w:szCs w:val="24"/>
              </w:rPr>
              <w:t>本项目不接受联合体投标。</w:t>
            </w:r>
          </w:p>
        </w:tc>
      </w:tr>
      <w:tr w14:paraId="22A1D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831" w:type="dxa"/>
            <w:shd w:val="clear" w:color="auto" w:fill="auto"/>
            <w:vAlign w:val="center"/>
          </w:tcPr>
          <w:p w14:paraId="1FA06D68">
            <w:pPr>
              <w:topLinePunct/>
              <w:adjustRightInd w:val="0"/>
              <w:snapToGrid w:val="0"/>
              <w:spacing w:line="276" w:lineRule="auto"/>
              <w:jc w:val="center"/>
              <w:rPr>
                <w:sz w:val="24"/>
                <w:szCs w:val="24"/>
              </w:rPr>
            </w:pPr>
            <w:r>
              <w:rPr>
                <w:rFonts w:hint="eastAsia"/>
                <w:kern w:val="0"/>
                <w:sz w:val="24"/>
                <w:szCs w:val="24"/>
              </w:rPr>
              <w:t>招标控制价</w:t>
            </w:r>
          </w:p>
        </w:tc>
        <w:tc>
          <w:tcPr>
            <w:tcW w:w="6345" w:type="dxa"/>
            <w:shd w:val="clear" w:color="auto" w:fill="auto"/>
            <w:vAlign w:val="center"/>
          </w:tcPr>
          <w:p w14:paraId="4DE40AFC">
            <w:pPr>
              <w:adjustRightInd w:val="0"/>
              <w:snapToGrid w:val="0"/>
              <w:jc w:val="left"/>
              <w:rPr>
                <w:sz w:val="24"/>
                <w:szCs w:val="24"/>
              </w:rPr>
            </w:pPr>
            <w:r>
              <w:rPr>
                <w:rFonts w:hint="eastAsia"/>
                <w:sz w:val="24"/>
                <w:szCs w:val="24"/>
              </w:rPr>
              <w:t>本项目总控制金额为人民币</w:t>
            </w:r>
            <w:r>
              <w:rPr>
                <w:rFonts w:hint="eastAsia"/>
                <w:sz w:val="24"/>
                <w:szCs w:val="24"/>
                <w:lang w:val="en-US" w:eastAsia="zh-CN"/>
              </w:rPr>
              <w:t>96</w:t>
            </w:r>
            <w:r>
              <w:rPr>
                <w:rFonts w:hint="eastAsia"/>
                <w:sz w:val="24"/>
                <w:szCs w:val="24"/>
              </w:rPr>
              <w:t>.00万元（此金额含</w:t>
            </w:r>
            <w:r>
              <w:rPr>
                <w:sz w:val="24"/>
                <w:szCs w:val="24"/>
              </w:rPr>
              <w:t>1</w:t>
            </w:r>
            <w:r>
              <w:rPr>
                <w:rFonts w:hint="eastAsia"/>
                <w:sz w:val="24"/>
                <w:szCs w:val="24"/>
              </w:rPr>
              <w:t>3</w:t>
            </w:r>
            <w:r>
              <w:rPr>
                <w:sz w:val="24"/>
                <w:szCs w:val="24"/>
              </w:rPr>
              <w:t>%</w:t>
            </w:r>
            <w:r>
              <w:rPr>
                <w:rFonts w:hint="eastAsia"/>
                <w:sz w:val="24"/>
                <w:szCs w:val="24"/>
              </w:rPr>
              <w:t>的增值税），超过预算金额的报价将导致废标。</w:t>
            </w:r>
          </w:p>
        </w:tc>
      </w:tr>
      <w:tr w14:paraId="17846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831" w:type="dxa"/>
            <w:shd w:val="clear" w:color="auto" w:fill="auto"/>
            <w:vAlign w:val="center"/>
          </w:tcPr>
          <w:p w14:paraId="689E2BD8">
            <w:pPr>
              <w:topLinePunct/>
              <w:adjustRightInd w:val="0"/>
              <w:snapToGrid w:val="0"/>
              <w:spacing w:line="276" w:lineRule="auto"/>
              <w:jc w:val="center"/>
              <w:rPr>
                <w:kern w:val="0"/>
                <w:sz w:val="24"/>
                <w:szCs w:val="24"/>
              </w:rPr>
            </w:pPr>
            <w:r>
              <w:rPr>
                <w:rFonts w:hint="eastAsia"/>
                <w:sz w:val="24"/>
                <w:szCs w:val="24"/>
              </w:rPr>
              <w:t>招标失败的后续处理办法</w:t>
            </w:r>
          </w:p>
        </w:tc>
        <w:tc>
          <w:tcPr>
            <w:tcW w:w="6345" w:type="dxa"/>
            <w:shd w:val="clear" w:color="auto" w:fill="auto"/>
            <w:vAlign w:val="center"/>
          </w:tcPr>
          <w:p w14:paraId="250282A3">
            <w:pPr>
              <w:adjustRightInd w:val="0"/>
              <w:snapToGrid w:val="0"/>
              <w:spacing w:line="276" w:lineRule="auto"/>
              <w:jc w:val="left"/>
              <w:rPr>
                <w:color w:val="auto"/>
                <w:sz w:val="24"/>
                <w:szCs w:val="24"/>
              </w:rPr>
            </w:pPr>
            <w:r>
              <w:rPr>
                <w:rFonts w:hint="eastAsia"/>
                <w:color w:val="auto"/>
                <w:sz w:val="24"/>
                <w:szCs w:val="24"/>
              </w:rPr>
              <w:t>若第一次采购公告报名截止时的投标人数量少于3家的</w:t>
            </w:r>
            <w:r>
              <w:rPr>
                <w:rFonts w:hint="eastAsia"/>
                <w:color w:val="auto"/>
                <w:sz w:val="24"/>
                <w:szCs w:val="24"/>
                <w:lang w:val="en-US" w:eastAsia="zh-CN"/>
              </w:rPr>
              <w:t>流标</w:t>
            </w:r>
            <w:r>
              <w:rPr>
                <w:rFonts w:hint="eastAsia"/>
                <w:color w:val="auto"/>
                <w:sz w:val="24"/>
                <w:szCs w:val="24"/>
              </w:rPr>
              <w:t>，重新发布二次采购公告。若二次采购公告报名截止时的投标人数量仍然少于3家的，分为以下两种情况：</w:t>
            </w:r>
          </w:p>
          <w:p w14:paraId="588629EC">
            <w:pPr>
              <w:adjustRightInd w:val="0"/>
              <w:snapToGrid w:val="0"/>
              <w:spacing w:line="276" w:lineRule="auto"/>
              <w:jc w:val="left"/>
              <w:rPr>
                <w:color w:val="auto"/>
                <w:sz w:val="24"/>
                <w:szCs w:val="24"/>
              </w:rPr>
            </w:pPr>
            <w:r>
              <w:rPr>
                <w:rFonts w:hint="eastAsia"/>
                <w:color w:val="auto"/>
                <w:sz w:val="24"/>
                <w:szCs w:val="24"/>
                <w:lang w:eastAsia="zh-CN"/>
              </w:rPr>
              <w:t>1.</w:t>
            </w:r>
            <w:r>
              <w:rPr>
                <w:rFonts w:hint="eastAsia"/>
                <w:color w:val="auto"/>
                <w:sz w:val="24"/>
                <w:szCs w:val="24"/>
              </w:rPr>
              <w:t>若合格投标人有2家的，可直接按采购文件中的评审方法对2家投标人进行评审，并确定中标候选人。</w:t>
            </w:r>
          </w:p>
          <w:p w14:paraId="6CC5CD6A">
            <w:pPr>
              <w:adjustRightInd w:val="0"/>
              <w:snapToGrid w:val="0"/>
              <w:jc w:val="left"/>
              <w:rPr>
                <w:sz w:val="24"/>
                <w:szCs w:val="24"/>
              </w:rPr>
            </w:pPr>
            <w:r>
              <w:rPr>
                <w:rFonts w:hint="eastAsia"/>
                <w:color w:val="auto"/>
                <w:sz w:val="24"/>
                <w:szCs w:val="24"/>
                <w:lang w:eastAsia="zh-CN"/>
              </w:rPr>
              <w:t>2.</w:t>
            </w:r>
            <w:r>
              <w:rPr>
                <w:rFonts w:hint="eastAsia"/>
                <w:color w:val="auto"/>
                <w:sz w:val="24"/>
                <w:szCs w:val="24"/>
              </w:rPr>
              <w:t>若合格投标人仅有1家的，可转单一来源谈判采购。</w:t>
            </w:r>
          </w:p>
        </w:tc>
      </w:tr>
    </w:tbl>
    <w:p w14:paraId="24DE3D18">
      <w:pPr>
        <w:pStyle w:val="12"/>
        <w:ind w:firstLine="336"/>
        <w:rPr>
          <w:sz w:val="24"/>
          <w:szCs w:val="24"/>
        </w:rPr>
      </w:pPr>
    </w:p>
    <w:p w14:paraId="36D24716">
      <w:pPr>
        <w:spacing w:beforeLines="50" w:line="360" w:lineRule="auto"/>
        <w:rPr>
          <w:rFonts w:hAnsi="宋体"/>
          <w:sz w:val="24"/>
          <w:szCs w:val="24"/>
        </w:rPr>
      </w:pPr>
    </w:p>
    <w:p w14:paraId="618B08A6">
      <w:pPr>
        <w:spacing w:beforeLines="50" w:line="360" w:lineRule="auto"/>
        <w:rPr>
          <w:rFonts w:hint="eastAsia" w:hAnsi="宋体"/>
          <w:sz w:val="24"/>
          <w:szCs w:val="24"/>
          <w:lang w:eastAsia="zh-CN"/>
        </w:rPr>
      </w:pPr>
    </w:p>
    <w:p w14:paraId="195BFCE0">
      <w:pPr>
        <w:spacing w:beforeLines="50" w:line="360" w:lineRule="auto"/>
        <w:rPr>
          <w:rFonts w:hint="eastAsia" w:hAnsi="宋体"/>
          <w:sz w:val="24"/>
          <w:szCs w:val="24"/>
          <w:lang w:eastAsia="zh-CN"/>
        </w:rPr>
      </w:pPr>
    </w:p>
    <w:p w14:paraId="3F8FB58E">
      <w:pPr>
        <w:spacing w:beforeLines="50" w:line="360" w:lineRule="auto"/>
        <w:rPr>
          <w:rFonts w:hAnsi="宋体"/>
          <w:sz w:val="24"/>
          <w:szCs w:val="24"/>
        </w:rPr>
      </w:pPr>
      <w:r>
        <w:rPr>
          <w:rFonts w:hint="eastAsia" w:hAnsi="宋体"/>
          <w:sz w:val="24"/>
          <w:szCs w:val="24"/>
          <w:lang w:eastAsia="zh-CN"/>
        </w:rPr>
        <w:t>1.</w:t>
      </w:r>
      <w:r>
        <w:rPr>
          <w:rFonts w:hint="eastAsia" w:hAnsi="宋体"/>
          <w:sz w:val="24"/>
          <w:szCs w:val="24"/>
        </w:rPr>
        <w:t>有意向的合格投标人可在深圳市深环绿盾环保科技有限公司得到进一步的信息。</w:t>
      </w:r>
    </w:p>
    <w:p w14:paraId="3EF67413">
      <w:pPr>
        <w:pStyle w:val="7"/>
        <w:spacing w:line="360" w:lineRule="auto"/>
        <w:ind w:left="360" w:hanging="360" w:hangingChars="150"/>
        <w:jc w:val="both"/>
        <w:rPr>
          <w:rFonts w:hAnsi="宋体"/>
          <w:sz w:val="24"/>
          <w:szCs w:val="24"/>
        </w:rPr>
      </w:pPr>
      <w:r>
        <w:rPr>
          <w:rFonts w:hint="eastAsia" w:hAnsi="宋体"/>
          <w:sz w:val="24"/>
          <w:szCs w:val="24"/>
          <w:lang w:eastAsia="zh-CN"/>
        </w:rPr>
        <w:t>2.</w:t>
      </w:r>
      <w:r>
        <w:rPr>
          <w:rFonts w:hint="eastAsia" w:hAnsi="宋体"/>
          <w:sz w:val="24"/>
          <w:szCs w:val="24"/>
        </w:rPr>
        <w:t>领取招标文件时间：</w:t>
      </w:r>
      <w:r>
        <w:rPr>
          <w:rFonts w:hAnsi="宋体"/>
          <w:sz w:val="24"/>
          <w:szCs w:val="24"/>
        </w:rPr>
        <w:t>20</w:t>
      </w:r>
      <w:r>
        <w:rPr>
          <w:rFonts w:hint="eastAsia" w:hAnsi="宋体"/>
          <w:sz w:val="24"/>
          <w:szCs w:val="24"/>
        </w:rPr>
        <w:t>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r>
        <w:rPr>
          <w:rFonts w:hint="eastAsia" w:hAnsi="宋体"/>
          <w:sz w:val="24"/>
          <w:szCs w:val="24"/>
          <w:lang w:val="en-US" w:eastAsia="zh-CN"/>
        </w:rPr>
        <w:t>14</w:t>
      </w:r>
      <w:r>
        <w:rPr>
          <w:rFonts w:hint="eastAsia" w:hAnsi="宋体"/>
          <w:sz w:val="24"/>
          <w:szCs w:val="24"/>
          <w:lang w:eastAsia="zh-CN"/>
        </w:rPr>
        <w:t>:00</w:t>
      </w:r>
      <w:r>
        <w:rPr>
          <w:rFonts w:hint="eastAsia" w:hAnsi="宋体"/>
          <w:sz w:val="24"/>
          <w:szCs w:val="24"/>
        </w:rPr>
        <w:t>起至</w:t>
      </w:r>
      <w:r>
        <w:rPr>
          <w:rFonts w:hAnsi="宋体"/>
          <w:sz w:val="24"/>
          <w:szCs w:val="24"/>
        </w:rPr>
        <w:t>20</w:t>
      </w:r>
      <w:r>
        <w:rPr>
          <w:rFonts w:hint="eastAsia" w:hAnsi="宋体"/>
          <w:sz w:val="24"/>
          <w:szCs w:val="24"/>
        </w:rPr>
        <w:t>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r>
        <w:rPr>
          <w:rFonts w:hint="eastAsia" w:hAnsi="宋体"/>
          <w:sz w:val="24"/>
          <w:szCs w:val="24"/>
          <w:lang w:val="en-US" w:eastAsia="zh-CN"/>
        </w:rPr>
        <w:t>14</w:t>
      </w:r>
      <w:r>
        <w:rPr>
          <w:rFonts w:hint="eastAsia" w:hAnsi="宋体"/>
          <w:sz w:val="24"/>
          <w:szCs w:val="24"/>
          <w:lang w:eastAsia="zh-CN"/>
        </w:rPr>
        <w:t>:00</w:t>
      </w:r>
      <w:r>
        <w:rPr>
          <w:rFonts w:hint="eastAsia" w:hAnsi="宋体"/>
          <w:sz w:val="24"/>
          <w:szCs w:val="24"/>
        </w:rPr>
        <w:t>止。</w:t>
      </w:r>
    </w:p>
    <w:p w14:paraId="109FA679">
      <w:pPr>
        <w:pStyle w:val="7"/>
        <w:spacing w:line="360" w:lineRule="auto"/>
        <w:ind w:left="360" w:hanging="360" w:hangingChars="150"/>
        <w:jc w:val="both"/>
        <w:rPr>
          <w:rFonts w:hint="default" w:hAnsi="宋体"/>
          <w:sz w:val="24"/>
          <w:szCs w:val="24"/>
          <w:highlight w:val="none"/>
          <w:lang w:val="en-US" w:eastAsia="zh-CN"/>
        </w:rPr>
      </w:pPr>
      <w:r>
        <w:rPr>
          <w:rFonts w:hint="eastAsia" w:hAnsi="宋体"/>
          <w:sz w:val="24"/>
          <w:szCs w:val="24"/>
          <w:lang w:eastAsia="zh-CN"/>
        </w:rPr>
        <w:t>3.</w:t>
      </w:r>
      <w:r>
        <w:rPr>
          <w:rFonts w:hint="eastAsia" w:hAnsi="宋体"/>
          <w:sz w:val="24"/>
          <w:szCs w:val="24"/>
        </w:rPr>
        <w:t>领取招标文件地址：</w:t>
      </w:r>
      <w:r>
        <w:rPr>
          <w:rFonts w:hint="eastAsia" w:hAnsi="宋体"/>
          <w:sz w:val="24"/>
          <w:szCs w:val="24"/>
          <w:lang w:val="en-US" w:eastAsia="zh-CN"/>
        </w:rPr>
        <w:t>深</w:t>
      </w:r>
      <w:r>
        <w:rPr>
          <w:rFonts w:hint="eastAsia" w:hAnsi="宋体"/>
          <w:sz w:val="24"/>
          <w:szCs w:val="24"/>
          <w:highlight w:val="none"/>
          <w:lang w:val="en-US" w:eastAsia="zh-CN"/>
        </w:rPr>
        <w:t>圳阳光采购平台</w:t>
      </w:r>
    </w:p>
    <w:p w14:paraId="0354B8C2">
      <w:pPr>
        <w:pStyle w:val="7"/>
        <w:spacing w:line="360" w:lineRule="auto"/>
        <w:ind w:left="360" w:hanging="360" w:hangingChars="150"/>
        <w:jc w:val="both"/>
        <w:rPr>
          <w:rFonts w:hAnsi="宋体"/>
          <w:sz w:val="24"/>
          <w:szCs w:val="24"/>
        </w:rPr>
      </w:pPr>
      <w:r>
        <w:rPr>
          <w:rFonts w:hint="eastAsia" w:hAnsi="宋体"/>
          <w:sz w:val="24"/>
          <w:szCs w:val="24"/>
          <w:lang w:eastAsia="zh-CN"/>
        </w:rPr>
        <w:t>4.</w:t>
      </w:r>
      <w:r>
        <w:rPr>
          <w:rFonts w:hint="eastAsia" w:hAnsi="宋体"/>
          <w:sz w:val="24"/>
          <w:szCs w:val="24"/>
        </w:rPr>
        <w:t>投标开始时间：</w:t>
      </w:r>
      <w:r>
        <w:rPr>
          <w:rFonts w:hAnsi="宋体"/>
          <w:sz w:val="24"/>
          <w:szCs w:val="24"/>
        </w:rPr>
        <w:t>20</w:t>
      </w:r>
      <w:r>
        <w:rPr>
          <w:rFonts w:hint="eastAsia" w:hAnsi="宋体"/>
          <w:sz w:val="24"/>
          <w:szCs w:val="24"/>
        </w:rPr>
        <w:t>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r>
        <w:rPr>
          <w:rFonts w:hint="eastAsia" w:hAnsi="宋体"/>
          <w:sz w:val="24"/>
          <w:szCs w:val="24"/>
          <w:lang w:val="en-US" w:eastAsia="zh-CN"/>
        </w:rPr>
        <w:t>08</w:t>
      </w:r>
      <w:r>
        <w:rPr>
          <w:rFonts w:hint="eastAsia" w:hAnsi="宋体"/>
          <w:sz w:val="24"/>
          <w:szCs w:val="24"/>
          <w:lang w:eastAsia="zh-CN"/>
        </w:rPr>
        <w:t>:00</w:t>
      </w:r>
      <w:r>
        <w:rPr>
          <w:rFonts w:hint="eastAsia" w:hAnsi="宋体"/>
          <w:sz w:val="24"/>
          <w:szCs w:val="24"/>
        </w:rPr>
        <w:t>（北京时间）</w:t>
      </w:r>
    </w:p>
    <w:p w14:paraId="2A07840D">
      <w:pPr>
        <w:pStyle w:val="7"/>
        <w:spacing w:line="360" w:lineRule="auto"/>
        <w:jc w:val="both"/>
        <w:rPr>
          <w:rFonts w:hAnsi="宋体"/>
          <w:sz w:val="24"/>
          <w:szCs w:val="24"/>
        </w:rPr>
      </w:pPr>
      <w:r>
        <w:rPr>
          <w:rFonts w:hint="eastAsia" w:hAnsi="宋体"/>
          <w:sz w:val="24"/>
          <w:szCs w:val="24"/>
          <w:lang w:eastAsia="zh-CN"/>
        </w:rPr>
        <w:t>5.</w:t>
      </w:r>
      <w:r>
        <w:rPr>
          <w:rFonts w:hint="eastAsia" w:hAnsi="宋体"/>
          <w:sz w:val="24"/>
          <w:szCs w:val="24"/>
        </w:rPr>
        <w:t>投标截止时间：</w:t>
      </w:r>
      <w:r>
        <w:rPr>
          <w:rFonts w:hAnsi="宋体"/>
          <w:sz w:val="24"/>
          <w:szCs w:val="24"/>
        </w:rPr>
        <w:t>20</w:t>
      </w:r>
      <w:r>
        <w:rPr>
          <w:rFonts w:hint="eastAsia" w:hAnsi="宋体"/>
          <w:sz w:val="24"/>
          <w:szCs w:val="24"/>
        </w:rPr>
        <w:t>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日1</w:t>
      </w:r>
      <w:r>
        <w:rPr>
          <w:rFonts w:hint="eastAsia" w:hAnsi="宋体"/>
          <w:sz w:val="24"/>
          <w:szCs w:val="24"/>
          <w:lang w:val="en-US" w:eastAsia="zh-CN"/>
        </w:rPr>
        <w:t>5</w:t>
      </w:r>
      <w:r>
        <w:rPr>
          <w:rFonts w:hint="eastAsia" w:hAnsi="宋体"/>
          <w:sz w:val="24"/>
          <w:szCs w:val="24"/>
          <w:lang w:eastAsia="zh-CN"/>
        </w:rPr>
        <w:t>:</w:t>
      </w:r>
      <w:r>
        <w:rPr>
          <w:rFonts w:hint="eastAsia" w:hAnsi="宋体"/>
          <w:sz w:val="24"/>
          <w:szCs w:val="24"/>
        </w:rPr>
        <w:t>0</w:t>
      </w:r>
      <w:r>
        <w:rPr>
          <w:rFonts w:hAnsi="宋体"/>
          <w:sz w:val="24"/>
          <w:szCs w:val="24"/>
        </w:rPr>
        <w:t>0</w:t>
      </w:r>
      <w:r>
        <w:rPr>
          <w:rFonts w:hint="eastAsia" w:hAnsi="宋体"/>
          <w:sz w:val="24"/>
          <w:szCs w:val="24"/>
        </w:rPr>
        <w:t>；开标时间：2026年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r>
        <w:rPr>
          <w:rFonts w:hint="eastAsia" w:hAnsi="宋体"/>
          <w:sz w:val="24"/>
          <w:szCs w:val="24"/>
          <w:lang w:val="en-US" w:eastAsia="zh-CN"/>
        </w:rPr>
        <w:t>15</w:t>
      </w:r>
      <w:r>
        <w:rPr>
          <w:rFonts w:hint="eastAsia" w:hAnsi="宋体"/>
          <w:sz w:val="24"/>
          <w:szCs w:val="24"/>
          <w:lang w:eastAsia="zh-CN"/>
        </w:rPr>
        <w:t>:</w:t>
      </w:r>
      <w:r>
        <w:rPr>
          <w:rFonts w:hint="eastAsia" w:hAnsi="宋体"/>
          <w:sz w:val="24"/>
          <w:szCs w:val="24"/>
        </w:rPr>
        <w:t>30</w:t>
      </w:r>
      <w:r>
        <w:rPr>
          <w:rFonts w:hint="eastAsia" w:hAnsi="宋体"/>
          <w:sz w:val="24"/>
          <w:szCs w:val="24"/>
          <w:lang w:eastAsia="zh-CN"/>
        </w:rPr>
        <w:t>（</w:t>
      </w:r>
      <w:r>
        <w:rPr>
          <w:rFonts w:hint="eastAsia" w:hAnsi="宋体"/>
          <w:sz w:val="24"/>
          <w:szCs w:val="24"/>
        </w:rPr>
        <w:t>北京时间</w:t>
      </w:r>
      <w:r>
        <w:rPr>
          <w:rFonts w:hint="eastAsia" w:hAnsi="宋体"/>
          <w:sz w:val="24"/>
          <w:szCs w:val="24"/>
          <w:lang w:eastAsia="zh-CN"/>
        </w:rPr>
        <w:t>）</w:t>
      </w:r>
      <w:r>
        <w:rPr>
          <w:rFonts w:hint="eastAsia" w:hAnsi="宋体"/>
          <w:sz w:val="24"/>
          <w:szCs w:val="24"/>
        </w:rPr>
        <w:t>。</w:t>
      </w:r>
    </w:p>
    <w:p w14:paraId="0A39335C">
      <w:pPr>
        <w:pStyle w:val="7"/>
        <w:spacing w:line="360" w:lineRule="auto"/>
        <w:ind w:left="360" w:hanging="360" w:hangingChars="150"/>
        <w:jc w:val="both"/>
        <w:rPr>
          <w:rFonts w:hAnsi="宋体"/>
          <w:sz w:val="24"/>
          <w:szCs w:val="24"/>
        </w:rPr>
      </w:pPr>
      <w:r>
        <w:rPr>
          <w:rFonts w:hint="eastAsia" w:hAnsi="宋体"/>
          <w:sz w:val="24"/>
          <w:szCs w:val="24"/>
          <w:lang w:eastAsia="zh-CN"/>
        </w:rPr>
        <w:t>6.</w:t>
      </w:r>
      <w:r>
        <w:rPr>
          <w:rFonts w:hint="eastAsia" w:hAnsi="宋体"/>
          <w:sz w:val="24"/>
          <w:szCs w:val="24"/>
        </w:rPr>
        <w:t>投标及开标地点：</w:t>
      </w:r>
      <w:r>
        <w:rPr>
          <w:rFonts w:hint="eastAsia" w:hAnsi="宋体"/>
          <w:sz w:val="24"/>
          <w:szCs w:val="24"/>
          <w:lang w:eastAsia="zh-CN"/>
        </w:rPr>
        <w:t>深圳市福田区梅观路福田生产基地8-6号办公楼三楼</w:t>
      </w:r>
      <w:r>
        <w:rPr>
          <w:rFonts w:hint="eastAsia" w:hAnsi="宋体"/>
          <w:sz w:val="24"/>
          <w:szCs w:val="24"/>
        </w:rPr>
        <w:t>。</w:t>
      </w:r>
    </w:p>
    <w:p w14:paraId="38CBCF2E">
      <w:pPr>
        <w:pStyle w:val="7"/>
        <w:spacing w:line="360" w:lineRule="auto"/>
        <w:jc w:val="both"/>
        <w:rPr>
          <w:rFonts w:hAnsi="宋体"/>
          <w:sz w:val="24"/>
          <w:szCs w:val="24"/>
        </w:rPr>
      </w:pPr>
      <w:r>
        <w:rPr>
          <w:rFonts w:hint="eastAsia" w:hAnsi="宋体"/>
          <w:sz w:val="24"/>
          <w:szCs w:val="24"/>
          <w:lang w:eastAsia="zh-CN"/>
        </w:rPr>
        <w:t>7.</w:t>
      </w:r>
      <w:r>
        <w:rPr>
          <w:rFonts w:hint="eastAsia" w:hAnsi="宋体"/>
          <w:sz w:val="24"/>
          <w:szCs w:val="24"/>
        </w:rPr>
        <w:t>领取了招标文件，而没投投标文件的供应商，视为供应商自动放弃投标。</w:t>
      </w:r>
    </w:p>
    <w:p w14:paraId="3B970EE3">
      <w:pPr>
        <w:spacing w:line="360" w:lineRule="auto"/>
        <w:ind w:firstLine="360" w:firstLineChars="150"/>
        <w:rPr>
          <w:rFonts w:hAnsi="宋体"/>
          <w:sz w:val="24"/>
          <w:szCs w:val="24"/>
        </w:rPr>
      </w:pPr>
      <w:r>
        <w:rPr>
          <w:rFonts w:hint="eastAsia" w:hAnsi="宋体"/>
          <w:sz w:val="24"/>
          <w:szCs w:val="24"/>
        </w:rPr>
        <w:t>招标方：深圳市深</w:t>
      </w:r>
      <w:r>
        <w:rPr>
          <w:rFonts w:hint="eastAsia" w:hAnsi="宋体"/>
          <w:sz w:val="24"/>
          <w:szCs w:val="24"/>
          <w:lang w:val="en-US" w:eastAsia="zh-CN"/>
        </w:rPr>
        <w:t>环</w:t>
      </w:r>
      <w:r>
        <w:rPr>
          <w:rFonts w:hint="eastAsia" w:hAnsi="宋体"/>
          <w:sz w:val="24"/>
          <w:szCs w:val="24"/>
        </w:rPr>
        <w:t>绿盾环保科技有限公司</w:t>
      </w:r>
    </w:p>
    <w:p w14:paraId="36DFE5F5">
      <w:pPr>
        <w:spacing w:line="360" w:lineRule="auto"/>
        <w:ind w:firstLine="360" w:firstLineChars="150"/>
        <w:rPr>
          <w:rFonts w:ascii="宋体"/>
          <w:kern w:val="0"/>
          <w:sz w:val="24"/>
          <w:szCs w:val="24"/>
        </w:rPr>
      </w:pPr>
      <w:r>
        <w:rPr>
          <w:rFonts w:hint="eastAsia" w:ascii="宋体" w:hAnsi="宋体"/>
          <w:kern w:val="0"/>
          <w:sz w:val="24"/>
          <w:szCs w:val="24"/>
        </w:rPr>
        <w:t>详细地址：</w:t>
      </w:r>
      <w:r>
        <w:rPr>
          <w:rFonts w:hint="eastAsia" w:hAnsi="宋体"/>
          <w:sz w:val="24"/>
          <w:szCs w:val="24"/>
          <w:lang w:eastAsia="zh-CN"/>
        </w:rPr>
        <w:t>深圳市福田区梅观路福田生产基地8-6号办公楼三楼</w:t>
      </w:r>
      <w:r>
        <w:rPr>
          <w:rFonts w:hint="eastAsia" w:ascii="宋体" w:hAnsi="宋体"/>
          <w:kern w:val="0"/>
          <w:sz w:val="24"/>
          <w:szCs w:val="24"/>
        </w:rPr>
        <w:t>。</w:t>
      </w:r>
    </w:p>
    <w:p w14:paraId="2CA31158">
      <w:pPr>
        <w:spacing w:line="360" w:lineRule="auto"/>
        <w:ind w:left="266" w:firstLine="105" w:firstLineChars="44"/>
        <w:rPr>
          <w:rFonts w:ascii="宋体"/>
          <w:kern w:val="0"/>
          <w:sz w:val="24"/>
          <w:szCs w:val="24"/>
        </w:rPr>
      </w:pPr>
      <w:r>
        <w:rPr>
          <w:rFonts w:hint="eastAsia" w:ascii="宋体" w:hAnsi="宋体"/>
          <w:kern w:val="0"/>
          <w:sz w:val="24"/>
          <w:szCs w:val="24"/>
        </w:rPr>
        <w:t>邮编：</w:t>
      </w:r>
      <w:r>
        <w:rPr>
          <w:rFonts w:ascii="宋体" w:hAnsi="宋体"/>
          <w:kern w:val="0"/>
          <w:sz w:val="24"/>
          <w:szCs w:val="24"/>
        </w:rPr>
        <w:t>518049</w:t>
      </w:r>
    </w:p>
    <w:p w14:paraId="623E5017">
      <w:pPr>
        <w:spacing w:line="360" w:lineRule="auto"/>
        <w:ind w:left="360"/>
        <w:rPr>
          <w:rFonts w:hint="eastAsia" w:ascii="宋体" w:eastAsiaTheme="minorEastAsia"/>
          <w:kern w:val="0"/>
          <w:sz w:val="24"/>
          <w:szCs w:val="24"/>
          <w:highlight w:val="none"/>
          <w:lang w:val="en-US" w:eastAsia="zh-CN"/>
        </w:rPr>
      </w:pPr>
      <w:r>
        <w:rPr>
          <w:rFonts w:hint="eastAsia" w:ascii="宋体" w:hAnsi="宋体"/>
          <w:kern w:val="0"/>
          <w:sz w:val="24"/>
          <w:szCs w:val="24"/>
        </w:rPr>
        <w:t>联</w:t>
      </w:r>
      <w:r>
        <w:rPr>
          <w:rFonts w:hint="eastAsia" w:ascii="宋体" w:hAnsi="宋体"/>
          <w:kern w:val="0"/>
          <w:sz w:val="24"/>
          <w:szCs w:val="24"/>
          <w:highlight w:val="none"/>
        </w:rPr>
        <w:t>系人：</w:t>
      </w:r>
      <w:r>
        <w:rPr>
          <w:rFonts w:hint="eastAsia" w:ascii="宋体" w:hAnsi="宋体"/>
          <w:kern w:val="0"/>
          <w:sz w:val="24"/>
          <w:szCs w:val="24"/>
          <w:highlight w:val="none"/>
          <w:lang w:val="en-US" w:eastAsia="zh-CN"/>
        </w:rPr>
        <w:t>刘嘉祺</w:t>
      </w:r>
    </w:p>
    <w:p w14:paraId="31253AEB">
      <w:pPr>
        <w:spacing w:line="360" w:lineRule="auto"/>
        <w:ind w:left="266" w:firstLine="105" w:firstLineChars="44"/>
        <w:rPr>
          <w:rFonts w:hint="default" w:ascii="宋体" w:hAnsi="宋体" w:eastAsiaTheme="minorEastAsia"/>
          <w:kern w:val="0"/>
          <w:sz w:val="24"/>
          <w:szCs w:val="24"/>
          <w:highlight w:val="none"/>
          <w:lang w:val="en-US" w:eastAsia="zh-CN"/>
        </w:rPr>
      </w:pPr>
      <w:r>
        <w:rPr>
          <w:rFonts w:hint="eastAsia" w:ascii="宋体" w:hAnsi="宋体"/>
          <w:kern w:val="0"/>
          <w:sz w:val="24"/>
          <w:szCs w:val="24"/>
          <w:highlight w:val="none"/>
        </w:rPr>
        <w:t>电话：</w:t>
      </w:r>
      <w:r>
        <w:rPr>
          <w:rFonts w:hint="eastAsia" w:ascii="宋体" w:hAnsi="宋体"/>
          <w:kern w:val="0"/>
          <w:sz w:val="24"/>
          <w:szCs w:val="24"/>
          <w:highlight w:val="none"/>
          <w:lang w:val="en-US" w:eastAsia="zh-CN"/>
        </w:rPr>
        <w:t>13798452467</w:t>
      </w:r>
    </w:p>
    <w:p w14:paraId="3201C0FB">
      <w:pPr>
        <w:spacing w:line="360" w:lineRule="auto"/>
        <w:ind w:left="266" w:firstLine="105" w:firstLineChars="44"/>
        <w:rPr>
          <w:rFonts w:hAnsi="宋体"/>
          <w:sz w:val="24"/>
          <w:szCs w:val="24"/>
        </w:rPr>
      </w:pPr>
    </w:p>
    <w:p w14:paraId="30885C21">
      <w:pPr>
        <w:pStyle w:val="7"/>
        <w:spacing w:line="360" w:lineRule="auto"/>
        <w:ind w:right="420"/>
        <w:jc w:val="right"/>
        <w:rPr>
          <w:rFonts w:hAnsi="宋体"/>
          <w:sz w:val="24"/>
          <w:szCs w:val="24"/>
        </w:rPr>
      </w:pPr>
      <w:r>
        <w:rPr>
          <w:rFonts w:hint="eastAsia" w:hAnsi="宋体"/>
          <w:sz w:val="24"/>
          <w:szCs w:val="24"/>
        </w:rPr>
        <w:t>深圳市深</w:t>
      </w:r>
      <w:r>
        <w:rPr>
          <w:rFonts w:hint="eastAsia" w:hAnsi="宋体"/>
          <w:sz w:val="24"/>
          <w:szCs w:val="24"/>
          <w:lang w:val="en-US" w:eastAsia="zh-CN"/>
        </w:rPr>
        <w:t>环</w:t>
      </w:r>
      <w:r>
        <w:rPr>
          <w:rFonts w:hint="eastAsia" w:hAnsi="宋体"/>
          <w:sz w:val="24"/>
          <w:szCs w:val="24"/>
        </w:rPr>
        <w:t>绿盾环保科技有限公司</w:t>
      </w:r>
    </w:p>
    <w:p w14:paraId="1E753FA7">
      <w:pPr>
        <w:pStyle w:val="7"/>
        <w:spacing w:line="360" w:lineRule="auto"/>
        <w:ind w:right="420" w:firstLine="4560" w:firstLineChars="1900"/>
        <w:jc w:val="center"/>
        <w:rPr>
          <w:rFonts w:hAnsi="宋体"/>
          <w:sz w:val="24"/>
          <w:szCs w:val="24"/>
        </w:rPr>
      </w:pPr>
      <w:bookmarkStart w:id="9" w:name="_Toc12238"/>
      <w:r>
        <w:rPr>
          <w:rFonts w:hint="eastAsia" w:hAnsi="宋体"/>
          <w:sz w:val="24"/>
          <w:szCs w:val="24"/>
        </w:rPr>
        <w:t xml:space="preserve">   </w:t>
      </w:r>
      <w:bookmarkEnd w:id="9"/>
      <w:r>
        <w:rPr>
          <w:rFonts w:hint="eastAsia" w:hAnsi="宋体"/>
          <w:sz w:val="24"/>
          <w:szCs w:val="24"/>
        </w:rPr>
        <w:t>二〇二六年</w:t>
      </w:r>
      <w:r>
        <w:rPr>
          <w:rFonts w:hint="eastAsia" w:hAnsi="宋体"/>
          <w:sz w:val="24"/>
          <w:szCs w:val="24"/>
          <w:lang w:val="en-US" w:eastAsia="zh-CN"/>
        </w:rPr>
        <w:t xml:space="preserve"> </w:t>
      </w:r>
      <w:r>
        <w:rPr>
          <w:rFonts w:hint="eastAsia" w:hAnsi="宋体"/>
          <w:sz w:val="24"/>
          <w:szCs w:val="24"/>
        </w:rPr>
        <w:t>月</w:t>
      </w:r>
      <w:r>
        <w:rPr>
          <w:rFonts w:hint="eastAsia" w:hAnsi="宋体"/>
          <w:sz w:val="24"/>
          <w:szCs w:val="24"/>
          <w:lang w:val="en-US" w:eastAsia="zh-CN"/>
        </w:rPr>
        <w:t xml:space="preserve">  </w:t>
      </w:r>
      <w:r>
        <w:rPr>
          <w:rFonts w:hint="eastAsia" w:hAnsi="宋体"/>
          <w:sz w:val="24"/>
          <w:szCs w:val="24"/>
        </w:rPr>
        <w:t>日</w:t>
      </w:r>
    </w:p>
    <w:p w14:paraId="58C60FDF">
      <w:pPr>
        <w:pStyle w:val="7"/>
        <w:spacing w:line="360" w:lineRule="auto"/>
        <w:ind w:right="420"/>
        <w:jc w:val="center"/>
        <w:rPr>
          <w:rFonts w:ascii="黑体" w:eastAsia="黑体"/>
          <w:sz w:val="32"/>
          <w:szCs w:val="32"/>
        </w:rPr>
      </w:pPr>
    </w:p>
    <w:p w14:paraId="1C5CADC6">
      <w:pPr>
        <w:pStyle w:val="7"/>
        <w:spacing w:line="360" w:lineRule="auto"/>
        <w:ind w:right="420"/>
        <w:jc w:val="center"/>
        <w:rPr>
          <w:rFonts w:ascii="黑体" w:eastAsia="黑体"/>
          <w:sz w:val="32"/>
          <w:szCs w:val="32"/>
        </w:rPr>
      </w:pPr>
    </w:p>
    <w:p w14:paraId="46F94EDB">
      <w:pPr>
        <w:pStyle w:val="7"/>
        <w:spacing w:line="360" w:lineRule="auto"/>
        <w:ind w:right="420"/>
        <w:jc w:val="center"/>
        <w:rPr>
          <w:rFonts w:ascii="黑体" w:eastAsia="黑体"/>
          <w:sz w:val="32"/>
          <w:szCs w:val="32"/>
        </w:rPr>
      </w:pPr>
    </w:p>
    <w:p w14:paraId="2B8B4B6F">
      <w:pPr>
        <w:pStyle w:val="7"/>
        <w:spacing w:line="360" w:lineRule="auto"/>
        <w:ind w:right="420"/>
        <w:rPr>
          <w:rFonts w:ascii="黑体" w:eastAsia="黑体"/>
          <w:sz w:val="32"/>
          <w:szCs w:val="32"/>
        </w:rPr>
      </w:pPr>
    </w:p>
    <w:p w14:paraId="74C41A76">
      <w:pPr>
        <w:pStyle w:val="7"/>
        <w:spacing w:line="360" w:lineRule="auto"/>
        <w:ind w:right="420"/>
        <w:rPr>
          <w:rFonts w:ascii="黑体" w:eastAsia="黑体"/>
          <w:sz w:val="32"/>
          <w:szCs w:val="32"/>
        </w:rPr>
      </w:pPr>
    </w:p>
    <w:p w14:paraId="7E1D13F3">
      <w:pPr>
        <w:pStyle w:val="8"/>
        <w:rPr>
          <w:rFonts w:ascii="黑体" w:eastAsia="黑体"/>
          <w:sz w:val="32"/>
          <w:szCs w:val="32"/>
        </w:rPr>
      </w:pPr>
    </w:p>
    <w:p w14:paraId="4123E3BE">
      <w:pPr>
        <w:rPr>
          <w:rFonts w:ascii="黑体" w:eastAsia="黑体"/>
          <w:sz w:val="32"/>
          <w:szCs w:val="32"/>
        </w:rPr>
      </w:pPr>
    </w:p>
    <w:p w14:paraId="14E1CF45">
      <w:pPr>
        <w:rPr>
          <w:rFonts w:ascii="黑体" w:eastAsia="黑体"/>
          <w:sz w:val="32"/>
          <w:szCs w:val="32"/>
        </w:rPr>
      </w:pPr>
    </w:p>
    <w:p w14:paraId="08203952">
      <w:pPr>
        <w:pStyle w:val="7"/>
        <w:spacing w:line="360" w:lineRule="auto"/>
        <w:ind w:right="420"/>
        <w:rPr>
          <w:rFonts w:ascii="黑体" w:eastAsia="黑体"/>
          <w:sz w:val="32"/>
          <w:szCs w:val="32"/>
        </w:rPr>
      </w:pPr>
    </w:p>
    <w:p w14:paraId="155DA550">
      <w:pPr>
        <w:pStyle w:val="7"/>
        <w:spacing w:line="360" w:lineRule="auto"/>
        <w:ind w:right="420"/>
        <w:rPr>
          <w:rFonts w:ascii="黑体" w:eastAsia="黑体"/>
          <w:sz w:val="32"/>
          <w:szCs w:val="32"/>
        </w:rPr>
      </w:pPr>
    </w:p>
    <w:p w14:paraId="40F3703E">
      <w:pPr>
        <w:pStyle w:val="7"/>
        <w:spacing w:line="360" w:lineRule="auto"/>
        <w:ind w:right="420"/>
        <w:jc w:val="center"/>
        <w:outlineLvl w:val="0"/>
        <w:rPr>
          <w:rFonts w:ascii="黑体" w:eastAsia="黑体"/>
          <w:sz w:val="32"/>
          <w:szCs w:val="32"/>
        </w:rPr>
      </w:pPr>
      <w:bookmarkStart w:id="10" w:name="_Toc31769"/>
      <w:bookmarkStart w:id="11" w:name="_Toc16546"/>
      <w:bookmarkStart w:id="12" w:name="_Toc13070"/>
      <w:bookmarkStart w:id="13" w:name="_Toc9290"/>
      <w:bookmarkStart w:id="14" w:name="_Toc2138"/>
      <w:r>
        <w:rPr>
          <w:rFonts w:hint="eastAsia" w:ascii="黑体" w:eastAsia="黑体"/>
          <w:sz w:val="32"/>
          <w:szCs w:val="32"/>
        </w:rPr>
        <w:t>第二章</w:t>
      </w:r>
      <w:bookmarkEnd w:id="7"/>
      <w:r>
        <w:rPr>
          <w:rFonts w:hint="eastAsia" w:ascii="黑体" w:eastAsia="黑体"/>
          <w:sz w:val="32"/>
          <w:szCs w:val="32"/>
        </w:rPr>
        <w:t>招标需求要览</w:t>
      </w:r>
      <w:bookmarkEnd w:id="8"/>
      <w:bookmarkEnd w:id="10"/>
      <w:bookmarkEnd w:id="11"/>
      <w:bookmarkEnd w:id="12"/>
      <w:bookmarkEnd w:id="13"/>
      <w:bookmarkEnd w:id="14"/>
    </w:p>
    <w:p w14:paraId="41FF82DA">
      <w:pPr>
        <w:pStyle w:val="3"/>
        <w:jc w:val="center"/>
        <w:rPr>
          <w:rFonts w:ascii="楷体_GB2312" w:eastAsia="楷体_GB2312"/>
          <w:b w:val="0"/>
          <w:sz w:val="24"/>
        </w:rPr>
      </w:pPr>
      <w:bookmarkStart w:id="15" w:name="_Toc19063"/>
      <w:bookmarkStart w:id="16" w:name="_Toc496002340"/>
      <w:bookmarkStart w:id="17" w:name="_Toc23558"/>
      <w:r>
        <w:rPr>
          <w:rFonts w:hint="eastAsia" w:ascii="楷体_GB2312" w:eastAsia="楷体_GB2312"/>
          <w:b w:val="0"/>
          <w:sz w:val="24"/>
        </w:rPr>
        <w:t>第一节商务要求</w:t>
      </w:r>
      <w:bookmarkEnd w:id="15"/>
      <w:bookmarkEnd w:id="16"/>
      <w:bookmarkEnd w:id="17"/>
    </w:p>
    <w:tbl>
      <w:tblPr>
        <w:tblStyle w:val="21"/>
        <w:tblW w:w="978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15" w:type="dxa"/>
          <w:left w:w="15" w:type="dxa"/>
          <w:bottom w:w="15" w:type="dxa"/>
          <w:right w:w="15" w:type="dxa"/>
        </w:tblCellMar>
      </w:tblPr>
      <w:tblGrid>
        <w:gridCol w:w="1598"/>
        <w:gridCol w:w="6768"/>
        <w:gridCol w:w="1414"/>
      </w:tblGrid>
      <w:tr w14:paraId="609FF0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8" w:hRule="atLeast"/>
          <w:jc w:val="center"/>
        </w:trPr>
        <w:tc>
          <w:tcPr>
            <w:tcW w:w="1598" w:type="dxa"/>
            <w:vAlign w:val="center"/>
          </w:tcPr>
          <w:p w14:paraId="3D363570">
            <w:pPr>
              <w:snapToGrid w:val="0"/>
              <w:jc w:val="center"/>
              <w:rPr>
                <w:b/>
                <w:szCs w:val="21"/>
              </w:rPr>
            </w:pPr>
            <w:r>
              <w:rPr>
                <w:rFonts w:hint="eastAsia"/>
                <w:b/>
                <w:szCs w:val="21"/>
              </w:rPr>
              <w:t>项目</w:t>
            </w:r>
          </w:p>
        </w:tc>
        <w:tc>
          <w:tcPr>
            <w:tcW w:w="6768" w:type="dxa"/>
            <w:vAlign w:val="center"/>
          </w:tcPr>
          <w:p w14:paraId="1A5F38C4">
            <w:pPr>
              <w:snapToGrid w:val="0"/>
              <w:jc w:val="center"/>
              <w:rPr>
                <w:b/>
                <w:szCs w:val="21"/>
              </w:rPr>
            </w:pPr>
            <w:r>
              <w:rPr>
                <w:rFonts w:hint="eastAsia"/>
                <w:b/>
                <w:szCs w:val="21"/>
              </w:rPr>
              <w:t>详细要求</w:t>
            </w:r>
          </w:p>
        </w:tc>
        <w:tc>
          <w:tcPr>
            <w:tcW w:w="1414" w:type="dxa"/>
          </w:tcPr>
          <w:p w14:paraId="406396C6">
            <w:pPr>
              <w:snapToGrid w:val="0"/>
              <w:jc w:val="center"/>
            </w:pPr>
            <w:r>
              <w:rPr>
                <w:rFonts w:hint="eastAsia"/>
                <w:b/>
                <w:szCs w:val="21"/>
              </w:rPr>
              <w:t>是否偏离</w:t>
            </w:r>
          </w:p>
        </w:tc>
      </w:tr>
      <w:tr w14:paraId="7632E6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8" w:hRule="atLeast"/>
          <w:jc w:val="center"/>
        </w:trPr>
        <w:tc>
          <w:tcPr>
            <w:tcW w:w="1598" w:type="dxa"/>
            <w:vMerge w:val="restart"/>
            <w:vAlign w:val="center"/>
          </w:tcPr>
          <w:p w14:paraId="690077B6">
            <w:pPr>
              <w:numPr>
                <w:ilvl w:val="0"/>
                <w:numId w:val="1"/>
              </w:numPr>
              <w:snapToGrid w:val="0"/>
              <w:jc w:val="center"/>
              <w:rPr>
                <w:rFonts w:asciiTheme="minorEastAsia" w:hAnsiTheme="minorEastAsia" w:cstheme="minorEastAsia"/>
                <w:sz w:val="24"/>
                <w:szCs w:val="24"/>
              </w:rPr>
            </w:pPr>
            <w:r>
              <w:rPr>
                <w:rFonts w:hint="eastAsia" w:asciiTheme="minorEastAsia" w:hAnsiTheme="minorEastAsia" w:cstheme="minorEastAsia"/>
                <w:sz w:val="24"/>
                <w:szCs w:val="24"/>
              </w:rPr>
              <w:t>资格标准</w:t>
            </w:r>
          </w:p>
        </w:tc>
        <w:tc>
          <w:tcPr>
            <w:tcW w:w="6768" w:type="dxa"/>
            <w:vAlign w:val="center"/>
          </w:tcPr>
          <w:p w14:paraId="079989EB">
            <w:pPr>
              <w:snapToGrid w:val="0"/>
              <w:jc w:val="left"/>
              <w:rPr>
                <w:rFonts w:asciiTheme="minorEastAsia" w:hAnsiTheme="minorEastAsia" w:cstheme="minorEastAsia"/>
                <w:sz w:val="24"/>
                <w:szCs w:val="24"/>
              </w:rPr>
            </w:pPr>
            <w:r>
              <w:rPr>
                <w:rFonts w:hint="eastAsia" w:asciiTheme="minorEastAsia" w:hAnsiTheme="minorEastAsia" w:cstheme="minorEastAsia"/>
                <w:sz w:val="24"/>
                <w:szCs w:val="24"/>
              </w:rPr>
              <w:t>1.1投标人法人代表证明书及身份证复印件。</w:t>
            </w:r>
          </w:p>
        </w:tc>
        <w:tc>
          <w:tcPr>
            <w:tcW w:w="1414" w:type="dxa"/>
            <w:vAlign w:val="center"/>
          </w:tcPr>
          <w:p w14:paraId="48AB9BBE">
            <w:pPr>
              <w:snapToGrid w:val="0"/>
              <w:jc w:val="center"/>
              <w:rPr>
                <w:sz w:val="24"/>
                <w:szCs w:val="24"/>
              </w:rPr>
            </w:pPr>
            <w:r>
              <w:rPr>
                <w:rFonts w:hint="eastAsia"/>
                <w:sz w:val="24"/>
                <w:szCs w:val="24"/>
              </w:rPr>
              <w:t>不可偏离</w:t>
            </w:r>
          </w:p>
        </w:tc>
      </w:tr>
      <w:tr w14:paraId="5B8494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8" w:hRule="atLeast"/>
          <w:jc w:val="center"/>
        </w:trPr>
        <w:tc>
          <w:tcPr>
            <w:tcW w:w="1598" w:type="dxa"/>
            <w:vMerge w:val="continue"/>
            <w:vAlign w:val="center"/>
          </w:tcPr>
          <w:p w14:paraId="1E503C63">
            <w:pPr>
              <w:snapToGrid w:val="0"/>
              <w:jc w:val="center"/>
              <w:rPr>
                <w:rFonts w:asciiTheme="minorEastAsia" w:hAnsiTheme="minorEastAsia" w:cstheme="minorEastAsia"/>
                <w:sz w:val="24"/>
                <w:szCs w:val="24"/>
              </w:rPr>
            </w:pPr>
          </w:p>
        </w:tc>
        <w:tc>
          <w:tcPr>
            <w:tcW w:w="6768" w:type="dxa"/>
            <w:vAlign w:val="center"/>
          </w:tcPr>
          <w:p w14:paraId="7AF9C81B">
            <w:pPr>
              <w:snapToGrid w:val="0"/>
              <w:jc w:val="left"/>
              <w:rPr>
                <w:rFonts w:asciiTheme="minorEastAsia" w:hAnsiTheme="minorEastAsia" w:cstheme="minorEastAsia"/>
                <w:sz w:val="24"/>
                <w:szCs w:val="24"/>
              </w:rPr>
            </w:pPr>
            <w:r>
              <w:rPr>
                <w:rFonts w:hint="eastAsia" w:asciiTheme="minorEastAsia" w:hAnsiTheme="minorEastAsia" w:cstheme="minorEastAsia"/>
                <w:sz w:val="24"/>
                <w:szCs w:val="24"/>
              </w:rPr>
              <w:t>1.2投标人法人代表授权书及被授权人身份证复印件。</w:t>
            </w:r>
          </w:p>
        </w:tc>
        <w:tc>
          <w:tcPr>
            <w:tcW w:w="1414" w:type="dxa"/>
            <w:vAlign w:val="center"/>
          </w:tcPr>
          <w:p w14:paraId="313C8548">
            <w:pPr>
              <w:snapToGrid w:val="0"/>
              <w:jc w:val="center"/>
              <w:rPr>
                <w:sz w:val="24"/>
                <w:szCs w:val="24"/>
              </w:rPr>
            </w:pPr>
            <w:r>
              <w:rPr>
                <w:rFonts w:hint="eastAsia"/>
                <w:sz w:val="24"/>
                <w:szCs w:val="24"/>
              </w:rPr>
              <w:t>不可偏离</w:t>
            </w:r>
          </w:p>
        </w:tc>
      </w:tr>
      <w:tr w14:paraId="69EDD3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18" w:hRule="atLeast"/>
          <w:jc w:val="center"/>
        </w:trPr>
        <w:tc>
          <w:tcPr>
            <w:tcW w:w="1598" w:type="dxa"/>
            <w:vMerge w:val="continue"/>
            <w:vAlign w:val="center"/>
          </w:tcPr>
          <w:p w14:paraId="0C594839">
            <w:pPr>
              <w:snapToGrid w:val="0"/>
              <w:jc w:val="center"/>
              <w:rPr>
                <w:rFonts w:asciiTheme="minorEastAsia" w:hAnsiTheme="minorEastAsia" w:cstheme="minorEastAsia"/>
                <w:sz w:val="24"/>
                <w:szCs w:val="24"/>
              </w:rPr>
            </w:pPr>
          </w:p>
        </w:tc>
        <w:tc>
          <w:tcPr>
            <w:tcW w:w="6768" w:type="dxa"/>
            <w:vAlign w:val="center"/>
          </w:tcPr>
          <w:p w14:paraId="08448596">
            <w:pPr>
              <w:snapToGrid w:val="0"/>
              <w:jc w:val="left"/>
              <w:rPr>
                <w:rFonts w:asciiTheme="minorEastAsia" w:hAnsiTheme="minorEastAsia" w:cstheme="minorEastAsia"/>
                <w:sz w:val="24"/>
                <w:szCs w:val="24"/>
              </w:rPr>
            </w:pPr>
            <w:r>
              <w:rPr>
                <w:rFonts w:hint="eastAsia" w:asciiTheme="minorEastAsia" w:hAnsiTheme="minorEastAsia" w:cstheme="minorEastAsia"/>
                <w:sz w:val="24"/>
                <w:szCs w:val="24"/>
              </w:rPr>
              <w:t>1.3投标人必须是在中华人民共和国境内注册并合法运作的独立法人机构或在深圳市依法设立并领取营业执照的分支机构，是</w:t>
            </w:r>
            <w:r>
              <w:rPr>
                <w:rFonts w:hint="eastAsia" w:ascii="宋体" w:hAnsi="宋体" w:eastAsia="宋体" w:cs="宋体"/>
                <w:color w:val="auto"/>
                <w:sz w:val="24"/>
                <w:szCs w:val="24"/>
                <w:lang w:val="en-US" w:eastAsia="zh-CN"/>
              </w:rPr>
              <w:t>医疗废物周转桶</w:t>
            </w:r>
            <w:r>
              <w:rPr>
                <w:rFonts w:hint="eastAsia" w:asciiTheme="minorEastAsia" w:hAnsiTheme="minorEastAsia" w:cstheme="minorEastAsia"/>
                <w:sz w:val="24"/>
                <w:szCs w:val="24"/>
              </w:rPr>
              <w:t>制造商或其授权代理商（投标人需提供营业执照，代理商需提供授权证明文件）。</w:t>
            </w:r>
          </w:p>
        </w:tc>
        <w:tc>
          <w:tcPr>
            <w:tcW w:w="1414" w:type="dxa"/>
            <w:vAlign w:val="center"/>
          </w:tcPr>
          <w:p w14:paraId="2E8F75DE">
            <w:pPr>
              <w:snapToGrid w:val="0"/>
              <w:jc w:val="center"/>
              <w:rPr>
                <w:sz w:val="24"/>
                <w:szCs w:val="24"/>
              </w:rPr>
            </w:pPr>
            <w:r>
              <w:rPr>
                <w:rFonts w:hint="eastAsia"/>
                <w:sz w:val="24"/>
                <w:szCs w:val="24"/>
              </w:rPr>
              <w:t>不可偏离</w:t>
            </w:r>
          </w:p>
        </w:tc>
      </w:tr>
      <w:tr w14:paraId="34D5570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421" w:hRule="atLeast"/>
          <w:jc w:val="center"/>
        </w:trPr>
        <w:tc>
          <w:tcPr>
            <w:tcW w:w="1598" w:type="dxa"/>
            <w:vMerge w:val="continue"/>
            <w:vAlign w:val="center"/>
          </w:tcPr>
          <w:p w14:paraId="41506DCF">
            <w:pPr>
              <w:snapToGrid w:val="0"/>
              <w:jc w:val="center"/>
              <w:rPr>
                <w:rFonts w:asciiTheme="minorEastAsia" w:hAnsiTheme="minorEastAsia" w:cstheme="minorEastAsia"/>
                <w:sz w:val="24"/>
                <w:szCs w:val="24"/>
              </w:rPr>
            </w:pPr>
          </w:p>
        </w:tc>
        <w:tc>
          <w:tcPr>
            <w:tcW w:w="6768" w:type="dxa"/>
            <w:vAlign w:val="center"/>
          </w:tcPr>
          <w:p w14:paraId="0733AAE3">
            <w:pPr>
              <w:snapToGrid w:val="0"/>
              <w:jc w:val="left"/>
              <w:rPr>
                <w:rFonts w:asciiTheme="minorEastAsia" w:hAnsiTheme="minorEastAsia" w:cstheme="minorEastAsia"/>
                <w:sz w:val="24"/>
                <w:szCs w:val="24"/>
              </w:rPr>
            </w:pPr>
            <w:r>
              <w:rPr>
                <w:rFonts w:hint="eastAsia" w:asciiTheme="minorEastAsia" w:hAnsiTheme="minorEastAsia" w:cstheme="minorEastAsia"/>
                <w:sz w:val="24"/>
                <w:szCs w:val="24"/>
              </w:rPr>
              <w:t>1.4本项目不接受联合体投标。</w:t>
            </w:r>
          </w:p>
        </w:tc>
        <w:tc>
          <w:tcPr>
            <w:tcW w:w="1414" w:type="dxa"/>
            <w:vAlign w:val="center"/>
          </w:tcPr>
          <w:p w14:paraId="69BC0479">
            <w:pPr>
              <w:snapToGrid w:val="0"/>
              <w:jc w:val="center"/>
              <w:rPr>
                <w:sz w:val="24"/>
                <w:szCs w:val="24"/>
              </w:rPr>
            </w:pPr>
            <w:r>
              <w:rPr>
                <w:rFonts w:hint="eastAsia"/>
                <w:sz w:val="24"/>
                <w:szCs w:val="24"/>
              </w:rPr>
              <w:t>不可偏离</w:t>
            </w:r>
          </w:p>
        </w:tc>
      </w:tr>
      <w:tr w14:paraId="30C5CC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3631" w:hRule="atLeast"/>
          <w:jc w:val="center"/>
        </w:trPr>
        <w:tc>
          <w:tcPr>
            <w:tcW w:w="1598" w:type="dxa"/>
            <w:vAlign w:val="center"/>
          </w:tcPr>
          <w:p w14:paraId="4D6E13F8">
            <w:pPr>
              <w:numPr>
                <w:ilvl w:val="0"/>
                <w:numId w:val="1"/>
              </w:numPr>
              <w:snapToGrid w:val="0"/>
              <w:jc w:val="center"/>
              <w:rPr>
                <w:sz w:val="24"/>
                <w:szCs w:val="24"/>
              </w:rPr>
            </w:pPr>
            <w:r>
              <w:rPr>
                <w:rFonts w:hint="eastAsia" w:asciiTheme="minorEastAsia" w:hAnsiTheme="minorEastAsia" w:cstheme="minorEastAsia"/>
                <w:sz w:val="24"/>
                <w:szCs w:val="24"/>
              </w:rPr>
              <w:t>报价方式</w:t>
            </w:r>
          </w:p>
        </w:tc>
        <w:tc>
          <w:tcPr>
            <w:tcW w:w="6768" w:type="dxa"/>
            <w:vAlign w:val="center"/>
          </w:tcPr>
          <w:p w14:paraId="4D4E79BB">
            <w:pPr>
              <w:autoSpaceDE w:val="0"/>
              <w:autoSpaceDN w:val="0"/>
              <w:adjustRightInd w:val="0"/>
              <w:snapToGrid w:val="0"/>
              <w:rPr>
                <w:rFonts w:hint="eastAsia"/>
                <w:sz w:val="24"/>
                <w:szCs w:val="24"/>
              </w:rPr>
            </w:pPr>
            <w:r>
              <w:rPr>
                <w:rFonts w:hint="eastAsia"/>
                <w:sz w:val="24"/>
                <w:szCs w:val="24"/>
              </w:rPr>
              <w:t>2.1</w:t>
            </w:r>
            <w:r>
              <w:rPr>
                <w:rFonts w:hint="eastAsia"/>
                <w:sz w:val="24"/>
                <w:szCs w:val="24"/>
                <w:lang w:val="en-US" w:eastAsia="zh-CN"/>
              </w:rPr>
              <w:t xml:space="preserve"> </w:t>
            </w:r>
            <w:r>
              <w:rPr>
                <w:rFonts w:hint="eastAsia"/>
                <w:sz w:val="24"/>
                <w:szCs w:val="24"/>
              </w:rPr>
              <w:t>本项目的</w:t>
            </w:r>
            <w:r>
              <w:rPr>
                <w:rFonts w:ascii="宋体" w:hAnsi="宋体" w:eastAsia="宋体" w:cs="宋体"/>
                <w:sz w:val="24"/>
                <w:szCs w:val="24"/>
              </w:rPr>
              <w:t>报价为固定不变价，在合同履行期内不因市场行情、人工、物流、税费等因素调整价格，完全响应招标文件全部要求</w:t>
            </w:r>
            <w:r>
              <w:rPr>
                <w:rFonts w:hint="eastAsia" w:ascii="宋体" w:hAnsi="宋体" w:eastAsia="宋体" w:cs="宋体"/>
                <w:sz w:val="24"/>
                <w:szCs w:val="24"/>
                <w:lang w:eastAsia="zh-CN"/>
              </w:rPr>
              <w:t>，</w:t>
            </w:r>
            <w:r>
              <w:rPr>
                <w:rFonts w:hint="eastAsia"/>
                <w:sz w:val="24"/>
                <w:szCs w:val="24"/>
              </w:rPr>
              <w:t>总金额不超过</w:t>
            </w:r>
            <w:r>
              <w:rPr>
                <w:rFonts w:hint="eastAsia"/>
                <w:sz w:val="24"/>
                <w:szCs w:val="24"/>
                <w:lang w:val="en-US" w:eastAsia="zh-CN"/>
              </w:rPr>
              <w:t>96</w:t>
            </w:r>
            <w:r>
              <w:rPr>
                <w:rFonts w:hint="eastAsia"/>
                <w:sz w:val="24"/>
                <w:szCs w:val="24"/>
              </w:rPr>
              <w:t>万元，超过此价</w:t>
            </w:r>
            <w:r>
              <w:rPr>
                <w:rFonts w:hint="eastAsia"/>
                <w:sz w:val="24"/>
                <w:szCs w:val="24"/>
                <w:lang w:val="en-US" w:eastAsia="zh-CN"/>
              </w:rPr>
              <w:t>格</w:t>
            </w:r>
            <w:r>
              <w:rPr>
                <w:rFonts w:hint="eastAsia"/>
                <w:sz w:val="24"/>
                <w:szCs w:val="24"/>
              </w:rPr>
              <w:t>的任何投标均作为非响应性投标而被拒绝。</w:t>
            </w:r>
          </w:p>
          <w:p w14:paraId="15141926">
            <w:pPr>
              <w:autoSpaceDE w:val="0"/>
              <w:autoSpaceDN w:val="0"/>
              <w:adjustRightInd w:val="0"/>
              <w:snapToGrid w:val="0"/>
              <w:rPr>
                <w:rFonts w:hint="eastAsia"/>
                <w:sz w:val="24"/>
                <w:szCs w:val="24"/>
              </w:rPr>
            </w:pPr>
          </w:p>
          <w:p w14:paraId="7B4D481B">
            <w:pPr>
              <w:autoSpaceDE w:val="0"/>
              <w:autoSpaceDN w:val="0"/>
              <w:adjustRightInd w:val="0"/>
              <w:snapToGrid w:val="0"/>
              <w:rPr>
                <w:sz w:val="24"/>
                <w:szCs w:val="24"/>
              </w:rPr>
            </w:pPr>
            <w:r>
              <w:rPr>
                <w:rFonts w:hint="eastAsia"/>
                <w:sz w:val="24"/>
                <w:szCs w:val="24"/>
              </w:rPr>
              <w:t>2.2</w:t>
            </w:r>
            <w:r>
              <w:rPr>
                <w:rFonts w:hint="eastAsia"/>
                <w:sz w:val="24"/>
                <w:szCs w:val="24"/>
                <w:lang w:val="en-US" w:eastAsia="zh-CN"/>
              </w:rPr>
              <w:t xml:space="preserve"> </w:t>
            </w:r>
            <w:r>
              <w:rPr>
                <w:rFonts w:hint="eastAsia"/>
                <w:sz w:val="24"/>
                <w:szCs w:val="24"/>
              </w:rPr>
              <w:t>报价（以下报价包括但不限于）：</w:t>
            </w:r>
            <w:r>
              <w:rPr>
                <w:rFonts w:ascii="宋体" w:hAnsi="宋体" w:eastAsia="宋体" w:cs="宋体"/>
                <w:sz w:val="24"/>
                <w:szCs w:val="24"/>
              </w:rPr>
              <w:t>报价为</w:t>
            </w:r>
            <w:r>
              <w:rPr>
                <w:rStyle w:val="24"/>
                <w:rFonts w:ascii="宋体" w:hAnsi="宋体" w:eastAsia="宋体" w:cs="宋体"/>
                <w:b w:val="0"/>
                <w:bCs w:val="0"/>
                <w:color w:val="000000"/>
                <w:sz w:val="24"/>
                <w:szCs w:val="24"/>
              </w:rPr>
              <w:t>全包综合单价报价</w:t>
            </w:r>
            <w:r>
              <w:rPr>
                <w:rFonts w:ascii="宋体" w:hAnsi="宋体" w:eastAsia="宋体" w:cs="宋体"/>
                <w:sz w:val="24"/>
                <w:szCs w:val="24"/>
              </w:rPr>
              <w:t>，总价包含货物成本、包装、运输、现场装卸、税金、质保、售后服务、技术支持等全部费用</w:t>
            </w:r>
            <w:r>
              <w:rPr>
                <w:rFonts w:hint="eastAsia"/>
                <w:sz w:val="24"/>
                <w:szCs w:val="24"/>
              </w:rPr>
              <w:t>。本次投标产生的一切费用由投标人自理。投标报价为最终报价，投标人不得要求追加任何费用。</w:t>
            </w:r>
          </w:p>
        </w:tc>
        <w:tc>
          <w:tcPr>
            <w:tcW w:w="1414" w:type="dxa"/>
            <w:vAlign w:val="center"/>
          </w:tcPr>
          <w:p w14:paraId="1D8AB810">
            <w:pPr>
              <w:snapToGrid w:val="0"/>
              <w:jc w:val="center"/>
              <w:rPr>
                <w:sz w:val="24"/>
                <w:szCs w:val="24"/>
              </w:rPr>
            </w:pPr>
            <w:r>
              <w:rPr>
                <w:rFonts w:hint="eastAsia"/>
                <w:sz w:val="24"/>
                <w:szCs w:val="24"/>
              </w:rPr>
              <w:t>不可偏离</w:t>
            </w:r>
          </w:p>
        </w:tc>
      </w:tr>
      <w:tr w14:paraId="7D4257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890" w:hRule="atLeast"/>
          <w:jc w:val="center"/>
        </w:trPr>
        <w:tc>
          <w:tcPr>
            <w:tcW w:w="1598" w:type="dxa"/>
            <w:vAlign w:val="center"/>
          </w:tcPr>
          <w:p w14:paraId="76C99141">
            <w:pPr>
              <w:numPr>
                <w:ilvl w:val="0"/>
                <w:numId w:val="1"/>
              </w:numPr>
              <w:snapToGrid w:val="0"/>
              <w:jc w:val="center"/>
              <w:rPr>
                <w:sz w:val="24"/>
                <w:szCs w:val="24"/>
              </w:rPr>
            </w:pPr>
            <w:r>
              <w:rPr>
                <w:rFonts w:hint="eastAsia"/>
                <w:sz w:val="24"/>
                <w:szCs w:val="24"/>
              </w:rPr>
              <w:t>包装和运输</w:t>
            </w:r>
          </w:p>
        </w:tc>
        <w:tc>
          <w:tcPr>
            <w:tcW w:w="6768" w:type="dxa"/>
            <w:vAlign w:val="center"/>
          </w:tcPr>
          <w:p w14:paraId="77A5D6F2">
            <w:pPr>
              <w:snapToGrid w:val="0"/>
              <w:rPr>
                <w:sz w:val="24"/>
                <w:szCs w:val="24"/>
              </w:rPr>
            </w:pPr>
            <w:r>
              <w:rPr>
                <w:rFonts w:hint="eastAsia"/>
                <w:sz w:val="24"/>
                <w:szCs w:val="24"/>
              </w:rPr>
              <w:t>常规包装。运输方式由投标人自定。由于不适当包装或不适当装运而造成的货物在运输过程中毁损灭失的风险由投标人承担。</w:t>
            </w:r>
          </w:p>
        </w:tc>
        <w:tc>
          <w:tcPr>
            <w:tcW w:w="1414" w:type="dxa"/>
            <w:vAlign w:val="center"/>
          </w:tcPr>
          <w:p w14:paraId="2E047342">
            <w:pPr>
              <w:snapToGrid w:val="0"/>
              <w:jc w:val="center"/>
              <w:rPr>
                <w:sz w:val="24"/>
                <w:szCs w:val="24"/>
              </w:rPr>
            </w:pPr>
            <w:r>
              <w:rPr>
                <w:rFonts w:hint="eastAsia"/>
                <w:sz w:val="24"/>
                <w:szCs w:val="24"/>
              </w:rPr>
              <w:t>不可偏离</w:t>
            </w:r>
          </w:p>
        </w:tc>
      </w:tr>
      <w:tr w14:paraId="3BCDB7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1153" w:hRule="atLeast"/>
          <w:jc w:val="center"/>
        </w:trPr>
        <w:tc>
          <w:tcPr>
            <w:tcW w:w="1598" w:type="dxa"/>
            <w:vMerge w:val="restart"/>
            <w:vAlign w:val="center"/>
          </w:tcPr>
          <w:p w14:paraId="6F6A69F8">
            <w:pPr>
              <w:numPr>
                <w:ilvl w:val="0"/>
                <w:numId w:val="1"/>
              </w:numPr>
              <w:jc w:val="center"/>
              <w:rPr>
                <w:sz w:val="24"/>
                <w:szCs w:val="24"/>
              </w:rPr>
            </w:pPr>
            <w:r>
              <w:rPr>
                <w:rFonts w:hint="eastAsia"/>
                <w:sz w:val="24"/>
                <w:szCs w:val="24"/>
              </w:rPr>
              <w:t>交货及</w:t>
            </w:r>
            <w:r>
              <w:rPr>
                <w:rFonts w:hint="eastAsia"/>
                <w:sz w:val="24"/>
                <w:szCs w:val="24"/>
                <w:lang w:val="en-US" w:eastAsia="zh-CN"/>
              </w:rPr>
              <w:t>装卸</w:t>
            </w:r>
          </w:p>
        </w:tc>
        <w:tc>
          <w:tcPr>
            <w:tcW w:w="6768" w:type="dxa"/>
            <w:shd w:val="clear" w:color="auto" w:fill="auto"/>
            <w:vAlign w:val="center"/>
          </w:tcPr>
          <w:p w14:paraId="27B7D2B1">
            <w:pPr>
              <w:spacing w:beforeLines="50"/>
              <w:rPr>
                <w:rFonts w:hint="default" w:asciiTheme="minorHAnsi" w:hAnsiTheme="minorHAnsi" w:eastAsiaTheme="minorEastAsia" w:cstheme="minorBidi"/>
                <w:kern w:val="2"/>
                <w:sz w:val="24"/>
                <w:szCs w:val="24"/>
                <w:lang w:val="en-US" w:eastAsia="zh-CN" w:bidi="ar-SA"/>
              </w:rPr>
            </w:pPr>
            <w:r>
              <w:rPr>
                <w:rFonts w:hint="eastAsia"/>
                <w:sz w:val="24"/>
                <w:szCs w:val="24"/>
                <w:highlight w:val="none"/>
              </w:rPr>
              <w:t>4.1交货期：中标结果公布后30个日历日内双方签订采购合同。合同签订后，</w:t>
            </w:r>
            <w:r>
              <w:rPr>
                <w:rFonts w:hint="eastAsia"/>
                <w:sz w:val="24"/>
                <w:szCs w:val="24"/>
                <w:highlight w:val="none"/>
                <w:lang w:val="en-US" w:eastAsia="zh-CN"/>
              </w:rPr>
              <w:t>需发一个样品供采购方测试，样品测试合格后15个日历日内交第一期货物。交货分4期每期一千个，每期交货时间以需方需求为准，交货有效期自合同签订后一年内有效。</w:t>
            </w:r>
          </w:p>
        </w:tc>
        <w:tc>
          <w:tcPr>
            <w:tcW w:w="1414" w:type="dxa"/>
            <w:vAlign w:val="center"/>
          </w:tcPr>
          <w:p w14:paraId="1298FA99">
            <w:pPr>
              <w:snapToGrid w:val="0"/>
              <w:jc w:val="center"/>
              <w:rPr>
                <w:sz w:val="24"/>
                <w:szCs w:val="24"/>
              </w:rPr>
            </w:pPr>
            <w:r>
              <w:rPr>
                <w:rFonts w:hint="eastAsia"/>
                <w:sz w:val="24"/>
                <w:szCs w:val="24"/>
              </w:rPr>
              <w:t>不可偏离</w:t>
            </w:r>
          </w:p>
        </w:tc>
      </w:tr>
      <w:tr w14:paraId="14705F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837" w:hRule="atLeast"/>
          <w:jc w:val="center"/>
        </w:trPr>
        <w:tc>
          <w:tcPr>
            <w:tcW w:w="1598" w:type="dxa"/>
            <w:vMerge w:val="continue"/>
            <w:vAlign w:val="center"/>
          </w:tcPr>
          <w:p w14:paraId="654818E4">
            <w:pPr>
              <w:snapToGrid w:val="0"/>
              <w:jc w:val="center"/>
              <w:rPr>
                <w:sz w:val="24"/>
                <w:szCs w:val="24"/>
              </w:rPr>
            </w:pPr>
          </w:p>
        </w:tc>
        <w:tc>
          <w:tcPr>
            <w:tcW w:w="6768" w:type="dxa"/>
            <w:vAlign w:val="center"/>
          </w:tcPr>
          <w:p w14:paraId="6C77E0A0">
            <w:pPr>
              <w:snapToGrid w:val="0"/>
              <w:rPr>
                <w:sz w:val="24"/>
                <w:szCs w:val="24"/>
              </w:rPr>
            </w:pPr>
            <w:r>
              <w:rPr>
                <w:rFonts w:hint="eastAsia"/>
                <w:sz w:val="24"/>
                <w:szCs w:val="24"/>
              </w:rPr>
              <w:t>4.2交货地点：深圳市龙岗区龙岗街道新生社区龙岭南路64号（深圳市深环绿盾环保科技有限公司）</w:t>
            </w:r>
            <w:r>
              <w:rPr>
                <w:rFonts w:hint="eastAsia"/>
                <w:sz w:val="24"/>
                <w:szCs w:val="24"/>
                <w:lang w:val="en-US" w:eastAsia="zh-CN"/>
              </w:rPr>
              <w:t>和</w:t>
            </w:r>
            <w:r>
              <w:rPr>
                <w:rFonts w:hint="eastAsia" w:hAnsi="宋体"/>
                <w:sz w:val="24"/>
                <w:szCs w:val="24"/>
                <w:lang w:eastAsia="zh-CN"/>
              </w:rPr>
              <w:t>深圳市福田区梅观路福田生产基地，</w:t>
            </w:r>
            <w:r>
              <w:rPr>
                <w:rFonts w:hint="eastAsia"/>
                <w:sz w:val="24"/>
                <w:szCs w:val="24"/>
              </w:rPr>
              <w:t>邮编：</w:t>
            </w:r>
            <w:r>
              <w:rPr>
                <w:sz w:val="24"/>
                <w:szCs w:val="24"/>
              </w:rPr>
              <w:t>518000</w:t>
            </w:r>
            <w:r>
              <w:rPr>
                <w:rFonts w:hint="eastAsia"/>
                <w:sz w:val="24"/>
                <w:szCs w:val="24"/>
              </w:rPr>
              <w:t>。</w:t>
            </w:r>
          </w:p>
        </w:tc>
        <w:tc>
          <w:tcPr>
            <w:tcW w:w="1414" w:type="dxa"/>
            <w:vMerge w:val="restart"/>
            <w:vAlign w:val="center"/>
          </w:tcPr>
          <w:p w14:paraId="74AB155A">
            <w:pPr>
              <w:snapToGrid w:val="0"/>
              <w:jc w:val="center"/>
              <w:rPr>
                <w:sz w:val="24"/>
                <w:szCs w:val="24"/>
              </w:rPr>
            </w:pPr>
            <w:r>
              <w:rPr>
                <w:rFonts w:hint="eastAsia"/>
                <w:sz w:val="24"/>
                <w:szCs w:val="24"/>
              </w:rPr>
              <w:t>不可偏离</w:t>
            </w:r>
          </w:p>
        </w:tc>
      </w:tr>
      <w:tr w14:paraId="387479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275" w:hRule="atLeast"/>
          <w:jc w:val="center"/>
        </w:trPr>
        <w:tc>
          <w:tcPr>
            <w:tcW w:w="1598" w:type="dxa"/>
            <w:vMerge w:val="continue"/>
            <w:vAlign w:val="center"/>
          </w:tcPr>
          <w:p w14:paraId="62B6A9C9">
            <w:pPr>
              <w:snapToGrid w:val="0"/>
              <w:jc w:val="center"/>
              <w:rPr>
                <w:sz w:val="24"/>
                <w:szCs w:val="24"/>
                <w:highlight w:val="yellow"/>
              </w:rPr>
            </w:pPr>
          </w:p>
        </w:tc>
        <w:tc>
          <w:tcPr>
            <w:tcW w:w="6768" w:type="dxa"/>
            <w:tcBorders>
              <w:bottom w:val="single" w:color="auto" w:sz="4" w:space="0"/>
            </w:tcBorders>
            <w:vAlign w:val="center"/>
          </w:tcPr>
          <w:p w14:paraId="77D773B0">
            <w:pPr>
              <w:keepNext w:val="0"/>
              <w:keepLines w:val="0"/>
              <w:widowControl/>
              <w:suppressLineNumbers w:val="0"/>
              <w:pBdr>
                <w:top w:val="none" w:color="auto" w:sz="0" w:space="0"/>
                <w:left w:val="none" w:color="auto" w:sz="0" w:space="0"/>
                <w:bottom w:val="none" w:color="auto" w:sz="0" w:space="0"/>
                <w:right w:val="none" w:color="auto" w:sz="0" w:space="0"/>
              </w:pBdr>
              <w:snapToGrid w:val="0"/>
              <w:spacing w:before="0" w:beforeAutospacing="0" w:after="0" w:afterAutospacing="0" w:line="240" w:lineRule="atLeast"/>
              <w:ind w:left="0" w:leftChars="0" w:right="0" w:rightChars="0"/>
              <w:jc w:val="left"/>
              <w:rPr>
                <w:rFonts w:hint="eastAsia" w:ascii="宋体" w:hAnsi="宋体" w:eastAsia="宋体" w:cs="宋体"/>
                <w:sz w:val="24"/>
                <w:szCs w:val="24"/>
              </w:rPr>
            </w:pPr>
            <w:r>
              <w:rPr>
                <w:rFonts w:hint="eastAsia"/>
                <w:sz w:val="24"/>
                <w:szCs w:val="24"/>
                <w:lang w:val="en-US" w:eastAsia="zh-CN"/>
              </w:rPr>
              <w:t>4.3</w:t>
            </w:r>
            <w:r>
              <w:rPr>
                <w:rFonts w:hint="eastAsia" w:ascii="宋体" w:hAnsi="宋体" w:eastAsia="宋体" w:cs="宋体"/>
                <w:color w:val="000000"/>
                <w:kern w:val="0"/>
                <w:sz w:val="24"/>
                <w:szCs w:val="24"/>
                <w:lang w:val="en-US" w:eastAsia="zh-CN" w:bidi="ar"/>
              </w:rPr>
              <w:t>所有交货的医疗废物周转桶必须是</w:t>
            </w:r>
            <w:r>
              <w:rPr>
                <w:rStyle w:val="24"/>
                <w:rFonts w:hint="eastAsia" w:ascii="宋体" w:hAnsi="宋体" w:eastAsia="宋体" w:cs="宋体"/>
                <w:b w:val="0"/>
                <w:bCs w:val="0"/>
                <w:color w:val="000000"/>
                <w:kern w:val="0"/>
                <w:sz w:val="24"/>
                <w:szCs w:val="24"/>
                <w:lang w:val="en-US" w:eastAsia="zh-CN" w:bidi="ar"/>
              </w:rPr>
              <w:t>全新的原包装未使用产品，</w:t>
            </w:r>
            <w:r>
              <w:rPr>
                <w:rFonts w:hint="eastAsia" w:ascii="宋体" w:hAnsi="宋体" w:eastAsia="宋体" w:cs="宋体"/>
                <w:color w:val="000000"/>
                <w:kern w:val="0"/>
                <w:sz w:val="24"/>
                <w:szCs w:val="24"/>
                <w:lang w:val="en-US" w:eastAsia="zh-CN" w:bidi="ar"/>
              </w:rPr>
              <w:t>交货时间距离产品生产日期不超过3个月。产品内外表面应光滑平整，无裂纹、变形、毛刺、气泡、凹陷、划痕及其他影响使用的缺陷；颜色均匀一致，无明显色差；密封性能良好，桶盖与桶体配合紧密，无松动、渗漏现象。</w:t>
            </w:r>
          </w:p>
        </w:tc>
        <w:tc>
          <w:tcPr>
            <w:tcW w:w="1414" w:type="dxa"/>
            <w:vMerge w:val="continue"/>
            <w:vAlign w:val="center"/>
          </w:tcPr>
          <w:p w14:paraId="5253FD8A">
            <w:pPr>
              <w:snapToGrid w:val="0"/>
              <w:jc w:val="center"/>
              <w:rPr>
                <w:sz w:val="24"/>
                <w:szCs w:val="24"/>
                <w:highlight w:val="yellow"/>
              </w:rPr>
            </w:pPr>
          </w:p>
        </w:tc>
      </w:tr>
      <w:tr w14:paraId="65FB51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1746" w:hRule="atLeast"/>
          <w:jc w:val="center"/>
        </w:trPr>
        <w:tc>
          <w:tcPr>
            <w:tcW w:w="1598" w:type="dxa"/>
            <w:vMerge w:val="continue"/>
            <w:vAlign w:val="center"/>
          </w:tcPr>
          <w:p w14:paraId="44190561">
            <w:pPr>
              <w:snapToGrid w:val="0"/>
              <w:jc w:val="center"/>
              <w:rPr>
                <w:sz w:val="24"/>
                <w:szCs w:val="24"/>
                <w:highlight w:val="yellow"/>
              </w:rPr>
            </w:pPr>
          </w:p>
        </w:tc>
        <w:tc>
          <w:tcPr>
            <w:tcW w:w="6768" w:type="dxa"/>
            <w:tcBorders>
              <w:bottom w:val="single" w:color="auto" w:sz="4" w:space="0"/>
            </w:tcBorders>
            <w:vAlign w:val="center"/>
          </w:tcPr>
          <w:p w14:paraId="20C12E7E">
            <w:pPr>
              <w:keepNext w:val="0"/>
              <w:keepLines w:val="0"/>
              <w:widowControl/>
              <w:suppressLineNumbers w:val="0"/>
              <w:pBdr>
                <w:top w:val="none" w:color="auto" w:sz="0" w:space="0"/>
                <w:left w:val="none" w:color="auto" w:sz="0" w:space="0"/>
                <w:bottom w:val="none" w:color="auto" w:sz="0" w:space="0"/>
                <w:right w:val="none" w:color="auto" w:sz="0" w:space="0"/>
              </w:pBdr>
              <w:snapToGrid w:val="0"/>
              <w:spacing w:before="0" w:beforeAutospacing="0" w:after="0" w:afterAutospacing="0" w:line="240" w:lineRule="atLeast"/>
              <w:ind w:left="0" w:leftChars="0" w:right="0" w:rightChars="0"/>
              <w:jc w:val="left"/>
              <w:rPr>
                <w:rFonts w:hint="eastAsia" w:ascii="宋体" w:hAnsi="宋体" w:eastAsia="宋体" w:cs="宋体"/>
                <w:sz w:val="24"/>
                <w:szCs w:val="24"/>
                <w:lang w:val="en-US" w:eastAsia="zh-CN"/>
              </w:rPr>
            </w:pPr>
            <w:r>
              <w:rPr>
                <w:rFonts w:hint="eastAsia" w:ascii="宋体" w:hAnsi="宋体" w:eastAsia="宋体" w:cs="宋体"/>
                <w:color w:val="000000"/>
                <w:kern w:val="0"/>
                <w:sz w:val="24"/>
                <w:szCs w:val="24"/>
                <w:lang w:val="en-US" w:eastAsia="zh-CN" w:bidi="ar"/>
              </w:rPr>
              <w:t>产品必须符合国家现行质量标准、行业标准及相关规范要求，包括但不限于《医疗废物专用包装物、容器标准和警示标识规定》（环发〔2003〕188 号）、《医疗废物周转箱技术要求》（HJ/T 368-2007）等。并清晰注明产地、型号、品牌及批次信息。</w:t>
            </w:r>
          </w:p>
        </w:tc>
        <w:tc>
          <w:tcPr>
            <w:tcW w:w="1414" w:type="dxa"/>
            <w:vMerge w:val="continue"/>
            <w:vAlign w:val="center"/>
          </w:tcPr>
          <w:p w14:paraId="3594C206">
            <w:pPr>
              <w:snapToGrid w:val="0"/>
              <w:jc w:val="center"/>
              <w:rPr>
                <w:sz w:val="24"/>
                <w:szCs w:val="24"/>
                <w:highlight w:val="yellow"/>
              </w:rPr>
            </w:pPr>
          </w:p>
        </w:tc>
      </w:tr>
      <w:tr w14:paraId="4F7EAD4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1540" w:hRule="atLeast"/>
          <w:jc w:val="center"/>
        </w:trPr>
        <w:tc>
          <w:tcPr>
            <w:tcW w:w="1598" w:type="dxa"/>
            <w:vAlign w:val="center"/>
          </w:tcPr>
          <w:p w14:paraId="0DC01799">
            <w:pPr>
              <w:numPr>
                <w:ilvl w:val="0"/>
                <w:numId w:val="1"/>
              </w:numPr>
              <w:snapToGrid w:val="0"/>
              <w:rPr>
                <w:sz w:val="24"/>
                <w:szCs w:val="24"/>
              </w:rPr>
            </w:pPr>
            <w:r>
              <w:rPr>
                <w:rFonts w:hint="eastAsia"/>
                <w:sz w:val="24"/>
                <w:szCs w:val="24"/>
              </w:rPr>
              <w:t>货物验收标准</w:t>
            </w:r>
          </w:p>
        </w:tc>
        <w:tc>
          <w:tcPr>
            <w:tcW w:w="6768" w:type="dxa"/>
            <w:tcBorders>
              <w:bottom w:val="single" w:color="auto" w:sz="4" w:space="0"/>
            </w:tcBorders>
            <w:vAlign w:val="center"/>
          </w:tcPr>
          <w:p w14:paraId="21A0F5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color w:val="000000"/>
                <w:sz w:val="24"/>
                <w:szCs w:val="24"/>
              </w:rPr>
            </w:pPr>
            <w:r>
              <w:rPr>
                <w:rFonts w:hint="eastAsia" w:hAnsi="宋体"/>
                <w:sz w:val="24"/>
                <w:szCs w:val="24"/>
                <w:lang w:val="en-US" w:eastAsia="zh-CN"/>
              </w:rPr>
              <w:t>5.1</w:t>
            </w:r>
            <w:r>
              <w:rPr>
                <w:rFonts w:ascii="宋体" w:hAnsi="宋体" w:eastAsia="宋体" w:cs="宋体"/>
                <w:color w:val="000000"/>
                <w:kern w:val="0"/>
                <w:sz w:val="24"/>
                <w:szCs w:val="24"/>
                <w:lang w:val="en-US" w:eastAsia="zh-CN" w:bidi="ar"/>
              </w:rPr>
              <w:t>货物运抵指定交货地点后，采购方有权对货物的数量、规格、外观、包装及随附资料进行现场清点验收。中标方须派专人到场配合验收工作。</w:t>
            </w:r>
          </w:p>
          <w:p w14:paraId="563EABD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color w:val="000000"/>
                <w:sz w:val="24"/>
                <w:szCs w:val="24"/>
              </w:rPr>
            </w:pPr>
            <w:r>
              <w:rPr>
                <w:rFonts w:hint="eastAsia" w:hAnsi="宋体"/>
                <w:sz w:val="24"/>
                <w:szCs w:val="24"/>
                <w:lang w:val="en-US" w:eastAsia="zh-CN"/>
              </w:rPr>
              <w:t>5.2</w:t>
            </w:r>
            <w:r>
              <w:rPr>
                <w:rFonts w:ascii="宋体" w:hAnsi="宋体" w:eastAsia="宋体" w:cs="宋体"/>
                <w:color w:val="000000"/>
                <w:kern w:val="0"/>
                <w:sz w:val="24"/>
                <w:szCs w:val="24"/>
                <w:lang w:val="en-US" w:eastAsia="zh-CN" w:bidi="ar"/>
              </w:rPr>
              <w:t>采购方将委托第三方检测单位对中标方交付的医疗废物周转桶进行抽样检测，检测项目包括但不限于：跌落性能、堆码性能、密封性能、耐穿刺性能、耐高低温性能等。若检测结果不合格，中标方须无条件免费更换全部不合格产品，并承担由此产生的所有费用及违约责任。</w:t>
            </w:r>
          </w:p>
          <w:p w14:paraId="71A45B6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ascii="宋体" w:hAnsi="宋体" w:eastAsia="宋体" w:cs="宋体"/>
                <w:color w:val="000000"/>
                <w:kern w:val="0"/>
                <w:sz w:val="24"/>
                <w:szCs w:val="24"/>
                <w:lang w:val="en-US" w:eastAsia="zh-CN" w:bidi="ar"/>
              </w:rPr>
            </w:pPr>
            <w:r>
              <w:rPr>
                <w:rFonts w:hint="eastAsia" w:hAnsi="宋体"/>
                <w:sz w:val="24"/>
                <w:szCs w:val="24"/>
                <w:lang w:val="en-US" w:eastAsia="zh-CN"/>
              </w:rPr>
              <w:t>5.3</w:t>
            </w:r>
            <w:r>
              <w:rPr>
                <w:rFonts w:ascii="宋体" w:hAnsi="宋体" w:eastAsia="宋体" w:cs="宋体"/>
                <w:color w:val="000000"/>
                <w:kern w:val="0"/>
                <w:sz w:val="24"/>
                <w:szCs w:val="24"/>
                <w:lang w:val="en-US" w:eastAsia="zh-CN" w:bidi="ar"/>
              </w:rPr>
              <w:t>若中标方交付的产品存在掺杂、掺假、以次充好、以旧充新、伪造生产日期或检验报告等问题，采购方有权单方面解除合同，没收履约保证金，并追究中标方的法律责任。</w:t>
            </w:r>
          </w:p>
          <w:p w14:paraId="6D852B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asciiTheme="minorEastAsia" w:hAnsiTheme="minorEastAsia" w:cstheme="minorEastAsia"/>
                <w:sz w:val="24"/>
                <w:szCs w:val="24"/>
              </w:rPr>
            </w:pPr>
            <w:r>
              <w:rPr>
                <w:rFonts w:hint="eastAsia" w:hAnsi="宋体"/>
                <w:sz w:val="24"/>
                <w:szCs w:val="24"/>
                <w:lang w:val="en-US" w:eastAsia="zh-CN"/>
              </w:rPr>
              <w:t>5.4</w:t>
            </w:r>
            <w:r>
              <w:rPr>
                <w:rFonts w:hint="eastAsia" w:hAnsi="宋体"/>
                <w:sz w:val="24"/>
                <w:szCs w:val="24"/>
              </w:rPr>
              <w:t>中标人负责安装，完成安装后，经</w:t>
            </w:r>
            <w:r>
              <w:rPr>
                <w:rFonts w:hint="eastAsia" w:hAnsi="宋体"/>
                <w:sz w:val="24"/>
                <w:szCs w:val="24"/>
                <w:lang w:val="en-US" w:eastAsia="zh-CN"/>
              </w:rPr>
              <w:t>需方</w:t>
            </w:r>
            <w:r>
              <w:rPr>
                <w:rFonts w:hint="eastAsia" w:hAnsi="宋体"/>
                <w:sz w:val="24"/>
                <w:szCs w:val="24"/>
              </w:rPr>
              <w:t>连续安全稳定运行30天。</w:t>
            </w:r>
          </w:p>
        </w:tc>
        <w:tc>
          <w:tcPr>
            <w:tcW w:w="1414" w:type="dxa"/>
            <w:vAlign w:val="center"/>
          </w:tcPr>
          <w:p w14:paraId="51A7292E">
            <w:pPr>
              <w:snapToGrid w:val="0"/>
              <w:jc w:val="center"/>
              <w:rPr>
                <w:sz w:val="24"/>
                <w:szCs w:val="24"/>
              </w:rPr>
            </w:pPr>
            <w:r>
              <w:rPr>
                <w:rFonts w:hint="eastAsia"/>
                <w:sz w:val="24"/>
                <w:szCs w:val="24"/>
              </w:rPr>
              <w:t>不可偏离</w:t>
            </w:r>
          </w:p>
        </w:tc>
      </w:tr>
      <w:tr w14:paraId="4ACFDE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752" w:hRule="atLeast"/>
          <w:jc w:val="center"/>
        </w:trPr>
        <w:tc>
          <w:tcPr>
            <w:tcW w:w="1598" w:type="dxa"/>
            <w:vMerge w:val="restart"/>
            <w:vAlign w:val="center"/>
          </w:tcPr>
          <w:p w14:paraId="02D4873B">
            <w:pPr>
              <w:numPr>
                <w:ilvl w:val="0"/>
                <w:numId w:val="1"/>
              </w:numPr>
              <w:snapToGrid w:val="0"/>
              <w:jc w:val="center"/>
              <w:rPr>
                <w:sz w:val="24"/>
                <w:szCs w:val="24"/>
              </w:rPr>
            </w:pPr>
            <w:r>
              <w:rPr>
                <w:rFonts w:hint="eastAsia"/>
                <w:sz w:val="24"/>
                <w:szCs w:val="24"/>
              </w:rPr>
              <w:t>付款方式</w:t>
            </w:r>
          </w:p>
        </w:tc>
        <w:tc>
          <w:tcPr>
            <w:tcW w:w="6768" w:type="dxa"/>
            <w:tcBorders>
              <w:bottom w:val="single" w:color="auto" w:sz="4" w:space="0"/>
            </w:tcBorders>
            <w:vAlign w:val="center"/>
          </w:tcPr>
          <w:p w14:paraId="1BAC9C86">
            <w:pPr>
              <w:pStyle w:val="4"/>
              <w:spacing w:before="0" w:after="0" w:line="480" w:lineRule="exact"/>
              <w:rPr>
                <w:rFonts w:hint="eastAsia" w:eastAsia="宋体" w:asciiTheme="minorEastAsia" w:hAnsiTheme="minorEastAsia" w:cstheme="minorEastAsia"/>
                <w:sz w:val="24"/>
                <w:szCs w:val="24"/>
                <w:lang w:val="en-US" w:eastAsia="zh-CN"/>
              </w:rPr>
            </w:pPr>
            <w:r>
              <w:rPr>
                <w:rFonts w:hint="eastAsia" w:hAnsi="宋体"/>
                <w:b w:val="0"/>
                <w:bCs w:val="0"/>
                <w:sz w:val="24"/>
                <w:szCs w:val="24"/>
                <w:lang w:val="en-US" w:eastAsia="zh-CN"/>
              </w:rPr>
              <w:t>6.1</w:t>
            </w:r>
            <w:r>
              <w:rPr>
                <w:rStyle w:val="24"/>
                <w:rFonts w:hint="eastAsia" w:ascii="宋体" w:hAnsi="宋体" w:eastAsia="宋体" w:cs="宋体"/>
                <w:b w:val="0"/>
                <w:bCs w:val="0"/>
                <w:color w:val="000000"/>
                <w:sz w:val="24"/>
                <w:szCs w:val="24"/>
              </w:rPr>
              <w:t>中标人负责按需送货，采购人验收合格签收后</w:t>
            </w:r>
            <w:r>
              <w:rPr>
                <w:rStyle w:val="24"/>
                <w:rFonts w:hint="eastAsia" w:ascii="宋体" w:hAnsi="宋体" w:eastAsia="宋体" w:cs="宋体"/>
                <w:b w:val="0"/>
                <w:bCs w:val="0"/>
                <w:color w:val="000000"/>
                <w:sz w:val="24"/>
                <w:szCs w:val="24"/>
                <w:lang w:eastAsia="zh-CN"/>
              </w:rPr>
              <w:t>。</w:t>
            </w:r>
          </w:p>
        </w:tc>
        <w:tc>
          <w:tcPr>
            <w:tcW w:w="1414" w:type="dxa"/>
            <w:vMerge w:val="restart"/>
            <w:vAlign w:val="center"/>
          </w:tcPr>
          <w:p w14:paraId="35788DBA">
            <w:pPr>
              <w:snapToGrid w:val="0"/>
              <w:jc w:val="center"/>
              <w:rPr>
                <w:sz w:val="24"/>
                <w:szCs w:val="24"/>
              </w:rPr>
            </w:pPr>
            <w:r>
              <w:rPr>
                <w:rFonts w:hint="eastAsia"/>
                <w:sz w:val="24"/>
                <w:szCs w:val="24"/>
              </w:rPr>
              <w:t>不可偏离</w:t>
            </w:r>
          </w:p>
        </w:tc>
      </w:tr>
      <w:tr w14:paraId="72F2CC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90" w:hRule="atLeast"/>
          <w:jc w:val="center"/>
        </w:trPr>
        <w:tc>
          <w:tcPr>
            <w:tcW w:w="1598" w:type="dxa"/>
            <w:vMerge w:val="continue"/>
            <w:vAlign w:val="center"/>
          </w:tcPr>
          <w:p w14:paraId="6B7881E1">
            <w:pPr>
              <w:snapToGrid w:val="0"/>
              <w:jc w:val="center"/>
              <w:rPr>
                <w:sz w:val="24"/>
                <w:szCs w:val="24"/>
              </w:rPr>
            </w:pPr>
          </w:p>
        </w:tc>
        <w:tc>
          <w:tcPr>
            <w:tcW w:w="6768" w:type="dxa"/>
            <w:vAlign w:val="center"/>
          </w:tcPr>
          <w:p w14:paraId="16D29734">
            <w:pPr>
              <w:tabs>
                <w:tab w:val="left" w:pos="420"/>
              </w:tabs>
              <w:jc w:val="left"/>
              <w:rPr>
                <w:rFonts w:hint="eastAsia" w:asciiTheme="minorEastAsia" w:hAnsiTheme="minorEastAsia" w:eastAsiaTheme="minorEastAsia" w:cstheme="minorEastAsia"/>
                <w:sz w:val="24"/>
                <w:szCs w:val="24"/>
                <w:highlight w:val="none"/>
                <w:lang w:val="en-US" w:eastAsia="zh-CN"/>
              </w:rPr>
            </w:pPr>
            <w:r>
              <w:rPr>
                <w:rFonts w:hint="eastAsia" w:hAnsi="宋体"/>
                <w:sz w:val="24"/>
                <w:szCs w:val="24"/>
                <w:lang w:val="en-US" w:eastAsia="zh-CN"/>
              </w:rPr>
              <w:t>6.2</w:t>
            </w:r>
            <w:r>
              <w:rPr>
                <w:rFonts w:hint="eastAsia" w:asciiTheme="minorEastAsia" w:hAnsiTheme="minorEastAsia" w:cstheme="minorEastAsia"/>
                <w:sz w:val="24"/>
                <w:szCs w:val="24"/>
              </w:rPr>
              <w:t>中标方负责</w:t>
            </w:r>
            <w:r>
              <w:rPr>
                <w:rFonts w:hint="eastAsia" w:asciiTheme="minorEastAsia" w:hAnsiTheme="minorEastAsia" w:cstheme="minorEastAsia"/>
                <w:sz w:val="24"/>
                <w:szCs w:val="24"/>
                <w:lang w:eastAsia="zh-CN"/>
              </w:rPr>
              <w:t>货物</w:t>
            </w:r>
            <w:r>
              <w:rPr>
                <w:rFonts w:hint="eastAsia" w:asciiTheme="minorEastAsia" w:hAnsiTheme="minorEastAsia" w:cstheme="minorEastAsia"/>
                <w:sz w:val="24"/>
                <w:szCs w:val="24"/>
              </w:rPr>
              <w:t>的</w:t>
            </w:r>
            <w:r>
              <w:rPr>
                <w:rFonts w:hint="eastAsia" w:asciiTheme="minorEastAsia" w:hAnsiTheme="minorEastAsia" w:cstheme="minorEastAsia"/>
                <w:sz w:val="24"/>
                <w:szCs w:val="24"/>
                <w:lang w:val="en-US" w:eastAsia="zh-CN"/>
              </w:rPr>
              <w:t>卸货</w:t>
            </w:r>
            <w:r>
              <w:rPr>
                <w:rFonts w:hint="eastAsia" w:asciiTheme="minorEastAsia" w:hAnsiTheme="minorEastAsia" w:cstheme="minorEastAsia"/>
                <w:sz w:val="24"/>
                <w:szCs w:val="24"/>
              </w:rPr>
              <w:t>，经招标方验收合格后，中标方按</w:t>
            </w:r>
            <w:r>
              <w:rPr>
                <w:rFonts w:hint="eastAsia" w:asciiTheme="minorEastAsia" w:hAnsiTheme="minorEastAsia" w:cstheme="minorEastAsia"/>
                <w:sz w:val="24"/>
                <w:szCs w:val="24"/>
                <w:lang w:eastAsia="zh-CN"/>
              </w:rPr>
              <w:t>实际</w:t>
            </w:r>
            <w:r>
              <w:rPr>
                <w:rFonts w:hint="eastAsia" w:asciiTheme="minorEastAsia" w:hAnsiTheme="minorEastAsia" w:cstheme="minorEastAsia"/>
                <w:sz w:val="24"/>
                <w:szCs w:val="24"/>
                <w:lang w:val="en-US" w:eastAsia="zh-CN"/>
              </w:rPr>
              <w:t>供货商品结算金额</w:t>
            </w:r>
            <w:r>
              <w:rPr>
                <w:rFonts w:hint="eastAsia" w:asciiTheme="minorEastAsia" w:hAnsiTheme="minorEastAsia" w:cstheme="minorEastAsia"/>
                <w:sz w:val="24"/>
                <w:szCs w:val="24"/>
              </w:rPr>
              <w:t>开具13%增值税</w:t>
            </w:r>
            <w:r>
              <w:rPr>
                <w:rFonts w:hint="eastAsia" w:asciiTheme="minorEastAsia" w:hAnsiTheme="minorEastAsia" w:cstheme="minorEastAsia"/>
                <w:sz w:val="24"/>
                <w:szCs w:val="24"/>
                <w:lang w:val="en-US" w:eastAsia="zh-CN"/>
              </w:rPr>
              <w:t>全额</w:t>
            </w:r>
            <w:r>
              <w:rPr>
                <w:rFonts w:hint="eastAsia" w:asciiTheme="minorEastAsia" w:hAnsiTheme="minorEastAsia" w:cstheme="minorEastAsia"/>
                <w:sz w:val="24"/>
                <w:szCs w:val="24"/>
              </w:rPr>
              <w:t>专用发票，招标方在收到发票后</w:t>
            </w:r>
            <w:r>
              <w:rPr>
                <w:rFonts w:hint="eastAsia" w:asciiTheme="minorEastAsia" w:hAnsiTheme="minorEastAsia" w:cstheme="minorEastAsia"/>
                <w:sz w:val="24"/>
                <w:szCs w:val="24"/>
                <w:lang w:val="en-US" w:eastAsia="zh-CN"/>
              </w:rPr>
              <w:t>3</w:t>
            </w:r>
            <w:r>
              <w:rPr>
                <w:rFonts w:hint="eastAsia" w:asciiTheme="minorEastAsia" w:hAnsiTheme="minorEastAsia" w:cstheme="minorEastAsia"/>
                <w:sz w:val="24"/>
                <w:szCs w:val="24"/>
              </w:rPr>
              <w:t>0个工作日内支付至</w:t>
            </w:r>
            <w:r>
              <w:rPr>
                <w:rFonts w:hint="eastAsia" w:asciiTheme="minorEastAsia" w:hAnsiTheme="minorEastAsia" w:cstheme="minorEastAsia"/>
                <w:sz w:val="24"/>
                <w:szCs w:val="24"/>
                <w:lang w:eastAsia="zh-CN"/>
              </w:rPr>
              <w:t>实际</w:t>
            </w:r>
            <w:r>
              <w:rPr>
                <w:rFonts w:hint="eastAsia" w:asciiTheme="minorEastAsia" w:hAnsiTheme="minorEastAsia" w:cstheme="minorEastAsia"/>
                <w:sz w:val="24"/>
                <w:szCs w:val="24"/>
                <w:lang w:val="en-US" w:eastAsia="zh-CN"/>
              </w:rPr>
              <w:t>结算</w:t>
            </w:r>
            <w:r>
              <w:rPr>
                <w:rFonts w:hint="eastAsia" w:asciiTheme="minorEastAsia" w:hAnsiTheme="minorEastAsia" w:cstheme="minorEastAsia"/>
                <w:sz w:val="24"/>
                <w:szCs w:val="24"/>
              </w:rPr>
              <w:t>总金额的9</w:t>
            </w:r>
            <w:r>
              <w:rPr>
                <w:rFonts w:hint="eastAsia" w:asciiTheme="minorEastAsia" w:hAnsiTheme="minorEastAsia" w:cstheme="minorEastAsia"/>
                <w:sz w:val="24"/>
                <w:szCs w:val="24"/>
                <w:lang w:val="en-US" w:eastAsia="zh-CN"/>
              </w:rPr>
              <w:t>5</w:t>
            </w:r>
            <w:r>
              <w:rPr>
                <w:rFonts w:hint="eastAsia" w:asciiTheme="minorEastAsia" w:hAnsiTheme="minorEastAsia" w:cstheme="minorEastAsia"/>
                <w:sz w:val="24"/>
                <w:szCs w:val="24"/>
              </w:rPr>
              <w:t>%。</w:t>
            </w:r>
          </w:p>
        </w:tc>
        <w:tc>
          <w:tcPr>
            <w:tcW w:w="1414" w:type="dxa"/>
            <w:vMerge w:val="continue"/>
            <w:vAlign w:val="center"/>
          </w:tcPr>
          <w:p w14:paraId="01285A34">
            <w:pPr>
              <w:snapToGrid w:val="0"/>
              <w:jc w:val="center"/>
              <w:rPr>
                <w:sz w:val="24"/>
                <w:szCs w:val="24"/>
              </w:rPr>
            </w:pPr>
          </w:p>
        </w:tc>
      </w:tr>
      <w:tr w14:paraId="609B3C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107" w:hRule="atLeast"/>
          <w:jc w:val="center"/>
        </w:trPr>
        <w:tc>
          <w:tcPr>
            <w:tcW w:w="1598" w:type="dxa"/>
            <w:vMerge w:val="continue"/>
            <w:vAlign w:val="center"/>
          </w:tcPr>
          <w:p w14:paraId="0B836D47">
            <w:pPr>
              <w:snapToGrid w:val="0"/>
              <w:jc w:val="center"/>
              <w:rPr>
                <w:sz w:val="24"/>
                <w:szCs w:val="24"/>
              </w:rPr>
            </w:pPr>
          </w:p>
        </w:tc>
        <w:tc>
          <w:tcPr>
            <w:tcW w:w="6768" w:type="dxa"/>
            <w:vAlign w:val="center"/>
          </w:tcPr>
          <w:p w14:paraId="410EA2D1">
            <w:pPr>
              <w:tabs>
                <w:tab w:val="left" w:pos="420"/>
              </w:tabs>
              <w:snapToGrid w:val="0"/>
              <w:rPr>
                <w:rFonts w:asciiTheme="minorEastAsia" w:hAnsiTheme="minorEastAsia" w:cstheme="minorEastAsia"/>
                <w:sz w:val="24"/>
                <w:szCs w:val="24"/>
                <w:highlight w:val="none"/>
              </w:rPr>
            </w:pPr>
            <w:r>
              <w:rPr>
                <w:rFonts w:hint="eastAsia" w:hAnsi="宋体"/>
                <w:sz w:val="24"/>
                <w:szCs w:val="24"/>
                <w:lang w:val="en-US" w:eastAsia="zh-CN"/>
              </w:rPr>
              <w:t>6.3</w:t>
            </w:r>
            <w:r>
              <w:rPr>
                <w:rFonts w:hint="eastAsia" w:asciiTheme="minorEastAsia" w:hAnsiTheme="minorEastAsia" w:cstheme="minorEastAsia"/>
                <w:sz w:val="24"/>
                <w:szCs w:val="24"/>
                <w:highlight w:val="none"/>
              </w:rPr>
              <w:t>剩余结算金额的</w:t>
            </w:r>
            <w:r>
              <w:rPr>
                <w:rFonts w:hint="eastAsia" w:asciiTheme="minorEastAsia" w:hAnsiTheme="minorEastAsia" w:cstheme="minorEastAsia"/>
                <w:sz w:val="24"/>
                <w:szCs w:val="24"/>
                <w:highlight w:val="none"/>
                <w:lang w:val="en-US" w:eastAsia="zh-CN"/>
              </w:rPr>
              <w:t>5</w:t>
            </w:r>
            <w:r>
              <w:rPr>
                <w:rFonts w:hint="eastAsia" w:asciiTheme="minorEastAsia" w:hAnsiTheme="minorEastAsia" w:cstheme="minorEastAsia"/>
                <w:sz w:val="24"/>
                <w:szCs w:val="24"/>
                <w:highlight w:val="none"/>
              </w:rPr>
              <w:t>%作为质保金，在</w:t>
            </w:r>
            <w:r>
              <w:rPr>
                <w:rFonts w:hint="eastAsia" w:asciiTheme="minorEastAsia" w:hAnsiTheme="minorEastAsia" w:cstheme="minorEastAsia"/>
                <w:sz w:val="24"/>
                <w:szCs w:val="24"/>
                <w:highlight w:val="none"/>
                <w:lang w:val="en-US" w:eastAsia="zh-CN"/>
              </w:rPr>
              <w:t>投标方</w:t>
            </w:r>
            <w:r>
              <w:rPr>
                <w:rFonts w:hint="eastAsia" w:asciiTheme="minorEastAsia" w:hAnsiTheme="minorEastAsia" w:cstheme="minorEastAsia"/>
                <w:sz w:val="24"/>
                <w:szCs w:val="24"/>
                <w:highlight w:val="none"/>
              </w:rPr>
              <w:t>无质量、权利瑕疵及其他违约情况下，招标人在质保期满后无息支付。</w:t>
            </w:r>
          </w:p>
        </w:tc>
        <w:tc>
          <w:tcPr>
            <w:tcW w:w="1414" w:type="dxa"/>
            <w:vMerge w:val="continue"/>
            <w:vAlign w:val="center"/>
          </w:tcPr>
          <w:p w14:paraId="2C0C2E4E">
            <w:pPr>
              <w:snapToGrid w:val="0"/>
              <w:jc w:val="center"/>
              <w:rPr>
                <w:sz w:val="24"/>
                <w:szCs w:val="24"/>
              </w:rPr>
            </w:pPr>
          </w:p>
        </w:tc>
      </w:tr>
      <w:tr w14:paraId="02248F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842" w:hRule="atLeast"/>
          <w:jc w:val="center"/>
        </w:trPr>
        <w:tc>
          <w:tcPr>
            <w:tcW w:w="1598" w:type="dxa"/>
            <w:vAlign w:val="center"/>
          </w:tcPr>
          <w:p w14:paraId="5393A246">
            <w:pPr>
              <w:numPr>
                <w:ilvl w:val="0"/>
                <w:numId w:val="1"/>
              </w:numPr>
              <w:snapToGrid w:val="0"/>
              <w:jc w:val="center"/>
              <w:rPr>
                <w:sz w:val="24"/>
                <w:szCs w:val="24"/>
              </w:rPr>
            </w:pPr>
            <w:r>
              <w:rPr>
                <w:rFonts w:hint="eastAsia"/>
                <w:sz w:val="24"/>
                <w:szCs w:val="24"/>
              </w:rPr>
              <w:t>违约责任</w:t>
            </w:r>
          </w:p>
        </w:tc>
        <w:tc>
          <w:tcPr>
            <w:tcW w:w="6768" w:type="dxa"/>
            <w:tcBorders>
              <w:top w:val="single" w:color="auto" w:sz="4" w:space="0"/>
            </w:tcBorders>
            <w:vAlign w:val="center"/>
          </w:tcPr>
          <w:p w14:paraId="34B29091">
            <w:pPr>
              <w:tabs>
                <w:tab w:val="left" w:pos="420"/>
              </w:tabs>
              <w:rPr>
                <w:rFonts w:hAnsi="宋体"/>
                <w:sz w:val="24"/>
                <w:szCs w:val="24"/>
              </w:rPr>
            </w:pPr>
            <w:r>
              <w:rPr>
                <w:rFonts w:hint="eastAsia" w:hAnsi="宋体"/>
                <w:sz w:val="24"/>
                <w:szCs w:val="24"/>
              </w:rPr>
              <w:t>7.1中标方不能按时供货</w:t>
            </w:r>
            <w:r>
              <w:rPr>
                <w:rFonts w:hint="eastAsia"/>
                <w:sz w:val="24"/>
                <w:szCs w:val="24"/>
              </w:rPr>
              <w:t>和更换</w:t>
            </w:r>
            <w:r>
              <w:rPr>
                <w:rFonts w:hint="eastAsia" w:hAnsi="宋体"/>
                <w:sz w:val="24"/>
                <w:szCs w:val="24"/>
              </w:rPr>
              <w:t>的，每延迟一日，应向招标方支付合同总价款1‰的违约金，若给招标方造成其他损失的，应负责赔偿；若延迟时间达到10日</w:t>
            </w:r>
            <w:r>
              <w:rPr>
                <w:rFonts w:hint="eastAsia" w:hAnsi="宋体"/>
                <w:sz w:val="24"/>
                <w:szCs w:val="24"/>
                <w:lang w:eastAsia="zh-CN"/>
              </w:rPr>
              <w:t>（</w:t>
            </w:r>
            <w:r>
              <w:rPr>
                <w:rFonts w:hint="eastAsia" w:hAnsi="宋体"/>
                <w:sz w:val="24"/>
                <w:szCs w:val="24"/>
              </w:rPr>
              <w:t>含10日</w:t>
            </w:r>
            <w:r>
              <w:rPr>
                <w:rFonts w:hint="eastAsia" w:hAnsi="宋体"/>
                <w:sz w:val="24"/>
                <w:szCs w:val="24"/>
                <w:lang w:eastAsia="zh-CN"/>
              </w:rPr>
              <w:t>）</w:t>
            </w:r>
            <w:r>
              <w:rPr>
                <w:rFonts w:hint="eastAsia" w:hAnsi="宋体"/>
                <w:sz w:val="24"/>
                <w:szCs w:val="24"/>
              </w:rPr>
              <w:t>以上，视为中标方根本违约，招标方有权解除合同，中标方应退还招标方所付全部款项，并应向招标方支付合同总价款10％的违约金。</w:t>
            </w:r>
          </w:p>
          <w:p w14:paraId="0D9D1A7F">
            <w:pPr>
              <w:tabs>
                <w:tab w:val="left" w:pos="420"/>
              </w:tabs>
              <w:rPr>
                <w:rFonts w:hAnsi="宋体"/>
                <w:sz w:val="24"/>
                <w:szCs w:val="24"/>
              </w:rPr>
            </w:pPr>
            <w:r>
              <w:rPr>
                <w:rFonts w:hint="eastAsia" w:hAnsi="宋体"/>
                <w:sz w:val="24"/>
                <w:szCs w:val="24"/>
              </w:rPr>
              <w:t>7.2若中标方的产品质量和更换不合格，中标方应在10日内负责更换，并按本条第1款的约定向招标方支付延期交货的违约金；若不及时更换或更换后仍不合格，招标方有权解除合同，中标方应退还招标方所付全部款项，并应向招标方支付合同总价款10％的违约金。</w:t>
            </w:r>
          </w:p>
          <w:p w14:paraId="2DF59F4F">
            <w:pPr>
              <w:tabs>
                <w:tab w:val="left" w:pos="420"/>
              </w:tabs>
              <w:rPr>
                <w:rFonts w:hAnsi="宋体"/>
                <w:sz w:val="24"/>
                <w:szCs w:val="24"/>
              </w:rPr>
            </w:pPr>
            <w:r>
              <w:rPr>
                <w:rFonts w:hint="eastAsia" w:hAnsi="宋体"/>
                <w:sz w:val="24"/>
                <w:szCs w:val="24"/>
              </w:rPr>
              <w:t>7.3在质保期内，若产品出现质量问题，招标方有权扣留质保金，中标方应负责维修，费用由中标方承担；若维修后仍存在质量问题，中标方应在10日内负责更换，若不及时更换或更换后仍不合格</w:t>
            </w:r>
            <w:r>
              <w:rPr>
                <w:rFonts w:hint="eastAsia" w:hAnsi="宋体"/>
                <w:sz w:val="24"/>
                <w:szCs w:val="24"/>
                <w:lang w:eastAsia="zh-CN"/>
              </w:rPr>
              <w:t>，</w:t>
            </w:r>
            <w:r>
              <w:rPr>
                <w:rFonts w:hint="eastAsia" w:hAnsi="宋体"/>
                <w:sz w:val="24"/>
                <w:szCs w:val="24"/>
              </w:rPr>
              <w:t>招标方有权解除合同，中标方应退还招标方所付全部款项，且应向招标方支付合同总价款10％的违约金。</w:t>
            </w:r>
          </w:p>
          <w:p w14:paraId="036D1681">
            <w:pPr>
              <w:tabs>
                <w:tab w:val="left" w:pos="420"/>
              </w:tabs>
              <w:rPr>
                <w:sz w:val="24"/>
                <w:szCs w:val="24"/>
              </w:rPr>
            </w:pPr>
            <w:r>
              <w:rPr>
                <w:rFonts w:hint="eastAsia" w:hAnsi="宋体"/>
                <w:sz w:val="24"/>
                <w:szCs w:val="24"/>
              </w:rPr>
              <w:t>7.4合同签订后，中标方擅自解除或变更合同的，应向招标方支付合同总价款10％的违约金；若中标方收到预付款后解除或变更合同的，除向招标方支付合同总价款10％的违约金外，还应退还招标方所付全部款项。</w:t>
            </w:r>
          </w:p>
          <w:p w14:paraId="72736B33">
            <w:pPr>
              <w:tabs>
                <w:tab w:val="left" w:pos="420"/>
              </w:tabs>
            </w:pPr>
            <w:r>
              <w:rPr>
                <w:rFonts w:hint="eastAsia" w:hAnsi="宋体"/>
                <w:sz w:val="24"/>
                <w:szCs w:val="24"/>
              </w:rPr>
              <w:t>7.5如中标方送货时掺杂、掺假、以次充好或者以不合格产品冒充合格产品，中标方应负责更换或退货，并向招标方支付该批货款1倍的违约金。</w:t>
            </w:r>
          </w:p>
        </w:tc>
        <w:tc>
          <w:tcPr>
            <w:tcW w:w="1414" w:type="dxa"/>
            <w:vAlign w:val="center"/>
          </w:tcPr>
          <w:p w14:paraId="09443FB0">
            <w:pPr>
              <w:snapToGrid w:val="0"/>
              <w:jc w:val="center"/>
              <w:rPr>
                <w:sz w:val="24"/>
                <w:szCs w:val="24"/>
              </w:rPr>
            </w:pPr>
            <w:r>
              <w:rPr>
                <w:rFonts w:hint="eastAsia"/>
                <w:sz w:val="24"/>
                <w:szCs w:val="24"/>
              </w:rPr>
              <w:t>不可偏离</w:t>
            </w:r>
          </w:p>
        </w:tc>
      </w:tr>
      <w:tr w14:paraId="7AA27A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574" w:hRule="atLeast"/>
          <w:jc w:val="center"/>
        </w:trPr>
        <w:tc>
          <w:tcPr>
            <w:tcW w:w="1598" w:type="dxa"/>
            <w:vAlign w:val="center"/>
          </w:tcPr>
          <w:p w14:paraId="05B5E5B5">
            <w:pPr>
              <w:numPr>
                <w:ilvl w:val="0"/>
                <w:numId w:val="1"/>
              </w:numPr>
              <w:snapToGrid w:val="0"/>
              <w:jc w:val="center"/>
              <w:rPr>
                <w:sz w:val="24"/>
                <w:szCs w:val="24"/>
              </w:rPr>
            </w:pPr>
            <w:r>
              <w:rPr>
                <w:rFonts w:hint="eastAsia"/>
                <w:sz w:val="24"/>
                <w:szCs w:val="24"/>
              </w:rPr>
              <w:t>质保期</w:t>
            </w:r>
          </w:p>
        </w:tc>
        <w:tc>
          <w:tcPr>
            <w:tcW w:w="6768" w:type="dxa"/>
            <w:vAlign w:val="center"/>
          </w:tcPr>
          <w:p w14:paraId="18542B54">
            <w:pPr>
              <w:spacing w:beforeLines="50"/>
              <w:rPr>
                <w:bCs/>
                <w:sz w:val="24"/>
                <w:szCs w:val="24"/>
              </w:rPr>
            </w:pPr>
            <w:r>
              <w:rPr>
                <w:bCs/>
                <w:sz w:val="24"/>
                <w:szCs w:val="24"/>
              </w:rPr>
              <w:t>产品</w:t>
            </w:r>
            <w:r>
              <w:rPr>
                <w:rFonts w:hint="eastAsia"/>
                <w:bCs/>
                <w:sz w:val="24"/>
                <w:szCs w:val="24"/>
              </w:rPr>
              <w:t>自</w:t>
            </w:r>
            <w:r>
              <w:rPr>
                <w:bCs/>
                <w:sz w:val="24"/>
                <w:szCs w:val="24"/>
              </w:rPr>
              <w:t>合格验收之日起享</w:t>
            </w:r>
            <w:r>
              <w:rPr>
                <w:rFonts w:hint="eastAsia"/>
                <w:bCs/>
                <w:sz w:val="24"/>
                <w:szCs w:val="24"/>
              </w:rPr>
              <w:t>受一</w:t>
            </w:r>
            <w:r>
              <w:rPr>
                <w:bCs/>
                <w:sz w:val="24"/>
                <w:szCs w:val="24"/>
              </w:rPr>
              <w:t>年</w:t>
            </w:r>
            <w:r>
              <w:rPr>
                <w:rFonts w:hint="eastAsia"/>
                <w:bCs/>
                <w:sz w:val="24"/>
                <w:szCs w:val="24"/>
              </w:rPr>
              <w:t>的</w:t>
            </w:r>
            <w:r>
              <w:rPr>
                <w:bCs/>
                <w:sz w:val="24"/>
                <w:szCs w:val="24"/>
              </w:rPr>
              <w:t>质保</w:t>
            </w:r>
            <w:r>
              <w:rPr>
                <w:rFonts w:hint="eastAsia"/>
                <w:bCs/>
                <w:sz w:val="24"/>
                <w:szCs w:val="24"/>
              </w:rPr>
              <w:t>期</w:t>
            </w:r>
            <w:r>
              <w:rPr>
                <w:bCs/>
                <w:sz w:val="24"/>
                <w:szCs w:val="24"/>
              </w:rPr>
              <w:t>，</w:t>
            </w:r>
            <w:r>
              <w:rPr>
                <w:rFonts w:hint="eastAsia"/>
                <w:bCs/>
                <w:sz w:val="24"/>
                <w:szCs w:val="24"/>
              </w:rPr>
              <w:t>并提供优惠的后期维保方案。</w:t>
            </w:r>
            <w:r>
              <w:rPr>
                <w:bCs/>
                <w:sz w:val="24"/>
                <w:szCs w:val="24"/>
              </w:rPr>
              <w:t>质保期内产品出现质量问题，</w:t>
            </w:r>
            <w:r>
              <w:rPr>
                <w:rFonts w:hint="eastAsia"/>
                <w:bCs/>
                <w:sz w:val="24"/>
                <w:szCs w:val="24"/>
              </w:rPr>
              <w:t>中标</w:t>
            </w:r>
            <w:r>
              <w:rPr>
                <w:bCs/>
                <w:sz w:val="24"/>
                <w:szCs w:val="24"/>
              </w:rPr>
              <w:t>方应负责免费维修。</w:t>
            </w:r>
          </w:p>
        </w:tc>
        <w:tc>
          <w:tcPr>
            <w:tcW w:w="1414" w:type="dxa"/>
            <w:vAlign w:val="center"/>
          </w:tcPr>
          <w:p w14:paraId="19A4AD49">
            <w:pPr>
              <w:snapToGrid w:val="0"/>
              <w:jc w:val="center"/>
              <w:rPr>
                <w:sz w:val="24"/>
                <w:szCs w:val="24"/>
              </w:rPr>
            </w:pPr>
            <w:r>
              <w:rPr>
                <w:rFonts w:hint="eastAsia"/>
                <w:sz w:val="24"/>
                <w:szCs w:val="24"/>
              </w:rPr>
              <w:t>不可偏离</w:t>
            </w:r>
          </w:p>
        </w:tc>
      </w:tr>
      <w:tr w14:paraId="7BF492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418" w:hRule="atLeast"/>
          <w:jc w:val="center"/>
        </w:trPr>
        <w:tc>
          <w:tcPr>
            <w:tcW w:w="1598" w:type="dxa"/>
            <w:vAlign w:val="center"/>
          </w:tcPr>
          <w:p w14:paraId="330D5D08">
            <w:pPr>
              <w:numPr>
                <w:ilvl w:val="0"/>
                <w:numId w:val="1"/>
              </w:numPr>
              <w:snapToGrid w:val="0"/>
              <w:jc w:val="center"/>
              <w:rPr>
                <w:sz w:val="24"/>
                <w:szCs w:val="24"/>
              </w:rPr>
            </w:pPr>
            <w:r>
              <w:rPr>
                <w:rFonts w:hint="eastAsia"/>
                <w:sz w:val="24"/>
                <w:szCs w:val="24"/>
              </w:rPr>
              <w:t>售后服务</w:t>
            </w:r>
          </w:p>
        </w:tc>
        <w:tc>
          <w:tcPr>
            <w:tcW w:w="6768" w:type="dxa"/>
            <w:vAlign w:val="center"/>
          </w:tcPr>
          <w:p w14:paraId="2CD857D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ascii="宋体" w:hAnsi="宋体" w:eastAsia="宋体" w:cs="宋体"/>
                <w:b w:val="0"/>
                <w:bCs w:val="0"/>
                <w:color w:val="000000"/>
                <w:sz w:val="24"/>
                <w:szCs w:val="24"/>
              </w:rPr>
            </w:pPr>
            <w:r>
              <w:rPr>
                <w:rFonts w:hint="eastAsia" w:hAnsi="宋体" w:asciiTheme="minorHAnsi" w:eastAsiaTheme="minorEastAsia" w:cstheme="minorBidi"/>
                <w:b w:val="0"/>
                <w:bCs w:val="0"/>
                <w:kern w:val="2"/>
                <w:sz w:val="24"/>
                <w:szCs w:val="24"/>
                <w:lang w:val="en-US" w:eastAsia="zh-CN" w:bidi="ar-SA"/>
              </w:rPr>
              <w:t>9.1</w:t>
            </w:r>
            <w:r>
              <w:rPr>
                <w:rFonts w:hint="eastAsia" w:ascii="宋体" w:hAnsi="宋体" w:eastAsia="宋体" w:cs="宋体"/>
                <w:b w:val="0"/>
                <w:bCs w:val="0"/>
                <w:color w:val="000000"/>
                <w:sz w:val="24"/>
                <w:szCs w:val="24"/>
              </w:rPr>
              <w:t>质保期承诺</w:t>
            </w:r>
            <w:r>
              <w:rPr>
                <w:rFonts w:hint="eastAsia" w:ascii="宋体" w:hAnsi="宋体" w:eastAsia="宋体" w:cs="宋体"/>
                <w:b w:val="0"/>
                <w:bCs w:val="0"/>
                <w:color w:val="000000"/>
                <w:kern w:val="0"/>
                <w:sz w:val="24"/>
                <w:szCs w:val="24"/>
                <w:lang w:val="en-US" w:eastAsia="zh-CN" w:bidi="ar"/>
              </w:rPr>
              <w:t>本项目提供</w:t>
            </w:r>
            <w:r>
              <w:rPr>
                <w:rStyle w:val="24"/>
                <w:rFonts w:hint="eastAsia" w:ascii="宋体" w:hAnsi="宋体" w:eastAsia="宋体" w:cs="宋体"/>
                <w:b w:val="0"/>
                <w:bCs w:val="0"/>
                <w:color w:val="000000"/>
                <w:kern w:val="0"/>
                <w:sz w:val="24"/>
                <w:szCs w:val="24"/>
                <w:lang w:val="en-US" w:eastAsia="zh-CN" w:bidi="ar"/>
              </w:rPr>
              <w:t>1年</w:t>
            </w:r>
            <w:r>
              <w:rPr>
                <w:rFonts w:hint="eastAsia" w:ascii="宋体" w:hAnsi="宋体" w:eastAsia="宋体" w:cs="宋体"/>
                <w:b w:val="0"/>
                <w:bCs w:val="0"/>
                <w:color w:val="000000"/>
                <w:kern w:val="0"/>
                <w:sz w:val="24"/>
                <w:szCs w:val="24"/>
                <w:lang w:val="en-US" w:eastAsia="zh-CN" w:bidi="ar"/>
              </w:rPr>
              <w:t>的免费质量质保期，质保期自货物最终验收合格之日起计算。质保期内，凡因产品本身质量问题导致的损坏、变形、渗漏、开裂等故障，中标方均提供免费更换及维修服务。</w:t>
            </w:r>
          </w:p>
          <w:p w14:paraId="6792C61C">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hAnsi="宋体" w:asciiTheme="minorHAnsi" w:eastAsiaTheme="minorEastAsia" w:cstheme="minorBidi"/>
                <w:b w:val="0"/>
                <w:bCs w:val="0"/>
                <w:kern w:val="2"/>
                <w:sz w:val="24"/>
                <w:szCs w:val="24"/>
                <w:lang w:val="en-US" w:eastAsia="zh-CN" w:bidi="ar-SA"/>
              </w:rPr>
            </w:pPr>
          </w:p>
          <w:p w14:paraId="114A7B3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ascii="宋体" w:hAnsi="宋体" w:eastAsia="宋体" w:cs="宋体"/>
                <w:color w:val="000000"/>
                <w:sz w:val="24"/>
                <w:szCs w:val="24"/>
              </w:rPr>
            </w:pPr>
            <w:r>
              <w:rPr>
                <w:rFonts w:hint="eastAsia" w:hAnsi="宋体" w:asciiTheme="minorHAnsi" w:eastAsiaTheme="minorEastAsia" w:cstheme="minorBidi"/>
                <w:b w:val="0"/>
                <w:bCs w:val="0"/>
                <w:kern w:val="2"/>
                <w:sz w:val="24"/>
                <w:szCs w:val="24"/>
                <w:lang w:val="en-US" w:eastAsia="zh-CN" w:bidi="ar-SA"/>
              </w:rPr>
              <w:t>9.2</w:t>
            </w:r>
            <w:r>
              <w:rPr>
                <w:rFonts w:hint="eastAsia" w:ascii="宋体" w:hAnsi="宋体" w:eastAsia="宋体" w:cs="宋体"/>
                <w:color w:val="000000"/>
                <w:sz w:val="24"/>
                <w:szCs w:val="24"/>
              </w:rPr>
              <w:t xml:space="preserve"> </w:t>
            </w:r>
            <w:r>
              <w:rPr>
                <w:rFonts w:hint="eastAsia" w:ascii="宋体" w:hAnsi="宋体" w:eastAsia="宋体" w:cs="宋体"/>
                <w:b w:val="0"/>
                <w:bCs w:val="0"/>
                <w:color w:val="000000"/>
                <w:sz w:val="24"/>
                <w:szCs w:val="24"/>
              </w:rPr>
              <w:t>服务响应机制</w:t>
            </w:r>
            <w:r>
              <w:rPr>
                <w:rFonts w:hint="eastAsia" w:ascii="宋体" w:hAnsi="宋体" w:eastAsia="宋体" w:cs="宋体"/>
                <w:b w:val="0"/>
                <w:bCs w:val="0"/>
                <w:color w:val="000000"/>
                <w:kern w:val="0"/>
                <w:sz w:val="24"/>
                <w:szCs w:val="24"/>
                <w:lang w:val="en-US" w:eastAsia="zh-CN" w:bidi="ar"/>
              </w:rPr>
              <w:t>在质保期内，中标方须建立 7×24 小时售后服务热线，接到采购方故障通知或服务需求后，</w:t>
            </w:r>
            <w:r>
              <w:rPr>
                <w:rStyle w:val="24"/>
                <w:rFonts w:hint="eastAsia" w:ascii="宋体" w:hAnsi="宋体" w:eastAsia="宋体" w:cs="宋体"/>
                <w:b w:val="0"/>
                <w:bCs w:val="0"/>
                <w:color w:val="000000"/>
                <w:kern w:val="0"/>
                <w:sz w:val="24"/>
                <w:szCs w:val="24"/>
                <w:lang w:val="en-US" w:eastAsia="zh-CN" w:bidi="ar"/>
              </w:rPr>
              <w:t>4 小时内必须给予电话响应</w:t>
            </w:r>
            <w:r>
              <w:rPr>
                <w:rFonts w:hint="eastAsia" w:ascii="宋体" w:hAnsi="宋体" w:eastAsia="宋体" w:cs="宋体"/>
                <w:b w:val="0"/>
                <w:bCs w:val="0"/>
                <w:color w:val="000000"/>
                <w:kern w:val="0"/>
                <w:sz w:val="24"/>
                <w:szCs w:val="24"/>
                <w:lang w:val="en-US" w:eastAsia="zh-CN" w:bidi="ar"/>
              </w:rPr>
              <w:t>，明确故障处理方案；如需现场处理，</w:t>
            </w:r>
            <w:r>
              <w:rPr>
                <w:rStyle w:val="24"/>
                <w:rFonts w:hint="eastAsia" w:ascii="宋体" w:hAnsi="宋体" w:eastAsia="宋体" w:cs="宋体"/>
                <w:b w:val="0"/>
                <w:bCs w:val="0"/>
                <w:color w:val="000000"/>
                <w:kern w:val="0"/>
                <w:sz w:val="24"/>
                <w:szCs w:val="24"/>
                <w:lang w:val="en-US" w:eastAsia="zh-CN" w:bidi="ar"/>
              </w:rPr>
              <w:t>48 小时内须派专业人员赶到交货现场</w:t>
            </w:r>
            <w:r>
              <w:rPr>
                <w:rFonts w:hint="eastAsia" w:ascii="宋体" w:hAnsi="宋体" w:eastAsia="宋体" w:cs="宋体"/>
                <w:b w:val="0"/>
                <w:bCs w:val="0"/>
                <w:color w:val="000000"/>
                <w:kern w:val="0"/>
                <w:sz w:val="24"/>
                <w:szCs w:val="24"/>
                <w:lang w:val="en-US" w:eastAsia="zh-CN" w:bidi="ar"/>
              </w:rPr>
              <w:t>。现场服务产生的所有费用，包括但不限于人工费、差旅费、备品备件费、运输费等，全部由中标方承担</w:t>
            </w:r>
            <w:r>
              <w:rPr>
                <w:rFonts w:hint="eastAsia" w:ascii="宋体" w:hAnsi="宋体" w:eastAsia="宋体" w:cs="宋体"/>
                <w:color w:val="000000"/>
                <w:kern w:val="0"/>
                <w:sz w:val="24"/>
                <w:szCs w:val="24"/>
                <w:lang w:val="en-US" w:eastAsia="zh-CN" w:bidi="ar"/>
              </w:rPr>
              <w:t>。</w:t>
            </w:r>
          </w:p>
          <w:p w14:paraId="0FB3562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hAnsi="宋体" w:asciiTheme="minorHAnsi" w:eastAsiaTheme="minorEastAsia" w:cstheme="minorBidi"/>
                <w:b w:val="0"/>
                <w:bCs w:val="0"/>
                <w:kern w:val="2"/>
                <w:sz w:val="24"/>
                <w:szCs w:val="24"/>
                <w:lang w:val="en-US" w:eastAsia="zh-CN" w:bidi="ar-SA"/>
              </w:rPr>
            </w:pPr>
          </w:p>
          <w:p w14:paraId="25FFCFA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ascii="宋体" w:hAnsi="宋体" w:eastAsia="宋体" w:cs="宋体"/>
                <w:color w:val="000000"/>
                <w:sz w:val="24"/>
                <w:szCs w:val="24"/>
              </w:rPr>
            </w:pPr>
            <w:r>
              <w:rPr>
                <w:rFonts w:hint="eastAsia" w:hAnsi="宋体" w:asciiTheme="minorHAnsi" w:eastAsiaTheme="minorEastAsia" w:cstheme="minorBidi"/>
                <w:b w:val="0"/>
                <w:bCs w:val="0"/>
                <w:kern w:val="2"/>
                <w:sz w:val="24"/>
                <w:szCs w:val="24"/>
                <w:lang w:val="en-US" w:eastAsia="zh-CN" w:bidi="ar-SA"/>
              </w:rPr>
              <w:t>9.3</w:t>
            </w:r>
            <w:r>
              <w:rPr>
                <w:rFonts w:hint="eastAsia" w:ascii="宋体" w:hAnsi="宋体" w:eastAsia="宋体" w:cs="宋体"/>
                <w:color w:val="000000"/>
                <w:sz w:val="24"/>
                <w:szCs w:val="24"/>
              </w:rPr>
              <w:t xml:space="preserve"> </w:t>
            </w:r>
            <w:r>
              <w:rPr>
                <w:rFonts w:hint="eastAsia" w:ascii="宋体" w:hAnsi="宋体" w:eastAsia="宋体" w:cs="宋体"/>
                <w:b w:val="0"/>
                <w:bCs w:val="0"/>
                <w:color w:val="000000"/>
                <w:sz w:val="24"/>
                <w:szCs w:val="24"/>
              </w:rPr>
              <w:t>备品备件保障</w:t>
            </w:r>
            <w:r>
              <w:rPr>
                <w:rFonts w:hint="eastAsia" w:ascii="宋体" w:hAnsi="宋体" w:eastAsia="宋体" w:cs="宋体"/>
                <w:b w:val="0"/>
                <w:bCs w:val="0"/>
                <w:color w:val="000000"/>
                <w:kern w:val="0"/>
                <w:sz w:val="24"/>
                <w:szCs w:val="24"/>
                <w:lang w:val="en-US" w:eastAsia="zh-CN" w:bidi="ar"/>
              </w:rPr>
              <w:t>投标人须在投标文件中承诺，在本地或就近区域建立充足的医疗废物周转桶备品备件储备库，储备数量不低于本次采购总量的 5%（即 200 个），以备采购方应急更换需求。所有备品备件须与中标产品为同一品牌、同一型号、同一批次的全新产品。中标方须提供</w:t>
            </w:r>
            <w:r>
              <w:rPr>
                <w:rStyle w:val="24"/>
                <w:rFonts w:hint="eastAsia" w:ascii="宋体" w:hAnsi="宋体" w:eastAsia="宋体" w:cs="宋体"/>
                <w:b w:val="0"/>
                <w:bCs w:val="0"/>
                <w:color w:val="000000"/>
                <w:kern w:val="0"/>
                <w:sz w:val="24"/>
                <w:szCs w:val="24"/>
                <w:lang w:val="en-US" w:eastAsia="zh-CN" w:bidi="ar"/>
              </w:rPr>
              <w:t>免费送件上门服务</w:t>
            </w:r>
            <w:r>
              <w:rPr>
                <w:rFonts w:hint="eastAsia" w:ascii="宋体" w:hAnsi="宋体" w:eastAsia="宋体" w:cs="宋体"/>
                <w:b w:val="0"/>
                <w:bCs w:val="0"/>
                <w:color w:val="000000"/>
                <w:kern w:val="0"/>
                <w:sz w:val="24"/>
                <w:szCs w:val="24"/>
                <w:lang w:val="en-US" w:eastAsia="zh-CN" w:bidi="ar"/>
              </w:rPr>
              <w:t>，接到采购方备件需求后，24 小时内送达指定地点。</w:t>
            </w:r>
          </w:p>
          <w:p w14:paraId="68F18B8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hAnsi="宋体" w:asciiTheme="minorHAnsi" w:eastAsiaTheme="minorEastAsia" w:cstheme="minorBidi"/>
                <w:b w:val="0"/>
                <w:bCs w:val="0"/>
                <w:kern w:val="2"/>
                <w:sz w:val="24"/>
                <w:szCs w:val="24"/>
                <w:lang w:val="en-US" w:eastAsia="zh-CN" w:bidi="ar-SA"/>
              </w:rPr>
            </w:pPr>
          </w:p>
          <w:p w14:paraId="28322B9E">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ascii="宋体" w:hAnsi="宋体" w:eastAsia="宋体" w:cs="宋体"/>
                <w:color w:val="000000"/>
                <w:sz w:val="24"/>
                <w:szCs w:val="24"/>
              </w:rPr>
            </w:pPr>
            <w:r>
              <w:rPr>
                <w:rFonts w:hint="eastAsia" w:hAnsi="宋体" w:asciiTheme="minorHAnsi" w:eastAsiaTheme="minorEastAsia" w:cstheme="minorBidi"/>
                <w:b w:val="0"/>
                <w:bCs w:val="0"/>
                <w:kern w:val="2"/>
                <w:sz w:val="24"/>
                <w:szCs w:val="24"/>
                <w:lang w:val="en-US" w:eastAsia="zh-CN" w:bidi="ar-SA"/>
              </w:rPr>
              <w:t xml:space="preserve">9.4 </w:t>
            </w:r>
            <w:r>
              <w:rPr>
                <w:rFonts w:hint="eastAsia" w:ascii="宋体" w:hAnsi="宋体" w:eastAsia="宋体" w:cs="宋体"/>
                <w:b w:val="0"/>
                <w:bCs w:val="0"/>
                <w:color w:val="000000"/>
                <w:sz w:val="24"/>
                <w:szCs w:val="24"/>
              </w:rPr>
              <w:t>质保期满后服务</w:t>
            </w:r>
            <w:r>
              <w:rPr>
                <w:rFonts w:hint="eastAsia" w:ascii="宋体" w:hAnsi="宋体" w:eastAsia="宋体" w:cs="宋体"/>
                <w:b w:val="0"/>
                <w:bCs w:val="0"/>
                <w:color w:val="000000"/>
                <w:kern w:val="0"/>
                <w:sz w:val="24"/>
                <w:szCs w:val="24"/>
                <w:lang w:val="en-US" w:eastAsia="zh-CN" w:bidi="ar"/>
              </w:rPr>
              <w:t>质保期满后，中标方仍须提供终身技术支持和维修服务。产品出现任何问题，中标方仍按本条款9.2条规定的响应时间提供服务，维修时仅收取零配件成本费，不收取人工费、差旅费等其他额外费用。中标方须承诺在产品使用周期内，长期以不高于本次中标单价的优惠价格向采购方供应同型号医疗废物周转桶及相关配件。</w:t>
            </w:r>
          </w:p>
          <w:p w14:paraId="005D1E8C">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hAnsi="宋体" w:asciiTheme="minorHAnsi" w:eastAsiaTheme="minorEastAsia" w:cstheme="minorBidi"/>
                <w:b w:val="0"/>
                <w:bCs w:val="0"/>
                <w:kern w:val="2"/>
                <w:sz w:val="24"/>
                <w:szCs w:val="24"/>
                <w:lang w:val="en-US" w:eastAsia="zh-CN" w:bidi="ar-SA"/>
              </w:rPr>
            </w:pPr>
          </w:p>
          <w:p w14:paraId="476D60A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rPr>
                <w:rFonts w:hint="eastAsia" w:ascii="宋体" w:hAnsi="宋体" w:eastAsia="宋体" w:cs="宋体"/>
                <w:b w:val="0"/>
                <w:bCs w:val="0"/>
                <w:color w:val="000000"/>
                <w:sz w:val="24"/>
                <w:szCs w:val="24"/>
              </w:rPr>
            </w:pPr>
            <w:r>
              <w:rPr>
                <w:rFonts w:hint="eastAsia" w:hAnsi="宋体" w:asciiTheme="minorHAnsi" w:eastAsiaTheme="minorEastAsia" w:cstheme="minorBidi"/>
                <w:b w:val="0"/>
                <w:bCs w:val="0"/>
                <w:kern w:val="2"/>
                <w:sz w:val="24"/>
                <w:szCs w:val="24"/>
                <w:lang w:val="en-US" w:eastAsia="zh-CN" w:bidi="ar-SA"/>
              </w:rPr>
              <w:t xml:space="preserve">9.5 </w:t>
            </w:r>
            <w:r>
              <w:rPr>
                <w:rFonts w:hint="eastAsia" w:ascii="宋体" w:hAnsi="宋体" w:eastAsia="宋体" w:cs="宋体"/>
                <w:b w:val="0"/>
                <w:bCs w:val="0"/>
                <w:color w:val="000000"/>
                <w:sz w:val="24"/>
                <w:szCs w:val="24"/>
              </w:rPr>
              <w:t>其他售后服务中标方须免费为采购方相关操作人员提供产品使用、日常维护及保养知识培训。</w:t>
            </w:r>
          </w:p>
          <w:p w14:paraId="73C9D2EF">
            <w:pPr>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hanging="360"/>
              <w:jc w:val="left"/>
              <w:rPr>
                <w:rFonts w:hint="eastAsia" w:ascii="宋体" w:hAnsi="宋体" w:eastAsia="宋体" w:cs="宋体"/>
                <w:b w:val="0"/>
                <w:bCs w:val="0"/>
                <w:color w:val="000000"/>
                <w:sz w:val="24"/>
                <w:szCs w:val="24"/>
              </w:rPr>
            </w:pPr>
            <w:r>
              <w:rPr>
                <w:rFonts w:hint="eastAsia" w:ascii="宋体" w:hAnsi="宋体" w:eastAsia="宋体" w:cs="宋体"/>
                <w:b w:val="0"/>
                <w:bCs w:val="0"/>
                <w:color w:val="000000"/>
                <w:sz w:val="24"/>
                <w:szCs w:val="24"/>
              </w:rPr>
              <w:t>质保期内，中标方每季度进行一次免费巡检，主动检查产品使用情况，及时发现并处理潜在问题。</w:t>
            </w:r>
          </w:p>
          <w:p w14:paraId="4A5D1F96">
            <w:pPr>
              <w:keepNext w:val="0"/>
              <w:keepLines w:val="0"/>
              <w:widowControl/>
              <w:numPr>
                <w:ilvl w:val="0"/>
                <w:numId w:val="2"/>
              </w:numPr>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hanging="360"/>
              <w:jc w:val="left"/>
              <w:rPr>
                <w:rFonts w:hint="eastAsia" w:ascii="宋体" w:hAnsi="宋体" w:eastAsia="宋体" w:cs="宋体"/>
                <w:b w:val="0"/>
                <w:bCs w:val="0"/>
                <w:color w:val="000000"/>
                <w:sz w:val="24"/>
                <w:szCs w:val="24"/>
              </w:rPr>
            </w:pPr>
            <w:r>
              <w:rPr>
                <w:rFonts w:hint="eastAsia" w:ascii="宋体" w:hAnsi="宋体" w:eastAsia="宋体" w:cs="宋体"/>
                <w:b w:val="0"/>
                <w:bCs w:val="0"/>
                <w:color w:val="000000"/>
                <w:sz w:val="24"/>
                <w:szCs w:val="24"/>
              </w:rPr>
              <w:t>若因产品质量问题造成采购方损失，中标方须承担全部赔偿责任。</w:t>
            </w:r>
          </w:p>
          <w:p w14:paraId="05713685">
            <w:pPr>
              <w:snapToGrid w:val="0"/>
              <w:rPr>
                <w:sz w:val="24"/>
                <w:szCs w:val="24"/>
              </w:rPr>
            </w:pPr>
          </w:p>
        </w:tc>
        <w:tc>
          <w:tcPr>
            <w:tcW w:w="1414" w:type="dxa"/>
            <w:vAlign w:val="center"/>
          </w:tcPr>
          <w:p w14:paraId="41BCC3C8">
            <w:pPr>
              <w:snapToGrid w:val="0"/>
              <w:jc w:val="center"/>
              <w:rPr>
                <w:sz w:val="24"/>
                <w:szCs w:val="24"/>
              </w:rPr>
            </w:pPr>
            <w:r>
              <w:rPr>
                <w:rFonts w:hint="eastAsia"/>
                <w:sz w:val="24"/>
                <w:szCs w:val="24"/>
              </w:rPr>
              <w:t>不可偏离</w:t>
            </w:r>
          </w:p>
        </w:tc>
      </w:tr>
      <w:tr w14:paraId="4D709C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15" w:type="dxa"/>
            <w:left w:w="15" w:type="dxa"/>
            <w:bottom w:w="15" w:type="dxa"/>
            <w:right w:w="15" w:type="dxa"/>
          </w:tblCellMar>
        </w:tblPrEx>
        <w:trPr>
          <w:trHeight w:val="1158" w:hRule="atLeast"/>
          <w:jc w:val="center"/>
        </w:trPr>
        <w:tc>
          <w:tcPr>
            <w:tcW w:w="1598" w:type="dxa"/>
            <w:vAlign w:val="center"/>
          </w:tcPr>
          <w:p w14:paraId="4079BC3D">
            <w:pPr>
              <w:numPr>
                <w:ilvl w:val="0"/>
                <w:numId w:val="1"/>
              </w:numPr>
              <w:snapToGrid w:val="0"/>
              <w:jc w:val="center"/>
              <w:rPr>
                <w:sz w:val="24"/>
                <w:szCs w:val="24"/>
              </w:rPr>
            </w:pPr>
            <w:r>
              <w:rPr>
                <w:rFonts w:hint="eastAsia"/>
                <w:sz w:val="24"/>
                <w:szCs w:val="24"/>
              </w:rPr>
              <w:t>控制金额</w:t>
            </w:r>
          </w:p>
        </w:tc>
        <w:tc>
          <w:tcPr>
            <w:tcW w:w="6768" w:type="dxa"/>
            <w:vAlign w:val="center"/>
          </w:tcPr>
          <w:p w14:paraId="26499222">
            <w:pPr>
              <w:snapToGrid w:val="0"/>
              <w:rPr>
                <w:sz w:val="24"/>
                <w:szCs w:val="24"/>
              </w:rPr>
            </w:pPr>
            <w:r>
              <w:rPr>
                <w:rFonts w:hint="eastAsia"/>
                <w:sz w:val="24"/>
                <w:szCs w:val="24"/>
              </w:rPr>
              <w:t>本项目总控制金额为人民币</w:t>
            </w:r>
            <w:r>
              <w:rPr>
                <w:rFonts w:hint="eastAsia"/>
                <w:sz w:val="24"/>
                <w:szCs w:val="24"/>
                <w:lang w:val="en-US" w:eastAsia="zh-CN"/>
              </w:rPr>
              <w:t>96</w:t>
            </w:r>
            <w:r>
              <w:rPr>
                <w:rFonts w:hint="eastAsia"/>
                <w:sz w:val="24"/>
                <w:szCs w:val="24"/>
              </w:rPr>
              <w:t>.00万元（此金额含</w:t>
            </w:r>
            <w:r>
              <w:rPr>
                <w:sz w:val="24"/>
                <w:szCs w:val="24"/>
              </w:rPr>
              <w:t>1</w:t>
            </w:r>
            <w:r>
              <w:rPr>
                <w:rFonts w:hint="eastAsia"/>
                <w:sz w:val="24"/>
                <w:szCs w:val="24"/>
              </w:rPr>
              <w:t>3</w:t>
            </w:r>
            <w:r>
              <w:rPr>
                <w:sz w:val="24"/>
                <w:szCs w:val="24"/>
              </w:rPr>
              <w:t>%</w:t>
            </w:r>
            <w:r>
              <w:rPr>
                <w:rFonts w:hint="eastAsia"/>
                <w:sz w:val="24"/>
                <w:szCs w:val="24"/>
              </w:rPr>
              <w:t>的增值税），超过预算金额的报价将导致废标。</w:t>
            </w:r>
          </w:p>
        </w:tc>
        <w:tc>
          <w:tcPr>
            <w:tcW w:w="1414" w:type="dxa"/>
            <w:vAlign w:val="center"/>
          </w:tcPr>
          <w:p w14:paraId="1854C8E1">
            <w:pPr>
              <w:snapToGrid w:val="0"/>
              <w:jc w:val="center"/>
              <w:rPr>
                <w:sz w:val="24"/>
                <w:szCs w:val="24"/>
              </w:rPr>
            </w:pPr>
            <w:r>
              <w:rPr>
                <w:rFonts w:hint="eastAsia"/>
                <w:sz w:val="24"/>
                <w:szCs w:val="24"/>
              </w:rPr>
              <w:t>不可偏离</w:t>
            </w:r>
          </w:p>
        </w:tc>
      </w:tr>
    </w:tbl>
    <w:p w14:paraId="72F7C6C5">
      <w:pPr>
        <w:spacing w:before="60" w:after="240" w:line="440" w:lineRule="exact"/>
        <w:outlineLvl w:val="1"/>
        <w:rPr>
          <w:rFonts w:ascii="楷体_GB2312" w:eastAsia="楷体_GB2312"/>
          <w:sz w:val="24"/>
        </w:rPr>
      </w:pPr>
      <w:bookmarkStart w:id="18" w:name="_Toc23280"/>
      <w:bookmarkStart w:id="19" w:name="_Toc496002341"/>
    </w:p>
    <w:p w14:paraId="5019DC92">
      <w:pPr>
        <w:pStyle w:val="20"/>
        <w:rPr>
          <w:rFonts w:ascii="楷体_GB2312" w:eastAsia="楷体_GB2312"/>
          <w:sz w:val="24"/>
        </w:rPr>
      </w:pPr>
    </w:p>
    <w:p w14:paraId="720901A1">
      <w:pPr>
        <w:pStyle w:val="20"/>
        <w:ind w:left="0" w:leftChars="0" w:firstLine="0" w:firstLineChars="0"/>
        <w:rPr>
          <w:rFonts w:ascii="楷体_GB2312" w:eastAsia="楷体_GB2312"/>
          <w:sz w:val="24"/>
        </w:rPr>
      </w:pPr>
    </w:p>
    <w:p w14:paraId="192D53EC">
      <w:pPr>
        <w:pStyle w:val="20"/>
        <w:ind w:left="0" w:leftChars="0" w:firstLine="0" w:firstLineChars="0"/>
        <w:rPr>
          <w:rFonts w:ascii="楷体_GB2312" w:eastAsia="楷体_GB2312"/>
          <w:sz w:val="24"/>
        </w:rPr>
      </w:pPr>
    </w:p>
    <w:p w14:paraId="6D6DDA2D">
      <w:pPr>
        <w:spacing w:before="60" w:after="240" w:line="440" w:lineRule="exact"/>
        <w:jc w:val="center"/>
        <w:outlineLvl w:val="1"/>
        <w:rPr>
          <w:rFonts w:ascii="楷体_GB2312" w:eastAsia="楷体_GB2312"/>
          <w:b/>
          <w:color w:val="auto"/>
          <w:sz w:val="24"/>
        </w:rPr>
      </w:pPr>
      <w:bookmarkStart w:id="20" w:name="_Toc26814"/>
      <w:r>
        <w:rPr>
          <w:rFonts w:hint="eastAsia" w:ascii="楷体_GB2312" w:eastAsia="楷体_GB2312"/>
          <w:b/>
          <w:color w:val="auto"/>
          <w:sz w:val="24"/>
        </w:rPr>
        <w:t>第二节技术要求</w:t>
      </w:r>
      <w:bookmarkEnd w:id="20"/>
    </w:p>
    <w:p w14:paraId="32521067">
      <w:pPr>
        <w:keepNext w:val="0"/>
        <w:keepLines w:val="0"/>
        <w:pageBreakBefore w:val="0"/>
        <w:widowControl w:val="0"/>
        <w:kinsoku/>
        <w:wordWrap/>
        <w:overflowPunct/>
        <w:topLinePunct w:val="0"/>
        <w:autoSpaceDE/>
        <w:autoSpaceDN/>
        <w:bidi w:val="0"/>
        <w:adjustRightInd/>
        <w:snapToGrid/>
        <w:spacing w:line="560" w:lineRule="exact"/>
        <w:ind w:firstLine="422"/>
        <w:textAlignment w:val="auto"/>
        <w:rPr>
          <w:rFonts w:hint="default" w:hAnsi="宋体"/>
          <w:b/>
          <w:color w:val="auto"/>
          <w:kern w:val="0"/>
          <w:sz w:val="24"/>
          <w:szCs w:val="24"/>
          <w:lang w:val="en-US"/>
        </w:rPr>
      </w:pPr>
      <w:r>
        <w:rPr>
          <w:rFonts w:hint="eastAsia" w:hAnsi="宋体"/>
          <w:b/>
          <w:color w:val="auto"/>
          <w:kern w:val="0"/>
          <w:sz w:val="24"/>
          <w:szCs w:val="24"/>
          <w:lang w:eastAsia="zh-CN"/>
        </w:rPr>
        <w:t>1.</w:t>
      </w:r>
      <w:r>
        <w:rPr>
          <w:rFonts w:hint="eastAsia" w:hAnsi="宋体"/>
          <w:b/>
          <w:color w:val="auto"/>
          <w:kern w:val="0"/>
          <w:sz w:val="24"/>
          <w:szCs w:val="24"/>
          <w:lang w:val="en-US" w:eastAsia="zh-CN"/>
        </w:rPr>
        <w:t>需求</w:t>
      </w:r>
    </w:p>
    <w:p w14:paraId="765D1279">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rPr>
      </w:pPr>
      <w:r>
        <w:rPr>
          <w:rFonts w:hint="eastAsia" w:hAnsi="宋体"/>
          <w:color w:val="auto"/>
          <w:kern w:val="0"/>
          <w:sz w:val="24"/>
          <w:szCs w:val="24"/>
        </w:rPr>
        <w:t>此次招标的</w:t>
      </w:r>
      <w:r>
        <w:rPr>
          <w:rFonts w:hint="eastAsia" w:hAnsi="宋体"/>
          <w:color w:val="auto"/>
          <w:kern w:val="0"/>
          <w:sz w:val="24"/>
          <w:szCs w:val="24"/>
          <w:lang w:val="en-US" w:eastAsia="zh-CN"/>
        </w:rPr>
        <w:t>是医疗废物周转桶如下</w:t>
      </w:r>
      <w:r>
        <w:rPr>
          <w:rFonts w:hint="eastAsia" w:hAnsi="宋体"/>
          <w:color w:val="auto"/>
          <w:kern w:val="0"/>
          <w:sz w:val="24"/>
          <w:szCs w:val="24"/>
        </w:rPr>
        <w:t>图</w:t>
      </w:r>
    </w:p>
    <w:p w14:paraId="3AE990C2">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p>
    <w:p w14:paraId="42A30927">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r>
        <w:rPr>
          <w:rFonts w:hint="eastAsia" w:hAnsi="宋体"/>
          <w:color w:val="auto"/>
          <w:kern w:val="0"/>
          <w:sz w:val="24"/>
          <w:szCs w:val="24"/>
          <w:lang w:val="en-US" w:eastAsia="zh-CN"/>
        </w:rPr>
        <w:t>桶盖示意图：</w:t>
      </w:r>
    </w:p>
    <w:p w14:paraId="354D2570">
      <w:pPr>
        <w:keepNext w:val="0"/>
        <w:keepLines w:val="0"/>
        <w:pageBreakBefore w:val="0"/>
        <w:widowControl w:val="0"/>
        <w:kinsoku/>
        <w:wordWrap/>
        <w:overflowPunct/>
        <w:topLinePunct w:val="0"/>
        <w:autoSpaceDE/>
        <w:autoSpaceDN/>
        <w:bidi w:val="0"/>
        <w:adjustRightInd/>
        <w:snapToGrid/>
        <w:spacing w:line="240" w:lineRule="auto"/>
        <w:ind w:firstLine="420"/>
        <w:jc w:val="left"/>
        <w:textAlignment w:val="auto"/>
        <w:rPr>
          <w:rFonts w:hint="eastAsia" w:hAnsi="宋体"/>
          <w:color w:val="auto"/>
          <w:kern w:val="0"/>
          <w:sz w:val="24"/>
          <w:szCs w:val="24"/>
          <w:lang w:val="en-US" w:eastAsia="zh-CN"/>
        </w:rPr>
      </w:pPr>
      <w:r>
        <w:rPr>
          <w:rFonts w:hint="eastAsia" w:hAnsi="宋体"/>
          <w:color w:val="auto"/>
          <w:kern w:val="0"/>
          <w:sz w:val="24"/>
          <w:szCs w:val="24"/>
          <w:lang w:val="en-US" w:eastAsia="zh-CN"/>
        </w:rPr>
        <w:drawing>
          <wp:inline distT="0" distB="0" distL="114300" distR="114300">
            <wp:extent cx="5274310" cy="3955415"/>
            <wp:effectExtent l="0" t="0" r="8890" b="6985"/>
            <wp:docPr id="6" name="图片 6" descr="微信图片_2026061110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60611102550"/>
                    <pic:cNvPicPr>
                      <a:picLocks noChangeAspect="1"/>
                    </pic:cNvPicPr>
                  </pic:nvPicPr>
                  <pic:blipFill>
                    <a:blip r:embed="rId11"/>
                    <a:stretch>
                      <a:fillRect/>
                    </a:stretch>
                  </pic:blipFill>
                  <pic:spPr>
                    <a:xfrm>
                      <a:off x="0" y="0"/>
                      <a:ext cx="5274310" cy="3955415"/>
                    </a:xfrm>
                    <a:prstGeom prst="rect">
                      <a:avLst/>
                    </a:prstGeom>
                  </pic:spPr>
                </pic:pic>
              </a:graphicData>
            </a:graphic>
          </wp:inline>
        </w:drawing>
      </w:r>
    </w:p>
    <w:p w14:paraId="103DDBE1">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default" w:hAnsi="宋体"/>
          <w:color w:val="auto"/>
          <w:kern w:val="0"/>
          <w:sz w:val="24"/>
          <w:szCs w:val="24"/>
          <w:lang w:val="en-US" w:eastAsia="zh-CN"/>
        </w:rPr>
      </w:pPr>
    </w:p>
    <w:p w14:paraId="41B6D159">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p>
    <w:p w14:paraId="27EFE7B1">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p>
    <w:p w14:paraId="3E99F95E">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p>
    <w:p w14:paraId="48A67157">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eastAsia" w:hAnsi="宋体"/>
          <w:color w:val="auto"/>
          <w:kern w:val="0"/>
          <w:sz w:val="24"/>
          <w:szCs w:val="24"/>
          <w:lang w:val="en-US" w:eastAsia="zh-CN"/>
        </w:rPr>
      </w:pPr>
    </w:p>
    <w:p w14:paraId="460BE269">
      <w:pPr>
        <w:keepNext w:val="0"/>
        <w:keepLines w:val="0"/>
        <w:pageBreakBefore w:val="0"/>
        <w:widowControl w:val="0"/>
        <w:kinsoku/>
        <w:wordWrap/>
        <w:overflowPunct/>
        <w:topLinePunct w:val="0"/>
        <w:autoSpaceDE/>
        <w:autoSpaceDN/>
        <w:bidi w:val="0"/>
        <w:adjustRightInd/>
        <w:snapToGrid/>
        <w:spacing w:line="560" w:lineRule="exact"/>
        <w:ind w:firstLine="420"/>
        <w:jc w:val="left"/>
        <w:textAlignment w:val="auto"/>
        <w:rPr>
          <w:rFonts w:hint="default" w:hAnsi="宋体"/>
          <w:color w:val="auto"/>
          <w:kern w:val="0"/>
          <w:sz w:val="24"/>
          <w:szCs w:val="24"/>
          <w:lang w:val="en-US" w:eastAsia="zh-CN"/>
        </w:rPr>
      </w:pPr>
      <w:r>
        <w:rPr>
          <w:rFonts w:hint="eastAsia" w:hAnsi="宋体"/>
          <w:color w:val="auto"/>
          <w:kern w:val="0"/>
          <w:sz w:val="24"/>
          <w:szCs w:val="24"/>
          <w:lang w:val="en-US" w:eastAsia="zh-CN"/>
        </w:rPr>
        <w:t>桶身示意图:（正面要按需求方印有公司logo）</w:t>
      </w:r>
    </w:p>
    <w:p w14:paraId="53C4D24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hAnsi="宋体" w:eastAsiaTheme="minorEastAsia"/>
          <w:color w:val="auto"/>
          <w:kern w:val="0"/>
          <w:sz w:val="28"/>
          <w:szCs w:val="28"/>
          <w:lang w:eastAsia="zh-CN"/>
        </w:rPr>
      </w:pPr>
      <w:r>
        <w:rPr>
          <w:rFonts w:hint="eastAsia" w:hAnsi="宋体" w:eastAsiaTheme="minorEastAsia"/>
          <w:color w:val="auto"/>
          <w:kern w:val="0"/>
          <w:sz w:val="28"/>
          <w:szCs w:val="28"/>
          <w:lang w:eastAsia="zh-CN"/>
        </w:rPr>
        <w:drawing>
          <wp:inline distT="0" distB="0" distL="114300" distR="114300">
            <wp:extent cx="7015480" cy="5261610"/>
            <wp:effectExtent l="0" t="0" r="8890" b="7620"/>
            <wp:docPr id="8" name="图片 8" descr="微信图片_2026061110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60611102555"/>
                    <pic:cNvPicPr>
                      <a:picLocks noChangeAspect="1"/>
                    </pic:cNvPicPr>
                  </pic:nvPicPr>
                  <pic:blipFill>
                    <a:blip r:embed="rId12"/>
                    <a:stretch>
                      <a:fillRect/>
                    </a:stretch>
                  </pic:blipFill>
                  <pic:spPr>
                    <a:xfrm rot="5400000">
                      <a:off x="0" y="0"/>
                      <a:ext cx="7015480" cy="5261610"/>
                    </a:xfrm>
                    <a:prstGeom prst="rect">
                      <a:avLst/>
                    </a:prstGeom>
                  </pic:spPr>
                </pic:pic>
              </a:graphicData>
            </a:graphic>
          </wp:inline>
        </w:drawing>
      </w:r>
    </w:p>
    <w:p w14:paraId="3A3270F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hAnsi="宋体" w:eastAsiaTheme="minorEastAsia"/>
          <w:color w:val="auto"/>
          <w:kern w:val="0"/>
          <w:sz w:val="24"/>
          <w:szCs w:val="24"/>
          <w:highlight w:val="red"/>
          <w:lang w:eastAsia="zh-CN"/>
        </w:rPr>
      </w:pPr>
    </w:p>
    <w:p w14:paraId="5E3AC6C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hAnsi="宋体" w:eastAsiaTheme="minorEastAsia"/>
          <w:color w:val="auto"/>
          <w:kern w:val="0"/>
          <w:sz w:val="24"/>
          <w:szCs w:val="24"/>
          <w:highlight w:val="red"/>
          <w:lang w:eastAsia="zh-CN"/>
        </w:rPr>
      </w:pPr>
    </w:p>
    <w:p w14:paraId="685DE326">
      <w:pPr>
        <w:ind w:firstLine="420"/>
        <w:jc w:val="left"/>
        <w:rPr>
          <w:rFonts w:hAnsi="宋体"/>
          <w:color w:val="auto"/>
          <w:kern w:val="0"/>
          <w:highlight w:val="red"/>
        </w:rPr>
      </w:pPr>
    </w:p>
    <w:p w14:paraId="0B2861C7">
      <w:pPr>
        <w:pStyle w:val="20"/>
        <w:rPr>
          <w:rFonts w:hAnsi="宋体"/>
          <w:color w:val="auto"/>
          <w:kern w:val="0"/>
          <w:highlight w:val="red"/>
        </w:rPr>
      </w:pPr>
    </w:p>
    <w:p w14:paraId="6957C874">
      <w:pPr>
        <w:pStyle w:val="20"/>
        <w:rPr>
          <w:rFonts w:hint="default" w:hAnsi="宋体"/>
          <w:color w:val="auto"/>
          <w:kern w:val="0"/>
          <w:highlight w:val="red"/>
          <w:lang w:val="en-US" w:eastAsia="zh-CN"/>
        </w:rPr>
      </w:pPr>
    </w:p>
    <w:p w14:paraId="63FE5255">
      <w:pPr>
        <w:pStyle w:val="20"/>
        <w:ind w:left="0" w:leftChars="0" w:firstLine="0" w:firstLineChars="0"/>
        <w:rPr>
          <w:rFonts w:hint="eastAsia" w:hAnsi="宋体"/>
          <w:b/>
          <w:bCs/>
          <w:color w:val="auto"/>
          <w:kern w:val="0"/>
          <w:sz w:val="28"/>
          <w:szCs w:val="28"/>
          <w:lang w:val="en-US" w:eastAsia="zh-CN"/>
        </w:rPr>
      </w:pPr>
    </w:p>
    <w:p w14:paraId="4F5D0A71">
      <w:pPr>
        <w:pStyle w:val="20"/>
        <w:ind w:left="0" w:leftChars="0" w:firstLine="0" w:firstLineChars="0"/>
        <w:rPr>
          <w:rFonts w:hint="eastAsia" w:ascii="宋体" w:hAnsi="宋体" w:eastAsia="宋体" w:cs="宋体"/>
          <w:b w:val="0"/>
          <w:bCs w:val="0"/>
          <w:color w:val="auto"/>
          <w:kern w:val="0"/>
          <w:sz w:val="24"/>
          <w:szCs w:val="24"/>
          <w:lang w:val="en-US" w:eastAsia="zh-CN"/>
        </w:rPr>
      </w:pPr>
    </w:p>
    <w:p w14:paraId="6690EC0F">
      <w:pPr>
        <w:pStyle w:val="20"/>
        <w:ind w:left="0" w:leftChars="0" w:firstLine="0" w:firstLineChars="0"/>
        <w:rPr>
          <w:rFonts w:hint="eastAsia" w:ascii="宋体" w:hAnsi="宋体" w:eastAsia="宋体" w:cs="宋体"/>
          <w:b w:val="0"/>
          <w:bCs w:val="0"/>
          <w:color w:val="auto"/>
          <w:kern w:val="0"/>
          <w:sz w:val="24"/>
          <w:szCs w:val="24"/>
          <w:lang w:val="en-US" w:eastAsia="zh-CN"/>
        </w:rPr>
      </w:pPr>
    </w:p>
    <w:p w14:paraId="7CDBBD61">
      <w:pPr>
        <w:pStyle w:val="20"/>
        <w:ind w:left="0" w:leftChars="0" w:firstLine="0" w:firstLineChars="0"/>
        <w:rPr>
          <w:rFonts w:hint="eastAsia" w:ascii="宋体" w:hAnsi="宋体" w:eastAsia="宋体" w:cs="宋体"/>
          <w:b w:val="0"/>
          <w:bCs w:val="0"/>
          <w:color w:val="auto"/>
          <w:kern w:val="0"/>
          <w:sz w:val="24"/>
          <w:szCs w:val="24"/>
          <w:lang w:val="en-US" w:eastAsia="zh-CN"/>
        </w:rPr>
      </w:pPr>
      <w:r>
        <w:rPr>
          <w:rFonts w:hint="eastAsia" w:ascii="宋体" w:hAnsi="宋体" w:eastAsia="宋体" w:cs="宋体"/>
          <w:b w:val="0"/>
          <w:bCs w:val="0"/>
          <w:color w:val="auto"/>
          <w:kern w:val="0"/>
          <w:sz w:val="24"/>
          <w:szCs w:val="24"/>
          <w:lang w:val="en-US" w:eastAsia="zh-CN"/>
        </w:rPr>
        <w:t>桶盖和桶身连接处包括销钉示意图:</w:t>
      </w:r>
    </w:p>
    <w:p w14:paraId="74FDCA5F">
      <w:pPr>
        <w:pStyle w:val="20"/>
        <w:ind w:left="0" w:leftChars="0" w:firstLine="0" w:firstLineChars="0"/>
        <w:rPr>
          <w:rFonts w:hint="eastAsia" w:ascii="宋体" w:hAnsi="宋体" w:eastAsia="宋体" w:cs="宋体"/>
          <w:b w:val="0"/>
          <w:bCs w:val="0"/>
          <w:color w:val="auto"/>
          <w:kern w:val="0"/>
          <w:sz w:val="24"/>
          <w:szCs w:val="24"/>
          <w:lang w:val="en-US" w:eastAsia="zh-CN"/>
        </w:rPr>
      </w:pPr>
      <w:r>
        <w:rPr>
          <w:rFonts w:hint="eastAsia" w:ascii="宋体" w:hAnsi="宋体" w:eastAsia="宋体" w:cs="宋体"/>
          <w:b w:val="0"/>
          <w:bCs w:val="0"/>
          <w:color w:val="auto"/>
          <w:kern w:val="0"/>
          <w:sz w:val="24"/>
          <w:szCs w:val="24"/>
          <w:lang w:val="en-US" w:eastAsia="zh-CN"/>
        </w:rPr>
        <w:drawing>
          <wp:inline distT="0" distB="0" distL="114300" distR="114300">
            <wp:extent cx="7015480" cy="5261610"/>
            <wp:effectExtent l="0" t="0" r="8890" b="7620"/>
            <wp:docPr id="9" name="图片 9" descr="微信图片_2026061110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60611102558"/>
                    <pic:cNvPicPr>
                      <a:picLocks noChangeAspect="1"/>
                    </pic:cNvPicPr>
                  </pic:nvPicPr>
                  <pic:blipFill>
                    <a:blip r:embed="rId13"/>
                    <a:stretch>
                      <a:fillRect/>
                    </a:stretch>
                  </pic:blipFill>
                  <pic:spPr>
                    <a:xfrm rot="5400000">
                      <a:off x="0" y="0"/>
                      <a:ext cx="7015480" cy="5261610"/>
                    </a:xfrm>
                    <a:prstGeom prst="rect">
                      <a:avLst/>
                    </a:prstGeom>
                  </pic:spPr>
                </pic:pic>
              </a:graphicData>
            </a:graphic>
          </wp:inline>
        </w:drawing>
      </w:r>
    </w:p>
    <w:p w14:paraId="68F7D822">
      <w:pPr>
        <w:pStyle w:val="20"/>
        <w:ind w:left="0" w:leftChars="0" w:firstLine="0" w:firstLineChars="0"/>
        <w:rPr>
          <w:rFonts w:hint="eastAsia" w:hAnsi="宋体"/>
          <w:b/>
          <w:bCs/>
          <w:color w:val="auto"/>
          <w:kern w:val="0"/>
          <w:sz w:val="28"/>
          <w:szCs w:val="28"/>
          <w:lang w:val="en-US" w:eastAsia="zh-CN"/>
        </w:rPr>
      </w:pPr>
    </w:p>
    <w:p w14:paraId="04BFDD55">
      <w:pPr>
        <w:pStyle w:val="20"/>
        <w:ind w:left="0" w:leftChars="0" w:firstLine="0" w:firstLineChars="0"/>
        <w:rPr>
          <w:rFonts w:hint="eastAsia" w:hAnsi="宋体"/>
          <w:b/>
          <w:bCs/>
          <w:color w:val="auto"/>
          <w:kern w:val="0"/>
          <w:sz w:val="28"/>
          <w:szCs w:val="28"/>
          <w:lang w:val="en-US" w:eastAsia="zh-CN"/>
        </w:rPr>
      </w:pPr>
    </w:p>
    <w:p w14:paraId="12285379">
      <w:pPr>
        <w:pStyle w:val="20"/>
        <w:ind w:left="0" w:leftChars="0" w:firstLine="0" w:firstLineChars="0"/>
        <w:rPr>
          <w:rFonts w:hint="eastAsia" w:hAnsi="宋体"/>
          <w:b/>
          <w:bCs/>
          <w:color w:val="auto"/>
          <w:kern w:val="0"/>
          <w:sz w:val="28"/>
          <w:szCs w:val="28"/>
          <w:lang w:val="en-US" w:eastAsia="zh-CN"/>
        </w:rPr>
      </w:pPr>
    </w:p>
    <w:p w14:paraId="73C5A342">
      <w:pPr>
        <w:pStyle w:val="20"/>
        <w:ind w:left="0" w:leftChars="0" w:firstLine="0" w:firstLineChars="0"/>
        <w:rPr>
          <w:rFonts w:hint="eastAsia" w:hAnsi="宋体"/>
          <w:b/>
          <w:bCs/>
          <w:color w:val="auto"/>
          <w:kern w:val="0"/>
          <w:sz w:val="28"/>
          <w:szCs w:val="28"/>
          <w:lang w:val="en-US" w:eastAsia="zh-CN"/>
        </w:rPr>
      </w:pPr>
    </w:p>
    <w:p w14:paraId="0CBE33A4">
      <w:pPr>
        <w:pStyle w:val="20"/>
        <w:ind w:left="0" w:leftChars="0" w:firstLine="0" w:firstLineChars="0"/>
        <w:rPr>
          <w:rFonts w:hint="eastAsia" w:hAnsi="宋体"/>
          <w:b/>
          <w:bCs/>
          <w:color w:val="auto"/>
          <w:kern w:val="0"/>
          <w:sz w:val="28"/>
          <w:szCs w:val="28"/>
          <w:lang w:val="en-US" w:eastAsia="zh-CN"/>
        </w:rPr>
      </w:pPr>
    </w:p>
    <w:p w14:paraId="0008F457">
      <w:pPr>
        <w:pStyle w:val="20"/>
        <w:ind w:left="0" w:leftChars="0" w:firstLine="0" w:firstLineChars="0"/>
        <w:rPr>
          <w:rFonts w:hint="eastAsia" w:ascii="宋体" w:hAnsi="宋体" w:eastAsia="宋体" w:cs="宋体"/>
          <w:b w:val="0"/>
          <w:bCs w:val="0"/>
          <w:color w:val="auto"/>
          <w:kern w:val="0"/>
          <w:sz w:val="24"/>
          <w:szCs w:val="24"/>
          <w:lang w:val="en-US" w:eastAsia="zh-CN"/>
        </w:rPr>
      </w:pPr>
    </w:p>
    <w:p w14:paraId="6DC008BA">
      <w:pPr>
        <w:pStyle w:val="20"/>
        <w:ind w:left="0" w:leftChars="0" w:firstLine="0" w:firstLineChars="0"/>
        <w:rPr>
          <w:rFonts w:hint="eastAsia" w:ascii="宋体" w:hAnsi="宋体" w:eastAsia="宋体" w:cs="宋体"/>
          <w:b w:val="0"/>
          <w:bCs w:val="0"/>
          <w:color w:val="auto"/>
          <w:kern w:val="0"/>
          <w:sz w:val="24"/>
          <w:szCs w:val="24"/>
          <w:lang w:val="en-US" w:eastAsia="zh-CN"/>
        </w:rPr>
      </w:pPr>
    </w:p>
    <w:p w14:paraId="5F711726">
      <w:pPr>
        <w:pStyle w:val="20"/>
        <w:ind w:left="0" w:leftChars="0" w:firstLine="0" w:firstLineChars="0"/>
        <w:rPr>
          <w:rFonts w:hint="eastAsia" w:ascii="宋体" w:hAnsi="宋体" w:eastAsia="宋体" w:cs="宋体"/>
          <w:b w:val="0"/>
          <w:bCs w:val="0"/>
          <w:color w:val="auto"/>
          <w:kern w:val="0"/>
          <w:sz w:val="24"/>
          <w:szCs w:val="24"/>
          <w:lang w:val="en-US" w:eastAsia="zh-CN"/>
        </w:rPr>
      </w:pPr>
    </w:p>
    <w:p w14:paraId="1EECC89F">
      <w:pPr>
        <w:pStyle w:val="20"/>
        <w:ind w:left="0" w:leftChars="0" w:firstLine="0" w:firstLineChars="0"/>
        <w:rPr>
          <w:rFonts w:hint="eastAsia" w:ascii="宋体" w:hAnsi="宋体" w:eastAsia="宋体" w:cs="宋体"/>
          <w:b w:val="0"/>
          <w:bCs w:val="0"/>
          <w:color w:val="auto"/>
          <w:kern w:val="0"/>
          <w:sz w:val="24"/>
          <w:szCs w:val="24"/>
          <w:lang w:val="en-US" w:eastAsia="zh-CN"/>
        </w:rPr>
      </w:pPr>
    </w:p>
    <w:p w14:paraId="4F53FC77">
      <w:pPr>
        <w:pStyle w:val="20"/>
        <w:ind w:left="0" w:leftChars="0" w:firstLine="0" w:firstLineChars="0"/>
        <w:rPr>
          <w:rFonts w:hint="eastAsia" w:ascii="宋体" w:hAnsi="宋体" w:eastAsia="宋体" w:cs="宋体"/>
          <w:b w:val="0"/>
          <w:bCs w:val="0"/>
          <w:color w:val="auto"/>
          <w:kern w:val="0"/>
          <w:sz w:val="24"/>
          <w:szCs w:val="24"/>
          <w:lang w:val="en-US" w:eastAsia="zh-CN"/>
        </w:rPr>
      </w:pPr>
    </w:p>
    <w:p w14:paraId="15B8B450">
      <w:pPr>
        <w:pStyle w:val="20"/>
        <w:ind w:left="0" w:leftChars="0" w:firstLine="0" w:firstLineChars="0"/>
        <w:rPr>
          <w:rFonts w:hint="eastAsia" w:ascii="宋体" w:hAnsi="宋体" w:eastAsia="宋体" w:cs="宋体"/>
          <w:b w:val="0"/>
          <w:bCs w:val="0"/>
          <w:color w:val="auto"/>
          <w:kern w:val="0"/>
          <w:sz w:val="24"/>
          <w:szCs w:val="24"/>
          <w:lang w:val="en-US" w:eastAsia="zh-CN"/>
        </w:rPr>
      </w:pPr>
      <w:r>
        <w:rPr>
          <w:rFonts w:hint="eastAsia" w:ascii="宋体" w:hAnsi="宋体" w:eastAsia="宋体" w:cs="宋体"/>
          <w:b w:val="0"/>
          <w:bCs w:val="0"/>
          <w:color w:val="auto"/>
          <w:kern w:val="0"/>
          <w:sz w:val="24"/>
          <w:szCs w:val="24"/>
          <w:lang w:val="en-US" w:eastAsia="zh-CN"/>
        </w:rPr>
        <w:t>桶身和轮子连接处示意图：</w:t>
      </w:r>
    </w:p>
    <w:p w14:paraId="506AA4B5">
      <w:pPr>
        <w:pStyle w:val="20"/>
        <w:ind w:left="0" w:leftChars="0" w:firstLine="0" w:firstLineChars="0"/>
        <w:rPr>
          <w:rFonts w:hint="eastAsia" w:ascii="宋体" w:hAnsi="宋体" w:eastAsia="宋体" w:cs="宋体"/>
          <w:b w:val="0"/>
          <w:bCs w:val="0"/>
          <w:color w:val="auto"/>
          <w:kern w:val="0"/>
          <w:sz w:val="24"/>
          <w:szCs w:val="24"/>
          <w:lang w:val="en-US" w:eastAsia="zh-CN"/>
        </w:rPr>
      </w:pPr>
    </w:p>
    <w:p w14:paraId="4172D130">
      <w:pPr>
        <w:pStyle w:val="20"/>
        <w:ind w:left="0" w:leftChars="0" w:firstLine="0" w:firstLineChars="0"/>
        <w:rPr>
          <w:rFonts w:hint="eastAsia" w:ascii="宋体" w:hAnsi="宋体" w:eastAsia="宋体" w:cs="宋体"/>
          <w:b w:val="0"/>
          <w:bCs w:val="0"/>
          <w:color w:val="auto"/>
          <w:kern w:val="0"/>
          <w:sz w:val="24"/>
          <w:szCs w:val="24"/>
          <w:lang w:val="en-US" w:eastAsia="zh-CN"/>
        </w:rPr>
      </w:pPr>
    </w:p>
    <w:p w14:paraId="2FF83B28">
      <w:pPr>
        <w:pStyle w:val="20"/>
        <w:ind w:left="0" w:leftChars="0" w:firstLine="0" w:firstLineChars="0"/>
        <w:rPr>
          <w:rFonts w:hint="eastAsia" w:hAnsi="宋体"/>
          <w:b/>
          <w:bCs/>
          <w:color w:val="auto"/>
          <w:kern w:val="0"/>
          <w:sz w:val="24"/>
          <w:szCs w:val="24"/>
          <w:lang w:eastAsia="zh-CN"/>
        </w:rPr>
      </w:pPr>
      <w:r>
        <w:rPr>
          <w:rFonts w:hint="eastAsia" w:ascii="宋体" w:hAnsi="宋体" w:eastAsia="宋体" w:cs="宋体"/>
          <w:b w:val="0"/>
          <w:bCs w:val="0"/>
          <w:color w:val="auto"/>
          <w:kern w:val="0"/>
          <w:sz w:val="24"/>
          <w:szCs w:val="24"/>
          <w:lang w:val="en-US" w:eastAsia="zh-CN"/>
        </w:rPr>
        <w:drawing>
          <wp:inline distT="0" distB="0" distL="114300" distR="114300">
            <wp:extent cx="5274310" cy="3955415"/>
            <wp:effectExtent l="0" t="0" r="8890" b="6985"/>
            <wp:docPr id="10" name="图片 10" descr="微信图片_2026061110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60611102601"/>
                    <pic:cNvPicPr>
                      <a:picLocks noChangeAspect="1"/>
                    </pic:cNvPicPr>
                  </pic:nvPicPr>
                  <pic:blipFill>
                    <a:blip r:embed="rId14"/>
                    <a:stretch>
                      <a:fillRect/>
                    </a:stretch>
                  </pic:blipFill>
                  <pic:spPr>
                    <a:xfrm rot="10800000">
                      <a:off x="0" y="0"/>
                      <a:ext cx="5274310" cy="3955415"/>
                    </a:xfrm>
                    <a:prstGeom prst="rect">
                      <a:avLst/>
                    </a:prstGeom>
                  </pic:spPr>
                </pic:pic>
              </a:graphicData>
            </a:graphic>
          </wp:inline>
        </w:drawing>
      </w:r>
    </w:p>
    <w:p w14:paraId="29C58CF3">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bCs/>
          <w:color w:val="auto"/>
          <w:kern w:val="0"/>
          <w:sz w:val="24"/>
          <w:szCs w:val="24"/>
          <w:lang w:eastAsia="zh-CN"/>
        </w:rPr>
      </w:pPr>
    </w:p>
    <w:p w14:paraId="45ABBCDD">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2B32690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2CBC9638">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67DC214F">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2296D15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2D91B1BA">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0FD2602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648234F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1F11E9C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hAnsi="宋体"/>
          <w:b/>
          <w:bCs/>
          <w:color w:val="auto"/>
          <w:kern w:val="0"/>
          <w:sz w:val="24"/>
          <w:szCs w:val="24"/>
          <w:lang w:val="en-US" w:eastAsia="zh-CN"/>
        </w:rPr>
      </w:pPr>
      <w:r>
        <w:rPr>
          <w:rFonts w:hint="eastAsia" w:hAnsi="宋体"/>
          <w:b w:val="0"/>
          <w:bCs w:val="0"/>
          <w:color w:val="auto"/>
          <w:kern w:val="0"/>
          <w:sz w:val="24"/>
          <w:szCs w:val="24"/>
          <w:lang w:val="en-US" w:eastAsia="zh-CN"/>
        </w:rPr>
        <w:t>桶轮示意图：</w:t>
      </w:r>
    </w:p>
    <w:p w14:paraId="3977B1C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hAnsi="宋体"/>
          <w:b/>
          <w:bCs/>
          <w:color w:val="auto"/>
          <w:kern w:val="0"/>
          <w:sz w:val="24"/>
          <w:szCs w:val="24"/>
          <w:lang w:eastAsia="zh-CN"/>
        </w:rPr>
      </w:pPr>
      <w:r>
        <w:rPr>
          <w:rFonts w:hint="eastAsia" w:hAnsi="宋体"/>
          <w:b/>
          <w:bCs/>
          <w:color w:val="auto"/>
          <w:kern w:val="0"/>
          <w:sz w:val="24"/>
          <w:szCs w:val="24"/>
          <w:lang w:eastAsia="zh-CN"/>
        </w:rPr>
        <w:drawing>
          <wp:inline distT="0" distB="0" distL="114300" distR="114300">
            <wp:extent cx="7015480" cy="5261610"/>
            <wp:effectExtent l="0" t="0" r="8890" b="7620"/>
            <wp:docPr id="12" name="图片 12" descr="微信图片_20260611110556_15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60611110556_153_4"/>
                    <pic:cNvPicPr>
                      <a:picLocks noChangeAspect="1"/>
                    </pic:cNvPicPr>
                  </pic:nvPicPr>
                  <pic:blipFill>
                    <a:blip r:embed="rId15"/>
                    <a:stretch>
                      <a:fillRect/>
                    </a:stretch>
                  </pic:blipFill>
                  <pic:spPr>
                    <a:xfrm rot="5400000">
                      <a:off x="0" y="0"/>
                      <a:ext cx="7015480" cy="5261610"/>
                    </a:xfrm>
                    <a:prstGeom prst="rect">
                      <a:avLst/>
                    </a:prstGeom>
                  </pic:spPr>
                </pic:pic>
              </a:graphicData>
            </a:graphic>
          </wp:inline>
        </w:drawing>
      </w:r>
    </w:p>
    <w:p w14:paraId="3B716135">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04BF039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p>
    <w:p w14:paraId="3B6B3B21">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val="0"/>
          <w:bCs w:val="0"/>
          <w:color w:val="auto"/>
          <w:kern w:val="0"/>
          <w:sz w:val="24"/>
          <w:szCs w:val="24"/>
          <w:lang w:val="en-US" w:eastAsia="zh-CN"/>
        </w:rPr>
      </w:pPr>
      <w:r>
        <w:rPr>
          <w:rFonts w:hint="eastAsia" w:hAnsi="宋体"/>
          <w:b w:val="0"/>
          <w:bCs w:val="0"/>
          <w:color w:val="auto"/>
          <w:kern w:val="0"/>
          <w:sz w:val="24"/>
          <w:szCs w:val="24"/>
          <w:lang w:val="en-US" w:eastAsia="zh-CN"/>
        </w:rPr>
        <w:t>桶轮轴示意图：</w:t>
      </w:r>
    </w:p>
    <w:p w14:paraId="384FE1C4">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hAnsi="宋体"/>
          <w:b w:val="0"/>
          <w:bCs w:val="0"/>
          <w:color w:val="auto"/>
          <w:kern w:val="0"/>
          <w:sz w:val="24"/>
          <w:szCs w:val="24"/>
          <w:lang w:val="en-US" w:eastAsia="zh-CN"/>
        </w:rPr>
      </w:pPr>
    </w:p>
    <w:p w14:paraId="4683D71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hAnsi="宋体"/>
          <w:b/>
          <w:bCs/>
          <w:color w:val="auto"/>
          <w:kern w:val="0"/>
          <w:sz w:val="24"/>
          <w:szCs w:val="24"/>
          <w:lang w:eastAsia="zh-CN"/>
        </w:rPr>
      </w:pPr>
      <w:r>
        <w:rPr>
          <w:rFonts w:hint="eastAsia" w:hAnsi="宋体"/>
          <w:b/>
          <w:bCs/>
          <w:color w:val="auto"/>
          <w:kern w:val="0"/>
          <w:sz w:val="24"/>
          <w:szCs w:val="24"/>
          <w:lang w:eastAsia="zh-CN"/>
        </w:rPr>
        <w:drawing>
          <wp:inline distT="0" distB="0" distL="114300" distR="114300">
            <wp:extent cx="7015480" cy="5261610"/>
            <wp:effectExtent l="0" t="0" r="8890" b="7620"/>
            <wp:docPr id="13" name="图片 13" descr="微信图片_20260611110557_15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60611110557_154_4"/>
                    <pic:cNvPicPr>
                      <a:picLocks noChangeAspect="1"/>
                    </pic:cNvPicPr>
                  </pic:nvPicPr>
                  <pic:blipFill>
                    <a:blip r:embed="rId16"/>
                    <a:stretch>
                      <a:fillRect/>
                    </a:stretch>
                  </pic:blipFill>
                  <pic:spPr>
                    <a:xfrm rot="5400000">
                      <a:off x="0" y="0"/>
                      <a:ext cx="7015480" cy="5261610"/>
                    </a:xfrm>
                    <a:prstGeom prst="rect">
                      <a:avLst/>
                    </a:prstGeom>
                  </pic:spPr>
                </pic:pic>
              </a:graphicData>
            </a:graphic>
          </wp:inline>
        </w:drawing>
      </w:r>
    </w:p>
    <w:p w14:paraId="2AFF985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bCs/>
          <w:color w:val="auto"/>
          <w:kern w:val="0"/>
          <w:sz w:val="24"/>
          <w:szCs w:val="24"/>
          <w:lang w:eastAsia="zh-CN"/>
        </w:rPr>
      </w:pPr>
    </w:p>
    <w:p w14:paraId="1CC9C23D">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bCs/>
          <w:color w:val="auto"/>
          <w:kern w:val="0"/>
          <w:sz w:val="24"/>
          <w:szCs w:val="24"/>
          <w:lang w:eastAsia="zh-CN"/>
        </w:rPr>
      </w:pPr>
    </w:p>
    <w:p w14:paraId="260D6556">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bCs/>
          <w:color w:val="auto"/>
          <w:kern w:val="0"/>
          <w:sz w:val="24"/>
          <w:szCs w:val="24"/>
          <w:lang w:eastAsia="zh-CN"/>
        </w:rPr>
      </w:pPr>
    </w:p>
    <w:p w14:paraId="0E27673B">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b/>
          <w:bCs/>
          <w:color w:val="auto"/>
          <w:kern w:val="0"/>
          <w:sz w:val="24"/>
          <w:szCs w:val="24"/>
          <w:lang w:eastAsia="zh-CN"/>
        </w:rPr>
      </w:pPr>
    </w:p>
    <w:p w14:paraId="5D8ED8EE">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b/>
          <w:bCs/>
          <w:color w:val="auto"/>
          <w:kern w:val="0"/>
          <w:sz w:val="24"/>
          <w:szCs w:val="24"/>
          <w:lang w:eastAsia="zh-CN"/>
        </w:rPr>
        <w:t>2.</w:t>
      </w:r>
      <w:r>
        <w:rPr>
          <w:rFonts w:hint="eastAsia" w:hAnsi="宋体"/>
          <w:b/>
          <w:bCs/>
          <w:color w:val="auto"/>
          <w:kern w:val="0"/>
          <w:sz w:val="24"/>
          <w:szCs w:val="24"/>
        </w:rPr>
        <w:t>材料要求</w:t>
      </w:r>
    </w:p>
    <w:p w14:paraId="79232790">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2.1.1 本项目所采购的医疗废物周转桶必须为全新未使用的原厂正品，不得使用再生料、回收料或任何掺假材料生产，不得有任何翻新、改装、拼装痕迹。</w:t>
      </w:r>
      <w:r>
        <w:rPr>
          <w:rFonts w:hint="eastAsia" w:hAnsi="宋体" w:asciiTheme="minorHAnsi" w:eastAsiaTheme="minorEastAsia" w:cstheme="minorBidi"/>
          <w:color w:val="auto"/>
          <w:kern w:val="0"/>
          <w:sz w:val="24"/>
          <w:szCs w:val="24"/>
          <w:highlight w:val="yellow"/>
          <w:lang w:val="en-US" w:eastAsia="zh-CN" w:bidi="ar-SA"/>
        </w:rPr>
        <w:t>产品</w:t>
      </w:r>
      <w:r>
        <w:rPr>
          <w:rFonts w:hint="eastAsia" w:hAnsi="宋体" w:cstheme="minorBidi"/>
          <w:color w:val="auto"/>
          <w:kern w:val="0"/>
          <w:sz w:val="24"/>
          <w:szCs w:val="24"/>
          <w:highlight w:val="yellow"/>
          <w:lang w:val="en-US" w:eastAsia="zh-CN" w:bidi="ar-SA"/>
        </w:rPr>
        <w:t>除了（要按照需求方要求印有公司logo）</w:t>
      </w:r>
      <w:r>
        <w:rPr>
          <w:rFonts w:hint="eastAsia" w:hAnsi="宋体" w:cstheme="minorBidi"/>
          <w:color w:val="auto"/>
          <w:kern w:val="0"/>
          <w:sz w:val="24"/>
          <w:szCs w:val="24"/>
          <w:lang w:val="en-US" w:eastAsia="zh-CN" w:bidi="ar-SA"/>
        </w:rPr>
        <w:t>还</w:t>
      </w:r>
      <w:r>
        <w:rPr>
          <w:rFonts w:hint="eastAsia" w:hAnsi="宋体" w:asciiTheme="minorHAnsi" w:eastAsiaTheme="minorEastAsia" w:cstheme="minorBidi"/>
          <w:color w:val="auto"/>
          <w:kern w:val="0"/>
          <w:sz w:val="24"/>
          <w:szCs w:val="24"/>
          <w:lang w:val="en-US" w:eastAsia="zh-CN" w:bidi="ar-SA"/>
        </w:rPr>
        <w:t>须符合《危险废物识别标志设置技术规范》（HJ 1276-2022）、《医疗废物专用包装袋、容器和警示标志标准》（HJ 421-2008）、《医疗废物周转箱技术要求》（HJ/T 368-2007）等国家及行业现行有效标准，同时满足深圳市医疗废物卫生防疫、环保转运及安全管理的相关规定。</w:t>
      </w:r>
    </w:p>
    <w:p w14:paraId="67A435A8">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2.1.2 产品须具备耐冲击、耐腐蚀、防渗漏、易清洁、锁扣封闭、可叠放运输等核心特征，能够适应医疗废物收集、暂存、转运全过程的使用需求，在正常使用条件下使用寿命不低于 3 年。</w:t>
      </w:r>
    </w:p>
    <w:p w14:paraId="74000BC5">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3.1基本规格参数</w:t>
      </w:r>
    </w:p>
    <w:p w14:paraId="06604B9E">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本次采购的医疗废物周转桶统一为240L 标准容量，具体尺寸及重量要求如下：</w:t>
      </w: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3387"/>
        <w:gridCol w:w="3748"/>
        <w:gridCol w:w="1338"/>
      </w:tblGrid>
      <w:tr w14:paraId="0DFB83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blHeader/>
        </w:trPr>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0CEF86A6">
            <w:pPr>
              <w:keepNext w:val="0"/>
              <w:keepLines w:val="0"/>
              <w:widowControl/>
              <w:suppressLineNumbers w:val="0"/>
              <w:jc w:val="left"/>
              <w:rPr>
                <w:b/>
                <w:bCs/>
              </w:rPr>
            </w:pPr>
            <w:r>
              <w:rPr>
                <w:rFonts w:ascii="宋体" w:hAnsi="宋体" w:eastAsia="宋体" w:cs="宋体"/>
                <w:b/>
                <w:bCs/>
                <w:kern w:val="0"/>
                <w:sz w:val="24"/>
                <w:szCs w:val="24"/>
                <w:lang w:val="en-US" w:eastAsia="zh-CN" w:bidi="ar"/>
              </w:rPr>
              <w:t>项目</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2FA86FA">
            <w:pPr>
              <w:keepNext w:val="0"/>
              <w:keepLines w:val="0"/>
              <w:widowControl/>
              <w:suppressLineNumbers w:val="0"/>
              <w:jc w:val="left"/>
              <w:rPr>
                <w:b/>
                <w:bCs/>
              </w:rPr>
            </w:pPr>
            <w:r>
              <w:rPr>
                <w:rFonts w:ascii="宋体" w:hAnsi="宋体" w:eastAsia="宋体" w:cs="宋体"/>
                <w:b/>
                <w:bCs/>
                <w:kern w:val="0"/>
                <w:sz w:val="24"/>
                <w:szCs w:val="24"/>
                <w:lang w:val="en-US" w:eastAsia="zh-CN" w:bidi="ar"/>
              </w:rPr>
              <w:t>技术参数</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B78F72F">
            <w:pPr>
              <w:keepNext w:val="0"/>
              <w:keepLines w:val="0"/>
              <w:widowControl/>
              <w:suppressLineNumbers w:val="0"/>
              <w:jc w:val="left"/>
              <w:rPr>
                <w:b/>
                <w:bCs/>
              </w:rPr>
            </w:pPr>
            <w:r>
              <w:rPr>
                <w:rFonts w:ascii="宋体" w:hAnsi="宋体" w:eastAsia="宋体" w:cs="宋体"/>
                <w:b/>
                <w:bCs/>
                <w:kern w:val="0"/>
                <w:sz w:val="24"/>
                <w:szCs w:val="24"/>
                <w:lang w:val="en-US" w:eastAsia="zh-CN" w:bidi="ar"/>
              </w:rPr>
              <w:t>允许偏差</w:t>
            </w:r>
          </w:p>
        </w:tc>
      </w:tr>
      <w:tr w14:paraId="4CF42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22C4777">
            <w:pPr>
              <w:keepNext w:val="0"/>
              <w:keepLines w:val="0"/>
              <w:widowControl/>
              <w:suppressLineNumbers w:val="0"/>
              <w:jc w:val="left"/>
            </w:pPr>
            <w:r>
              <w:rPr>
                <w:rFonts w:ascii="宋体" w:hAnsi="宋体" w:eastAsia="宋体" w:cs="宋体"/>
                <w:kern w:val="0"/>
                <w:sz w:val="24"/>
                <w:szCs w:val="24"/>
                <w:lang w:val="en-US" w:eastAsia="zh-CN" w:bidi="ar"/>
              </w:rPr>
              <w:t>外部尺寸（长 × 宽 × 高）</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00EC076">
            <w:pPr>
              <w:keepNext w:val="0"/>
              <w:keepLines w:val="0"/>
              <w:widowControl/>
              <w:suppressLineNumbers w:val="0"/>
              <w:jc w:val="left"/>
            </w:pPr>
            <w:r>
              <w:rPr>
                <w:rFonts w:ascii="宋体" w:hAnsi="宋体" w:eastAsia="宋体" w:cs="宋体"/>
                <w:kern w:val="0"/>
                <w:sz w:val="24"/>
                <w:szCs w:val="24"/>
                <w:lang w:val="en-US" w:eastAsia="zh-CN" w:bidi="ar"/>
              </w:rPr>
              <w:t>560mm（底部轮子两侧距离）×630mm×975mm</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4E6AF1CC">
            <w:pPr>
              <w:keepNext w:val="0"/>
              <w:keepLines w:val="0"/>
              <w:widowControl/>
              <w:suppressLineNumbers w:val="0"/>
              <w:jc w:val="left"/>
            </w:pPr>
            <w:r>
              <w:rPr>
                <w:rFonts w:ascii="宋体" w:hAnsi="宋体" w:eastAsia="宋体" w:cs="宋体"/>
                <w:kern w:val="0"/>
                <w:sz w:val="24"/>
                <w:szCs w:val="24"/>
                <w:lang w:val="en-US" w:eastAsia="zh-CN" w:bidi="ar"/>
              </w:rPr>
              <w:t>±5mm</w:t>
            </w:r>
          </w:p>
        </w:tc>
      </w:tr>
      <w:tr w14:paraId="7DB00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32F23C2B">
            <w:pPr>
              <w:keepNext w:val="0"/>
              <w:keepLines w:val="0"/>
              <w:widowControl/>
              <w:suppressLineNumbers w:val="0"/>
              <w:jc w:val="left"/>
            </w:pPr>
            <w:r>
              <w:rPr>
                <w:rFonts w:ascii="宋体" w:hAnsi="宋体" w:eastAsia="宋体" w:cs="宋体"/>
                <w:kern w:val="0"/>
                <w:sz w:val="24"/>
                <w:szCs w:val="24"/>
                <w:lang w:val="en-US" w:eastAsia="zh-CN" w:bidi="ar"/>
              </w:rPr>
              <w:t>额定容量</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7FC9DE43">
            <w:pPr>
              <w:keepNext w:val="0"/>
              <w:keepLines w:val="0"/>
              <w:widowControl/>
              <w:suppressLineNumbers w:val="0"/>
              <w:jc w:val="left"/>
            </w:pPr>
            <w:r>
              <w:rPr>
                <w:rFonts w:ascii="宋体" w:hAnsi="宋体" w:eastAsia="宋体" w:cs="宋体"/>
                <w:kern w:val="0"/>
                <w:sz w:val="24"/>
                <w:szCs w:val="24"/>
                <w:lang w:val="en-US" w:eastAsia="zh-CN" w:bidi="ar"/>
              </w:rPr>
              <w:t>240L</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2711919F">
            <w:pPr>
              <w:keepNext w:val="0"/>
              <w:keepLines w:val="0"/>
              <w:widowControl/>
              <w:suppressLineNumbers w:val="0"/>
              <w:jc w:val="left"/>
            </w:pPr>
            <w:r>
              <w:rPr>
                <w:rFonts w:ascii="宋体" w:hAnsi="宋体" w:eastAsia="宋体" w:cs="宋体"/>
                <w:kern w:val="0"/>
                <w:sz w:val="24"/>
                <w:szCs w:val="24"/>
                <w:lang w:val="en-US" w:eastAsia="zh-CN" w:bidi="ar"/>
              </w:rPr>
              <w:t>≥240L</w:t>
            </w:r>
          </w:p>
        </w:tc>
      </w:tr>
      <w:tr w14:paraId="3BA77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AA83208">
            <w:pPr>
              <w:keepNext w:val="0"/>
              <w:keepLines w:val="0"/>
              <w:widowControl/>
              <w:suppressLineNumbers w:val="0"/>
              <w:jc w:val="left"/>
            </w:pPr>
            <w:r>
              <w:rPr>
                <w:rFonts w:ascii="宋体" w:hAnsi="宋体" w:eastAsia="宋体" w:cs="宋体"/>
                <w:kern w:val="0"/>
                <w:sz w:val="24"/>
                <w:szCs w:val="24"/>
                <w:lang w:val="en-US" w:eastAsia="zh-CN" w:bidi="ar"/>
              </w:rPr>
              <w:t>总重量（含桶身、桶盖、轮轴、胶轮、销钉）</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64B97D7C">
            <w:pPr>
              <w:keepNext w:val="0"/>
              <w:keepLines w:val="0"/>
              <w:widowControl/>
              <w:suppressLineNumbers w:val="0"/>
              <w:jc w:val="left"/>
            </w:pPr>
            <w:r>
              <w:rPr>
                <w:rFonts w:ascii="宋体" w:hAnsi="宋体" w:eastAsia="宋体" w:cs="宋体"/>
                <w:kern w:val="0"/>
                <w:sz w:val="24"/>
                <w:szCs w:val="24"/>
                <w:lang w:val="en-US" w:eastAsia="zh-CN" w:bidi="ar"/>
              </w:rPr>
              <w:t>≥11.8kg</w:t>
            </w:r>
          </w:p>
        </w:tc>
        <w:tc>
          <w:tcPr>
            <w:tcW w:w="0" w:type="auto"/>
            <w:tcBorders>
              <w:top w:val="single" w:color="CCCCCC" w:sz="4" w:space="0"/>
              <w:left w:val="single" w:color="CCCCCC" w:sz="4" w:space="0"/>
              <w:bottom w:val="single" w:color="CCCCCC" w:sz="4" w:space="0"/>
              <w:right w:val="single" w:color="CCCCCC" w:sz="4" w:space="0"/>
            </w:tcBorders>
            <w:shd w:val="clear" w:color="auto" w:fill="auto"/>
            <w:tcMar>
              <w:top w:w="80" w:type="dxa"/>
              <w:left w:w="80" w:type="dxa"/>
              <w:bottom w:w="80" w:type="dxa"/>
              <w:right w:w="80" w:type="dxa"/>
            </w:tcMar>
            <w:vAlign w:val="center"/>
          </w:tcPr>
          <w:p w14:paraId="17FD59FE">
            <w:pPr>
              <w:keepNext w:val="0"/>
              <w:keepLines w:val="0"/>
              <w:widowControl/>
              <w:suppressLineNumbers w:val="0"/>
              <w:jc w:val="left"/>
            </w:pPr>
            <w:r>
              <w:rPr>
                <w:rFonts w:ascii="宋体" w:hAnsi="宋体" w:eastAsia="宋体" w:cs="宋体"/>
                <w:kern w:val="0"/>
                <w:sz w:val="24"/>
                <w:szCs w:val="24"/>
                <w:lang w:val="en-US" w:eastAsia="zh-CN" w:bidi="ar"/>
              </w:rPr>
              <w:t>只允许正偏差</w:t>
            </w:r>
          </w:p>
        </w:tc>
      </w:tr>
    </w:tbl>
    <w:p w14:paraId="3EBC95CA">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3.2原材料要求</w:t>
      </w:r>
    </w:p>
    <w:p w14:paraId="1F0D8E13">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3.2.1 桶身、桶盖主体材料须采用100% 全新优质高密度聚乙烯（HDPE）原生颗粒，不得添加任何再生料、填充料或回收废料。原材料须符合食品接触级安全标准，无毒无味，具有良好的抗紫外线、抗老化、耐低温及耐酸碱腐蚀性能。</w:t>
      </w:r>
    </w:p>
    <w:p w14:paraId="4910A283">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3.2.2 原材料密度应≥0.950g/cm³，拉伸屈服强度≥20MPa，断裂伸长率≥500%，简支梁缺口冲击强度（23℃）≥5kJ/m²，确保产品在 - 20℃至 + 60℃环境温度下正常使用不脆裂、不变形。</w:t>
      </w:r>
    </w:p>
    <w:p w14:paraId="6C1FB29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3.3 结构设计要求</w:t>
      </w:r>
    </w:p>
    <w:p w14:paraId="0B906D27">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ascii="宋体" w:hAnsi="宋体" w:eastAsiaTheme="minorEastAsia" w:cstheme="minorBidi"/>
          <w:kern w:val="0"/>
          <w:sz w:val="24"/>
          <w:szCs w:val="24"/>
          <w:lang w:val="en-US" w:eastAsia="zh-CN" w:bidi="ar-SA"/>
        </w:rPr>
        <w:t>3.3.1 桶身：</w:t>
      </w:r>
      <w:r>
        <w:rPr>
          <w:rFonts w:hint="eastAsia" w:hAnsi="宋体" w:asciiTheme="minorHAnsi" w:eastAsiaTheme="minorEastAsia" w:cstheme="minorBidi"/>
          <w:color w:val="auto"/>
          <w:kern w:val="0"/>
          <w:sz w:val="24"/>
          <w:szCs w:val="24"/>
          <w:lang w:val="en-US" w:eastAsia="zh-CN" w:bidi="ar-SA"/>
        </w:rPr>
        <w:t>采用一次注塑成型工艺，壁厚均匀，桶身壁厚≥5mm，桶口边缘加厚至≥8mm。桶身外侧须设计加强筋结构，增强整体刚性和抗冲击能力；桶身内侧光滑无死角，便于清洁消毒，无残留积液。桶底须设计防滑耐磨结构，防止使用过程中滑动。</w:t>
      </w:r>
    </w:p>
    <w:p w14:paraId="23200105">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ascii="宋体" w:hAnsi="宋体" w:eastAsiaTheme="minorEastAsia" w:cstheme="minorBidi"/>
          <w:kern w:val="0"/>
          <w:sz w:val="24"/>
          <w:szCs w:val="24"/>
          <w:lang w:val="en-US" w:eastAsia="zh-CN" w:bidi="ar-SA"/>
        </w:rPr>
        <w:t>3.3.2 桶盖：</w:t>
      </w:r>
      <w:r>
        <w:rPr>
          <w:rFonts w:hint="eastAsia" w:hAnsi="宋体" w:asciiTheme="minorHAnsi" w:eastAsiaTheme="minorEastAsia" w:cstheme="minorBidi"/>
          <w:color w:val="auto"/>
          <w:kern w:val="0"/>
          <w:sz w:val="24"/>
          <w:szCs w:val="24"/>
          <w:lang w:val="en-US" w:eastAsia="zh-CN" w:bidi="ar-SA"/>
        </w:rPr>
        <w:t>采用与桶身同材质的全新 HDPE 材料，与桶体配合紧密，密封性能良好。桶盖须配备可锁扣式封闭装置，能够有效防止医疗废物泄漏、遗撒及异味扩散，同时可配合专用锁具使用，防止无关人员开启。桶盖边缘须设计导流槽，防止雨水进入桶内。</w:t>
      </w:r>
    </w:p>
    <w:p w14:paraId="7CE32089">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ascii="宋体" w:hAnsi="宋体" w:eastAsiaTheme="minorEastAsia" w:cstheme="minorBidi"/>
          <w:kern w:val="0"/>
          <w:sz w:val="24"/>
          <w:szCs w:val="24"/>
          <w:lang w:val="en-US" w:eastAsia="zh-CN" w:bidi="ar-SA"/>
        </w:rPr>
        <w:t>3.3.3 轮轴系统：</w:t>
      </w:r>
      <w:r>
        <w:rPr>
          <w:rFonts w:hint="eastAsia" w:hAnsi="宋体" w:asciiTheme="minorHAnsi" w:eastAsiaTheme="minorEastAsia" w:cstheme="minorBidi"/>
          <w:color w:val="auto"/>
          <w:kern w:val="0"/>
          <w:sz w:val="24"/>
          <w:szCs w:val="24"/>
          <w:lang w:val="en-US" w:eastAsia="zh-CN" w:bidi="ar-SA"/>
        </w:rPr>
        <w:t>轮轴采用优质镀锌钢管，直径≥20mm，壁厚≥2mm，具有良好的防锈和承重能力。胶轮采用高强度橡胶实心轮，直径≥200mm，轮面宽度≥50mm，耐磨、静音、防滑，能够在水泥、沥青等多种路面平稳推行。每个周转桶配备 2 个定向轮和 2 个万向轮，万向轮须带有刹车装置。</w:t>
      </w:r>
    </w:p>
    <w:p w14:paraId="5CE9D87E">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ascii="宋体" w:hAnsi="宋体" w:eastAsiaTheme="minorEastAsia" w:cstheme="minorBidi"/>
          <w:kern w:val="0"/>
          <w:sz w:val="24"/>
          <w:szCs w:val="24"/>
          <w:lang w:val="en-US" w:eastAsia="zh-CN" w:bidi="ar-SA"/>
        </w:rPr>
        <w:t>3.3.4 销钉与连接件：</w:t>
      </w:r>
      <w:r>
        <w:rPr>
          <w:rFonts w:hint="eastAsia" w:hAnsi="宋体" w:asciiTheme="minorHAnsi" w:eastAsiaTheme="minorEastAsia" w:cstheme="minorBidi"/>
          <w:color w:val="auto"/>
          <w:kern w:val="0"/>
          <w:sz w:val="24"/>
          <w:szCs w:val="24"/>
          <w:lang w:val="en-US" w:eastAsia="zh-CN" w:bidi="ar-SA"/>
        </w:rPr>
        <w:t>所有销钉、连接件均采用不锈钢或镀锌材质，防锈耐腐蚀，连接牢固不易脱落。桶身与轮轴的连接部位须采用加强设计，确保满载时不松动、不变形。</w:t>
      </w:r>
    </w:p>
    <w:p w14:paraId="54AB8E4F">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ascii="宋体" w:hAnsi="宋体" w:eastAsiaTheme="minorEastAsia" w:cstheme="minorBidi"/>
          <w:kern w:val="0"/>
          <w:sz w:val="24"/>
          <w:szCs w:val="24"/>
          <w:lang w:val="en-US" w:eastAsia="zh-CN" w:bidi="ar-SA"/>
        </w:rPr>
        <w:t>3.3.5 可叠放设计：</w:t>
      </w:r>
      <w:r>
        <w:rPr>
          <w:rFonts w:hint="eastAsia" w:hAnsi="宋体" w:asciiTheme="minorHAnsi" w:eastAsiaTheme="minorEastAsia" w:cstheme="minorBidi"/>
          <w:color w:val="auto"/>
          <w:kern w:val="0"/>
          <w:sz w:val="24"/>
          <w:szCs w:val="24"/>
          <w:lang w:val="en-US" w:eastAsia="zh-CN" w:bidi="ar-SA"/>
        </w:rPr>
        <w:t>产品须具备良好的叠放性能，空桶堆叠高度不得超过 3 层，堆叠后稳定不倾倒，便于运输和仓储。</w:t>
      </w:r>
    </w:p>
    <w:p w14:paraId="3B6E1712">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3.5 警示标志要求</w:t>
      </w:r>
    </w:p>
    <w:p w14:paraId="4124854D">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000000" w:themeColor="text1"/>
          <w:kern w:val="0"/>
          <w:sz w:val="24"/>
          <w:szCs w:val="24"/>
          <w:highlight w:val="yellow"/>
          <w:lang w:val="en-US" w:eastAsia="zh-CN" w:bidi="ar-SA"/>
          <w14:textFill>
            <w14:solidFill>
              <w14:schemeClr w14:val="tx1"/>
            </w14:solidFill>
          </w14:textFill>
        </w:rPr>
      </w:pPr>
      <w:r>
        <w:rPr>
          <w:rFonts w:hint="eastAsia" w:hAnsi="宋体" w:asciiTheme="minorHAnsi" w:eastAsiaTheme="minorEastAsia" w:cstheme="minorBidi"/>
          <w:color w:val="auto"/>
          <w:kern w:val="0"/>
          <w:sz w:val="24"/>
          <w:szCs w:val="24"/>
          <w:lang w:val="en-US" w:eastAsia="zh-CN" w:bidi="ar-SA"/>
        </w:rPr>
        <w:t>3.5.1 每个医疗废物周转桶的桶身正面醒目位置必须印制符合《危险废物识别标志设置技术规范》（HJ 1276-2022）和《医疗废物专用包装袋、容器和警示标志标准》（HJ 421-2008）规定的医疗废物警示标志和中文警示说明，</w:t>
      </w:r>
      <w:r>
        <w:rPr>
          <w:rFonts w:hint="eastAsia" w:hAnsi="宋体" w:asciiTheme="minorHAnsi" w:eastAsiaTheme="minorEastAsia" w:cstheme="minorBidi"/>
          <w:color w:val="000000" w:themeColor="text1"/>
          <w:kern w:val="0"/>
          <w:sz w:val="24"/>
          <w:szCs w:val="24"/>
          <w:highlight w:val="yellow"/>
          <w:lang w:val="en-US" w:eastAsia="zh-CN" w:bidi="ar-SA"/>
          <w14:textFill>
            <w14:solidFill>
              <w14:schemeClr w14:val="tx1"/>
            </w14:solidFill>
          </w14:textFill>
        </w:rPr>
        <w:t>还要印有公司logo（具体样式中标后以需方要求为准）。</w:t>
      </w:r>
    </w:p>
    <w:p w14:paraId="51A7442E">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3.5.2 警示标志为等边三角形，边长≥150mm，背景为黄色，边框和图案为黑色。中文警示说明采用黑色宋体字，内容为 “医疗废物 感染性废物”，字体高度≥30mm。</w:t>
      </w:r>
    </w:p>
    <w:p w14:paraId="6A9BF4C0">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3.5.3 标志须采用高温热转印或丝网印刷工艺印制，图案清晰、颜色鲜艳、附着力强，在正常使用和清洁消毒条件下，至少 3 年内不褪色、不脱落、不模糊。</w:t>
      </w:r>
    </w:p>
    <w:p w14:paraId="4F03DAE1">
      <w:pPr>
        <w:keepNext w:val="0"/>
        <w:keepLines w:val="0"/>
        <w:pageBreakBefore w:val="0"/>
        <w:widowControl w:val="0"/>
        <w:kinsoku/>
        <w:wordWrap/>
        <w:overflowPunct/>
        <w:topLinePunct w:val="0"/>
        <w:autoSpaceDE/>
        <w:autoSpaceDN/>
        <w:bidi w:val="0"/>
        <w:adjustRightInd/>
        <w:snapToGrid/>
        <w:spacing w:line="560" w:lineRule="exact"/>
        <w:ind w:left="0"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3.5.4 桶身侧面须印制产品名称、规格型号、生产厂家名称、生产日期、批号、额定容量及执行标准号等信息，字体清晰可辨。</w:t>
      </w:r>
    </w:p>
    <w:p w14:paraId="16B28BD9">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3.6 性能指标要求</w:t>
      </w:r>
    </w:p>
    <w:p w14:paraId="1987B5F7">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lang w:val="en-US" w:eastAsia="zh-CN" w:bidi="ar-SA"/>
        </w:rPr>
        <w:t>产品须通过以下性能测试，且测试结果符合国家标准要求：</w:t>
      </w:r>
    </w:p>
    <w:p w14:paraId="04270A80">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3.6.1跌落性能：</w:t>
      </w:r>
      <w:r>
        <w:rPr>
          <w:rFonts w:hint="eastAsia" w:ascii="宋体" w:hAnsi="宋体" w:eastAsia="宋体" w:cs="宋体"/>
          <w:color w:val="000000"/>
          <w:sz w:val="24"/>
          <w:szCs w:val="24"/>
        </w:rPr>
        <w:t>满载状态下从 1.5m 高度跌落至水泥地面，桶体无破裂、无渗漏，桶盖不脱落。</w:t>
      </w:r>
    </w:p>
    <w:p w14:paraId="678BE392">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3.6.2堆码性能：</w:t>
      </w:r>
      <w:r>
        <w:rPr>
          <w:rFonts w:hint="eastAsia" w:ascii="宋体" w:hAnsi="宋体" w:eastAsia="宋体" w:cs="宋体"/>
          <w:color w:val="000000"/>
          <w:sz w:val="24"/>
          <w:szCs w:val="24"/>
        </w:rPr>
        <w:t>空桶堆叠 3 层，每层施加相当于满载重量的载荷，持续 24 小时后，底层桶体变形量≤10mm，无裂纹。</w:t>
      </w:r>
    </w:p>
    <w:p w14:paraId="7C9FCF8E">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3.6.3密封性能：</w:t>
      </w:r>
      <w:r>
        <w:rPr>
          <w:rFonts w:hint="eastAsia" w:ascii="宋体" w:hAnsi="宋体" w:eastAsia="宋体" w:cs="宋体"/>
          <w:color w:val="000000"/>
          <w:sz w:val="24"/>
          <w:szCs w:val="24"/>
        </w:rPr>
        <w:t>桶内注入 1/3 容量的清水，倒置 24 小时，无渗漏现象。</w:t>
      </w:r>
    </w:p>
    <w:p w14:paraId="61222D5E">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3.6.4耐穿刺性能：</w:t>
      </w:r>
      <w:r>
        <w:rPr>
          <w:rFonts w:hint="eastAsia" w:ascii="宋体" w:hAnsi="宋体" w:eastAsia="宋体" w:cs="宋体"/>
          <w:color w:val="000000"/>
          <w:sz w:val="24"/>
          <w:szCs w:val="24"/>
        </w:rPr>
        <w:t>用直径 6mm、尖端半径 0.5mm 的钢针，以 10N 的力垂直刺入桶壁，无穿透现象。</w:t>
      </w:r>
    </w:p>
    <w:p w14:paraId="4E81E9BD">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3.6.5耐高低温性能：</w:t>
      </w:r>
      <w:r>
        <w:rPr>
          <w:rFonts w:hint="eastAsia" w:ascii="宋体" w:hAnsi="宋体" w:eastAsia="宋体" w:cs="宋体"/>
          <w:color w:val="000000"/>
          <w:sz w:val="24"/>
          <w:szCs w:val="24"/>
        </w:rPr>
        <w:t>分别在 - 20℃和 + 60℃环境下放置 24 小时，取出后恢复至室温，桶体无脆裂、无变形。</w:t>
      </w:r>
    </w:p>
    <w:p w14:paraId="71356173">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kern w:val="0"/>
          <w:sz w:val="24"/>
          <w:szCs w:val="24"/>
          <w:lang w:val="en-US" w:eastAsia="zh-CN" w:bidi="ar-SA"/>
        </w:rPr>
        <w:t>3.6.6耐腐蚀性能：</w:t>
      </w:r>
      <w:r>
        <w:rPr>
          <w:rFonts w:hint="eastAsia" w:ascii="宋体" w:hAnsi="宋体" w:eastAsia="宋体" w:cs="宋体"/>
          <w:color w:val="000000"/>
          <w:sz w:val="24"/>
          <w:szCs w:val="24"/>
        </w:rPr>
        <w:t>分别浸入浓度为 5% 的盐酸和 5% 的氢氧化钠溶液中 24 小时，取出后桶体无变色、无起泡、无腐蚀痕迹。</w:t>
      </w:r>
    </w:p>
    <w:p w14:paraId="5EF34C2C">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eastAsia" w:hAnsi="宋体" w:asciiTheme="minorHAnsi" w:eastAsiaTheme="minorEastAsia" w:cstheme="minorBidi"/>
          <w:b/>
          <w:bCs/>
          <w:color w:val="auto"/>
          <w:kern w:val="0"/>
          <w:sz w:val="24"/>
          <w:szCs w:val="24"/>
          <w:lang w:val="en-US" w:eastAsia="zh-CN" w:bidi="ar-SA"/>
        </w:rPr>
      </w:pPr>
      <w:r>
        <w:rPr>
          <w:rFonts w:hint="eastAsia" w:hAnsi="宋体" w:asciiTheme="minorHAnsi" w:eastAsiaTheme="minorEastAsia" w:cstheme="minorBidi"/>
          <w:b/>
          <w:bCs/>
          <w:color w:val="auto"/>
          <w:kern w:val="0"/>
          <w:sz w:val="24"/>
          <w:szCs w:val="24"/>
          <w:lang w:val="en-US" w:eastAsia="zh-CN" w:bidi="ar-SA"/>
        </w:rPr>
        <w:t>3.7 质量证明文件要求</w:t>
      </w:r>
    </w:p>
    <w:p w14:paraId="7A26BC17">
      <w:pPr>
        <w:keepNext w:val="0"/>
        <w:keepLines w:val="0"/>
        <w:pageBreakBefore w:val="0"/>
        <w:widowControl w:val="0"/>
        <w:kinsoku/>
        <w:wordWrap/>
        <w:overflowPunct/>
        <w:topLinePunct w:val="0"/>
        <w:autoSpaceDE/>
        <w:autoSpaceDN/>
        <w:bidi w:val="0"/>
        <w:adjustRightInd/>
        <w:snapToGrid/>
        <w:spacing w:line="560" w:lineRule="exact"/>
        <w:ind w:leftChars="0" w:firstLine="420" w:firstLineChars="0"/>
        <w:jc w:val="left"/>
        <w:textAlignment w:val="auto"/>
        <w:rPr>
          <w:rFonts w:hint="eastAsia" w:hAnsi="宋体" w:asciiTheme="minorHAnsi" w:eastAsiaTheme="minorEastAsia" w:cstheme="minorBidi"/>
          <w:color w:val="auto"/>
          <w:kern w:val="0"/>
          <w:sz w:val="24"/>
          <w:szCs w:val="24"/>
          <w:lang w:val="en-US" w:eastAsia="zh-CN" w:bidi="ar-SA"/>
        </w:rPr>
      </w:pPr>
      <w:r>
        <w:rPr>
          <w:rFonts w:hint="eastAsia" w:hAnsi="宋体" w:asciiTheme="minorHAnsi" w:eastAsiaTheme="minorEastAsia" w:cstheme="minorBidi"/>
          <w:color w:val="auto"/>
          <w:kern w:val="0"/>
          <w:sz w:val="24"/>
          <w:szCs w:val="24"/>
          <w:lang w:val="en-US" w:eastAsia="zh-CN" w:bidi="ar-SA"/>
        </w:rPr>
        <w:t>中标方交货时须随货提供以下完整的质量证明文件，所有文件均须加盖生产厂家及中标方公章：</w:t>
      </w:r>
    </w:p>
    <w:p w14:paraId="6905FAF7">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color w:val="000000"/>
          <w:sz w:val="24"/>
          <w:szCs w:val="24"/>
          <w:lang w:val="en-US" w:eastAsia="zh-CN"/>
        </w:rPr>
        <w:t>3.7.1</w:t>
      </w:r>
      <w:r>
        <w:rPr>
          <w:rFonts w:hint="eastAsia" w:ascii="宋体" w:hAnsi="宋体" w:eastAsia="宋体" w:cs="宋体"/>
          <w:color w:val="000000"/>
          <w:sz w:val="24"/>
          <w:szCs w:val="24"/>
        </w:rPr>
        <w:t>产品出厂合格证；</w:t>
      </w:r>
    </w:p>
    <w:p w14:paraId="7C44BFD8">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color w:val="000000"/>
          <w:sz w:val="24"/>
          <w:szCs w:val="24"/>
          <w:lang w:val="en-US" w:eastAsia="zh-CN"/>
        </w:rPr>
        <w:t>3.7.2</w:t>
      </w:r>
      <w:r>
        <w:rPr>
          <w:rFonts w:hint="eastAsia" w:ascii="宋体" w:hAnsi="宋体" w:eastAsia="宋体" w:cs="宋体"/>
          <w:color w:val="000000"/>
          <w:sz w:val="24"/>
          <w:szCs w:val="24"/>
        </w:rPr>
        <w:t>生产厂家出具的原材料质量保证书及检测报告；</w:t>
      </w:r>
    </w:p>
    <w:p w14:paraId="6B5DBB70">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color w:val="000000"/>
          <w:sz w:val="24"/>
          <w:szCs w:val="24"/>
          <w:lang w:val="en-US" w:eastAsia="zh-CN"/>
        </w:rPr>
        <w:t>3.7.3</w:t>
      </w:r>
      <w:r>
        <w:rPr>
          <w:rFonts w:hint="eastAsia" w:ascii="宋体" w:hAnsi="宋体" w:eastAsia="宋体" w:cs="宋体"/>
          <w:color w:val="000000"/>
          <w:sz w:val="24"/>
          <w:szCs w:val="24"/>
        </w:rPr>
        <w:t>产品出厂检验报告（包含上述所有性能指标的检测数据）；</w:t>
      </w:r>
    </w:p>
    <w:p w14:paraId="125EBF94">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color w:val="000000"/>
          <w:sz w:val="24"/>
          <w:szCs w:val="24"/>
          <w:lang w:val="en-US" w:eastAsia="zh-CN"/>
        </w:rPr>
        <w:t>3.7.4</w:t>
      </w:r>
      <w:r>
        <w:rPr>
          <w:rFonts w:hint="eastAsia" w:ascii="宋体" w:hAnsi="宋体" w:eastAsia="宋体" w:cs="宋体"/>
          <w:color w:val="000000"/>
          <w:sz w:val="24"/>
          <w:szCs w:val="24"/>
        </w:rPr>
        <w:t>具有 CMA 资质的第三方权威检测机构出具的有效期内产品质量检测报告；</w:t>
      </w:r>
    </w:p>
    <w:p w14:paraId="260FCEB8">
      <w:pPr>
        <w:widowControl w:val="0"/>
        <w:numPr>
          <w:ilvl w:val="0"/>
          <w:numId w:val="0"/>
        </w:numPr>
        <w:spacing w:beforeLines="50" w:line="360" w:lineRule="auto"/>
        <w:ind w:left="360" w:leftChars="0"/>
        <w:jc w:val="both"/>
        <w:rPr>
          <w:rFonts w:hint="eastAsia" w:ascii="宋体" w:hAnsi="宋体" w:eastAsia="宋体" w:cs="宋体"/>
          <w:kern w:val="2"/>
          <w:sz w:val="24"/>
          <w:szCs w:val="24"/>
          <w:lang w:val="en-US" w:eastAsia="zh-CN" w:bidi="ar-SA"/>
        </w:rPr>
      </w:pPr>
      <w:r>
        <w:rPr>
          <w:rFonts w:hint="eastAsia" w:ascii="宋体" w:hAnsi="宋体" w:eastAsia="宋体" w:cs="宋体"/>
          <w:color w:val="000000"/>
          <w:sz w:val="24"/>
          <w:szCs w:val="24"/>
          <w:lang w:val="en-US" w:eastAsia="zh-CN"/>
        </w:rPr>
        <w:t>3.7.5</w:t>
      </w:r>
      <w:r>
        <w:rPr>
          <w:rFonts w:hint="eastAsia" w:ascii="宋体" w:hAnsi="宋体" w:eastAsia="宋体" w:cs="宋体"/>
          <w:color w:val="000000"/>
          <w:sz w:val="24"/>
          <w:szCs w:val="24"/>
        </w:rPr>
        <w:t>产品使用说明书及维护保养手册。</w:t>
      </w:r>
    </w:p>
    <w:p w14:paraId="6167B69E">
      <w:pPr>
        <w:pStyle w:val="20"/>
        <w:rPr>
          <w:rFonts w:hint="eastAsia"/>
        </w:rPr>
      </w:pPr>
    </w:p>
    <w:p w14:paraId="76A2593A">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Theme="minorEastAsia" w:hAnsiTheme="minorEastAsia" w:eastAsiaTheme="minorEastAsia" w:cstheme="minorEastAsia"/>
          <w:b/>
          <w:bCs/>
          <w:color w:val="auto"/>
          <w:kern w:val="0"/>
          <w:sz w:val="24"/>
          <w:szCs w:val="20"/>
        </w:rPr>
      </w:pPr>
      <w:r>
        <w:rPr>
          <w:rFonts w:hint="eastAsia" w:asciiTheme="minorEastAsia" w:hAnsiTheme="minorEastAsia" w:eastAsiaTheme="minorEastAsia" w:cstheme="minorEastAsia"/>
          <w:b/>
          <w:bCs/>
          <w:color w:val="auto"/>
          <w:kern w:val="0"/>
          <w:sz w:val="24"/>
          <w:szCs w:val="20"/>
          <w:lang w:val="en-US" w:eastAsia="zh-CN"/>
        </w:rPr>
        <w:t>4.</w:t>
      </w:r>
      <w:r>
        <w:rPr>
          <w:rFonts w:hint="eastAsia" w:asciiTheme="minorEastAsia" w:hAnsiTheme="minorEastAsia" w:eastAsiaTheme="minorEastAsia" w:cstheme="minorEastAsia"/>
          <w:b/>
          <w:bCs/>
          <w:color w:val="auto"/>
          <w:kern w:val="0"/>
          <w:sz w:val="24"/>
          <w:szCs w:val="20"/>
        </w:rPr>
        <w:t>整体保证</w:t>
      </w:r>
    </w:p>
    <w:p w14:paraId="41CD6833">
      <w:pPr>
        <w:keepNext w:val="0"/>
        <w:keepLines w:val="0"/>
        <w:pageBreakBefore w:val="0"/>
        <w:widowControl w:val="0"/>
        <w:kinsoku/>
        <w:wordWrap/>
        <w:overflowPunct/>
        <w:topLinePunct w:val="0"/>
        <w:autoSpaceDE/>
        <w:autoSpaceDN/>
        <w:bidi w:val="0"/>
        <w:adjustRightInd/>
        <w:snapToGrid/>
        <w:spacing w:before="60" w:after="240" w:line="560" w:lineRule="exact"/>
        <w:ind w:firstLine="240" w:firstLineChars="100"/>
        <w:jc w:val="left"/>
        <w:textAlignment w:val="auto"/>
        <w:outlineLvl w:val="9"/>
        <w:rPr>
          <w:rFonts w:hint="eastAsia"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产品通过合格验收之日起</w:t>
      </w:r>
      <w:r>
        <w:rPr>
          <w:rFonts w:hint="eastAsia" w:asciiTheme="minorEastAsia" w:hAnsiTheme="minorEastAsia" w:cstheme="minorEastAsia"/>
          <w:bCs/>
          <w:color w:val="auto"/>
          <w:sz w:val="24"/>
          <w:szCs w:val="24"/>
          <w:lang w:eastAsia="zh-CN"/>
        </w:rPr>
        <w:t>享有</w:t>
      </w:r>
      <w:r>
        <w:rPr>
          <w:rFonts w:hint="eastAsia" w:asciiTheme="minorEastAsia" w:hAnsiTheme="minorEastAsia" w:eastAsiaTheme="minorEastAsia" w:cstheme="minorEastAsia"/>
          <w:bCs/>
          <w:color w:val="auto"/>
          <w:sz w:val="24"/>
          <w:szCs w:val="24"/>
        </w:rPr>
        <w:t>一年质保，质保期内产品出现质量问题，乙方应负责免费维修。</w:t>
      </w:r>
    </w:p>
    <w:p w14:paraId="3D1D7403">
      <w:pPr>
        <w:numPr>
          <w:ilvl w:val="0"/>
          <w:numId w:val="3"/>
        </w:numPr>
        <w:rPr>
          <w:rFonts w:hint="eastAsia" w:ascii="宋体" w:hAnsi="宋体" w:eastAsia="宋体" w:cs="宋体"/>
          <w:b/>
          <w:bCs/>
          <w:kern w:val="0"/>
          <w:sz w:val="24"/>
          <w:szCs w:val="24"/>
          <w:highlight w:val="none"/>
          <w:lang w:eastAsia="zh-CN"/>
        </w:rPr>
      </w:pPr>
      <w:r>
        <w:rPr>
          <w:rFonts w:hint="eastAsia" w:ascii="宋体" w:hAnsi="宋体" w:eastAsia="宋体" w:cs="宋体"/>
          <w:b/>
          <w:bCs/>
          <w:kern w:val="0"/>
          <w:sz w:val="24"/>
          <w:szCs w:val="24"/>
          <w:highlight w:val="none"/>
          <w:lang w:eastAsia="zh-CN"/>
        </w:rPr>
        <w:t>本项目基准价</w:t>
      </w:r>
    </w:p>
    <w:tbl>
      <w:tblPr>
        <w:tblStyle w:val="22"/>
        <w:tblW w:w="5680" w:type="pct"/>
        <w:jc w:val="center"/>
        <w:tblBorders>
          <w:top w:val="none" w:color="auto" w:sz="4" w:space="0"/>
          <w:left w:val="none" w:color="auto" w:sz="4" w:space="0"/>
          <w:bottom w:val="none" w:color="auto" w:sz="4" w:space="0"/>
          <w:right w:val="none" w:color="auto" w:sz="4" w:space="0"/>
          <w:insideH w:val="none" w:color="auto" w:sz="4" w:space="0"/>
          <w:insideV w:val="none" w:color="auto" w:sz="4" w:space="0"/>
        </w:tblBorders>
        <w:tblLayout w:type="autofit"/>
        <w:tblCellMar>
          <w:top w:w="0" w:type="dxa"/>
          <w:left w:w="108" w:type="dxa"/>
          <w:bottom w:w="0" w:type="dxa"/>
          <w:right w:w="108" w:type="dxa"/>
        </w:tblCellMar>
      </w:tblPr>
      <w:tblGrid>
        <w:gridCol w:w="1372"/>
        <w:gridCol w:w="3168"/>
        <w:gridCol w:w="5149"/>
      </w:tblGrid>
      <w:tr w14:paraId="5E5A9F0F">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624" w:hRule="atLeast"/>
          <w:jc w:val="center"/>
        </w:trPr>
        <w:tc>
          <w:tcPr>
            <w:tcW w:w="708" w:type="pct"/>
            <w:tcBorders>
              <w:top w:val="single" w:color="auto" w:sz="12" w:space="0"/>
              <w:left w:val="single" w:color="auto" w:sz="12" w:space="0"/>
              <w:bottom w:val="nil"/>
              <w:right w:val="nil"/>
            </w:tcBorders>
            <w:noWrap w:val="0"/>
            <w:tcMar>
              <w:top w:w="-1" w:type="dxa"/>
              <w:left w:w="-1" w:type="dxa"/>
              <w:bottom w:w="-1" w:type="dxa"/>
              <w:right w:w="-1" w:type="dxa"/>
            </w:tcMar>
            <w:vAlign w:val="center"/>
          </w:tcPr>
          <w:p w14:paraId="1576E9F4">
            <w:pPr>
              <w:numPr>
                <w:ilvl w:val="0"/>
                <w:numId w:val="0"/>
              </w:numPr>
              <w:snapToGrid w:val="0"/>
              <w:jc w:val="center"/>
              <w:rPr>
                <w:rStyle w:val="24"/>
                <w:rFonts w:hint="default" w:ascii="仿宋" w:hAnsi="仿宋" w:eastAsia="仿宋" w:cs="仿宋"/>
                <w:b/>
                <w:bCs/>
                <w:i w:val="0"/>
                <w:iCs w:val="0"/>
                <w:caps w:val="0"/>
                <w:color w:val="404040"/>
                <w:spacing w:val="0"/>
                <w:sz w:val="24"/>
                <w:szCs w:val="24"/>
                <w:shd w:val="clear" w:fill="FFFFFF"/>
                <w:lang w:val="en-US" w:eastAsia="zh-CN"/>
              </w:rPr>
            </w:pPr>
            <w:r>
              <w:rPr>
                <w:rStyle w:val="24"/>
                <w:rFonts w:hint="eastAsia" w:ascii="仿宋" w:hAnsi="仿宋" w:eastAsia="仿宋" w:cs="仿宋"/>
                <w:b/>
                <w:bCs/>
                <w:i w:val="0"/>
                <w:iCs w:val="0"/>
                <w:caps w:val="0"/>
                <w:color w:val="404040"/>
                <w:spacing w:val="0"/>
                <w:sz w:val="24"/>
                <w:szCs w:val="24"/>
                <w:shd w:val="clear" w:fill="FFFFFF"/>
                <w:lang w:val="en-US" w:eastAsia="zh-CN"/>
              </w:rPr>
              <w:t>材料名称</w:t>
            </w:r>
          </w:p>
        </w:tc>
        <w:tc>
          <w:tcPr>
            <w:tcW w:w="4291" w:type="pct"/>
            <w:gridSpan w:val="2"/>
            <w:tcBorders>
              <w:top w:val="single" w:color="auto" w:sz="12" w:space="0"/>
              <w:left w:val="single" w:color="auto" w:sz="4" w:space="0"/>
              <w:bottom w:val="nil"/>
              <w:right w:val="single" w:color="auto" w:sz="12" w:space="0"/>
            </w:tcBorders>
            <w:noWrap w:val="0"/>
            <w:tcMar>
              <w:top w:w="-1" w:type="dxa"/>
              <w:left w:w="-1" w:type="dxa"/>
              <w:bottom w:w="-1" w:type="dxa"/>
              <w:right w:w="-1" w:type="dxa"/>
            </w:tcMar>
            <w:vAlign w:val="center"/>
          </w:tcPr>
          <w:p w14:paraId="4802F0FE">
            <w:pPr>
              <w:numPr>
                <w:ilvl w:val="0"/>
                <w:numId w:val="0"/>
              </w:numPr>
              <w:snapToGrid w:val="0"/>
              <w:jc w:val="center"/>
              <w:rPr>
                <w:rStyle w:val="24"/>
                <w:rFonts w:hint="eastAsia" w:ascii="仿宋" w:hAnsi="仿宋" w:eastAsia="仿宋" w:cs="仿宋"/>
                <w:b/>
                <w:bCs/>
                <w:i w:val="0"/>
                <w:iCs w:val="0"/>
                <w:caps w:val="0"/>
                <w:color w:val="404040"/>
                <w:spacing w:val="0"/>
                <w:sz w:val="24"/>
                <w:szCs w:val="24"/>
                <w:shd w:val="clear" w:fill="FFFFFF"/>
              </w:rPr>
            </w:pPr>
            <w:r>
              <w:rPr>
                <w:rFonts w:ascii="宋体" w:hAnsi="宋体" w:eastAsia="宋体" w:cs="宋体"/>
                <w:b/>
                <w:bCs/>
                <w:sz w:val="24"/>
                <w:szCs w:val="24"/>
              </w:rPr>
              <w:t>240L 医疗废物周转桶</w:t>
            </w:r>
          </w:p>
        </w:tc>
      </w:tr>
      <w:tr w14:paraId="681C0E81">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588" w:hRule="atLeast"/>
          <w:jc w:val="center"/>
        </w:trPr>
        <w:tc>
          <w:tcPr>
            <w:tcW w:w="708" w:type="pct"/>
            <w:tcBorders>
              <w:top w:val="single" w:color="auto" w:sz="4" w:space="0"/>
              <w:left w:val="single" w:color="auto" w:sz="12" w:space="0"/>
              <w:bottom w:val="nil"/>
              <w:right w:val="nil"/>
            </w:tcBorders>
            <w:noWrap w:val="0"/>
            <w:tcMar>
              <w:top w:w="-1" w:type="dxa"/>
              <w:left w:w="-1" w:type="dxa"/>
              <w:bottom w:w="-1" w:type="dxa"/>
              <w:right w:w="-1" w:type="dxa"/>
            </w:tcMar>
            <w:vAlign w:val="center"/>
          </w:tcPr>
          <w:p w14:paraId="3A6B0D0E">
            <w:pPr>
              <w:numPr>
                <w:ilvl w:val="0"/>
                <w:numId w:val="0"/>
              </w:numPr>
              <w:snapToGrid w:val="0"/>
              <w:jc w:val="center"/>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基准价</w:t>
            </w:r>
          </w:p>
        </w:tc>
        <w:tc>
          <w:tcPr>
            <w:tcW w:w="1635" w:type="pct"/>
            <w:tcBorders>
              <w:top w:val="single" w:color="auto" w:sz="4" w:space="0"/>
              <w:left w:val="single" w:color="auto" w:sz="4" w:space="0"/>
              <w:bottom w:val="nil"/>
              <w:right w:val="nil"/>
            </w:tcBorders>
            <w:noWrap w:val="0"/>
            <w:tcMar>
              <w:top w:w="-1" w:type="dxa"/>
              <w:left w:w="-1" w:type="dxa"/>
              <w:bottom w:w="-1" w:type="dxa"/>
              <w:right w:w="-1" w:type="dxa"/>
            </w:tcMar>
            <w:vAlign w:val="center"/>
          </w:tcPr>
          <w:p w14:paraId="051C93EE">
            <w:pPr>
              <w:numPr>
                <w:ilvl w:val="0"/>
                <w:numId w:val="0"/>
              </w:numPr>
              <w:snapToGrid w:val="0"/>
              <w:jc w:val="center"/>
              <w:rPr>
                <w:rFonts w:hint="default" w:ascii="仿宋" w:hAnsi="仿宋" w:eastAsia="仿宋" w:cs="仿宋"/>
                <w:color w:val="000000"/>
                <w:sz w:val="24"/>
                <w:szCs w:val="24"/>
                <w:vertAlign w:val="baseline"/>
                <w:lang w:val="en-US" w:eastAsia="zh-CN"/>
              </w:rPr>
            </w:pPr>
            <w:r>
              <w:rPr>
                <w:rFonts w:hint="eastAsia" w:ascii="仿宋" w:hAnsi="仿宋" w:eastAsia="仿宋" w:cs="仿宋"/>
                <w:b/>
                <w:bCs/>
                <w:color w:val="000000"/>
                <w:sz w:val="24"/>
                <w:szCs w:val="24"/>
                <w:vertAlign w:val="baseline"/>
                <w:lang w:val="en-US" w:eastAsia="zh-CN"/>
              </w:rPr>
              <w:t>240元/个（含税单价）</w:t>
            </w:r>
          </w:p>
        </w:tc>
        <w:tc>
          <w:tcPr>
            <w:tcW w:w="2656" w:type="pct"/>
            <w:tcBorders>
              <w:top w:val="single" w:color="auto" w:sz="4" w:space="0"/>
              <w:left w:val="single" w:color="auto" w:sz="4" w:space="0"/>
              <w:bottom w:val="nil"/>
              <w:right w:val="single" w:color="auto" w:sz="12" w:space="0"/>
            </w:tcBorders>
            <w:noWrap w:val="0"/>
            <w:tcMar>
              <w:top w:w="-1" w:type="dxa"/>
              <w:left w:w="-1" w:type="dxa"/>
              <w:bottom w:w="-1" w:type="dxa"/>
              <w:right w:w="-1" w:type="dxa"/>
            </w:tcMar>
            <w:vAlign w:val="center"/>
          </w:tcPr>
          <w:p w14:paraId="2E097637">
            <w:pPr>
              <w:numPr>
                <w:ilvl w:val="0"/>
                <w:numId w:val="0"/>
              </w:numPr>
              <w:snapToGrid w:val="0"/>
              <w:jc w:val="center"/>
              <w:rPr>
                <w:rFonts w:hint="default" w:ascii="仿宋" w:hAnsi="仿宋" w:eastAsia="仿宋" w:cs="仿宋"/>
                <w:color w:val="000000"/>
                <w:sz w:val="24"/>
                <w:szCs w:val="24"/>
                <w:vertAlign w:val="baseline"/>
                <w:lang w:val="en-US" w:eastAsia="zh-CN"/>
              </w:rPr>
            </w:pPr>
            <w:r>
              <w:rPr>
                <w:rFonts w:hint="eastAsia" w:ascii="仿宋" w:hAnsi="仿宋" w:eastAsia="仿宋" w:cs="仿宋"/>
                <w:b/>
                <w:bCs/>
                <w:color w:val="000000"/>
                <w:sz w:val="24"/>
                <w:szCs w:val="24"/>
                <w:vertAlign w:val="baseline"/>
                <w:lang w:val="en-US" w:eastAsia="zh-CN"/>
              </w:rPr>
              <w:t>4000个（数量）</w:t>
            </w:r>
          </w:p>
        </w:tc>
      </w:tr>
      <w:tr w14:paraId="3357CED8">
        <w:tblPrEx>
          <w:tblBorders>
            <w:top w:val="none" w:color="auto" w:sz="4" w:space="0"/>
            <w:left w:val="none" w:color="auto" w:sz="4" w:space="0"/>
            <w:bottom w:val="none" w:color="auto" w:sz="4" w:space="0"/>
            <w:right w:val="none" w:color="auto" w:sz="4" w:space="0"/>
            <w:insideH w:val="none" w:color="auto" w:sz="4" w:space="0"/>
            <w:insideV w:val="none" w:color="auto" w:sz="4" w:space="0"/>
          </w:tblBorders>
          <w:tblCellMar>
            <w:top w:w="0" w:type="dxa"/>
            <w:left w:w="108" w:type="dxa"/>
            <w:bottom w:w="0" w:type="dxa"/>
            <w:right w:w="108" w:type="dxa"/>
          </w:tblCellMar>
        </w:tblPrEx>
        <w:trPr>
          <w:trHeight w:val="1213" w:hRule="atLeast"/>
          <w:jc w:val="center"/>
        </w:trPr>
        <w:tc>
          <w:tcPr>
            <w:tcW w:w="5000" w:type="pct"/>
            <w:gridSpan w:val="3"/>
            <w:tcBorders>
              <w:top w:val="single" w:color="auto" w:sz="4" w:space="0"/>
              <w:left w:val="single" w:color="auto" w:sz="12" w:space="0"/>
              <w:bottom w:val="single" w:color="auto" w:sz="12" w:space="0"/>
              <w:right w:val="single" w:color="auto" w:sz="12" w:space="0"/>
            </w:tcBorders>
            <w:noWrap w:val="0"/>
            <w:tcMar>
              <w:top w:w="-1" w:type="dxa"/>
              <w:left w:w="-1" w:type="dxa"/>
              <w:bottom w:w="-1" w:type="dxa"/>
              <w:right w:w="-1" w:type="dxa"/>
            </w:tcMar>
            <w:vAlign w:val="center"/>
          </w:tcPr>
          <w:p w14:paraId="62BFD738">
            <w:pPr>
              <w:numPr>
                <w:ilvl w:val="0"/>
                <w:numId w:val="0"/>
              </w:numPr>
              <w:snapToGrid w:val="0"/>
              <w:jc w:val="left"/>
              <w:rPr>
                <w:rFonts w:hint="eastAsia" w:ascii="仿宋" w:hAnsi="仿宋" w:cs="仿宋" w:eastAsiaTheme="minorEastAsia"/>
                <w:b/>
                <w:bCs/>
                <w:i w:val="0"/>
                <w:iCs w:val="0"/>
                <w:caps w:val="0"/>
                <w:color w:val="404040"/>
                <w:spacing w:val="0"/>
                <w:sz w:val="24"/>
                <w:szCs w:val="24"/>
                <w:shd w:val="clear" w:fill="FFFFFF"/>
                <w:lang w:val="en-US" w:eastAsia="zh-CN"/>
              </w:rPr>
            </w:pPr>
            <w:r>
              <w:rPr>
                <w:rFonts w:ascii="宋体" w:hAnsi="宋体" w:eastAsia="宋体" w:cs="宋体"/>
                <w:b/>
                <w:bCs/>
                <w:sz w:val="24"/>
                <w:szCs w:val="24"/>
              </w:rPr>
              <w:t>报价为</w:t>
            </w:r>
            <w:r>
              <w:rPr>
                <w:rStyle w:val="24"/>
                <w:rFonts w:ascii="宋体" w:hAnsi="宋体" w:eastAsia="宋体" w:cs="宋体"/>
                <w:b/>
                <w:bCs/>
                <w:color w:val="000000"/>
                <w:sz w:val="24"/>
                <w:szCs w:val="24"/>
              </w:rPr>
              <w:t>全包综合单价报价</w:t>
            </w:r>
            <w:r>
              <w:rPr>
                <w:rFonts w:ascii="宋体" w:hAnsi="宋体" w:eastAsia="宋体" w:cs="宋体"/>
                <w:b/>
                <w:bCs/>
                <w:sz w:val="24"/>
                <w:szCs w:val="24"/>
              </w:rPr>
              <w:t>，总价包含货物成本、包装、运输、现场装卸、税金、质保、售后服务、技术支持等全部费用</w:t>
            </w:r>
            <w:r>
              <w:rPr>
                <w:rFonts w:hint="eastAsia"/>
                <w:b/>
                <w:bCs/>
                <w:sz w:val="24"/>
                <w:szCs w:val="24"/>
              </w:rPr>
              <w:t>。本次投标产生的一切费用由投标人自理</w:t>
            </w:r>
            <w:r>
              <w:rPr>
                <w:rFonts w:hint="eastAsia"/>
                <w:b/>
                <w:bCs/>
                <w:sz w:val="24"/>
                <w:szCs w:val="24"/>
                <w:lang w:eastAsia="zh-CN"/>
              </w:rPr>
              <w:t>。</w:t>
            </w:r>
          </w:p>
        </w:tc>
      </w:tr>
    </w:tbl>
    <w:p w14:paraId="2A392099">
      <w:pPr>
        <w:pStyle w:val="20"/>
        <w:ind w:left="0" w:leftChars="0" w:firstLine="0"/>
        <w:rPr>
          <w:rFonts w:ascii="楷体_GB2312" w:eastAsia="楷体_GB2312"/>
          <w:sz w:val="24"/>
        </w:rPr>
      </w:pPr>
    </w:p>
    <w:bookmarkEnd w:id="18"/>
    <w:bookmarkEnd w:id="19"/>
    <w:p w14:paraId="0860C182">
      <w:pPr>
        <w:pStyle w:val="20"/>
        <w:ind w:left="0" w:leftChars="0" w:firstLine="0" w:firstLineChars="0"/>
      </w:pPr>
      <w:bookmarkStart w:id="21" w:name="_Toc496002342"/>
      <w:bookmarkStart w:id="22" w:name="_Toc14037"/>
    </w:p>
    <w:p w14:paraId="40177902">
      <w:pPr>
        <w:pStyle w:val="12"/>
        <w:ind w:left="0" w:leftChars="0" w:firstLine="0" w:firstLineChars="0"/>
        <w:rPr>
          <w:rFonts w:ascii="楷体_GB2312" w:hAnsi="宋体" w:eastAsia="楷体_GB2312"/>
          <w:sz w:val="24"/>
        </w:rPr>
      </w:pPr>
    </w:p>
    <w:p w14:paraId="5F2FD414">
      <w:pPr>
        <w:spacing w:before="60" w:after="240" w:line="440" w:lineRule="exact"/>
        <w:jc w:val="center"/>
        <w:outlineLvl w:val="1"/>
        <w:rPr>
          <w:rFonts w:ascii="楷体_GB2312" w:hAnsi="宋体" w:eastAsia="楷体_GB2312"/>
          <w:sz w:val="24"/>
        </w:rPr>
      </w:pPr>
      <w:bookmarkStart w:id="23" w:name="_Toc29152"/>
      <w:r>
        <w:rPr>
          <w:rFonts w:hint="eastAsia" w:ascii="楷体_GB2312" w:hAnsi="宋体" w:eastAsia="楷体_GB2312"/>
          <w:sz w:val="24"/>
        </w:rPr>
        <w:t>第三节投标方须知专用表</w:t>
      </w:r>
      <w:bookmarkEnd w:id="21"/>
      <w:bookmarkEnd w:id="22"/>
      <w:bookmarkEnd w:id="23"/>
    </w:p>
    <w:tbl>
      <w:tblPr>
        <w:tblStyle w:val="21"/>
        <w:tblpPr w:leftFromText="180" w:rightFromText="180" w:vertAnchor="text" w:horzAnchor="margin" w:tblpY="142"/>
        <w:tblW w:w="85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7560"/>
      </w:tblGrid>
      <w:tr w14:paraId="4C7D8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49E38617">
            <w:pPr>
              <w:spacing w:line="400" w:lineRule="exact"/>
              <w:jc w:val="center"/>
              <w:rPr>
                <w:rFonts w:ascii="宋体" w:hAnsi="宋体" w:eastAsia="宋体" w:cs="宋体"/>
              </w:rPr>
            </w:pPr>
            <w:r>
              <w:rPr>
                <w:rFonts w:hint="eastAsia" w:ascii="宋体" w:hAnsi="宋体" w:eastAsia="宋体" w:cs="宋体"/>
              </w:rPr>
              <w:t>条款号</w:t>
            </w:r>
          </w:p>
        </w:tc>
        <w:tc>
          <w:tcPr>
            <w:tcW w:w="7560" w:type="dxa"/>
          </w:tcPr>
          <w:p w14:paraId="5B9D1563">
            <w:pPr>
              <w:spacing w:line="400" w:lineRule="exact"/>
              <w:jc w:val="center"/>
              <w:rPr>
                <w:rFonts w:ascii="宋体" w:hAnsi="宋体" w:eastAsia="宋体" w:cs="宋体"/>
                <w:szCs w:val="21"/>
              </w:rPr>
            </w:pPr>
            <w:r>
              <w:rPr>
                <w:rFonts w:hint="eastAsia" w:ascii="宋体" w:hAnsi="宋体" w:eastAsia="宋体" w:cs="宋体"/>
                <w:szCs w:val="21"/>
              </w:rPr>
              <w:t>内容</w:t>
            </w:r>
          </w:p>
        </w:tc>
      </w:tr>
      <w:tr w14:paraId="326A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41648D4E">
            <w:pPr>
              <w:spacing w:line="400" w:lineRule="exact"/>
              <w:ind w:left="170"/>
              <w:rPr>
                <w:rFonts w:ascii="宋体" w:hAnsi="宋体" w:eastAsia="宋体" w:cs="宋体"/>
              </w:rPr>
            </w:pPr>
            <w:r>
              <w:rPr>
                <w:rFonts w:hint="eastAsia" w:ascii="宋体" w:hAnsi="宋体" w:eastAsia="宋体" w:cs="宋体"/>
              </w:rPr>
              <w:t>1</w:t>
            </w:r>
          </w:p>
        </w:tc>
        <w:tc>
          <w:tcPr>
            <w:tcW w:w="7560" w:type="dxa"/>
          </w:tcPr>
          <w:p w14:paraId="359444F8">
            <w:pPr>
              <w:spacing w:line="400" w:lineRule="exact"/>
              <w:rPr>
                <w:rFonts w:ascii="宋体" w:hAnsi="宋体" w:eastAsia="宋体" w:cs="宋体"/>
                <w:szCs w:val="21"/>
              </w:rPr>
            </w:pPr>
            <w:r>
              <w:rPr>
                <w:rFonts w:hint="eastAsia" w:ascii="宋体" w:hAnsi="宋体" w:eastAsia="宋体" w:cs="宋体"/>
                <w:szCs w:val="21"/>
              </w:rPr>
              <w:t>招标方名称：深圳市深环绿盾环保科技有限公司</w:t>
            </w:r>
          </w:p>
          <w:p w14:paraId="4A62D439">
            <w:pPr>
              <w:rPr>
                <w:rFonts w:hint="eastAsia" w:ascii="宋体" w:hAnsi="宋体" w:eastAsia="宋体" w:cs="宋体"/>
                <w:szCs w:val="21"/>
                <w:lang w:eastAsia="zh-CN"/>
              </w:rPr>
            </w:pPr>
            <w:r>
              <w:rPr>
                <w:rFonts w:hint="eastAsia" w:ascii="宋体" w:hAnsi="宋体" w:eastAsia="宋体" w:cs="宋体"/>
                <w:szCs w:val="21"/>
              </w:rPr>
              <w:t>地址：</w:t>
            </w:r>
            <w:r>
              <w:rPr>
                <w:rFonts w:hint="eastAsia" w:hAnsi="宋体" w:eastAsia="宋体"/>
                <w:sz w:val="24"/>
                <w:szCs w:val="24"/>
                <w:highlight w:val="yellow"/>
                <w:lang w:eastAsia="zh-CN"/>
              </w:rPr>
              <w:t>深圳市福田区梅观路福田生产基地8-6号办公楼三楼</w:t>
            </w:r>
          </w:p>
          <w:p w14:paraId="257BCDFF">
            <w:pPr>
              <w:spacing w:line="360" w:lineRule="auto"/>
              <w:rPr>
                <w:rFonts w:hint="default" w:ascii="宋体" w:hAnsi="宋体" w:eastAsia="宋体" w:cs="宋体"/>
                <w:kern w:val="0"/>
                <w:szCs w:val="21"/>
                <w:lang w:val="en-US" w:eastAsia="zh-CN"/>
              </w:rPr>
            </w:pPr>
            <w:r>
              <w:rPr>
                <w:rFonts w:hint="eastAsia" w:ascii="宋体" w:hAnsi="宋体" w:eastAsia="宋体" w:cs="宋体"/>
                <w:szCs w:val="21"/>
              </w:rPr>
              <w:t>姓名：</w:t>
            </w:r>
            <w:r>
              <w:rPr>
                <w:rFonts w:hint="eastAsia" w:ascii="宋体" w:hAnsi="宋体" w:eastAsia="宋体" w:cs="宋体"/>
                <w:szCs w:val="21"/>
                <w:highlight w:val="yellow"/>
                <w:lang w:val="en-US" w:eastAsia="zh-CN"/>
              </w:rPr>
              <w:t>刘嘉祺</w:t>
            </w:r>
            <w:r>
              <w:rPr>
                <w:rFonts w:hint="eastAsia" w:ascii="宋体" w:hAnsi="宋体" w:eastAsia="宋体" w:cs="宋体"/>
                <w:szCs w:val="21"/>
                <w:highlight w:val="yellow"/>
              </w:rPr>
              <w:t xml:space="preserve">       电话：</w:t>
            </w:r>
            <w:r>
              <w:rPr>
                <w:rFonts w:hint="eastAsia" w:ascii="宋体" w:hAnsi="宋体" w:eastAsia="宋体" w:cs="宋体"/>
                <w:szCs w:val="21"/>
                <w:highlight w:val="yellow"/>
                <w:lang w:val="en-US" w:eastAsia="zh-CN"/>
              </w:rPr>
              <w:t>13798452467</w:t>
            </w:r>
          </w:p>
        </w:tc>
      </w:tr>
      <w:tr w14:paraId="4D77C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5C49E92D">
            <w:pPr>
              <w:spacing w:line="400" w:lineRule="exact"/>
              <w:ind w:left="170"/>
              <w:rPr>
                <w:rFonts w:ascii="宋体" w:hAnsi="宋体" w:eastAsia="宋体" w:cs="宋体"/>
              </w:rPr>
            </w:pPr>
            <w:r>
              <w:rPr>
                <w:rFonts w:hint="eastAsia" w:ascii="宋体" w:hAnsi="宋体" w:eastAsia="宋体" w:cs="宋体"/>
              </w:rPr>
              <w:t>2</w:t>
            </w:r>
          </w:p>
        </w:tc>
        <w:tc>
          <w:tcPr>
            <w:tcW w:w="7560" w:type="dxa"/>
          </w:tcPr>
          <w:p w14:paraId="4F3B56B0">
            <w:pPr>
              <w:spacing w:line="400" w:lineRule="exact"/>
              <w:rPr>
                <w:rFonts w:ascii="宋体" w:hAnsi="宋体" w:eastAsia="宋体" w:cs="宋体"/>
              </w:rPr>
            </w:pPr>
            <w:r>
              <w:rPr>
                <w:rFonts w:hint="eastAsia" w:ascii="宋体" w:hAnsi="宋体" w:eastAsia="宋体" w:cs="宋体"/>
              </w:rPr>
              <w:t>投标文件的提供：</w:t>
            </w:r>
          </w:p>
          <w:p w14:paraId="724C4CBC">
            <w:pPr>
              <w:spacing w:line="400" w:lineRule="exact"/>
              <w:rPr>
                <w:rFonts w:ascii="宋体" w:hAnsi="宋体" w:eastAsia="宋体" w:cs="宋体"/>
              </w:rPr>
            </w:pPr>
            <w:r>
              <w:rPr>
                <w:rFonts w:hint="eastAsia" w:ascii="宋体" w:hAnsi="宋体" w:eastAsia="宋体" w:cs="宋体"/>
              </w:rPr>
              <w:t>投标方应提供投标文件正本1份、副本2份、“投标一览表”1份。</w:t>
            </w:r>
          </w:p>
        </w:tc>
      </w:tr>
      <w:tr w14:paraId="090D5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0D7AE962">
            <w:pPr>
              <w:spacing w:line="400" w:lineRule="exact"/>
              <w:ind w:left="170"/>
              <w:rPr>
                <w:rFonts w:ascii="宋体" w:hAnsi="宋体" w:eastAsia="宋体" w:cs="宋体"/>
              </w:rPr>
            </w:pPr>
            <w:r>
              <w:rPr>
                <w:rFonts w:hint="eastAsia" w:ascii="宋体" w:hAnsi="宋体" w:eastAsia="宋体" w:cs="宋体"/>
              </w:rPr>
              <w:t>3</w:t>
            </w:r>
          </w:p>
        </w:tc>
        <w:tc>
          <w:tcPr>
            <w:tcW w:w="7560" w:type="dxa"/>
          </w:tcPr>
          <w:p w14:paraId="4190F0F8">
            <w:pPr>
              <w:spacing w:line="400" w:lineRule="exact"/>
              <w:rPr>
                <w:rFonts w:ascii="宋体" w:hAnsi="宋体" w:eastAsia="宋体" w:cs="宋体"/>
              </w:rPr>
            </w:pPr>
            <w:r>
              <w:rPr>
                <w:rFonts w:hint="eastAsia" w:ascii="宋体" w:hAnsi="宋体" w:eastAsia="宋体" w:cs="宋体"/>
              </w:rPr>
              <w:t>小签的要求：</w:t>
            </w:r>
          </w:p>
          <w:p w14:paraId="118FF7D9">
            <w:pPr>
              <w:spacing w:line="400" w:lineRule="exact"/>
              <w:rPr>
                <w:rFonts w:ascii="宋体" w:hAnsi="宋体" w:eastAsia="宋体" w:cs="宋体"/>
              </w:rPr>
            </w:pPr>
            <w:r>
              <w:rPr>
                <w:rFonts w:hint="eastAsia" w:ascii="宋体" w:hAnsi="宋体" w:eastAsia="宋体" w:cs="宋体"/>
              </w:rPr>
              <w:t>除招标文件要求由投标法定代表人或其授权代表在投标文件上签字和加盖公章的部分外，要求上述签字人用姓或首字母逐页小签（含印刷文献）。</w:t>
            </w:r>
          </w:p>
        </w:tc>
      </w:tr>
      <w:tr w14:paraId="1CC38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36E6BD9B">
            <w:pPr>
              <w:spacing w:line="400" w:lineRule="exact"/>
              <w:ind w:left="170"/>
              <w:rPr>
                <w:rFonts w:ascii="宋体" w:hAnsi="宋体" w:eastAsia="宋体" w:cs="宋体"/>
              </w:rPr>
            </w:pPr>
            <w:r>
              <w:rPr>
                <w:rFonts w:hint="eastAsia" w:ascii="宋体" w:hAnsi="宋体" w:eastAsia="宋体" w:cs="宋体"/>
              </w:rPr>
              <w:t>4</w:t>
            </w:r>
          </w:p>
        </w:tc>
        <w:tc>
          <w:tcPr>
            <w:tcW w:w="7560" w:type="dxa"/>
          </w:tcPr>
          <w:p w14:paraId="40B204B5">
            <w:pPr>
              <w:spacing w:line="400" w:lineRule="exact"/>
              <w:rPr>
                <w:rFonts w:ascii="宋体" w:hAnsi="宋体" w:eastAsia="宋体" w:cs="宋体"/>
                <w:szCs w:val="21"/>
              </w:rPr>
            </w:pPr>
            <w:r>
              <w:rPr>
                <w:rFonts w:hint="eastAsia" w:ascii="宋体" w:hAnsi="宋体" w:eastAsia="宋体" w:cs="宋体"/>
                <w:szCs w:val="21"/>
              </w:rPr>
              <w:t>单独提交“投标一览表”信封及投标文件的密封和标记：</w:t>
            </w:r>
          </w:p>
        </w:tc>
      </w:tr>
      <w:tr w14:paraId="5C0F2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69ED67DA">
            <w:pPr>
              <w:spacing w:line="400" w:lineRule="exact"/>
              <w:ind w:left="170"/>
              <w:rPr>
                <w:rFonts w:ascii="宋体" w:hAnsi="宋体" w:eastAsia="宋体" w:cs="宋体"/>
              </w:rPr>
            </w:pPr>
            <w:r>
              <w:rPr>
                <w:rFonts w:hint="eastAsia" w:ascii="宋体" w:hAnsi="宋体" w:eastAsia="宋体" w:cs="宋体"/>
              </w:rPr>
              <w:t>4.1</w:t>
            </w:r>
          </w:p>
        </w:tc>
        <w:tc>
          <w:tcPr>
            <w:tcW w:w="7560" w:type="dxa"/>
          </w:tcPr>
          <w:p w14:paraId="00DF2A31">
            <w:pPr>
              <w:spacing w:line="400" w:lineRule="exact"/>
              <w:rPr>
                <w:rFonts w:ascii="宋体" w:hAnsi="宋体" w:eastAsia="宋体" w:cs="宋体"/>
                <w:szCs w:val="21"/>
              </w:rPr>
            </w:pPr>
            <w:r>
              <w:rPr>
                <w:rFonts w:hint="eastAsia" w:ascii="宋体" w:hAnsi="宋体" w:eastAsia="宋体" w:cs="宋体"/>
                <w:szCs w:val="21"/>
              </w:rPr>
              <w:t>为方便开标唱标，投标方应将“投标一览表</w:t>
            </w:r>
            <w:r>
              <w:rPr>
                <w:rFonts w:hint="eastAsia" w:ascii="宋体" w:hAnsi="宋体" w:eastAsia="宋体" w:cs="宋体"/>
                <w:szCs w:val="21"/>
                <w:lang w:eastAsia="zh-CN"/>
              </w:rPr>
              <w:t>”“</w:t>
            </w:r>
            <w:r>
              <w:rPr>
                <w:rFonts w:hint="eastAsia" w:ascii="宋体" w:hAnsi="宋体" w:eastAsia="宋体" w:cs="宋体"/>
              </w:rPr>
              <w:t>价格变更声明”（如有）、 “</w:t>
            </w:r>
            <w:r>
              <w:rPr>
                <w:rFonts w:hint="eastAsia" w:ascii="宋体" w:hAnsi="宋体" w:eastAsia="宋体" w:cs="宋体"/>
                <w:szCs w:val="21"/>
              </w:rPr>
              <w:t>投标文件电子文档”</w:t>
            </w:r>
            <w:r>
              <w:rPr>
                <w:rFonts w:hint="eastAsia" w:ascii="宋体" w:hAnsi="宋体" w:eastAsia="宋体" w:cs="宋体"/>
              </w:rPr>
              <w:t>（使用Word、Excel、AutoCAD保存在U盘中）</w:t>
            </w:r>
            <w:r>
              <w:rPr>
                <w:rFonts w:hint="eastAsia" w:ascii="宋体" w:hAnsi="宋体" w:eastAsia="宋体" w:cs="宋体"/>
                <w:szCs w:val="21"/>
              </w:rPr>
              <w:t>各1份</w:t>
            </w:r>
            <w:r>
              <w:rPr>
                <w:rFonts w:hint="eastAsia" w:ascii="宋体" w:hAnsi="宋体" w:eastAsia="宋体" w:cs="宋体"/>
              </w:rPr>
              <w:t>装入一个</w:t>
            </w:r>
            <w:r>
              <w:rPr>
                <w:rFonts w:hint="eastAsia" w:ascii="宋体" w:hAnsi="宋体" w:eastAsia="宋体" w:cs="宋体"/>
                <w:szCs w:val="21"/>
              </w:rPr>
              <w:t>密封信封内，信封上标明“投标一览表”字样，在投标时单独提交。投标方应将投标文件正本和所有的副本分开</w:t>
            </w:r>
            <w:r>
              <w:rPr>
                <w:rFonts w:hint="eastAsia" w:ascii="宋体" w:hAnsi="宋体" w:eastAsia="宋体" w:cs="宋体"/>
                <w:szCs w:val="21"/>
                <w:lang w:eastAsia="zh-CN"/>
              </w:rPr>
              <w:t>密封</w:t>
            </w:r>
            <w:r>
              <w:rPr>
                <w:rFonts w:hint="eastAsia" w:ascii="宋体" w:hAnsi="宋体" w:eastAsia="宋体" w:cs="宋体"/>
                <w:szCs w:val="21"/>
              </w:rPr>
              <w:t>在信封中（副本可封装在一个或几个信封中），且在信封上标明“正本”“副本”字样。</w:t>
            </w:r>
          </w:p>
        </w:tc>
      </w:tr>
      <w:tr w14:paraId="67634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8" w:type="dxa"/>
          </w:tcPr>
          <w:p w14:paraId="596ECF51">
            <w:pPr>
              <w:spacing w:line="400" w:lineRule="exact"/>
              <w:ind w:left="170"/>
              <w:rPr>
                <w:rFonts w:ascii="宋体" w:hAnsi="宋体" w:eastAsia="宋体" w:cs="宋体"/>
              </w:rPr>
            </w:pPr>
            <w:r>
              <w:rPr>
                <w:rFonts w:hint="eastAsia" w:ascii="宋体" w:hAnsi="宋体" w:eastAsia="宋体" w:cs="宋体"/>
              </w:rPr>
              <w:t>4.2</w:t>
            </w:r>
          </w:p>
        </w:tc>
        <w:tc>
          <w:tcPr>
            <w:tcW w:w="7560" w:type="dxa"/>
          </w:tcPr>
          <w:p w14:paraId="4E506E2F">
            <w:pPr>
              <w:rPr>
                <w:rFonts w:ascii="宋体" w:hAnsi="宋体" w:eastAsia="宋体" w:cs="宋体"/>
                <w:szCs w:val="21"/>
              </w:rPr>
            </w:pPr>
            <w:r>
              <w:rPr>
                <w:rFonts w:hint="eastAsia" w:ascii="宋体" w:hAnsi="宋体" w:eastAsia="宋体" w:cs="宋体"/>
                <w:szCs w:val="21"/>
              </w:rPr>
              <w:t>投标文件“正本”“副本”“投标一览表”信封均应注明：</w:t>
            </w:r>
          </w:p>
          <w:p w14:paraId="175B43DC">
            <w:pPr>
              <w:rPr>
                <w:rFonts w:hint="eastAsia" w:hAnsi="宋体" w:eastAsia="宋体"/>
                <w:sz w:val="24"/>
                <w:szCs w:val="24"/>
                <w:lang w:eastAsia="zh-CN"/>
              </w:rPr>
            </w:pPr>
            <w:r>
              <w:rPr>
                <w:rFonts w:hint="eastAsia" w:ascii="宋体" w:hAnsi="宋体" w:eastAsia="宋体" w:cs="宋体"/>
                <w:szCs w:val="21"/>
              </w:rPr>
              <w:t>递交至：</w:t>
            </w:r>
            <w:r>
              <w:rPr>
                <w:rFonts w:hint="eastAsia" w:hAnsi="宋体" w:eastAsia="宋体"/>
                <w:sz w:val="24"/>
                <w:szCs w:val="24"/>
                <w:highlight w:val="yellow"/>
                <w:lang w:eastAsia="zh-CN"/>
              </w:rPr>
              <w:t>深圳市福田区梅观路福田生产基地8-6号办公楼三楼</w:t>
            </w:r>
          </w:p>
          <w:p w14:paraId="11C0A3AF">
            <w:pPr>
              <w:rPr>
                <w:rFonts w:ascii="宋体" w:hAnsi="宋体" w:eastAsia="宋体" w:cs="宋体"/>
                <w:szCs w:val="21"/>
              </w:rPr>
            </w:pPr>
            <w:r>
              <w:rPr>
                <w:rFonts w:hint="eastAsia" w:ascii="宋体" w:hAnsi="宋体" w:eastAsia="宋体" w:cs="宋体"/>
                <w:szCs w:val="21"/>
              </w:rPr>
              <w:t>招标编号：</w:t>
            </w:r>
          </w:p>
          <w:p w14:paraId="5184EEED">
            <w:pPr>
              <w:rPr>
                <w:rFonts w:ascii="宋体" w:hAnsi="宋体" w:eastAsia="宋体" w:cs="宋体"/>
                <w:szCs w:val="21"/>
              </w:rPr>
            </w:pPr>
            <w:r>
              <w:rPr>
                <w:rFonts w:hint="eastAsia" w:ascii="宋体" w:hAnsi="宋体" w:eastAsia="宋体" w:cs="宋体"/>
                <w:szCs w:val="21"/>
              </w:rPr>
              <w:t>项目名称：</w:t>
            </w:r>
            <w:r>
              <w:rPr>
                <w:rFonts w:hint="eastAsia" w:ascii="宋体" w:hAnsi="宋体" w:eastAsia="宋体" w:cs="宋体"/>
                <w:color w:val="auto"/>
                <w:sz w:val="21"/>
                <w:szCs w:val="21"/>
                <w:lang w:val="en-US" w:eastAsia="zh-CN"/>
              </w:rPr>
              <w:t>2026年度医疗废物周转桶采购项目</w:t>
            </w:r>
            <w:r>
              <w:rPr>
                <w:rFonts w:hint="eastAsia" w:ascii="宋体" w:hAnsi="宋体" w:eastAsia="宋体" w:cs="宋体"/>
                <w:szCs w:val="21"/>
              </w:rPr>
              <w:t xml:space="preserve">货物名称： </w:t>
            </w:r>
            <w:r>
              <w:rPr>
                <w:rFonts w:hint="eastAsia" w:ascii="宋体" w:hAnsi="宋体" w:eastAsia="宋体" w:cs="宋体"/>
                <w:color w:val="auto"/>
                <w:sz w:val="21"/>
                <w:szCs w:val="21"/>
                <w:lang w:val="en-US" w:eastAsia="zh-CN"/>
              </w:rPr>
              <w:t>2026年度医疗废物周转桶采购项目</w:t>
            </w:r>
            <w:r>
              <w:rPr>
                <w:rFonts w:hint="eastAsia" w:ascii="宋体" w:hAnsi="宋体" w:eastAsia="宋体" w:cs="宋体"/>
                <w:szCs w:val="21"/>
              </w:rPr>
              <w:t>在2026年</w:t>
            </w:r>
            <w:r>
              <w:rPr>
                <w:rFonts w:hint="eastAsia" w:ascii="宋体" w:hAnsi="宋体" w:eastAsia="宋体" w:cs="宋体"/>
                <w:szCs w:val="21"/>
                <w:lang w:val="en-US" w:eastAsia="zh-CN"/>
              </w:rPr>
              <w:t xml:space="preserve"> </w:t>
            </w:r>
            <w:r>
              <w:rPr>
                <w:rFonts w:hint="eastAsia" w:ascii="宋体" w:hAnsi="宋体" w:eastAsia="宋体" w:cs="宋体"/>
                <w:szCs w:val="21"/>
              </w:rPr>
              <w:t>月</w:t>
            </w:r>
            <w:r>
              <w:rPr>
                <w:rFonts w:hint="eastAsia" w:ascii="宋体" w:hAnsi="宋体" w:eastAsia="宋体" w:cs="宋体"/>
                <w:szCs w:val="21"/>
                <w:lang w:val="en-US" w:eastAsia="zh-CN"/>
              </w:rPr>
              <w:t xml:space="preserve">  </w:t>
            </w:r>
            <w:r>
              <w:rPr>
                <w:rFonts w:hint="eastAsia" w:ascii="宋体" w:hAnsi="宋体" w:eastAsia="宋体" w:cs="宋体"/>
                <w:szCs w:val="21"/>
              </w:rPr>
              <w:t>日</w:t>
            </w:r>
            <w:r>
              <w:rPr>
                <w:rFonts w:hint="eastAsia" w:ascii="宋体" w:hAnsi="宋体" w:eastAsia="宋体" w:cs="宋体"/>
                <w:szCs w:val="21"/>
                <w:lang w:val="en-US" w:eastAsia="zh-CN"/>
              </w:rPr>
              <w:t>15</w:t>
            </w:r>
            <w:r>
              <w:rPr>
                <w:rFonts w:hint="eastAsia" w:ascii="宋体" w:hAnsi="宋体" w:eastAsia="宋体" w:cs="宋体"/>
                <w:szCs w:val="21"/>
                <w:lang w:eastAsia="zh-CN"/>
              </w:rPr>
              <w:t>:</w:t>
            </w:r>
            <w:r>
              <w:rPr>
                <w:rFonts w:hint="eastAsia" w:ascii="宋体" w:hAnsi="宋体" w:eastAsia="宋体" w:cs="宋体"/>
                <w:szCs w:val="21"/>
              </w:rPr>
              <w:t>30（北京时间）之前不得启封”的字样。</w:t>
            </w:r>
          </w:p>
        </w:tc>
      </w:tr>
      <w:tr w14:paraId="056C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68" w:type="dxa"/>
            <w:gridSpan w:val="2"/>
          </w:tcPr>
          <w:p w14:paraId="3D4D20CE">
            <w:pPr>
              <w:spacing w:line="400" w:lineRule="exact"/>
              <w:rPr>
                <w:rFonts w:ascii="宋体" w:hAnsi="宋体" w:eastAsia="宋体" w:cs="宋体"/>
              </w:rPr>
            </w:pPr>
            <w:r>
              <w:rPr>
                <w:rFonts w:hint="eastAsia" w:ascii="宋体" w:hAnsi="宋体" w:eastAsia="宋体" w:cs="宋体"/>
                <w:szCs w:val="21"/>
              </w:rPr>
              <w:t>注：</w:t>
            </w:r>
            <w:r>
              <w:rPr>
                <w:rFonts w:hint="eastAsia" w:ascii="宋体" w:hAnsi="宋体" w:eastAsia="宋体" w:cs="宋体"/>
              </w:rPr>
              <w:t>本表是对“投标方须知”对应条款的具体补充和修改，如有矛盾应以本专用表为准。</w:t>
            </w:r>
          </w:p>
        </w:tc>
      </w:tr>
    </w:tbl>
    <w:p w14:paraId="30A86278">
      <w:pPr>
        <w:pStyle w:val="12"/>
        <w:ind w:left="0" w:leftChars="0" w:firstLine="0" w:firstLineChars="0"/>
      </w:pPr>
      <w:bookmarkStart w:id="24" w:name="_Toc203990440"/>
      <w:bookmarkStart w:id="25" w:name="_Toc1769"/>
      <w:bookmarkStart w:id="26" w:name="_Toc5424"/>
      <w:bookmarkStart w:id="27" w:name="_Toc496002343"/>
    </w:p>
    <w:p w14:paraId="71C4C7B0">
      <w:pPr>
        <w:pStyle w:val="12"/>
        <w:ind w:left="0" w:leftChars="0" w:firstLine="0" w:firstLineChars="0"/>
      </w:pPr>
    </w:p>
    <w:p w14:paraId="6221275D">
      <w:pPr>
        <w:spacing w:before="60" w:after="240" w:line="440" w:lineRule="exact"/>
        <w:jc w:val="center"/>
        <w:outlineLvl w:val="1"/>
        <w:rPr>
          <w:rFonts w:ascii="楷体_GB2312" w:eastAsia="楷体_GB2312"/>
          <w:sz w:val="24"/>
        </w:rPr>
      </w:pPr>
      <w:bookmarkStart w:id="28" w:name="_Toc9422"/>
      <w:r>
        <w:rPr>
          <w:rFonts w:hint="eastAsia" w:ascii="楷体_GB2312" w:eastAsia="楷体_GB2312"/>
          <w:sz w:val="24"/>
        </w:rPr>
        <w:t>第四节投标文件否决性条款</w:t>
      </w:r>
      <w:bookmarkEnd w:id="24"/>
      <w:r>
        <w:rPr>
          <w:rFonts w:hint="eastAsia" w:ascii="楷体_GB2312" w:eastAsia="楷体_GB2312"/>
          <w:sz w:val="24"/>
        </w:rPr>
        <w:t>摘要</w:t>
      </w:r>
      <w:bookmarkEnd w:id="25"/>
      <w:bookmarkEnd w:id="26"/>
      <w:bookmarkEnd w:id="27"/>
      <w:bookmarkEnd w:id="28"/>
    </w:p>
    <w:tbl>
      <w:tblPr>
        <w:tblStyle w:val="21"/>
        <w:tblW w:w="8568" w:type="dxa"/>
        <w:tblInd w:w="0" w:type="dxa"/>
        <w:tblLayout w:type="fixed"/>
        <w:tblCellMar>
          <w:top w:w="0" w:type="dxa"/>
          <w:left w:w="108" w:type="dxa"/>
          <w:bottom w:w="0" w:type="dxa"/>
          <w:right w:w="108" w:type="dxa"/>
        </w:tblCellMar>
      </w:tblPr>
      <w:tblGrid>
        <w:gridCol w:w="1008"/>
        <w:gridCol w:w="7560"/>
      </w:tblGrid>
      <w:tr w14:paraId="0587B7B8">
        <w:tblPrEx>
          <w:tblCellMar>
            <w:top w:w="0" w:type="dxa"/>
            <w:left w:w="108" w:type="dxa"/>
            <w:bottom w:w="0" w:type="dxa"/>
            <w:right w:w="108" w:type="dxa"/>
          </w:tblCellMar>
        </w:tblPrEx>
        <w:tc>
          <w:tcPr>
            <w:tcW w:w="1008" w:type="dxa"/>
          </w:tcPr>
          <w:p w14:paraId="7A3216D8">
            <w:pPr>
              <w:spacing w:line="400" w:lineRule="exact"/>
              <w:ind w:left="170"/>
              <w:rPr>
                <w:b/>
              </w:rPr>
            </w:pPr>
            <w:r>
              <w:rPr>
                <w:b/>
              </w:rPr>
              <w:t>1.</w:t>
            </w:r>
          </w:p>
        </w:tc>
        <w:tc>
          <w:tcPr>
            <w:tcW w:w="7560" w:type="dxa"/>
          </w:tcPr>
          <w:p w14:paraId="25DA523A">
            <w:pPr>
              <w:spacing w:line="400" w:lineRule="exact"/>
              <w:rPr>
                <w:rFonts w:ascii="宋体"/>
                <w:b/>
                <w:szCs w:val="21"/>
              </w:rPr>
            </w:pPr>
            <w:r>
              <w:rPr>
                <w:rFonts w:hint="eastAsia" w:ascii="宋体" w:hAnsi="宋体"/>
                <w:b/>
                <w:szCs w:val="21"/>
              </w:rPr>
              <w:t>投标文件有下列情形之一的，招标方有权不予受理：</w:t>
            </w:r>
          </w:p>
        </w:tc>
      </w:tr>
      <w:tr w14:paraId="2CE444A8">
        <w:tblPrEx>
          <w:tblCellMar>
            <w:top w:w="0" w:type="dxa"/>
            <w:left w:w="108" w:type="dxa"/>
            <w:bottom w:w="0" w:type="dxa"/>
            <w:right w:w="108" w:type="dxa"/>
          </w:tblCellMar>
        </w:tblPrEx>
        <w:tc>
          <w:tcPr>
            <w:tcW w:w="1008" w:type="dxa"/>
          </w:tcPr>
          <w:p w14:paraId="5FA8EF42">
            <w:pPr>
              <w:spacing w:line="400" w:lineRule="exact"/>
              <w:ind w:left="170"/>
            </w:pPr>
            <w:r>
              <w:t>1.1</w:t>
            </w:r>
          </w:p>
        </w:tc>
        <w:tc>
          <w:tcPr>
            <w:tcW w:w="7560" w:type="dxa"/>
          </w:tcPr>
          <w:p w14:paraId="69812339">
            <w:pPr>
              <w:spacing w:line="400" w:lineRule="exact"/>
              <w:rPr>
                <w:rFonts w:ascii="宋体"/>
                <w:szCs w:val="21"/>
              </w:rPr>
            </w:pPr>
            <w:r>
              <w:rPr>
                <w:rFonts w:hint="eastAsia" w:ascii="宋体" w:hAnsi="宋体"/>
                <w:szCs w:val="21"/>
              </w:rPr>
              <w:t>在投标截止时间以后送达的，或者未送达指定地点的；</w:t>
            </w:r>
          </w:p>
        </w:tc>
      </w:tr>
      <w:tr w14:paraId="58C4382C">
        <w:tblPrEx>
          <w:tblCellMar>
            <w:top w:w="0" w:type="dxa"/>
            <w:left w:w="108" w:type="dxa"/>
            <w:bottom w:w="0" w:type="dxa"/>
            <w:right w:w="108" w:type="dxa"/>
          </w:tblCellMar>
        </w:tblPrEx>
        <w:tc>
          <w:tcPr>
            <w:tcW w:w="1008" w:type="dxa"/>
          </w:tcPr>
          <w:p w14:paraId="21DAB939">
            <w:pPr>
              <w:spacing w:line="400" w:lineRule="exact"/>
              <w:ind w:left="170"/>
            </w:pPr>
            <w:r>
              <w:t>1.2</w:t>
            </w:r>
          </w:p>
        </w:tc>
        <w:tc>
          <w:tcPr>
            <w:tcW w:w="7560" w:type="dxa"/>
          </w:tcPr>
          <w:p w14:paraId="776671E8">
            <w:pPr>
              <w:spacing w:line="400" w:lineRule="exact"/>
              <w:rPr>
                <w:rFonts w:ascii="宋体"/>
                <w:szCs w:val="21"/>
              </w:rPr>
            </w:pPr>
            <w:r>
              <w:rPr>
                <w:rFonts w:hint="eastAsia" w:ascii="宋体" w:hAnsi="宋体"/>
                <w:szCs w:val="21"/>
              </w:rPr>
              <w:t>未予以密封和在密封封口处未加盖投标方公章或无有效签字的；</w:t>
            </w:r>
          </w:p>
        </w:tc>
      </w:tr>
      <w:tr w14:paraId="29B2CAE6">
        <w:tblPrEx>
          <w:tblCellMar>
            <w:top w:w="0" w:type="dxa"/>
            <w:left w:w="108" w:type="dxa"/>
            <w:bottom w:w="0" w:type="dxa"/>
            <w:right w:w="108" w:type="dxa"/>
          </w:tblCellMar>
        </w:tblPrEx>
        <w:tc>
          <w:tcPr>
            <w:tcW w:w="1008" w:type="dxa"/>
          </w:tcPr>
          <w:p w14:paraId="6AFAFDD4">
            <w:pPr>
              <w:spacing w:line="400" w:lineRule="exact"/>
              <w:ind w:left="170"/>
            </w:pPr>
            <w:r>
              <w:t>1.3</w:t>
            </w:r>
          </w:p>
        </w:tc>
        <w:tc>
          <w:tcPr>
            <w:tcW w:w="7560" w:type="dxa"/>
          </w:tcPr>
          <w:p w14:paraId="21D5E410">
            <w:pPr>
              <w:spacing w:line="400" w:lineRule="exact"/>
              <w:rPr>
                <w:rFonts w:ascii="宋体"/>
                <w:szCs w:val="21"/>
              </w:rPr>
            </w:pPr>
            <w:r>
              <w:rPr>
                <w:rFonts w:hint="eastAsia" w:ascii="宋体" w:hAnsi="宋体"/>
                <w:szCs w:val="21"/>
              </w:rPr>
              <w:t>投标时未单独提交密封的“投标一览表</w:t>
            </w:r>
            <w:r>
              <w:rPr>
                <w:rFonts w:hint="eastAsia" w:ascii="宋体" w:hAnsi="宋体"/>
                <w:szCs w:val="21"/>
                <w:lang w:eastAsia="zh-CN"/>
              </w:rPr>
              <w:t>”“</w:t>
            </w:r>
            <w:r>
              <w:rPr>
                <w:rFonts w:hint="eastAsia" w:ascii="宋体" w:hAnsi="宋体"/>
                <w:szCs w:val="21"/>
              </w:rPr>
              <w:t>投标文件电子文档</w:t>
            </w:r>
            <w:r>
              <w:rPr>
                <w:rFonts w:hint="eastAsia" w:ascii="宋体" w:hAnsi="宋体"/>
                <w:szCs w:val="21"/>
                <w:lang w:eastAsia="zh-CN"/>
              </w:rPr>
              <w:t>（</w:t>
            </w:r>
            <w:r>
              <w:rPr>
                <w:rFonts w:hint="eastAsia" w:ascii="宋体" w:hAnsi="宋体"/>
                <w:szCs w:val="21"/>
                <w:lang w:val="en-US" w:eastAsia="zh-CN"/>
              </w:rPr>
              <w:t>U盘）</w:t>
            </w:r>
            <w:r>
              <w:rPr>
                <w:rFonts w:hint="eastAsia" w:ascii="宋体" w:hAnsi="宋体"/>
                <w:szCs w:val="21"/>
              </w:rPr>
              <w:t>”的；</w:t>
            </w:r>
          </w:p>
        </w:tc>
      </w:tr>
      <w:tr w14:paraId="6871073C">
        <w:tblPrEx>
          <w:tblCellMar>
            <w:top w:w="0" w:type="dxa"/>
            <w:left w:w="108" w:type="dxa"/>
            <w:bottom w:w="0" w:type="dxa"/>
            <w:right w:w="108" w:type="dxa"/>
          </w:tblCellMar>
        </w:tblPrEx>
        <w:tc>
          <w:tcPr>
            <w:tcW w:w="1008" w:type="dxa"/>
          </w:tcPr>
          <w:p w14:paraId="0AB2915D">
            <w:pPr>
              <w:spacing w:line="400" w:lineRule="exact"/>
              <w:ind w:left="170"/>
            </w:pPr>
            <w:r>
              <w:t>1.4</w:t>
            </w:r>
          </w:p>
        </w:tc>
        <w:tc>
          <w:tcPr>
            <w:tcW w:w="7560" w:type="dxa"/>
          </w:tcPr>
          <w:p w14:paraId="5A381596">
            <w:pPr>
              <w:spacing w:line="400" w:lineRule="exact"/>
              <w:rPr>
                <w:b/>
                <w:szCs w:val="21"/>
              </w:rPr>
            </w:pPr>
            <w:r>
              <w:rPr>
                <w:rFonts w:hint="eastAsia" w:ascii="宋体" w:hAnsi="宋体"/>
                <w:szCs w:val="21"/>
              </w:rPr>
              <w:t>投标方的名称与</w:t>
            </w:r>
            <w:bookmarkStart w:id="29" w:name="_Toc76871384"/>
            <w:r>
              <w:rPr>
                <w:rFonts w:hint="eastAsia" w:ascii="宋体" w:hAnsi="宋体"/>
                <w:szCs w:val="21"/>
              </w:rPr>
              <w:t>“招标文件领取登记表</w:t>
            </w:r>
            <w:bookmarkEnd w:id="29"/>
            <w:r>
              <w:rPr>
                <w:rFonts w:hint="eastAsia" w:ascii="宋体" w:hAnsi="宋体"/>
                <w:szCs w:val="21"/>
              </w:rPr>
              <w:t>”不一致的。</w:t>
            </w:r>
          </w:p>
        </w:tc>
      </w:tr>
      <w:tr w14:paraId="1C13A10B">
        <w:tblPrEx>
          <w:tblCellMar>
            <w:top w:w="0" w:type="dxa"/>
            <w:left w:w="108" w:type="dxa"/>
            <w:bottom w:w="0" w:type="dxa"/>
            <w:right w:w="108" w:type="dxa"/>
          </w:tblCellMar>
        </w:tblPrEx>
        <w:tc>
          <w:tcPr>
            <w:tcW w:w="1008" w:type="dxa"/>
          </w:tcPr>
          <w:p w14:paraId="5DA85B6F">
            <w:pPr>
              <w:spacing w:line="400" w:lineRule="exact"/>
              <w:ind w:left="170"/>
              <w:rPr>
                <w:b/>
              </w:rPr>
            </w:pPr>
            <w:r>
              <w:rPr>
                <w:b/>
              </w:rPr>
              <w:t>2.</w:t>
            </w:r>
          </w:p>
        </w:tc>
        <w:tc>
          <w:tcPr>
            <w:tcW w:w="7560" w:type="dxa"/>
          </w:tcPr>
          <w:p w14:paraId="4F13552A">
            <w:pPr>
              <w:spacing w:line="400" w:lineRule="exact"/>
              <w:rPr>
                <w:rFonts w:ascii="宋体"/>
                <w:b/>
                <w:szCs w:val="21"/>
              </w:rPr>
            </w:pPr>
            <w:r>
              <w:rPr>
                <w:rFonts w:hint="eastAsia" w:ascii="宋体" w:hAnsi="宋体"/>
                <w:b/>
                <w:szCs w:val="21"/>
              </w:rPr>
              <w:t>投标文件有下列情形之一的，按无效标处理：</w:t>
            </w:r>
          </w:p>
        </w:tc>
      </w:tr>
      <w:tr w14:paraId="24F478D4">
        <w:tblPrEx>
          <w:tblCellMar>
            <w:top w:w="0" w:type="dxa"/>
            <w:left w:w="108" w:type="dxa"/>
            <w:bottom w:w="0" w:type="dxa"/>
            <w:right w:w="108" w:type="dxa"/>
          </w:tblCellMar>
        </w:tblPrEx>
        <w:tc>
          <w:tcPr>
            <w:tcW w:w="1008" w:type="dxa"/>
          </w:tcPr>
          <w:p w14:paraId="4BF2AF96">
            <w:pPr>
              <w:spacing w:line="400" w:lineRule="exact"/>
              <w:ind w:left="170"/>
            </w:pPr>
            <w:r>
              <w:t>2.1</w:t>
            </w:r>
          </w:p>
        </w:tc>
        <w:tc>
          <w:tcPr>
            <w:tcW w:w="7560" w:type="dxa"/>
          </w:tcPr>
          <w:p w14:paraId="1BBCEC39">
            <w:pPr>
              <w:spacing w:line="400" w:lineRule="exact"/>
              <w:ind w:left="315" w:hanging="315"/>
              <w:rPr>
                <w:rFonts w:hAnsi="宋体"/>
                <w:szCs w:val="21"/>
              </w:rPr>
            </w:pPr>
            <w:r>
              <w:rPr>
                <w:rFonts w:hint="eastAsia" w:hAnsi="宋体"/>
                <w:szCs w:val="21"/>
              </w:rPr>
              <w:t>投标方的投标书或资格证明文件未提供或不符合招标文件要求的；</w:t>
            </w:r>
          </w:p>
        </w:tc>
      </w:tr>
      <w:tr w14:paraId="2AB5FFD5">
        <w:tblPrEx>
          <w:tblCellMar>
            <w:top w:w="0" w:type="dxa"/>
            <w:left w:w="108" w:type="dxa"/>
            <w:bottom w:w="0" w:type="dxa"/>
            <w:right w:w="108" w:type="dxa"/>
          </w:tblCellMar>
        </w:tblPrEx>
        <w:tc>
          <w:tcPr>
            <w:tcW w:w="1008" w:type="dxa"/>
          </w:tcPr>
          <w:p w14:paraId="78B677FE">
            <w:pPr>
              <w:spacing w:line="400" w:lineRule="exact"/>
              <w:ind w:left="170"/>
            </w:pPr>
            <w:r>
              <w:t>2.2</w:t>
            </w:r>
          </w:p>
        </w:tc>
        <w:tc>
          <w:tcPr>
            <w:tcW w:w="7560" w:type="dxa"/>
          </w:tcPr>
          <w:p w14:paraId="7DAC5FE0">
            <w:pPr>
              <w:spacing w:line="400" w:lineRule="exact"/>
              <w:ind w:left="278" w:hanging="278"/>
              <w:rPr>
                <w:rFonts w:hAnsi="宋体"/>
                <w:szCs w:val="21"/>
              </w:rPr>
            </w:pPr>
            <w:r>
              <w:rPr>
                <w:rFonts w:hint="eastAsia" w:hAnsi="宋体"/>
                <w:szCs w:val="21"/>
              </w:rPr>
              <w:t>投标文件中要求法人代表签字和加盖公章的文件无法人代表签字或公章的，或签</w:t>
            </w:r>
          </w:p>
          <w:p w14:paraId="21CAFD23">
            <w:pPr>
              <w:spacing w:line="400" w:lineRule="exact"/>
              <w:ind w:left="278" w:hanging="278"/>
              <w:rPr>
                <w:rFonts w:hAnsi="宋体"/>
                <w:szCs w:val="21"/>
              </w:rPr>
            </w:pPr>
            <w:r>
              <w:rPr>
                <w:rFonts w:hint="eastAsia" w:hAnsi="宋体"/>
                <w:szCs w:val="21"/>
              </w:rPr>
              <w:t>字人无法人代表有效委托的；</w:t>
            </w:r>
          </w:p>
        </w:tc>
      </w:tr>
      <w:tr w14:paraId="3F8837F2">
        <w:tblPrEx>
          <w:tblCellMar>
            <w:top w:w="0" w:type="dxa"/>
            <w:left w:w="108" w:type="dxa"/>
            <w:bottom w:w="0" w:type="dxa"/>
            <w:right w:w="108" w:type="dxa"/>
          </w:tblCellMar>
        </w:tblPrEx>
        <w:tc>
          <w:tcPr>
            <w:tcW w:w="1008" w:type="dxa"/>
          </w:tcPr>
          <w:p w14:paraId="2FC0AD38">
            <w:pPr>
              <w:spacing w:line="400" w:lineRule="exact"/>
              <w:ind w:left="170"/>
            </w:pPr>
            <w:r>
              <w:t>2.3</w:t>
            </w:r>
          </w:p>
        </w:tc>
        <w:tc>
          <w:tcPr>
            <w:tcW w:w="7560" w:type="dxa"/>
          </w:tcPr>
          <w:p w14:paraId="658243C2">
            <w:pPr>
              <w:spacing w:line="400" w:lineRule="exact"/>
              <w:ind w:left="278" w:hanging="278"/>
              <w:rPr>
                <w:rFonts w:hAnsi="宋体"/>
                <w:szCs w:val="21"/>
              </w:rPr>
            </w:pPr>
            <w:r>
              <w:rPr>
                <w:rFonts w:hint="eastAsia" w:hAnsi="宋体"/>
                <w:szCs w:val="21"/>
              </w:rPr>
              <w:t>投标文件未按招标文件要求进行有效签字的；</w:t>
            </w:r>
          </w:p>
        </w:tc>
      </w:tr>
      <w:tr w14:paraId="1EB247B9">
        <w:tblPrEx>
          <w:tblCellMar>
            <w:top w:w="0" w:type="dxa"/>
            <w:left w:w="108" w:type="dxa"/>
            <w:bottom w:w="0" w:type="dxa"/>
            <w:right w:w="108" w:type="dxa"/>
          </w:tblCellMar>
        </w:tblPrEx>
        <w:tc>
          <w:tcPr>
            <w:tcW w:w="1008" w:type="dxa"/>
          </w:tcPr>
          <w:p w14:paraId="49B07EDD">
            <w:pPr>
              <w:spacing w:line="400" w:lineRule="exact"/>
              <w:ind w:left="170"/>
            </w:pPr>
            <w:r>
              <w:t>2.4</w:t>
            </w:r>
          </w:p>
        </w:tc>
        <w:tc>
          <w:tcPr>
            <w:tcW w:w="7560" w:type="dxa"/>
          </w:tcPr>
          <w:p w14:paraId="339FBA63">
            <w:pPr>
              <w:spacing w:line="400" w:lineRule="exact"/>
              <w:ind w:left="278" w:hanging="278"/>
              <w:rPr>
                <w:rFonts w:ascii="宋体"/>
                <w:szCs w:val="21"/>
              </w:rPr>
            </w:pPr>
            <w:r>
              <w:rPr>
                <w:rFonts w:hint="eastAsia" w:ascii="宋体" w:hAnsi="宋体"/>
                <w:szCs w:val="21"/>
              </w:rPr>
              <w:t>未按规定的格式填写，内容不全或关键字迹模糊、无法辨认的；</w:t>
            </w:r>
          </w:p>
        </w:tc>
      </w:tr>
      <w:tr w14:paraId="7F096C2B">
        <w:tblPrEx>
          <w:tblCellMar>
            <w:top w:w="0" w:type="dxa"/>
            <w:left w:w="108" w:type="dxa"/>
            <w:bottom w:w="0" w:type="dxa"/>
            <w:right w:w="108" w:type="dxa"/>
          </w:tblCellMar>
        </w:tblPrEx>
        <w:tc>
          <w:tcPr>
            <w:tcW w:w="1008" w:type="dxa"/>
          </w:tcPr>
          <w:p w14:paraId="029908A5">
            <w:pPr>
              <w:spacing w:line="400" w:lineRule="exact"/>
              <w:ind w:left="170"/>
            </w:pPr>
            <w:r>
              <w:t>2.5</w:t>
            </w:r>
          </w:p>
        </w:tc>
        <w:tc>
          <w:tcPr>
            <w:tcW w:w="7560" w:type="dxa"/>
          </w:tcPr>
          <w:p w14:paraId="0ABA7168">
            <w:pPr>
              <w:spacing w:line="400" w:lineRule="exact"/>
              <w:ind w:left="278" w:hanging="278"/>
              <w:rPr>
                <w:rFonts w:hAnsi="宋体"/>
                <w:szCs w:val="21"/>
              </w:rPr>
            </w:pPr>
            <w:r>
              <w:rPr>
                <w:rFonts w:hint="eastAsia" w:ascii="宋体" w:hAnsi="宋体"/>
                <w:szCs w:val="21"/>
              </w:rPr>
              <w:t>投标有效期不满足招标文件要求的；</w:t>
            </w:r>
          </w:p>
        </w:tc>
      </w:tr>
      <w:tr w14:paraId="18FB1D7A">
        <w:tblPrEx>
          <w:tblCellMar>
            <w:top w:w="0" w:type="dxa"/>
            <w:left w:w="108" w:type="dxa"/>
            <w:bottom w:w="0" w:type="dxa"/>
            <w:right w:w="108" w:type="dxa"/>
          </w:tblCellMar>
        </w:tblPrEx>
        <w:tc>
          <w:tcPr>
            <w:tcW w:w="1008" w:type="dxa"/>
          </w:tcPr>
          <w:p w14:paraId="2667BAD3">
            <w:pPr>
              <w:spacing w:line="400" w:lineRule="exact"/>
              <w:ind w:left="170"/>
            </w:pPr>
            <w:r>
              <w:t>2.6</w:t>
            </w:r>
          </w:p>
        </w:tc>
        <w:tc>
          <w:tcPr>
            <w:tcW w:w="7560" w:type="dxa"/>
          </w:tcPr>
          <w:p w14:paraId="2E49CADA">
            <w:pPr>
              <w:spacing w:line="400" w:lineRule="exact"/>
              <w:rPr>
                <w:rFonts w:ascii="宋体"/>
                <w:szCs w:val="21"/>
              </w:rPr>
            </w:pPr>
            <w:r>
              <w:rPr>
                <w:rFonts w:hint="eastAsia" w:ascii="宋体" w:hAnsi="宋体"/>
                <w:szCs w:val="21"/>
              </w:rPr>
              <w:t>联合体投标未附联合体各方共同投标协议及未注明主办人和各方拟承担的工作和责任的；</w:t>
            </w:r>
            <w:r>
              <w:rPr>
                <w:rFonts w:hint="eastAsia" w:hAnsi="宋体"/>
                <w:szCs w:val="21"/>
              </w:rPr>
              <w:t>联合体成员</w:t>
            </w:r>
            <w:r>
              <w:rPr>
                <w:rFonts w:hint="eastAsia"/>
              </w:rPr>
              <w:t>再以自己名义单独投标</w:t>
            </w:r>
            <w:r>
              <w:rPr>
                <w:rFonts w:hint="eastAsia"/>
                <w:lang w:eastAsia="zh-CN"/>
              </w:rPr>
              <w:t>，以</w:t>
            </w:r>
            <w:r>
              <w:rPr>
                <w:rFonts w:hint="eastAsia"/>
              </w:rPr>
              <w:t>及组成或参加其他联合体在同一项目中投标的；</w:t>
            </w:r>
          </w:p>
        </w:tc>
      </w:tr>
      <w:tr w14:paraId="53ABB176">
        <w:tblPrEx>
          <w:tblCellMar>
            <w:top w:w="0" w:type="dxa"/>
            <w:left w:w="108" w:type="dxa"/>
            <w:bottom w:w="0" w:type="dxa"/>
            <w:right w:w="108" w:type="dxa"/>
          </w:tblCellMar>
        </w:tblPrEx>
        <w:tc>
          <w:tcPr>
            <w:tcW w:w="1008" w:type="dxa"/>
          </w:tcPr>
          <w:p w14:paraId="2AD8FC8C">
            <w:pPr>
              <w:spacing w:line="400" w:lineRule="exact"/>
              <w:ind w:left="170"/>
            </w:pPr>
            <w:r>
              <w:t>2.7</w:t>
            </w:r>
          </w:p>
        </w:tc>
        <w:tc>
          <w:tcPr>
            <w:tcW w:w="7560" w:type="dxa"/>
          </w:tcPr>
          <w:p w14:paraId="3A6B6AF0">
            <w:pPr>
              <w:spacing w:line="400" w:lineRule="exact"/>
              <w:rPr>
                <w:rFonts w:ascii="宋体"/>
                <w:szCs w:val="21"/>
              </w:rPr>
            </w:pPr>
            <w:r>
              <w:rPr>
                <w:rFonts w:hint="eastAsia" w:ascii="宋体" w:hAnsi="宋体"/>
                <w:szCs w:val="21"/>
              </w:rPr>
              <w:t>投标方递交两份或多份内容不同投标方案，招标文件规定提交备选投标方案的除外；</w:t>
            </w:r>
          </w:p>
        </w:tc>
      </w:tr>
      <w:tr w14:paraId="37FB43EE">
        <w:tblPrEx>
          <w:tblCellMar>
            <w:top w:w="0" w:type="dxa"/>
            <w:left w:w="108" w:type="dxa"/>
            <w:bottom w:w="0" w:type="dxa"/>
            <w:right w:w="108" w:type="dxa"/>
          </w:tblCellMar>
        </w:tblPrEx>
        <w:tc>
          <w:tcPr>
            <w:tcW w:w="1008" w:type="dxa"/>
          </w:tcPr>
          <w:p w14:paraId="61EE94CB">
            <w:pPr>
              <w:spacing w:line="400" w:lineRule="exact"/>
              <w:ind w:left="170"/>
            </w:pPr>
            <w:r>
              <w:t>2.8</w:t>
            </w:r>
          </w:p>
        </w:tc>
        <w:tc>
          <w:tcPr>
            <w:tcW w:w="7560" w:type="dxa"/>
          </w:tcPr>
          <w:p w14:paraId="329FF357">
            <w:pPr>
              <w:spacing w:line="400" w:lineRule="exact"/>
              <w:ind w:left="278" w:hanging="278"/>
              <w:rPr>
                <w:rFonts w:hAnsi="宋体"/>
                <w:szCs w:val="21"/>
              </w:rPr>
            </w:pPr>
            <w:r>
              <w:rPr>
                <w:rFonts w:hint="eastAsia" w:hAnsi="宋体"/>
                <w:szCs w:val="21"/>
              </w:rPr>
              <w:t>投标报价有严重缺漏项目的；</w:t>
            </w:r>
          </w:p>
        </w:tc>
      </w:tr>
      <w:tr w14:paraId="68039C22">
        <w:tblPrEx>
          <w:tblCellMar>
            <w:top w:w="0" w:type="dxa"/>
            <w:left w:w="108" w:type="dxa"/>
            <w:bottom w:w="0" w:type="dxa"/>
            <w:right w:w="108" w:type="dxa"/>
          </w:tblCellMar>
        </w:tblPrEx>
        <w:tc>
          <w:tcPr>
            <w:tcW w:w="1008" w:type="dxa"/>
          </w:tcPr>
          <w:p w14:paraId="0B5FB47C">
            <w:pPr>
              <w:spacing w:line="400" w:lineRule="exact"/>
              <w:ind w:left="170"/>
            </w:pPr>
            <w:r>
              <w:t>2.9</w:t>
            </w:r>
          </w:p>
        </w:tc>
        <w:tc>
          <w:tcPr>
            <w:tcW w:w="7560" w:type="dxa"/>
          </w:tcPr>
          <w:p w14:paraId="01F97692">
            <w:pPr>
              <w:autoSpaceDE w:val="0"/>
              <w:autoSpaceDN w:val="0"/>
              <w:adjustRightInd w:val="0"/>
              <w:snapToGrid w:val="0"/>
              <w:spacing w:line="400" w:lineRule="exact"/>
              <w:rPr>
                <w:rFonts w:ascii="宋体"/>
                <w:szCs w:val="21"/>
              </w:rPr>
            </w:pPr>
            <w:r>
              <w:rPr>
                <w:rFonts w:hint="eastAsia" w:ascii="宋体" w:hAnsi="宋体"/>
                <w:szCs w:val="21"/>
              </w:rPr>
              <w:t>投标文件只对</w:t>
            </w:r>
            <w:r>
              <w:rPr>
                <w:rFonts w:hint="eastAsia" w:hAnsi="宋体"/>
                <w:szCs w:val="21"/>
              </w:rPr>
              <w:t>同一货物包中的</w:t>
            </w:r>
            <w:r>
              <w:rPr>
                <w:rFonts w:hint="eastAsia" w:ascii="宋体" w:hAnsi="宋体"/>
                <w:szCs w:val="21"/>
              </w:rPr>
              <w:t>部分</w:t>
            </w:r>
            <w:r>
              <w:rPr>
                <w:rFonts w:hint="eastAsia" w:hAnsi="宋体"/>
                <w:szCs w:val="21"/>
              </w:rPr>
              <w:t>内容</w:t>
            </w:r>
            <w:r>
              <w:rPr>
                <w:rFonts w:hint="eastAsia" w:ascii="宋体" w:hAnsi="宋体"/>
                <w:szCs w:val="21"/>
              </w:rPr>
              <w:t>投标，或把</w:t>
            </w:r>
            <w:r>
              <w:rPr>
                <w:rFonts w:hint="eastAsia" w:hAnsi="宋体"/>
                <w:szCs w:val="21"/>
              </w:rPr>
              <w:t>同一货物包中</w:t>
            </w:r>
            <w:r>
              <w:rPr>
                <w:rFonts w:hint="eastAsia" w:ascii="宋体" w:hAnsi="宋体"/>
                <w:szCs w:val="21"/>
              </w:rPr>
              <w:t>的内容拆开的投标；</w:t>
            </w:r>
          </w:p>
        </w:tc>
      </w:tr>
      <w:tr w14:paraId="2F7F6405">
        <w:tblPrEx>
          <w:tblCellMar>
            <w:top w:w="0" w:type="dxa"/>
            <w:left w:w="108" w:type="dxa"/>
            <w:bottom w:w="0" w:type="dxa"/>
            <w:right w:w="108" w:type="dxa"/>
          </w:tblCellMar>
        </w:tblPrEx>
        <w:tc>
          <w:tcPr>
            <w:tcW w:w="1008" w:type="dxa"/>
          </w:tcPr>
          <w:p w14:paraId="47F6FE8B">
            <w:pPr>
              <w:spacing w:line="400" w:lineRule="exact"/>
              <w:ind w:left="170"/>
            </w:pPr>
            <w:r>
              <w:t>2.10</w:t>
            </w:r>
          </w:p>
        </w:tc>
        <w:tc>
          <w:tcPr>
            <w:tcW w:w="7560" w:type="dxa"/>
          </w:tcPr>
          <w:p w14:paraId="6F1D3260">
            <w:pPr>
              <w:spacing w:line="400" w:lineRule="exact"/>
              <w:rPr>
                <w:rFonts w:ascii="宋体"/>
                <w:szCs w:val="21"/>
              </w:rPr>
            </w:pPr>
            <w:r>
              <w:rPr>
                <w:rFonts w:hint="eastAsia" w:ascii="宋体" w:hAnsi="宋体"/>
                <w:szCs w:val="21"/>
              </w:rPr>
              <w:t>法定代表人为同一个人的两个及两个以上法人，母公司、全资子公司及其控股公司，在本招标中同时投标。</w:t>
            </w:r>
          </w:p>
        </w:tc>
      </w:tr>
      <w:tr w14:paraId="19F7CE29">
        <w:tblPrEx>
          <w:tblCellMar>
            <w:top w:w="0" w:type="dxa"/>
            <w:left w:w="108" w:type="dxa"/>
            <w:bottom w:w="0" w:type="dxa"/>
            <w:right w:w="108" w:type="dxa"/>
          </w:tblCellMar>
        </w:tblPrEx>
        <w:tc>
          <w:tcPr>
            <w:tcW w:w="1008" w:type="dxa"/>
          </w:tcPr>
          <w:p w14:paraId="26AAFFDA">
            <w:pPr>
              <w:spacing w:line="400" w:lineRule="exact"/>
              <w:ind w:left="170"/>
              <w:rPr>
                <w:b/>
              </w:rPr>
            </w:pPr>
            <w:r>
              <w:rPr>
                <w:b/>
              </w:rPr>
              <w:t>3.</w:t>
            </w:r>
          </w:p>
        </w:tc>
        <w:tc>
          <w:tcPr>
            <w:tcW w:w="7560" w:type="dxa"/>
          </w:tcPr>
          <w:p w14:paraId="3C0CA531">
            <w:pPr>
              <w:spacing w:line="400" w:lineRule="exact"/>
              <w:rPr>
                <w:rFonts w:ascii="宋体"/>
                <w:b/>
                <w:szCs w:val="21"/>
              </w:rPr>
            </w:pPr>
            <w:r>
              <w:rPr>
                <w:rFonts w:hint="eastAsia" w:ascii="宋体" w:hAnsi="宋体"/>
                <w:b/>
                <w:szCs w:val="21"/>
              </w:rPr>
              <w:t>投标文件有下列情形之一的，按废标处理：</w:t>
            </w:r>
          </w:p>
        </w:tc>
      </w:tr>
      <w:tr w14:paraId="48202FD1">
        <w:tblPrEx>
          <w:tblCellMar>
            <w:top w:w="0" w:type="dxa"/>
            <w:left w:w="108" w:type="dxa"/>
            <w:bottom w:w="0" w:type="dxa"/>
            <w:right w:w="108" w:type="dxa"/>
          </w:tblCellMar>
        </w:tblPrEx>
        <w:tc>
          <w:tcPr>
            <w:tcW w:w="1008" w:type="dxa"/>
          </w:tcPr>
          <w:p w14:paraId="775A0836">
            <w:pPr>
              <w:spacing w:line="400" w:lineRule="exact"/>
              <w:ind w:left="170"/>
            </w:pPr>
            <w:r>
              <w:t>3.1</w:t>
            </w:r>
          </w:p>
        </w:tc>
        <w:tc>
          <w:tcPr>
            <w:tcW w:w="7560" w:type="dxa"/>
          </w:tcPr>
          <w:p w14:paraId="589694AA">
            <w:pPr>
              <w:spacing w:line="400" w:lineRule="exact"/>
              <w:rPr>
                <w:rFonts w:ascii="宋体"/>
                <w:szCs w:val="21"/>
              </w:rPr>
            </w:pPr>
            <w:r>
              <w:rPr>
                <w:rFonts w:hint="eastAsia" w:ascii="宋体" w:hAnsi="宋体"/>
                <w:szCs w:val="21"/>
              </w:rPr>
              <w:t>投标方以他人的名义投标或出现下列串通投标、弄虚作假投标嫌疑的：</w:t>
            </w:r>
          </w:p>
        </w:tc>
      </w:tr>
      <w:tr w14:paraId="75EDF203">
        <w:tblPrEx>
          <w:tblCellMar>
            <w:top w:w="0" w:type="dxa"/>
            <w:left w:w="108" w:type="dxa"/>
            <w:bottom w:w="0" w:type="dxa"/>
            <w:right w:w="108" w:type="dxa"/>
          </w:tblCellMar>
        </w:tblPrEx>
        <w:tc>
          <w:tcPr>
            <w:tcW w:w="1008" w:type="dxa"/>
          </w:tcPr>
          <w:p w14:paraId="0D720318">
            <w:pPr>
              <w:spacing w:line="400" w:lineRule="exact"/>
              <w:ind w:left="170"/>
            </w:pPr>
            <w:r>
              <w:t>3.1.1</w:t>
            </w:r>
          </w:p>
        </w:tc>
        <w:tc>
          <w:tcPr>
            <w:tcW w:w="7560" w:type="dxa"/>
          </w:tcPr>
          <w:p w14:paraId="4C52909F">
            <w:pPr>
              <w:spacing w:line="400" w:lineRule="exact"/>
              <w:rPr>
                <w:rFonts w:ascii="宋体"/>
                <w:szCs w:val="21"/>
              </w:rPr>
            </w:pPr>
            <w:r>
              <w:rPr>
                <w:rFonts w:hint="eastAsia" w:ascii="宋体" w:hAnsi="宋体"/>
                <w:szCs w:val="21"/>
              </w:rPr>
              <w:t>不同投标方的投标文件内容（含错漏之处）存在非正常一致；</w:t>
            </w:r>
          </w:p>
        </w:tc>
      </w:tr>
      <w:tr w14:paraId="51DB6D3E">
        <w:tblPrEx>
          <w:tblCellMar>
            <w:top w:w="0" w:type="dxa"/>
            <w:left w:w="108" w:type="dxa"/>
            <w:bottom w:w="0" w:type="dxa"/>
            <w:right w:w="108" w:type="dxa"/>
          </w:tblCellMar>
        </w:tblPrEx>
        <w:tc>
          <w:tcPr>
            <w:tcW w:w="1008" w:type="dxa"/>
          </w:tcPr>
          <w:p w14:paraId="32DA31E9">
            <w:pPr>
              <w:spacing w:line="400" w:lineRule="exact"/>
              <w:ind w:left="170"/>
            </w:pPr>
            <w:r>
              <w:t>3.1.2</w:t>
            </w:r>
          </w:p>
        </w:tc>
        <w:tc>
          <w:tcPr>
            <w:tcW w:w="7560" w:type="dxa"/>
          </w:tcPr>
          <w:p w14:paraId="4ACC4325">
            <w:pPr>
              <w:spacing w:line="400" w:lineRule="exact"/>
              <w:rPr>
                <w:rFonts w:ascii="宋体"/>
                <w:szCs w:val="21"/>
              </w:rPr>
            </w:pPr>
            <w:r>
              <w:rPr>
                <w:rFonts w:hint="eastAsia" w:ascii="宋体" w:hAnsi="宋体"/>
                <w:szCs w:val="21"/>
              </w:rPr>
              <w:t>不同投标方的投标文件载明的项目管理班子成员出现同一人的；</w:t>
            </w:r>
          </w:p>
        </w:tc>
      </w:tr>
      <w:tr w14:paraId="2CE1192A">
        <w:tblPrEx>
          <w:tblCellMar>
            <w:top w:w="0" w:type="dxa"/>
            <w:left w:w="108" w:type="dxa"/>
            <w:bottom w:w="0" w:type="dxa"/>
            <w:right w:w="108" w:type="dxa"/>
          </w:tblCellMar>
        </w:tblPrEx>
        <w:tc>
          <w:tcPr>
            <w:tcW w:w="1008" w:type="dxa"/>
          </w:tcPr>
          <w:p w14:paraId="75AAC93A">
            <w:pPr>
              <w:spacing w:line="400" w:lineRule="exact"/>
              <w:ind w:left="170"/>
            </w:pPr>
            <w:r>
              <w:t>3.1.3</w:t>
            </w:r>
          </w:p>
        </w:tc>
        <w:tc>
          <w:tcPr>
            <w:tcW w:w="7560" w:type="dxa"/>
          </w:tcPr>
          <w:p w14:paraId="4984F160">
            <w:pPr>
              <w:spacing w:line="400" w:lineRule="exact"/>
              <w:rPr>
                <w:rFonts w:ascii="宋体"/>
                <w:szCs w:val="21"/>
              </w:rPr>
            </w:pPr>
            <w:r>
              <w:rPr>
                <w:rFonts w:hint="eastAsia" w:ascii="宋体" w:hAnsi="宋体"/>
                <w:szCs w:val="21"/>
              </w:rPr>
              <w:t>不同投标方的投标文件相互混装的；</w:t>
            </w:r>
          </w:p>
        </w:tc>
      </w:tr>
      <w:tr w14:paraId="4F43D0C6">
        <w:tblPrEx>
          <w:tblCellMar>
            <w:top w:w="0" w:type="dxa"/>
            <w:left w:w="108" w:type="dxa"/>
            <w:bottom w:w="0" w:type="dxa"/>
            <w:right w:w="108" w:type="dxa"/>
          </w:tblCellMar>
        </w:tblPrEx>
        <w:tc>
          <w:tcPr>
            <w:tcW w:w="1008" w:type="dxa"/>
          </w:tcPr>
          <w:p w14:paraId="7F175B95">
            <w:pPr>
              <w:spacing w:line="400" w:lineRule="exact"/>
              <w:ind w:left="170"/>
            </w:pPr>
            <w:r>
              <w:t>3.1.4</w:t>
            </w:r>
          </w:p>
        </w:tc>
        <w:tc>
          <w:tcPr>
            <w:tcW w:w="7560" w:type="dxa"/>
          </w:tcPr>
          <w:p w14:paraId="5A9DCB30">
            <w:pPr>
              <w:spacing w:line="400" w:lineRule="exact"/>
              <w:rPr>
                <w:rFonts w:ascii="宋体"/>
                <w:szCs w:val="21"/>
              </w:rPr>
            </w:pPr>
            <w:r>
              <w:rPr>
                <w:rFonts w:hint="eastAsia" w:ascii="宋体" w:hAnsi="宋体"/>
                <w:szCs w:val="21"/>
              </w:rPr>
              <w:t>评委会认定的其他串通投标情形。</w:t>
            </w:r>
          </w:p>
        </w:tc>
      </w:tr>
      <w:tr w14:paraId="2E32931A">
        <w:tblPrEx>
          <w:tblCellMar>
            <w:top w:w="0" w:type="dxa"/>
            <w:left w:w="108" w:type="dxa"/>
            <w:bottom w:w="0" w:type="dxa"/>
            <w:right w:w="108" w:type="dxa"/>
          </w:tblCellMar>
        </w:tblPrEx>
        <w:tc>
          <w:tcPr>
            <w:tcW w:w="1008" w:type="dxa"/>
          </w:tcPr>
          <w:p w14:paraId="6F3CBB97">
            <w:pPr>
              <w:spacing w:line="400" w:lineRule="exact"/>
              <w:ind w:left="170"/>
            </w:pPr>
            <w:r>
              <w:t>3.2</w:t>
            </w:r>
          </w:p>
        </w:tc>
        <w:tc>
          <w:tcPr>
            <w:tcW w:w="7560" w:type="dxa"/>
          </w:tcPr>
          <w:p w14:paraId="6C98FD0B">
            <w:pPr>
              <w:spacing w:line="400" w:lineRule="exact"/>
              <w:rPr>
                <w:rFonts w:ascii="宋体"/>
                <w:szCs w:val="21"/>
              </w:rPr>
            </w:pPr>
            <w:r>
              <w:rPr>
                <w:rFonts w:hint="eastAsia" w:ascii="宋体" w:hAnsi="宋体"/>
                <w:szCs w:val="21"/>
              </w:rPr>
              <w:t>投标方拒不按照要求对投标文件进行澄清、说明、补正的；评标委员会根据招标文件的规定对投标文件的计算错误进行修正，投标方不接受修正后的投标报价的；</w:t>
            </w:r>
          </w:p>
        </w:tc>
      </w:tr>
      <w:tr w14:paraId="2D4AB6CF">
        <w:tblPrEx>
          <w:tblCellMar>
            <w:top w:w="0" w:type="dxa"/>
            <w:left w:w="108" w:type="dxa"/>
            <w:bottom w:w="0" w:type="dxa"/>
            <w:right w:w="108" w:type="dxa"/>
          </w:tblCellMar>
        </w:tblPrEx>
        <w:tc>
          <w:tcPr>
            <w:tcW w:w="1008" w:type="dxa"/>
          </w:tcPr>
          <w:p w14:paraId="36CA17E5">
            <w:pPr>
              <w:spacing w:line="400" w:lineRule="exact"/>
              <w:ind w:left="170"/>
            </w:pPr>
            <w:r>
              <w:t>3.3</w:t>
            </w:r>
          </w:p>
        </w:tc>
        <w:tc>
          <w:tcPr>
            <w:tcW w:w="7560" w:type="dxa"/>
          </w:tcPr>
          <w:p w14:paraId="264726AF">
            <w:pPr>
              <w:spacing w:line="400" w:lineRule="exact"/>
              <w:rPr>
                <w:rFonts w:ascii="宋体"/>
                <w:szCs w:val="21"/>
              </w:rPr>
            </w:pPr>
            <w:r>
              <w:rPr>
                <w:rFonts w:hint="eastAsia" w:ascii="宋体" w:hAnsi="宋体"/>
                <w:szCs w:val="21"/>
              </w:rPr>
              <w:t>投标文件的投标报价中包含了价格调整要求的投标；</w:t>
            </w:r>
          </w:p>
        </w:tc>
      </w:tr>
      <w:tr w14:paraId="3D095C7A">
        <w:tblPrEx>
          <w:tblCellMar>
            <w:top w:w="0" w:type="dxa"/>
            <w:left w:w="108" w:type="dxa"/>
            <w:bottom w:w="0" w:type="dxa"/>
            <w:right w:w="108" w:type="dxa"/>
          </w:tblCellMar>
        </w:tblPrEx>
        <w:tc>
          <w:tcPr>
            <w:tcW w:w="1008" w:type="dxa"/>
          </w:tcPr>
          <w:p w14:paraId="10C1B239">
            <w:pPr>
              <w:spacing w:line="400" w:lineRule="exact"/>
              <w:ind w:left="170"/>
            </w:pPr>
            <w:r>
              <w:t>3.4</w:t>
            </w:r>
          </w:p>
        </w:tc>
        <w:tc>
          <w:tcPr>
            <w:tcW w:w="7560" w:type="dxa"/>
          </w:tcPr>
          <w:p w14:paraId="1AD50CF0">
            <w:pPr>
              <w:autoSpaceDE w:val="0"/>
              <w:autoSpaceDN w:val="0"/>
              <w:adjustRightInd w:val="0"/>
              <w:snapToGrid w:val="0"/>
              <w:spacing w:line="400" w:lineRule="exact"/>
              <w:rPr>
                <w:rFonts w:ascii="宋体"/>
                <w:szCs w:val="21"/>
              </w:rPr>
            </w:pPr>
            <w:r>
              <w:rPr>
                <w:rFonts w:hint="eastAsia" w:hAnsi="宋体"/>
                <w:szCs w:val="21"/>
              </w:rPr>
              <w:t>投标文件不满足招标文件中加注“</w:t>
            </w:r>
            <w:r>
              <w:rPr>
                <w:rFonts w:ascii="宋体" w:hAnsi="宋体"/>
                <w:szCs w:val="21"/>
              </w:rPr>
              <w:t>*</w:t>
            </w:r>
            <w:r>
              <w:rPr>
                <w:rFonts w:hint="eastAsia" w:hAnsi="宋体"/>
                <w:szCs w:val="21"/>
              </w:rPr>
              <w:t>”号表示的重要条款要求的；</w:t>
            </w:r>
          </w:p>
        </w:tc>
      </w:tr>
      <w:tr w14:paraId="3CFD0568">
        <w:tblPrEx>
          <w:tblCellMar>
            <w:top w:w="0" w:type="dxa"/>
            <w:left w:w="108" w:type="dxa"/>
            <w:bottom w:w="0" w:type="dxa"/>
            <w:right w:w="108" w:type="dxa"/>
          </w:tblCellMar>
        </w:tblPrEx>
        <w:tc>
          <w:tcPr>
            <w:tcW w:w="1008" w:type="dxa"/>
          </w:tcPr>
          <w:p w14:paraId="3E199586">
            <w:pPr>
              <w:spacing w:line="400" w:lineRule="exact"/>
              <w:ind w:left="170"/>
            </w:pPr>
            <w:r>
              <w:t>3.5</w:t>
            </w:r>
          </w:p>
        </w:tc>
        <w:tc>
          <w:tcPr>
            <w:tcW w:w="7560" w:type="dxa"/>
          </w:tcPr>
          <w:p w14:paraId="6203C26F">
            <w:pPr>
              <w:spacing w:line="400" w:lineRule="exact"/>
              <w:rPr>
                <w:rStyle w:val="39"/>
                <w:rFonts w:ascii="宋体"/>
                <w:szCs w:val="21"/>
              </w:rPr>
            </w:pPr>
            <w:r>
              <w:rPr>
                <w:rFonts w:hint="eastAsia" w:hAnsi="宋体"/>
                <w:szCs w:val="21"/>
              </w:rPr>
              <w:t>投标文件超出招标文件一般条款允许偏离的最大范围或最高项数的；</w:t>
            </w:r>
          </w:p>
        </w:tc>
      </w:tr>
      <w:tr w14:paraId="25B7CAD0">
        <w:tblPrEx>
          <w:tblCellMar>
            <w:top w:w="0" w:type="dxa"/>
            <w:left w:w="108" w:type="dxa"/>
            <w:bottom w:w="0" w:type="dxa"/>
            <w:right w:w="108" w:type="dxa"/>
          </w:tblCellMar>
        </w:tblPrEx>
        <w:tc>
          <w:tcPr>
            <w:tcW w:w="1008" w:type="dxa"/>
          </w:tcPr>
          <w:p w14:paraId="507F8D63">
            <w:pPr>
              <w:spacing w:line="400" w:lineRule="exact"/>
              <w:ind w:left="170"/>
            </w:pPr>
            <w:r>
              <w:t>3.6</w:t>
            </w:r>
          </w:p>
        </w:tc>
        <w:tc>
          <w:tcPr>
            <w:tcW w:w="7560" w:type="dxa"/>
          </w:tcPr>
          <w:p w14:paraId="1ED2D048">
            <w:pPr>
              <w:spacing w:line="400" w:lineRule="exact"/>
              <w:rPr>
                <w:rFonts w:ascii="宋体"/>
                <w:szCs w:val="21"/>
              </w:rPr>
            </w:pPr>
            <w:r>
              <w:rPr>
                <w:rStyle w:val="39"/>
                <w:rFonts w:hint="eastAsia" w:ascii="宋体" w:hAnsi="宋体"/>
                <w:szCs w:val="21"/>
              </w:rPr>
              <w:t>投标方复制招标文件的技术规格相关部分内容作为其投标文件中一部分的；</w:t>
            </w:r>
          </w:p>
        </w:tc>
      </w:tr>
      <w:tr w14:paraId="24659AF4">
        <w:tblPrEx>
          <w:tblCellMar>
            <w:top w:w="0" w:type="dxa"/>
            <w:left w:w="108" w:type="dxa"/>
            <w:bottom w:w="0" w:type="dxa"/>
            <w:right w:w="108" w:type="dxa"/>
          </w:tblCellMar>
        </w:tblPrEx>
        <w:tc>
          <w:tcPr>
            <w:tcW w:w="1008" w:type="dxa"/>
          </w:tcPr>
          <w:p w14:paraId="45EFA4E8">
            <w:pPr>
              <w:spacing w:line="400" w:lineRule="exact"/>
              <w:ind w:left="170"/>
            </w:pPr>
            <w:r>
              <w:t>3.7</w:t>
            </w:r>
          </w:p>
        </w:tc>
        <w:tc>
          <w:tcPr>
            <w:tcW w:w="7560" w:type="dxa"/>
          </w:tcPr>
          <w:p w14:paraId="0AFC62D2">
            <w:pPr>
              <w:spacing w:line="400" w:lineRule="exact"/>
              <w:rPr>
                <w:rFonts w:ascii="宋体"/>
                <w:szCs w:val="21"/>
              </w:rPr>
            </w:pPr>
            <w:r>
              <w:rPr>
                <w:rFonts w:hint="eastAsia" w:ascii="宋体" w:hAnsi="宋体"/>
                <w:szCs w:val="21"/>
              </w:rPr>
              <w:t>投标文件符合招标文件中规定废标的其他因素的。</w:t>
            </w:r>
          </w:p>
        </w:tc>
      </w:tr>
    </w:tbl>
    <w:p w14:paraId="3E96EC4C">
      <w:pPr>
        <w:jc w:val="center"/>
        <w:rPr>
          <w:rFonts w:eastAsia="黑体"/>
          <w:b/>
          <w:szCs w:val="21"/>
        </w:rPr>
      </w:pPr>
    </w:p>
    <w:p w14:paraId="08D7645B">
      <w:pPr>
        <w:spacing w:before="60" w:after="240" w:line="440" w:lineRule="exact"/>
        <w:jc w:val="center"/>
        <w:outlineLvl w:val="1"/>
        <w:rPr>
          <w:rFonts w:ascii="楷体_GB2312" w:eastAsia="楷体_GB2312"/>
          <w:sz w:val="24"/>
        </w:rPr>
      </w:pPr>
      <w:bookmarkStart w:id="30" w:name="_Toc203990441"/>
      <w:bookmarkStart w:id="31" w:name="_Toc19575"/>
      <w:bookmarkStart w:id="32" w:name="_Toc2133"/>
      <w:bookmarkStart w:id="33" w:name="_Toc9829"/>
      <w:bookmarkStart w:id="34" w:name="_Toc200785457"/>
      <w:bookmarkStart w:id="35" w:name="_Toc496002344"/>
      <w:r>
        <w:rPr>
          <w:rFonts w:hint="eastAsia" w:ascii="楷体_GB2312" w:eastAsia="楷体_GB2312"/>
          <w:sz w:val="24"/>
        </w:rPr>
        <w:t>第五节评标办法</w:t>
      </w:r>
      <w:bookmarkEnd w:id="30"/>
      <w:bookmarkEnd w:id="31"/>
      <w:bookmarkEnd w:id="32"/>
      <w:bookmarkEnd w:id="33"/>
      <w:bookmarkEnd w:id="34"/>
      <w:bookmarkEnd w:id="35"/>
    </w:p>
    <w:tbl>
      <w:tblPr>
        <w:tblStyle w:val="21"/>
        <w:tblW w:w="8418" w:type="dxa"/>
        <w:tblInd w:w="0" w:type="dxa"/>
        <w:tblLayout w:type="fixed"/>
        <w:tblCellMar>
          <w:top w:w="0" w:type="dxa"/>
          <w:left w:w="108" w:type="dxa"/>
          <w:bottom w:w="0" w:type="dxa"/>
          <w:right w:w="108" w:type="dxa"/>
        </w:tblCellMar>
      </w:tblPr>
      <w:tblGrid>
        <w:gridCol w:w="1065"/>
        <w:gridCol w:w="7353"/>
      </w:tblGrid>
      <w:tr w14:paraId="652F4B1E">
        <w:tblPrEx>
          <w:tblCellMar>
            <w:top w:w="0" w:type="dxa"/>
            <w:left w:w="108" w:type="dxa"/>
            <w:bottom w:w="0" w:type="dxa"/>
            <w:right w:w="108" w:type="dxa"/>
          </w:tblCellMar>
        </w:tblPrEx>
        <w:tc>
          <w:tcPr>
            <w:tcW w:w="1065" w:type="dxa"/>
          </w:tcPr>
          <w:p w14:paraId="512EDC4A">
            <w:pPr>
              <w:spacing w:line="400" w:lineRule="exact"/>
              <w:ind w:left="170"/>
              <w:rPr>
                <w:b/>
              </w:rPr>
            </w:pPr>
            <w:r>
              <w:rPr>
                <w:b/>
              </w:rPr>
              <w:t>1.</w:t>
            </w:r>
          </w:p>
        </w:tc>
        <w:tc>
          <w:tcPr>
            <w:tcW w:w="7353" w:type="dxa"/>
          </w:tcPr>
          <w:p w14:paraId="79445357">
            <w:pPr>
              <w:spacing w:line="400" w:lineRule="exact"/>
              <w:rPr>
                <w:rFonts w:ascii="宋体"/>
                <w:b/>
                <w:szCs w:val="21"/>
              </w:rPr>
            </w:pPr>
            <w:r>
              <w:rPr>
                <w:rFonts w:hint="eastAsia" w:ascii="宋体" w:hAnsi="宋体"/>
                <w:b/>
                <w:szCs w:val="21"/>
              </w:rPr>
              <w:t>评标办法：综合评分法</w:t>
            </w:r>
          </w:p>
        </w:tc>
      </w:tr>
      <w:tr w14:paraId="54690417">
        <w:tblPrEx>
          <w:tblCellMar>
            <w:top w:w="0" w:type="dxa"/>
            <w:left w:w="108" w:type="dxa"/>
            <w:bottom w:w="0" w:type="dxa"/>
            <w:right w:w="108" w:type="dxa"/>
          </w:tblCellMar>
        </w:tblPrEx>
        <w:tc>
          <w:tcPr>
            <w:tcW w:w="1065" w:type="dxa"/>
          </w:tcPr>
          <w:p w14:paraId="56390F69">
            <w:pPr>
              <w:spacing w:line="400" w:lineRule="exact"/>
              <w:ind w:left="170"/>
              <w:rPr>
                <w:b/>
              </w:rPr>
            </w:pPr>
            <w:r>
              <w:rPr>
                <w:b/>
              </w:rPr>
              <w:t>2.</w:t>
            </w:r>
          </w:p>
        </w:tc>
        <w:tc>
          <w:tcPr>
            <w:tcW w:w="7353" w:type="dxa"/>
          </w:tcPr>
          <w:p w14:paraId="4414FBF7">
            <w:pPr>
              <w:spacing w:line="400" w:lineRule="exact"/>
              <w:rPr>
                <w:rFonts w:ascii="宋体"/>
                <w:b/>
                <w:szCs w:val="21"/>
              </w:rPr>
            </w:pPr>
            <w:r>
              <w:rPr>
                <w:rFonts w:hint="eastAsia" w:ascii="宋体" w:hAnsi="宋体"/>
                <w:b/>
                <w:szCs w:val="21"/>
              </w:rPr>
              <w:t>评标程序：</w:t>
            </w:r>
          </w:p>
        </w:tc>
      </w:tr>
      <w:tr w14:paraId="7B49EB95">
        <w:tblPrEx>
          <w:tblCellMar>
            <w:top w:w="0" w:type="dxa"/>
            <w:left w:w="108" w:type="dxa"/>
            <w:bottom w:w="0" w:type="dxa"/>
            <w:right w:w="108" w:type="dxa"/>
          </w:tblCellMar>
        </w:tblPrEx>
        <w:tc>
          <w:tcPr>
            <w:tcW w:w="1065" w:type="dxa"/>
          </w:tcPr>
          <w:p w14:paraId="44A4F51F">
            <w:pPr>
              <w:spacing w:line="400" w:lineRule="exact"/>
              <w:ind w:left="170"/>
            </w:pPr>
            <w:r>
              <w:t>2.1</w:t>
            </w:r>
          </w:p>
        </w:tc>
        <w:tc>
          <w:tcPr>
            <w:tcW w:w="7353" w:type="dxa"/>
          </w:tcPr>
          <w:p w14:paraId="5C1183A8">
            <w:pPr>
              <w:spacing w:line="400" w:lineRule="exact"/>
            </w:pPr>
            <w:r>
              <w:rPr>
                <w:rFonts w:hint="eastAsia"/>
              </w:rPr>
              <w:t>符合性检查：</w:t>
            </w:r>
          </w:p>
        </w:tc>
      </w:tr>
      <w:tr w14:paraId="1E5AEFB3">
        <w:tblPrEx>
          <w:tblCellMar>
            <w:top w:w="0" w:type="dxa"/>
            <w:left w:w="108" w:type="dxa"/>
            <w:bottom w:w="0" w:type="dxa"/>
            <w:right w:w="108" w:type="dxa"/>
          </w:tblCellMar>
        </w:tblPrEx>
        <w:tc>
          <w:tcPr>
            <w:tcW w:w="1065" w:type="dxa"/>
          </w:tcPr>
          <w:p w14:paraId="0E5389ED">
            <w:pPr>
              <w:spacing w:line="400" w:lineRule="exact"/>
              <w:ind w:left="170"/>
            </w:pPr>
            <w:r>
              <w:t>2.1.1</w:t>
            </w:r>
          </w:p>
        </w:tc>
        <w:tc>
          <w:tcPr>
            <w:tcW w:w="7353" w:type="dxa"/>
          </w:tcPr>
          <w:p w14:paraId="41A7879B">
            <w:pPr>
              <w:pStyle w:val="7"/>
              <w:spacing w:line="400" w:lineRule="exact"/>
              <w:rPr>
                <w:kern w:val="2"/>
              </w:rPr>
            </w:pPr>
            <w:r>
              <w:rPr>
                <w:rFonts w:hint="eastAsia" w:ascii="Times New Roman"/>
                <w:kern w:val="2"/>
                <w:sz w:val="21"/>
                <w:szCs w:val="24"/>
              </w:rPr>
              <w:t>评标委员会根据“评比因素《符合性检查表》”的内容和标准，对所有投标进行符合性检查。</w:t>
            </w:r>
          </w:p>
        </w:tc>
      </w:tr>
      <w:tr w14:paraId="70CBF23B">
        <w:tblPrEx>
          <w:tblCellMar>
            <w:top w:w="0" w:type="dxa"/>
            <w:left w:w="108" w:type="dxa"/>
            <w:bottom w:w="0" w:type="dxa"/>
            <w:right w:w="108" w:type="dxa"/>
          </w:tblCellMar>
        </w:tblPrEx>
        <w:tc>
          <w:tcPr>
            <w:tcW w:w="1065" w:type="dxa"/>
          </w:tcPr>
          <w:p w14:paraId="5DD46703">
            <w:pPr>
              <w:spacing w:line="400" w:lineRule="exact"/>
              <w:ind w:left="170"/>
            </w:pPr>
            <w:r>
              <w:t>2.1.2</w:t>
            </w:r>
          </w:p>
        </w:tc>
        <w:tc>
          <w:tcPr>
            <w:tcW w:w="7353" w:type="dxa"/>
          </w:tcPr>
          <w:p w14:paraId="2426A1D0">
            <w:pPr>
              <w:spacing w:line="400" w:lineRule="exact"/>
            </w:pPr>
            <w:r>
              <w:rPr>
                <w:rFonts w:hint="eastAsia"/>
              </w:rPr>
              <w:t>符合性检查的对象是投标方提交的投标文件，评标委员会只就投标文件中所载明的情况进行评审。</w:t>
            </w:r>
          </w:p>
        </w:tc>
      </w:tr>
      <w:tr w14:paraId="3EA7D639">
        <w:tblPrEx>
          <w:tblCellMar>
            <w:top w:w="0" w:type="dxa"/>
            <w:left w:w="108" w:type="dxa"/>
            <w:bottom w:w="0" w:type="dxa"/>
            <w:right w:w="108" w:type="dxa"/>
          </w:tblCellMar>
        </w:tblPrEx>
        <w:tc>
          <w:tcPr>
            <w:tcW w:w="1065" w:type="dxa"/>
          </w:tcPr>
          <w:p w14:paraId="39AAD816">
            <w:pPr>
              <w:spacing w:line="400" w:lineRule="exact"/>
              <w:ind w:left="170"/>
            </w:pPr>
            <w:r>
              <w:t>2.1.3</w:t>
            </w:r>
          </w:p>
        </w:tc>
        <w:tc>
          <w:tcPr>
            <w:tcW w:w="7353" w:type="dxa"/>
          </w:tcPr>
          <w:p w14:paraId="784E7D4D">
            <w:pPr>
              <w:spacing w:line="400" w:lineRule="exact"/>
            </w:pPr>
            <w:r>
              <w:rPr>
                <w:rFonts w:hint="eastAsia"/>
              </w:rPr>
              <w:t>符合性检查的结果是“通过”或“不通过”，只有逐条通过《符合性检查表》各项检查的投标方能进入下一阶段的评标，否则将导致其投标被废标。</w:t>
            </w:r>
          </w:p>
        </w:tc>
      </w:tr>
      <w:tr w14:paraId="515A0946">
        <w:tblPrEx>
          <w:tblCellMar>
            <w:top w:w="0" w:type="dxa"/>
            <w:left w:w="108" w:type="dxa"/>
            <w:bottom w:w="0" w:type="dxa"/>
            <w:right w:w="108" w:type="dxa"/>
          </w:tblCellMar>
        </w:tblPrEx>
        <w:tc>
          <w:tcPr>
            <w:tcW w:w="1065" w:type="dxa"/>
          </w:tcPr>
          <w:p w14:paraId="07C7E727">
            <w:pPr>
              <w:spacing w:line="400" w:lineRule="exact"/>
              <w:ind w:left="170"/>
            </w:pPr>
            <w:r>
              <w:t>2.2</w:t>
            </w:r>
          </w:p>
        </w:tc>
        <w:tc>
          <w:tcPr>
            <w:tcW w:w="7353" w:type="dxa"/>
          </w:tcPr>
          <w:p w14:paraId="431619B4">
            <w:pPr>
              <w:spacing w:line="400" w:lineRule="exact"/>
            </w:pPr>
            <w:r>
              <w:rPr>
                <w:rFonts w:hint="eastAsia" w:ascii="宋体"/>
              </w:rPr>
              <w:t>不可偏离项检查：</w:t>
            </w:r>
          </w:p>
        </w:tc>
      </w:tr>
      <w:tr w14:paraId="01344D30">
        <w:tblPrEx>
          <w:tblCellMar>
            <w:top w:w="0" w:type="dxa"/>
            <w:left w:w="108" w:type="dxa"/>
            <w:bottom w:w="0" w:type="dxa"/>
            <w:right w:w="108" w:type="dxa"/>
          </w:tblCellMar>
        </w:tblPrEx>
        <w:tc>
          <w:tcPr>
            <w:tcW w:w="1065" w:type="dxa"/>
          </w:tcPr>
          <w:p w14:paraId="3C8E2D14">
            <w:pPr>
              <w:spacing w:line="400" w:lineRule="exact"/>
              <w:ind w:left="170"/>
            </w:pPr>
            <w:r>
              <w:t>2.2.1</w:t>
            </w:r>
          </w:p>
        </w:tc>
        <w:tc>
          <w:tcPr>
            <w:tcW w:w="7353" w:type="dxa"/>
          </w:tcPr>
          <w:p w14:paraId="76632B99">
            <w:pPr>
              <w:spacing w:line="400" w:lineRule="exact"/>
              <w:rPr>
                <w:rFonts w:ascii="宋体"/>
              </w:rPr>
            </w:pPr>
            <w:r>
              <w:rPr>
                <w:rFonts w:hint="eastAsia"/>
              </w:rPr>
              <w:t>评标委员会根据招标文件中标明“不可偏离”和带“</w:t>
            </w:r>
            <w:r>
              <w:t>*</w:t>
            </w:r>
            <w:r>
              <w:rPr>
                <w:rFonts w:hint="eastAsia"/>
              </w:rPr>
              <w:t>”的内容和标准，对通过</w:t>
            </w:r>
            <w:r>
              <w:rPr>
                <w:rFonts w:hint="eastAsia" w:ascii="宋体"/>
              </w:rPr>
              <w:t>符合性检查的投标进行不可偏离项检查。</w:t>
            </w:r>
          </w:p>
        </w:tc>
      </w:tr>
      <w:tr w14:paraId="62BA0ED2">
        <w:tblPrEx>
          <w:tblCellMar>
            <w:top w:w="0" w:type="dxa"/>
            <w:left w:w="108" w:type="dxa"/>
            <w:bottom w:w="0" w:type="dxa"/>
            <w:right w:w="108" w:type="dxa"/>
          </w:tblCellMar>
        </w:tblPrEx>
        <w:tc>
          <w:tcPr>
            <w:tcW w:w="1065" w:type="dxa"/>
          </w:tcPr>
          <w:p w14:paraId="69B1FA2D">
            <w:pPr>
              <w:spacing w:line="400" w:lineRule="exact"/>
              <w:ind w:left="170"/>
            </w:pPr>
            <w:r>
              <w:t>2.2.2</w:t>
            </w:r>
          </w:p>
        </w:tc>
        <w:tc>
          <w:tcPr>
            <w:tcW w:w="7353" w:type="dxa"/>
          </w:tcPr>
          <w:p w14:paraId="2E7E3704">
            <w:pPr>
              <w:spacing w:line="400" w:lineRule="exact"/>
            </w:pPr>
            <w:r>
              <w:rPr>
                <w:rFonts w:hint="eastAsia"/>
              </w:rPr>
              <w:t>评标委员会将对照招标文件中的商务、技术需求中的不可偏离条款和投标文件中的商务、技术条款响应进行评议。</w:t>
            </w:r>
          </w:p>
        </w:tc>
      </w:tr>
      <w:tr w14:paraId="37094F2A">
        <w:tblPrEx>
          <w:tblCellMar>
            <w:top w:w="0" w:type="dxa"/>
            <w:left w:w="108" w:type="dxa"/>
            <w:bottom w:w="0" w:type="dxa"/>
            <w:right w:w="108" w:type="dxa"/>
          </w:tblCellMar>
        </w:tblPrEx>
        <w:tc>
          <w:tcPr>
            <w:tcW w:w="1065" w:type="dxa"/>
          </w:tcPr>
          <w:p w14:paraId="5B796EA9">
            <w:pPr>
              <w:spacing w:line="400" w:lineRule="exact"/>
              <w:ind w:left="170"/>
            </w:pPr>
            <w:r>
              <w:t>2.2.3</w:t>
            </w:r>
          </w:p>
        </w:tc>
        <w:tc>
          <w:tcPr>
            <w:tcW w:w="7353" w:type="dxa"/>
          </w:tcPr>
          <w:p w14:paraId="1D5FFCF0">
            <w:pPr>
              <w:spacing w:line="400" w:lineRule="exact"/>
            </w:pPr>
            <w:r>
              <w:rPr>
                <w:rFonts w:hint="eastAsia"/>
              </w:rPr>
              <w:t>不可偏离项检查的结果是“通过”或“不通过”，只有逐条通过不可偏离项检查的投标方能进入下一阶段的评标，否则将导致其投标被废标。</w:t>
            </w:r>
          </w:p>
        </w:tc>
      </w:tr>
      <w:tr w14:paraId="43EF9470">
        <w:tblPrEx>
          <w:tblCellMar>
            <w:top w:w="0" w:type="dxa"/>
            <w:left w:w="108" w:type="dxa"/>
            <w:bottom w:w="0" w:type="dxa"/>
            <w:right w:w="108" w:type="dxa"/>
          </w:tblCellMar>
        </w:tblPrEx>
        <w:tc>
          <w:tcPr>
            <w:tcW w:w="1065" w:type="dxa"/>
          </w:tcPr>
          <w:p w14:paraId="4E477D4E">
            <w:pPr>
              <w:spacing w:line="400" w:lineRule="exact"/>
              <w:ind w:left="170"/>
            </w:pPr>
            <w:r>
              <w:t>2.3</w:t>
            </w:r>
          </w:p>
        </w:tc>
        <w:tc>
          <w:tcPr>
            <w:tcW w:w="7353" w:type="dxa"/>
          </w:tcPr>
          <w:p w14:paraId="417EAA22">
            <w:pPr>
              <w:spacing w:line="400" w:lineRule="exact"/>
              <w:rPr>
                <w:rFonts w:ascii="宋体"/>
              </w:rPr>
            </w:pPr>
            <w:r>
              <w:rPr>
                <w:rFonts w:hint="eastAsia" w:ascii="宋体"/>
              </w:rPr>
              <w:t>商务及技术评议：</w:t>
            </w:r>
          </w:p>
        </w:tc>
      </w:tr>
      <w:tr w14:paraId="1AECE0CC">
        <w:tblPrEx>
          <w:tblCellMar>
            <w:top w:w="0" w:type="dxa"/>
            <w:left w:w="108" w:type="dxa"/>
            <w:bottom w:w="0" w:type="dxa"/>
            <w:right w:w="108" w:type="dxa"/>
          </w:tblCellMar>
        </w:tblPrEx>
        <w:tc>
          <w:tcPr>
            <w:tcW w:w="1065" w:type="dxa"/>
          </w:tcPr>
          <w:p w14:paraId="6F237E35">
            <w:pPr>
              <w:spacing w:line="400" w:lineRule="exact"/>
              <w:ind w:left="170"/>
            </w:pPr>
            <w:r>
              <w:t>2.3.1</w:t>
            </w:r>
          </w:p>
        </w:tc>
        <w:tc>
          <w:tcPr>
            <w:tcW w:w="7353" w:type="dxa"/>
          </w:tcPr>
          <w:p w14:paraId="55D0E31C">
            <w:pPr>
              <w:spacing w:line="400" w:lineRule="exact"/>
            </w:pPr>
            <w:r>
              <w:rPr>
                <w:rFonts w:hint="eastAsia"/>
              </w:rPr>
              <w:t>评标委员会根据</w:t>
            </w:r>
            <w:r>
              <w:rPr>
                <w:rFonts w:ascii="宋体"/>
              </w:rPr>
              <w:t>“</w:t>
            </w:r>
            <w:r>
              <w:rPr>
                <w:rFonts w:hint="eastAsia"/>
              </w:rPr>
              <w:t>评比因素</w:t>
            </w:r>
            <w:r>
              <w:rPr>
                <w:rFonts w:hint="eastAsia" w:ascii="宋体"/>
              </w:rPr>
              <w:t>《</w:t>
            </w:r>
            <w:r>
              <w:rPr>
                <w:rFonts w:hint="eastAsia"/>
              </w:rPr>
              <w:t>商务及技术评议指标表</w:t>
            </w:r>
            <w:r>
              <w:rPr>
                <w:rFonts w:hint="eastAsia" w:ascii="宋体"/>
              </w:rPr>
              <w:t>》</w:t>
            </w:r>
            <w:r>
              <w:rPr>
                <w:rFonts w:ascii="宋体"/>
              </w:rPr>
              <w:t>”</w:t>
            </w:r>
            <w:r>
              <w:rPr>
                <w:rFonts w:hint="eastAsia"/>
              </w:rPr>
              <w:t>的内容和标准，对通过不可偏离项检查的投标进行商务及技术评议。</w:t>
            </w:r>
          </w:p>
        </w:tc>
      </w:tr>
      <w:tr w14:paraId="50FAD62A">
        <w:tblPrEx>
          <w:tblCellMar>
            <w:top w:w="0" w:type="dxa"/>
            <w:left w:w="108" w:type="dxa"/>
            <w:bottom w:w="0" w:type="dxa"/>
            <w:right w:w="108" w:type="dxa"/>
          </w:tblCellMar>
        </w:tblPrEx>
        <w:tc>
          <w:tcPr>
            <w:tcW w:w="1065" w:type="dxa"/>
          </w:tcPr>
          <w:p w14:paraId="4B6B4747">
            <w:pPr>
              <w:spacing w:line="400" w:lineRule="exact"/>
              <w:ind w:left="170"/>
            </w:pPr>
            <w:r>
              <w:t>2.3.2</w:t>
            </w:r>
          </w:p>
        </w:tc>
        <w:tc>
          <w:tcPr>
            <w:tcW w:w="7353" w:type="dxa"/>
          </w:tcPr>
          <w:p w14:paraId="63DD60C0">
            <w:pPr>
              <w:spacing w:line="400" w:lineRule="exact"/>
            </w:pPr>
            <w:r>
              <w:rPr>
                <w:rFonts w:hint="eastAsia"/>
              </w:rPr>
              <w:t>评标委员会将对照招标文件中的商务、技术需求条款和投标文件中的商务、技术条款响应进行评议。评标委员会成员将按照</w:t>
            </w:r>
            <w:r>
              <w:rPr>
                <w:rFonts w:ascii="宋体"/>
              </w:rPr>
              <w:t>“</w:t>
            </w:r>
            <w:r>
              <w:rPr>
                <w:rFonts w:hint="eastAsia"/>
              </w:rPr>
              <w:t>评比因素</w:t>
            </w:r>
            <w:r>
              <w:rPr>
                <w:rFonts w:hint="eastAsia" w:ascii="宋体"/>
              </w:rPr>
              <w:t>《</w:t>
            </w:r>
            <w:r>
              <w:rPr>
                <w:rFonts w:hint="eastAsia"/>
              </w:rPr>
              <w:t>商务及技术评议指标表</w:t>
            </w:r>
            <w:r>
              <w:rPr>
                <w:rFonts w:hint="eastAsia" w:ascii="宋体"/>
              </w:rPr>
              <w:t>》</w:t>
            </w:r>
            <w:r>
              <w:rPr>
                <w:rFonts w:ascii="宋体"/>
              </w:rPr>
              <w:t>”</w:t>
            </w:r>
            <w:r>
              <w:rPr>
                <w:rFonts w:hint="eastAsia"/>
              </w:rPr>
              <w:t>确定的权重比例独立对每个投标的商务及技术部分以打分的方式进行评议。</w:t>
            </w:r>
          </w:p>
        </w:tc>
      </w:tr>
      <w:tr w14:paraId="666584BD">
        <w:tblPrEx>
          <w:tblCellMar>
            <w:top w:w="0" w:type="dxa"/>
            <w:left w:w="108" w:type="dxa"/>
            <w:bottom w:w="0" w:type="dxa"/>
            <w:right w:w="108" w:type="dxa"/>
          </w:tblCellMar>
        </w:tblPrEx>
        <w:tc>
          <w:tcPr>
            <w:tcW w:w="1065" w:type="dxa"/>
          </w:tcPr>
          <w:p w14:paraId="4EDA0163">
            <w:pPr>
              <w:spacing w:line="400" w:lineRule="exact"/>
              <w:ind w:left="170"/>
            </w:pPr>
            <w:r>
              <w:t>2.3.3</w:t>
            </w:r>
          </w:p>
        </w:tc>
        <w:tc>
          <w:tcPr>
            <w:tcW w:w="7353" w:type="dxa"/>
          </w:tcPr>
          <w:p w14:paraId="10200721">
            <w:pPr>
              <w:spacing w:line="400" w:lineRule="exact"/>
            </w:pPr>
            <w:r>
              <w:rPr>
                <w:rFonts w:hint="eastAsia"/>
              </w:rPr>
              <w:t>评委会将以算术平均的方式对所有评委会成员的独立评分进行汇总，加权计算出每个投标方的综合得分，并进行算术平均。</w:t>
            </w:r>
          </w:p>
        </w:tc>
      </w:tr>
      <w:tr w14:paraId="442F9C88">
        <w:tblPrEx>
          <w:tblCellMar>
            <w:top w:w="0" w:type="dxa"/>
            <w:left w:w="108" w:type="dxa"/>
            <w:bottom w:w="0" w:type="dxa"/>
            <w:right w:w="108" w:type="dxa"/>
          </w:tblCellMar>
        </w:tblPrEx>
        <w:tc>
          <w:tcPr>
            <w:tcW w:w="1065" w:type="dxa"/>
          </w:tcPr>
          <w:p w14:paraId="579EB8E7">
            <w:pPr>
              <w:spacing w:line="400" w:lineRule="exact"/>
              <w:ind w:left="170"/>
            </w:pPr>
            <w:r>
              <w:t>2.4</w:t>
            </w:r>
          </w:p>
        </w:tc>
        <w:tc>
          <w:tcPr>
            <w:tcW w:w="7353" w:type="dxa"/>
          </w:tcPr>
          <w:p w14:paraId="7C647DBC">
            <w:pPr>
              <w:spacing w:line="400" w:lineRule="exact"/>
            </w:pPr>
            <w:r>
              <w:rPr>
                <w:rFonts w:hint="eastAsia"/>
              </w:rPr>
              <w:t>价格评议：</w:t>
            </w:r>
          </w:p>
          <w:p w14:paraId="6FE36DBB">
            <w:pPr>
              <w:spacing w:line="400" w:lineRule="exact"/>
            </w:pPr>
            <w:r>
              <w:rPr>
                <w:rFonts w:hint="eastAsia"/>
              </w:rPr>
              <w:t>评委会根据招标文件“评比因素</w:t>
            </w:r>
            <w:r>
              <w:t>”</w:t>
            </w:r>
            <w:r>
              <w:rPr>
                <w:rFonts w:hint="eastAsia"/>
              </w:rPr>
              <w:t>中对应的内容和标准，对通过符合性检查和不可偏离项检查的投标进行价格评议。</w:t>
            </w:r>
          </w:p>
        </w:tc>
      </w:tr>
      <w:tr w14:paraId="035B7990">
        <w:tblPrEx>
          <w:tblCellMar>
            <w:top w:w="0" w:type="dxa"/>
            <w:left w:w="108" w:type="dxa"/>
            <w:bottom w:w="0" w:type="dxa"/>
            <w:right w:w="108" w:type="dxa"/>
          </w:tblCellMar>
        </w:tblPrEx>
        <w:tc>
          <w:tcPr>
            <w:tcW w:w="1065" w:type="dxa"/>
          </w:tcPr>
          <w:p w14:paraId="31384EA0">
            <w:pPr>
              <w:spacing w:line="400" w:lineRule="exact"/>
              <w:ind w:left="170"/>
            </w:pPr>
            <w:r>
              <w:t>2.5</w:t>
            </w:r>
          </w:p>
        </w:tc>
        <w:tc>
          <w:tcPr>
            <w:tcW w:w="7353" w:type="dxa"/>
          </w:tcPr>
          <w:p w14:paraId="4B8E6C6D">
            <w:pPr>
              <w:spacing w:line="400" w:lineRule="exact"/>
            </w:pPr>
            <w:r>
              <w:rPr>
                <w:rFonts w:hint="eastAsia"/>
              </w:rPr>
              <w:t>综合得分：</w:t>
            </w:r>
          </w:p>
          <w:p w14:paraId="155C877C">
            <w:pPr>
              <w:spacing w:line="400" w:lineRule="exact"/>
            </w:pPr>
            <w:r>
              <w:rPr>
                <w:rFonts w:hint="eastAsia"/>
              </w:rPr>
              <w:t>投标方的最终评标得分＝商务技术评议得分</w:t>
            </w:r>
            <w:r>
              <w:t xml:space="preserve"> + </w:t>
            </w:r>
            <w:r>
              <w:rPr>
                <w:rFonts w:hint="eastAsia"/>
              </w:rPr>
              <w:t>价格得分。</w:t>
            </w:r>
          </w:p>
        </w:tc>
      </w:tr>
      <w:tr w14:paraId="21333841">
        <w:tblPrEx>
          <w:tblCellMar>
            <w:top w:w="0" w:type="dxa"/>
            <w:left w:w="108" w:type="dxa"/>
            <w:bottom w:w="0" w:type="dxa"/>
            <w:right w:w="108" w:type="dxa"/>
          </w:tblCellMar>
        </w:tblPrEx>
        <w:tc>
          <w:tcPr>
            <w:tcW w:w="1065" w:type="dxa"/>
          </w:tcPr>
          <w:p w14:paraId="0B727626">
            <w:pPr>
              <w:spacing w:line="400" w:lineRule="exact"/>
              <w:ind w:left="170"/>
            </w:pPr>
            <w:r>
              <w:t>2.6</w:t>
            </w:r>
          </w:p>
        </w:tc>
        <w:tc>
          <w:tcPr>
            <w:tcW w:w="7353" w:type="dxa"/>
          </w:tcPr>
          <w:p w14:paraId="326EAE1C">
            <w:pPr>
              <w:spacing w:line="400" w:lineRule="exact"/>
            </w:pPr>
            <w:r>
              <w:rPr>
                <w:rFonts w:hint="eastAsia"/>
              </w:rPr>
              <w:t>预中标方的确定：</w:t>
            </w:r>
          </w:p>
        </w:tc>
      </w:tr>
      <w:tr w14:paraId="6016C0AE">
        <w:tblPrEx>
          <w:tblCellMar>
            <w:top w:w="0" w:type="dxa"/>
            <w:left w:w="108" w:type="dxa"/>
            <w:bottom w:w="0" w:type="dxa"/>
            <w:right w:w="108" w:type="dxa"/>
          </w:tblCellMar>
        </w:tblPrEx>
        <w:tc>
          <w:tcPr>
            <w:tcW w:w="1065" w:type="dxa"/>
          </w:tcPr>
          <w:p w14:paraId="7596EB19">
            <w:pPr>
              <w:spacing w:line="400" w:lineRule="exact"/>
              <w:ind w:left="170"/>
            </w:pPr>
            <w:r>
              <w:t>2.6.1</w:t>
            </w:r>
          </w:p>
        </w:tc>
        <w:tc>
          <w:tcPr>
            <w:tcW w:w="7353" w:type="dxa"/>
          </w:tcPr>
          <w:p w14:paraId="18B192F0">
            <w:pPr>
              <w:spacing w:line="400" w:lineRule="exact"/>
            </w:pPr>
            <w:r>
              <w:rPr>
                <w:rFonts w:hint="eastAsia"/>
              </w:rPr>
              <w:t>根据各投标方的评标总得分由高到低顺序列出投标方的名次，报评标委员会确认后，推荐综合得分高的为中标候选人。</w:t>
            </w:r>
          </w:p>
        </w:tc>
      </w:tr>
      <w:tr w14:paraId="6994434F">
        <w:tblPrEx>
          <w:tblCellMar>
            <w:top w:w="0" w:type="dxa"/>
            <w:left w:w="108" w:type="dxa"/>
            <w:bottom w:w="0" w:type="dxa"/>
            <w:right w:w="108" w:type="dxa"/>
          </w:tblCellMar>
        </w:tblPrEx>
        <w:tc>
          <w:tcPr>
            <w:tcW w:w="1065" w:type="dxa"/>
          </w:tcPr>
          <w:p w14:paraId="362DB680">
            <w:pPr>
              <w:spacing w:line="400" w:lineRule="exact"/>
              <w:ind w:left="170"/>
            </w:pPr>
            <w:r>
              <w:t>2.6.2</w:t>
            </w:r>
          </w:p>
        </w:tc>
        <w:tc>
          <w:tcPr>
            <w:tcW w:w="7353" w:type="dxa"/>
          </w:tcPr>
          <w:p w14:paraId="1774725C">
            <w:pPr>
              <w:spacing w:line="400" w:lineRule="exact"/>
            </w:pPr>
            <w:r>
              <w:rPr>
                <w:rFonts w:hint="eastAsia"/>
              </w:rPr>
              <w:t>评标总得分相同的，按投标报价由低到高顺序排列；评标总得分且投标报价相同的，按技术指标得分优劣顺序排列。</w:t>
            </w:r>
          </w:p>
        </w:tc>
      </w:tr>
      <w:tr w14:paraId="06EA8878">
        <w:tblPrEx>
          <w:tblCellMar>
            <w:top w:w="0" w:type="dxa"/>
            <w:left w:w="108" w:type="dxa"/>
            <w:bottom w:w="0" w:type="dxa"/>
            <w:right w:w="108" w:type="dxa"/>
          </w:tblCellMar>
        </w:tblPrEx>
        <w:tc>
          <w:tcPr>
            <w:tcW w:w="1065" w:type="dxa"/>
          </w:tcPr>
          <w:p w14:paraId="10CFDE67">
            <w:pPr>
              <w:spacing w:line="400" w:lineRule="exact"/>
              <w:ind w:left="170"/>
              <w:rPr>
                <w:b/>
              </w:rPr>
            </w:pPr>
            <w:r>
              <w:rPr>
                <w:b/>
              </w:rPr>
              <w:t>3.</w:t>
            </w:r>
          </w:p>
        </w:tc>
        <w:tc>
          <w:tcPr>
            <w:tcW w:w="7353" w:type="dxa"/>
          </w:tcPr>
          <w:p w14:paraId="097AEB48">
            <w:pPr>
              <w:spacing w:line="400" w:lineRule="exact"/>
              <w:rPr>
                <w:rFonts w:ascii="宋体"/>
                <w:b/>
                <w:szCs w:val="21"/>
              </w:rPr>
            </w:pPr>
            <w:r>
              <w:rPr>
                <w:rFonts w:hint="eastAsia" w:ascii="宋体" w:hAnsi="宋体"/>
                <w:b/>
                <w:szCs w:val="21"/>
              </w:rPr>
              <w:t>评比因素：</w:t>
            </w:r>
          </w:p>
        </w:tc>
      </w:tr>
      <w:tr w14:paraId="66FD026C">
        <w:tblPrEx>
          <w:tblCellMar>
            <w:top w:w="0" w:type="dxa"/>
            <w:left w:w="108" w:type="dxa"/>
            <w:bottom w:w="0" w:type="dxa"/>
            <w:right w:w="108" w:type="dxa"/>
          </w:tblCellMar>
        </w:tblPrEx>
        <w:tc>
          <w:tcPr>
            <w:tcW w:w="1065" w:type="dxa"/>
          </w:tcPr>
          <w:p w14:paraId="7332A199">
            <w:pPr>
              <w:spacing w:line="400" w:lineRule="exact"/>
              <w:ind w:left="170"/>
              <w:rPr>
                <w:rFonts w:ascii="宋体"/>
                <w:szCs w:val="21"/>
              </w:rPr>
            </w:pPr>
            <w:r>
              <w:t>3.1</w:t>
            </w:r>
          </w:p>
        </w:tc>
        <w:tc>
          <w:tcPr>
            <w:tcW w:w="7353" w:type="dxa"/>
          </w:tcPr>
          <w:p w14:paraId="45BC0389">
            <w:pPr>
              <w:spacing w:line="400" w:lineRule="exact"/>
              <w:rPr>
                <w:rFonts w:ascii="宋体"/>
                <w:szCs w:val="21"/>
              </w:rPr>
            </w:pPr>
            <w:r>
              <w:rPr>
                <w:rStyle w:val="40"/>
                <w:rFonts w:hint="eastAsia"/>
                <w:bCs/>
              </w:rPr>
              <w:t>符合性检查表：</w:t>
            </w:r>
          </w:p>
        </w:tc>
      </w:tr>
      <w:tr w14:paraId="3B6DDF2D">
        <w:tblPrEx>
          <w:tblCellMar>
            <w:top w:w="0" w:type="dxa"/>
            <w:left w:w="108" w:type="dxa"/>
            <w:bottom w:w="0" w:type="dxa"/>
            <w:right w:w="108" w:type="dxa"/>
          </w:tblCellMar>
        </w:tblPrEx>
        <w:tc>
          <w:tcPr>
            <w:tcW w:w="8418" w:type="dxa"/>
            <w:gridSpan w:val="2"/>
          </w:tcPr>
          <w:tbl>
            <w:tblPr>
              <w:tblStyle w:val="21"/>
              <w:tblW w:w="8170" w:type="dxa"/>
              <w:tblCellSpacing w:w="0" w:type="dxa"/>
              <w:tblInd w:w="17" w:type="dxa"/>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Layout w:type="fixed"/>
              <w:tblCellMar>
                <w:top w:w="15" w:type="dxa"/>
                <w:left w:w="15" w:type="dxa"/>
                <w:bottom w:w="15" w:type="dxa"/>
                <w:right w:w="15" w:type="dxa"/>
              </w:tblCellMar>
            </w:tblPr>
            <w:tblGrid>
              <w:gridCol w:w="5469"/>
              <w:gridCol w:w="2701"/>
            </w:tblGrid>
            <w:tr w14:paraId="00CD19D6">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shd w:val="clear" w:color="auto" w:fill="EEEEEE"/>
                  <w:vAlign w:val="center"/>
                </w:tcPr>
                <w:p w14:paraId="6F6B9E12">
                  <w:pPr>
                    <w:rPr>
                      <w:rFonts w:ascii="宋体"/>
                      <w:sz w:val="24"/>
                    </w:rPr>
                  </w:pPr>
                  <w:r>
                    <w:rPr>
                      <w:rFonts w:hint="eastAsia"/>
                    </w:rPr>
                    <w:t>评议项目</w:t>
                  </w:r>
                </w:p>
              </w:tc>
              <w:tc>
                <w:tcPr>
                  <w:tcW w:w="2701" w:type="dxa"/>
                  <w:tcBorders>
                    <w:top w:val="outset" w:color="DDDDDD" w:sz="6" w:space="0"/>
                    <w:left w:val="outset" w:color="DDDDDD" w:sz="6" w:space="0"/>
                    <w:bottom w:val="outset" w:color="DDDDDD" w:sz="6" w:space="0"/>
                    <w:right w:val="outset" w:color="DDDDDD" w:sz="6" w:space="0"/>
                  </w:tcBorders>
                  <w:shd w:val="clear" w:color="auto" w:fill="EEEEEE"/>
                  <w:vAlign w:val="center"/>
                </w:tcPr>
                <w:p w14:paraId="6517B2AA">
                  <w:pPr>
                    <w:rPr>
                      <w:rFonts w:ascii="宋体"/>
                      <w:sz w:val="24"/>
                    </w:rPr>
                  </w:pPr>
                  <w:r>
                    <w:rPr>
                      <w:rFonts w:hint="eastAsia"/>
                    </w:rPr>
                    <w:t>评议标准</w:t>
                  </w:r>
                </w:p>
              </w:tc>
            </w:tr>
            <w:tr w14:paraId="70DE70F7">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74D18168">
                  <w:pPr>
                    <w:spacing w:line="360" w:lineRule="auto"/>
                    <w:rPr>
                      <w:rFonts w:ascii="宋体"/>
                      <w:sz w:val="24"/>
                    </w:rPr>
                  </w:pPr>
                  <w:r>
                    <w:rPr>
                      <w:rFonts w:hint="eastAsia"/>
                    </w:rPr>
                    <w:t>法定代表人证明书</w:t>
                  </w:r>
                  <w:r>
                    <w:t>/</w:t>
                  </w:r>
                  <w:r>
                    <w:rPr>
                      <w:rFonts w:hint="eastAsia"/>
                    </w:rPr>
                    <w:t>法人授权委托证明书</w:t>
                  </w:r>
                </w:p>
              </w:tc>
              <w:tc>
                <w:tcPr>
                  <w:tcW w:w="2701" w:type="dxa"/>
                  <w:tcBorders>
                    <w:top w:val="outset" w:color="DDDDDD" w:sz="6" w:space="0"/>
                    <w:left w:val="outset" w:color="DDDDDD" w:sz="6" w:space="0"/>
                    <w:bottom w:val="outset" w:color="DDDDDD" w:sz="6" w:space="0"/>
                    <w:right w:val="outset" w:color="DDDDDD" w:sz="6" w:space="0"/>
                  </w:tcBorders>
                  <w:vAlign w:val="center"/>
                </w:tcPr>
                <w:p w14:paraId="3A92C181">
                  <w:pPr>
                    <w:spacing w:line="360" w:lineRule="auto"/>
                    <w:rPr>
                      <w:rFonts w:ascii="宋体"/>
                      <w:sz w:val="24"/>
                    </w:rPr>
                  </w:pPr>
                  <w:r>
                    <w:rPr>
                      <w:rFonts w:hint="eastAsia"/>
                    </w:rPr>
                    <w:t>有</w:t>
                  </w:r>
                  <w:r>
                    <w:t>/</w:t>
                  </w:r>
                  <w:r>
                    <w:rPr>
                      <w:rFonts w:hint="eastAsia"/>
                    </w:rPr>
                    <w:t>无</w:t>
                  </w:r>
                </w:p>
              </w:tc>
            </w:tr>
            <w:tr w14:paraId="344BD0CE">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06CDC2F0">
                  <w:pPr>
                    <w:spacing w:line="360" w:lineRule="auto"/>
                    <w:rPr>
                      <w:rFonts w:ascii="宋体"/>
                      <w:sz w:val="24"/>
                    </w:rPr>
                  </w:pPr>
                  <w:r>
                    <w:rPr>
                      <w:rFonts w:hint="eastAsia"/>
                    </w:rPr>
                    <w:t>投标书</w:t>
                  </w:r>
                </w:p>
              </w:tc>
              <w:tc>
                <w:tcPr>
                  <w:tcW w:w="2701" w:type="dxa"/>
                  <w:tcBorders>
                    <w:top w:val="outset" w:color="DDDDDD" w:sz="6" w:space="0"/>
                    <w:left w:val="outset" w:color="DDDDDD" w:sz="6" w:space="0"/>
                    <w:bottom w:val="outset" w:color="DDDDDD" w:sz="6" w:space="0"/>
                    <w:right w:val="outset" w:color="DDDDDD" w:sz="6" w:space="0"/>
                  </w:tcBorders>
                  <w:vAlign w:val="center"/>
                </w:tcPr>
                <w:p w14:paraId="2AEF01C6">
                  <w:pPr>
                    <w:spacing w:line="360" w:lineRule="auto"/>
                    <w:rPr>
                      <w:rFonts w:ascii="宋体"/>
                      <w:sz w:val="24"/>
                    </w:rPr>
                  </w:pPr>
                  <w:r>
                    <w:rPr>
                      <w:rFonts w:hint="eastAsia"/>
                    </w:rPr>
                    <w:t>有</w:t>
                  </w:r>
                  <w:r>
                    <w:t>/</w:t>
                  </w:r>
                  <w:r>
                    <w:rPr>
                      <w:rFonts w:hint="eastAsia"/>
                    </w:rPr>
                    <w:t>无</w:t>
                  </w:r>
                </w:p>
              </w:tc>
            </w:tr>
            <w:tr w14:paraId="26A49280">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2502699F">
                  <w:pPr>
                    <w:spacing w:line="360" w:lineRule="auto"/>
                    <w:rPr>
                      <w:rFonts w:ascii="宋体"/>
                      <w:sz w:val="24"/>
                    </w:rPr>
                  </w:pPr>
                  <w:r>
                    <w:rPr>
                      <w:rFonts w:hint="eastAsia"/>
                    </w:rPr>
                    <w:t>技术文件</w:t>
                  </w:r>
                </w:p>
              </w:tc>
              <w:tc>
                <w:tcPr>
                  <w:tcW w:w="2701" w:type="dxa"/>
                  <w:tcBorders>
                    <w:top w:val="outset" w:color="DDDDDD" w:sz="6" w:space="0"/>
                    <w:left w:val="outset" w:color="DDDDDD" w:sz="6" w:space="0"/>
                    <w:bottom w:val="outset" w:color="DDDDDD" w:sz="6" w:space="0"/>
                    <w:right w:val="outset" w:color="DDDDDD" w:sz="6" w:space="0"/>
                  </w:tcBorders>
                  <w:vAlign w:val="center"/>
                </w:tcPr>
                <w:p w14:paraId="02CBC197">
                  <w:pPr>
                    <w:spacing w:line="360" w:lineRule="auto"/>
                    <w:rPr>
                      <w:rFonts w:ascii="宋体"/>
                      <w:sz w:val="24"/>
                    </w:rPr>
                  </w:pPr>
                  <w:r>
                    <w:rPr>
                      <w:rFonts w:hint="eastAsia"/>
                    </w:rPr>
                    <w:t>有</w:t>
                  </w:r>
                  <w:r>
                    <w:t>/</w:t>
                  </w:r>
                  <w:r>
                    <w:rPr>
                      <w:rFonts w:hint="eastAsia"/>
                    </w:rPr>
                    <w:t>无</w:t>
                  </w:r>
                </w:p>
              </w:tc>
            </w:tr>
            <w:tr w14:paraId="24D95008">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14271AA9">
                  <w:pPr>
                    <w:spacing w:line="360" w:lineRule="auto"/>
                    <w:rPr>
                      <w:rFonts w:ascii="宋体"/>
                      <w:sz w:val="24"/>
                    </w:rPr>
                  </w:pPr>
                  <w:r>
                    <w:rPr>
                      <w:rFonts w:hint="eastAsia"/>
                    </w:rPr>
                    <w:t>投标分项报价表</w:t>
                  </w:r>
                </w:p>
              </w:tc>
              <w:tc>
                <w:tcPr>
                  <w:tcW w:w="2701" w:type="dxa"/>
                  <w:tcBorders>
                    <w:top w:val="outset" w:color="DDDDDD" w:sz="6" w:space="0"/>
                    <w:left w:val="outset" w:color="DDDDDD" w:sz="6" w:space="0"/>
                    <w:bottom w:val="outset" w:color="DDDDDD" w:sz="6" w:space="0"/>
                    <w:right w:val="outset" w:color="DDDDDD" w:sz="6" w:space="0"/>
                  </w:tcBorders>
                  <w:vAlign w:val="center"/>
                </w:tcPr>
                <w:p w14:paraId="11A3A508">
                  <w:pPr>
                    <w:spacing w:line="360" w:lineRule="auto"/>
                    <w:rPr>
                      <w:rFonts w:ascii="宋体"/>
                      <w:sz w:val="24"/>
                    </w:rPr>
                  </w:pPr>
                  <w:r>
                    <w:rPr>
                      <w:rFonts w:hint="eastAsia"/>
                    </w:rPr>
                    <w:t>有</w:t>
                  </w:r>
                  <w:r>
                    <w:t>/</w:t>
                  </w:r>
                  <w:r>
                    <w:rPr>
                      <w:rFonts w:hint="eastAsia"/>
                    </w:rPr>
                    <w:t>无</w:t>
                  </w:r>
                </w:p>
              </w:tc>
            </w:tr>
            <w:tr w14:paraId="61E05D4F">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4D4755C4">
                  <w:pPr>
                    <w:spacing w:line="360" w:lineRule="auto"/>
                  </w:pPr>
                  <w:r>
                    <w:rPr>
                      <w:rFonts w:hint="eastAsia"/>
                    </w:rPr>
                    <w:t>投标报价有无超过预算</w:t>
                  </w:r>
                </w:p>
              </w:tc>
              <w:tc>
                <w:tcPr>
                  <w:tcW w:w="2701" w:type="dxa"/>
                  <w:tcBorders>
                    <w:top w:val="outset" w:color="DDDDDD" w:sz="6" w:space="0"/>
                    <w:left w:val="outset" w:color="DDDDDD" w:sz="6" w:space="0"/>
                    <w:bottom w:val="outset" w:color="DDDDDD" w:sz="6" w:space="0"/>
                    <w:right w:val="outset" w:color="DDDDDD" w:sz="6" w:space="0"/>
                  </w:tcBorders>
                  <w:vAlign w:val="center"/>
                </w:tcPr>
                <w:p w14:paraId="490187E3">
                  <w:pPr>
                    <w:spacing w:line="360" w:lineRule="auto"/>
                  </w:pPr>
                  <w:r>
                    <w:rPr>
                      <w:rFonts w:hint="eastAsia"/>
                    </w:rPr>
                    <w:t>有</w:t>
                  </w:r>
                  <w:r>
                    <w:t>/</w:t>
                  </w:r>
                  <w:r>
                    <w:rPr>
                      <w:rFonts w:hint="eastAsia"/>
                    </w:rPr>
                    <w:t>无</w:t>
                  </w:r>
                </w:p>
              </w:tc>
            </w:tr>
            <w:tr w14:paraId="242C8A5C">
              <w:tblPrEx>
                <w:tblBorders>
                  <w:top w:val="outset" w:color="DDDDDD" w:sz="6" w:space="0"/>
                  <w:left w:val="outset" w:color="DDDDDD" w:sz="6" w:space="0"/>
                  <w:bottom w:val="outset" w:color="DDDDDD" w:sz="6" w:space="0"/>
                  <w:right w:val="outset" w:color="DDDDDD" w:sz="6" w:space="0"/>
                  <w:insideH w:val="none" w:color="auto" w:sz="0" w:space="0"/>
                  <w:insideV w:val="none" w:color="auto" w:sz="0" w:space="0"/>
                </w:tblBorders>
                <w:tblCellMar>
                  <w:top w:w="15" w:type="dxa"/>
                  <w:left w:w="15" w:type="dxa"/>
                  <w:bottom w:w="15" w:type="dxa"/>
                  <w:right w:w="15" w:type="dxa"/>
                </w:tblCellMar>
              </w:tblPrEx>
              <w:trPr>
                <w:tblCellSpacing w:w="0" w:type="dxa"/>
              </w:trPr>
              <w:tc>
                <w:tcPr>
                  <w:tcW w:w="5469" w:type="dxa"/>
                  <w:tcBorders>
                    <w:top w:val="outset" w:color="DDDDDD" w:sz="6" w:space="0"/>
                    <w:left w:val="outset" w:color="DDDDDD" w:sz="6" w:space="0"/>
                    <w:bottom w:val="outset" w:color="DDDDDD" w:sz="6" w:space="0"/>
                    <w:right w:val="outset" w:color="DDDDDD" w:sz="6" w:space="0"/>
                  </w:tcBorders>
                  <w:vAlign w:val="center"/>
                </w:tcPr>
                <w:p w14:paraId="7E633C9D">
                  <w:r>
                    <w:rPr>
                      <w:rFonts w:hint="eastAsia"/>
                    </w:rPr>
                    <w:t>结论</w:t>
                  </w:r>
                </w:p>
              </w:tc>
              <w:tc>
                <w:tcPr>
                  <w:tcW w:w="2701" w:type="dxa"/>
                  <w:tcBorders>
                    <w:top w:val="outset" w:color="DDDDDD" w:sz="6" w:space="0"/>
                    <w:left w:val="outset" w:color="DDDDDD" w:sz="6" w:space="0"/>
                    <w:bottom w:val="outset" w:color="DDDDDD" w:sz="6" w:space="0"/>
                    <w:right w:val="outset" w:color="DDDDDD" w:sz="6" w:space="0"/>
                  </w:tcBorders>
                  <w:vAlign w:val="center"/>
                </w:tcPr>
                <w:p w14:paraId="57841EC7">
                  <w:pPr>
                    <w:rPr>
                      <w:szCs w:val="21"/>
                    </w:rPr>
                  </w:pPr>
                  <w:r>
                    <w:rPr>
                      <w:rFonts w:hint="eastAsia"/>
                      <w:szCs w:val="21"/>
                    </w:rPr>
                    <w:t>合格</w:t>
                  </w:r>
                  <w:r>
                    <w:rPr>
                      <w:szCs w:val="21"/>
                    </w:rPr>
                    <w:t>/</w:t>
                  </w:r>
                  <w:r>
                    <w:rPr>
                      <w:rFonts w:hint="eastAsia"/>
                      <w:szCs w:val="21"/>
                    </w:rPr>
                    <w:t>不合格</w:t>
                  </w:r>
                </w:p>
              </w:tc>
            </w:tr>
          </w:tbl>
          <w:p w14:paraId="210F59F0">
            <w:pPr>
              <w:spacing w:line="400" w:lineRule="exact"/>
              <w:rPr>
                <w:rFonts w:ascii="宋体"/>
                <w:szCs w:val="21"/>
              </w:rPr>
            </w:pPr>
          </w:p>
        </w:tc>
      </w:tr>
      <w:tr w14:paraId="01C37E67">
        <w:tblPrEx>
          <w:tblCellMar>
            <w:top w:w="0" w:type="dxa"/>
            <w:left w:w="108" w:type="dxa"/>
            <w:bottom w:w="0" w:type="dxa"/>
            <w:right w:w="108" w:type="dxa"/>
          </w:tblCellMar>
        </w:tblPrEx>
        <w:tc>
          <w:tcPr>
            <w:tcW w:w="1065" w:type="dxa"/>
          </w:tcPr>
          <w:p w14:paraId="4DF2BF52">
            <w:pPr>
              <w:spacing w:line="400" w:lineRule="exact"/>
              <w:ind w:left="170"/>
            </w:pPr>
            <w:r>
              <w:t>3.2</w:t>
            </w:r>
          </w:p>
        </w:tc>
        <w:tc>
          <w:tcPr>
            <w:tcW w:w="7353" w:type="dxa"/>
          </w:tcPr>
          <w:p w14:paraId="6079E834">
            <w:pPr>
              <w:spacing w:line="400" w:lineRule="exact"/>
              <w:rPr>
                <w:rStyle w:val="40"/>
                <w:bCs/>
              </w:rPr>
            </w:pPr>
            <w:r>
              <w:rPr>
                <w:rFonts w:hint="eastAsia" w:hAnsi="宋体"/>
                <w:bCs/>
                <w:szCs w:val="21"/>
              </w:rPr>
              <w:t>不可偏离项检查：</w:t>
            </w:r>
          </w:p>
        </w:tc>
      </w:tr>
      <w:tr w14:paraId="60EFC47A">
        <w:tblPrEx>
          <w:tblCellMar>
            <w:top w:w="0" w:type="dxa"/>
            <w:left w:w="108" w:type="dxa"/>
            <w:bottom w:w="0" w:type="dxa"/>
            <w:right w:w="108" w:type="dxa"/>
          </w:tblCellMar>
        </w:tblPrEx>
        <w:tc>
          <w:tcPr>
            <w:tcW w:w="1065" w:type="dxa"/>
          </w:tcPr>
          <w:p w14:paraId="1C55CD9C">
            <w:pPr>
              <w:spacing w:line="400" w:lineRule="exact"/>
              <w:ind w:left="170"/>
            </w:pPr>
          </w:p>
        </w:tc>
        <w:tc>
          <w:tcPr>
            <w:tcW w:w="7353" w:type="dxa"/>
          </w:tcPr>
          <w:tbl>
            <w:tblPr>
              <w:tblStyle w:val="21"/>
              <w:tblW w:w="6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2"/>
              <w:gridCol w:w="3010"/>
              <w:gridCol w:w="2443"/>
            </w:tblGrid>
            <w:tr w14:paraId="5F54D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82" w:type="dxa"/>
                  <w:tcBorders>
                    <w:top w:val="single" w:color="auto" w:sz="4" w:space="0"/>
                    <w:left w:val="single" w:color="auto" w:sz="4" w:space="0"/>
                    <w:bottom w:val="single" w:color="auto" w:sz="4" w:space="0"/>
                    <w:right w:val="single" w:color="auto" w:sz="4" w:space="0"/>
                  </w:tcBorders>
                  <w:vAlign w:val="center"/>
                </w:tcPr>
                <w:p w14:paraId="6B04982D">
                  <w:pPr>
                    <w:spacing w:line="400" w:lineRule="exact"/>
                    <w:jc w:val="center"/>
                    <w:rPr>
                      <w:rFonts w:hAnsi="宋体"/>
                    </w:rPr>
                  </w:pPr>
                  <w:r>
                    <w:rPr>
                      <w:rFonts w:hint="eastAsia" w:hAnsi="宋体"/>
                    </w:rPr>
                    <w:t>序号</w:t>
                  </w:r>
                </w:p>
              </w:tc>
              <w:tc>
                <w:tcPr>
                  <w:tcW w:w="3010" w:type="dxa"/>
                  <w:tcBorders>
                    <w:top w:val="single" w:color="auto" w:sz="4" w:space="0"/>
                    <w:left w:val="single" w:color="auto" w:sz="4" w:space="0"/>
                    <w:bottom w:val="single" w:color="auto" w:sz="4" w:space="0"/>
                    <w:right w:val="single" w:color="auto" w:sz="4" w:space="0"/>
                  </w:tcBorders>
                  <w:vAlign w:val="center"/>
                </w:tcPr>
                <w:p w14:paraId="2DCD422A">
                  <w:pPr>
                    <w:spacing w:line="400" w:lineRule="exact"/>
                    <w:ind w:left="-828" w:firstLine="828"/>
                    <w:jc w:val="center"/>
                    <w:rPr>
                      <w:sz w:val="24"/>
                    </w:rPr>
                  </w:pPr>
                  <w:r>
                    <w:rPr>
                      <w:rFonts w:hint="eastAsia" w:hAnsi="宋体"/>
                    </w:rPr>
                    <w:t>评议内容</w:t>
                  </w:r>
                </w:p>
              </w:tc>
              <w:tc>
                <w:tcPr>
                  <w:tcW w:w="2443" w:type="dxa"/>
                  <w:tcBorders>
                    <w:top w:val="single" w:color="auto" w:sz="4" w:space="0"/>
                    <w:left w:val="single" w:color="auto" w:sz="4" w:space="0"/>
                    <w:bottom w:val="single" w:color="auto" w:sz="4" w:space="0"/>
                    <w:right w:val="single" w:color="auto" w:sz="4" w:space="0"/>
                  </w:tcBorders>
                  <w:vAlign w:val="center"/>
                </w:tcPr>
                <w:p w14:paraId="7340C051">
                  <w:pPr>
                    <w:spacing w:line="400" w:lineRule="exact"/>
                    <w:ind w:left="44" w:hanging="44"/>
                    <w:jc w:val="center"/>
                    <w:rPr>
                      <w:sz w:val="24"/>
                    </w:rPr>
                  </w:pPr>
                  <w:r>
                    <w:rPr>
                      <w:rFonts w:hint="eastAsia" w:hAnsi="宋体"/>
                    </w:rPr>
                    <w:t>评议结果</w:t>
                  </w:r>
                </w:p>
              </w:tc>
            </w:tr>
            <w:tr w14:paraId="26C35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82" w:type="dxa"/>
                  <w:tcBorders>
                    <w:top w:val="single" w:color="auto" w:sz="4" w:space="0"/>
                    <w:left w:val="single" w:color="auto" w:sz="4" w:space="0"/>
                    <w:bottom w:val="single" w:color="auto" w:sz="4" w:space="0"/>
                    <w:right w:val="single" w:color="auto" w:sz="4" w:space="0"/>
                  </w:tcBorders>
                  <w:vAlign w:val="center"/>
                </w:tcPr>
                <w:p w14:paraId="464E28C4">
                  <w:pPr>
                    <w:spacing w:line="400" w:lineRule="exact"/>
                    <w:jc w:val="center"/>
                    <w:rPr>
                      <w:rFonts w:hAnsi="宋体"/>
                    </w:rPr>
                  </w:pPr>
                  <w:r>
                    <w:rPr>
                      <w:rFonts w:hAnsi="宋体"/>
                    </w:rPr>
                    <w:t>1</w:t>
                  </w:r>
                </w:p>
              </w:tc>
              <w:tc>
                <w:tcPr>
                  <w:tcW w:w="3010" w:type="dxa"/>
                  <w:tcBorders>
                    <w:top w:val="single" w:color="auto" w:sz="4" w:space="0"/>
                    <w:left w:val="single" w:color="auto" w:sz="4" w:space="0"/>
                    <w:bottom w:val="single" w:color="auto" w:sz="4" w:space="0"/>
                    <w:right w:val="single" w:color="auto" w:sz="4" w:space="0"/>
                  </w:tcBorders>
                  <w:vAlign w:val="center"/>
                </w:tcPr>
                <w:p w14:paraId="574386FF">
                  <w:pPr>
                    <w:spacing w:line="400" w:lineRule="exact"/>
                    <w:jc w:val="center"/>
                    <w:rPr>
                      <w:szCs w:val="21"/>
                    </w:rPr>
                  </w:pPr>
                  <w:r>
                    <w:rPr>
                      <w:rFonts w:hint="eastAsia" w:asciiTheme="minorEastAsia" w:hAnsiTheme="minorEastAsia" w:cstheme="minorEastAsia"/>
                      <w:szCs w:val="21"/>
                    </w:rPr>
                    <w:t>资格标准</w:t>
                  </w:r>
                </w:p>
              </w:tc>
              <w:tc>
                <w:tcPr>
                  <w:tcW w:w="2443" w:type="dxa"/>
                  <w:tcBorders>
                    <w:top w:val="single" w:color="auto" w:sz="4" w:space="0"/>
                    <w:left w:val="single" w:color="auto" w:sz="4" w:space="0"/>
                    <w:bottom w:val="single" w:color="auto" w:sz="4" w:space="0"/>
                    <w:right w:val="single" w:color="auto" w:sz="4" w:space="0"/>
                  </w:tcBorders>
                  <w:vAlign w:val="center"/>
                </w:tcPr>
                <w:p w14:paraId="5F6867DD">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1E69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4332E7F8">
                  <w:pPr>
                    <w:spacing w:line="400" w:lineRule="exact"/>
                    <w:jc w:val="center"/>
                    <w:rPr>
                      <w:rFonts w:hAnsi="宋体"/>
                    </w:rPr>
                  </w:pPr>
                  <w:r>
                    <w:rPr>
                      <w:rFonts w:hint="eastAsia" w:hAnsi="宋体"/>
                    </w:rPr>
                    <w:t>2</w:t>
                  </w:r>
                </w:p>
              </w:tc>
              <w:tc>
                <w:tcPr>
                  <w:tcW w:w="3010" w:type="dxa"/>
                  <w:tcBorders>
                    <w:top w:val="single" w:color="auto" w:sz="4" w:space="0"/>
                    <w:left w:val="single" w:color="auto" w:sz="4" w:space="0"/>
                    <w:bottom w:val="single" w:color="auto" w:sz="4" w:space="0"/>
                    <w:right w:val="single" w:color="auto" w:sz="4" w:space="0"/>
                  </w:tcBorders>
                  <w:vAlign w:val="center"/>
                </w:tcPr>
                <w:p w14:paraId="41FB4CFD">
                  <w:pPr>
                    <w:spacing w:line="400" w:lineRule="exact"/>
                    <w:jc w:val="center"/>
                    <w:rPr>
                      <w:rFonts w:ascii="宋体" w:hAnsi="宋体"/>
                    </w:rPr>
                  </w:pPr>
                  <w:r>
                    <w:rPr>
                      <w:rFonts w:hint="eastAsia" w:asciiTheme="minorEastAsia" w:hAnsiTheme="minorEastAsia" w:cstheme="minorEastAsia"/>
                      <w:szCs w:val="21"/>
                    </w:rPr>
                    <w:t>报价方式</w:t>
                  </w:r>
                </w:p>
              </w:tc>
              <w:tc>
                <w:tcPr>
                  <w:tcW w:w="2443" w:type="dxa"/>
                  <w:tcBorders>
                    <w:top w:val="single" w:color="auto" w:sz="4" w:space="0"/>
                    <w:left w:val="single" w:color="auto" w:sz="4" w:space="0"/>
                    <w:bottom w:val="single" w:color="auto" w:sz="4" w:space="0"/>
                    <w:right w:val="single" w:color="auto" w:sz="4" w:space="0"/>
                  </w:tcBorders>
                  <w:vAlign w:val="center"/>
                </w:tcPr>
                <w:p w14:paraId="11CFB31F">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23D5F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01E4F09A">
                  <w:pPr>
                    <w:spacing w:line="400" w:lineRule="exact"/>
                    <w:jc w:val="center"/>
                    <w:rPr>
                      <w:rFonts w:hAnsi="宋体"/>
                    </w:rPr>
                  </w:pPr>
                  <w:r>
                    <w:rPr>
                      <w:rFonts w:hint="eastAsia" w:hAnsi="宋体"/>
                    </w:rPr>
                    <w:t>3</w:t>
                  </w:r>
                </w:p>
              </w:tc>
              <w:tc>
                <w:tcPr>
                  <w:tcW w:w="3010" w:type="dxa"/>
                  <w:tcBorders>
                    <w:top w:val="single" w:color="auto" w:sz="4" w:space="0"/>
                    <w:left w:val="single" w:color="auto" w:sz="4" w:space="0"/>
                    <w:bottom w:val="single" w:color="auto" w:sz="4" w:space="0"/>
                    <w:right w:val="single" w:color="auto" w:sz="4" w:space="0"/>
                  </w:tcBorders>
                  <w:vAlign w:val="center"/>
                </w:tcPr>
                <w:p w14:paraId="63D2A3EE">
                  <w:pPr>
                    <w:tabs>
                      <w:tab w:val="left" w:pos="349"/>
                    </w:tabs>
                    <w:spacing w:line="400" w:lineRule="exact"/>
                    <w:jc w:val="center"/>
                    <w:rPr>
                      <w:rFonts w:ascii="宋体" w:hAnsi="宋体"/>
                    </w:rPr>
                  </w:pPr>
                  <w:r>
                    <w:rPr>
                      <w:rFonts w:hint="eastAsia" w:ascii="宋体" w:hAnsi="宋体"/>
                    </w:rPr>
                    <w:t>包装和运输</w:t>
                  </w:r>
                </w:p>
              </w:tc>
              <w:tc>
                <w:tcPr>
                  <w:tcW w:w="2443" w:type="dxa"/>
                  <w:tcBorders>
                    <w:top w:val="single" w:color="auto" w:sz="4" w:space="0"/>
                    <w:left w:val="single" w:color="auto" w:sz="4" w:space="0"/>
                    <w:bottom w:val="single" w:color="auto" w:sz="4" w:space="0"/>
                    <w:right w:val="single" w:color="auto" w:sz="4" w:space="0"/>
                  </w:tcBorders>
                  <w:vAlign w:val="center"/>
                </w:tcPr>
                <w:p w14:paraId="58482B4A">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34E13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08924E47">
                  <w:pPr>
                    <w:spacing w:line="400" w:lineRule="exact"/>
                    <w:jc w:val="center"/>
                    <w:rPr>
                      <w:rFonts w:hAnsi="宋体"/>
                    </w:rPr>
                  </w:pPr>
                  <w:r>
                    <w:rPr>
                      <w:rFonts w:hint="eastAsia" w:hAnsi="宋体"/>
                    </w:rPr>
                    <w:t>4</w:t>
                  </w:r>
                </w:p>
              </w:tc>
              <w:tc>
                <w:tcPr>
                  <w:tcW w:w="3010" w:type="dxa"/>
                  <w:tcBorders>
                    <w:top w:val="single" w:color="auto" w:sz="4" w:space="0"/>
                    <w:left w:val="single" w:color="auto" w:sz="4" w:space="0"/>
                    <w:bottom w:val="single" w:color="auto" w:sz="4" w:space="0"/>
                    <w:right w:val="single" w:color="auto" w:sz="4" w:space="0"/>
                  </w:tcBorders>
                  <w:vAlign w:val="center"/>
                </w:tcPr>
                <w:p w14:paraId="768020D3">
                  <w:pPr>
                    <w:spacing w:line="400" w:lineRule="exact"/>
                    <w:jc w:val="center"/>
                    <w:rPr>
                      <w:rFonts w:ascii="宋体" w:hAnsi="宋体"/>
                    </w:rPr>
                  </w:pPr>
                  <w:r>
                    <w:rPr>
                      <w:rFonts w:hint="eastAsia"/>
                    </w:rPr>
                    <w:t>交货及安装</w:t>
                  </w:r>
                </w:p>
              </w:tc>
              <w:tc>
                <w:tcPr>
                  <w:tcW w:w="2443" w:type="dxa"/>
                  <w:tcBorders>
                    <w:top w:val="single" w:color="auto" w:sz="4" w:space="0"/>
                    <w:left w:val="single" w:color="auto" w:sz="4" w:space="0"/>
                    <w:bottom w:val="single" w:color="auto" w:sz="4" w:space="0"/>
                    <w:right w:val="single" w:color="auto" w:sz="4" w:space="0"/>
                  </w:tcBorders>
                  <w:vAlign w:val="center"/>
                </w:tcPr>
                <w:p w14:paraId="70F2D0ED">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6E1E8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5535DE80">
                  <w:pPr>
                    <w:spacing w:line="400" w:lineRule="exact"/>
                    <w:jc w:val="center"/>
                    <w:rPr>
                      <w:rFonts w:hAnsi="宋体"/>
                    </w:rPr>
                  </w:pPr>
                  <w:r>
                    <w:rPr>
                      <w:rFonts w:hint="eastAsia" w:hAnsi="宋体"/>
                    </w:rPr>
                    <w:t>5</w:t>
                  </w:r>
                </w:p>
              </w:tc>
              <w:tc>
                <w:tcPr>
                  <w:tcW w:w="3010" w:type="dxa"/>
                  <w:tcBorders>
                    <w:top w:val="single" w:color="auto" w:sz="4" w:space="0"/>
                    <w:left w:val="single" w:color="auto" w:sz="4" w:space="0"/>
                    <w:bottom w:val="single" w:color="auto" w:sz="4" w:space="0"/>
                    <w:right w:val="single" w:color="auto" w:sz="4" w:space="0"/>
                  </w:tcBorders>
                  <w:vAlign w:val="center"/>
                </w:tcPr>
                <w:p w14:paraId="24991E88">
                  <w:pPr>
                    <w:spacing w:line="400" w:lineRule="exact"/>
                    <w:jc w:val="center"/>
                  </w:pPr>
                  <w:r>
                    <w:rPr>
                      <w:rFonts w:hint="eastAsia"/>
                    </w:rPr>
                    <w:t>货物及安装验收标准</w:t>
                  </w:r>
                </w:p>
              </w:tc>
              <w:tc>
                <w:tcPr>
                  <w:tcW w:w="2443" w:type="dxa"/>
                  <w:tcBorders>
                    <w:top w:val="single" w:color="auto" w:sz="4" w:space="0"/>
                    <w:left w:val="single" w:color="auto" w:sz="4" w:space="0"/>
                    <w:bottom w:val="single" w:color="auto" w:sz="4" w:space="0"/>
                    <w:right w:val="single" w:color="auto" w:sz="4" w:space="0"/>
                  </w:tcBorders>
                  <w:vAlign w:val="center"/>
                </w:tcPr>
                <w:p w14:paraId="2F9CEE79">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372AC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56BBED56">
                  <w:pPr>
                    <w:spacing w:line="400" w:lineRule="exact"/>
                    <w:jc w:val="center"/>
                    <w:rPr>
                      <w:rFonts w:hAnsi="宋体"/>
                    </w:rPr>
                  </w:pPr>
                  <w:r>
                    <w:rPr>
                      <w:rFonts w:hint="eastAsia" w:hAnsi="宋体"/>
                    </w:rPr>
                    <w:t>6</w:t>
                  </w:r>
                </w:p>
              </w:tc>
              <w:tc>
                <w:tcPr>
                  <w:tcW w:w="3010" w:type="dxa"/>
                  <w:tcBorders>
                    <w:top w:val="single" w:color="auto" w:sz="4" w:space="0"/>
                    <w:left w:val="single" w:color="auto" w:sz="4" w:space="0"/>
                    <w:bottom w:val="single" w:color="auto" w:sz="4" w:space="0"/>
                    <w:right w:val="single" w:color="auto" w:sz="4" w:space="0"/>
                  </w:tcBorders>
                  <w:vAlign w:val="center"/>
                </w:tcPr>
                <w:p w14:paraId="70C943CE">
                  <w:pPr>
                    <w:spacing w:line="400" w:lineRule="exact"/>
                    <w:jc w:val="center"/>
                    <w:rPr>
                      <w:rFonts w:ascii="宋体"/>
                    </w:rPr>
                  </w:pPr>
                  <w:r>
                    <w:rPr>
                      <w:rFonts w:hint="eastAsia"/>
                    </w:rPr>
                    <w:t>付款方式</w:t>
                  </w:r>
                </w:p>
              </w:tc>
              <w:tc>
                <w:tcPr>
                  <w:tcW w:w="2443" w:type="dxa"/>
                  <w:tcBorders>
                    <w:top w:val="single" w:color="auto" w:sz="4" w:space="0"/>
                    <w:left w:val="single" w:color="auto" w:sz="4" w:space="0"/>
                    <w:bottom w:val="single" w:color="auto" w:sz="4" w:space="0"/>
                    <w:right w:val="single" w:color="auto" w:sz="4" w:space="0"/>
                  </w:tcBorders>
                  <w:vAlign w:val="center"/>
                </w:tcPr>
                <w:p w14:paraId="16F0974E">
                  <w:pPr>
                    <w:spacing w:line="400" w:lineRule="exact"/>
                    <w:ind w:left="-57" w:right="-57"/>
                    <w:jc w:val="center"/>
                    <w:rPr>
                      <w:szCs w:val="21"/>
                    </w:rPr>
                  </w:pPr>
                  <w:r>
                    <w:rPr>
                      <w:rFonts w:hint="eastAsia"/>
                      <w:szCs w:val="21"/>
                    </w:rPr>
                    <w:t>合格</w:t>
                  </w:r>
                  <w:r>
                    <w:rPr>
                      <w:szCs w:val="21"/>
                    </w:rPr>
                    <w:t>/</w:t>
                  </w:r>
                  <w:r>
                    <w:rPr>
                      <w:rFonts w:hint="eastAsia"/>
                      <w:szCs w:val="21"/>
                    </w:rPr>
                    <w:t>不合格</w:t>
                  </w:r>
                </w:p>
              </w:tc>
            </w:tr>
            <w:tr w14:paraId="41C68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02F15F50">
                  <w:pPr>
                    <w:spacing w:line="400" w:lineRule="exact"/>
                    <w:jc w:val="center"/>
                    <w:rPr>
                      <w:rFonts w:hAnsi="宋体"/>
                    </w:rPr>
                  </w:pPr>
                  <w:r>
                    <w:rPr>
                      <w:rFonts w:hint="eastAsia" w:hAnsi="宋体"/>
                    </w:rPr>
                    <w:t>7</w:t>
                  </w:r>
                </w:p>
              </w:tc>
              <w:tc>
                <w:tcPr>
                  <w:tcW w:w="3010" w:type="dxa"/>
                  <w:tcBorders>
                    <w:top w:val="single" w:color="auto" w:sz="4" w:space="0"/>
                    <w:left w:val="single" w:color="auto" w:sz="4" w:space="0"/>
                    <w:bottom w:val="single" w:color="auto" w:sz="4" w:space="0"/>
                    <w:right w:val="single" w:color="auto" w:sz="4" w:space="0"/>
                  </w:tcBorders>
                  <w:vAlign w:val="center"/>
                </w:tcPr>
                <w:p w14:paraId="5BD58CF7">
                  <w:pPr>
                    <w:jc w:val="center"/>
                    <w:rPr>
                      <w:rStyle w:val="40"/>
                      <w:bCs/>
                    </w:rPr>
                  </w:pPr>
                  <w:r>
                    <w:rPr>
                      <w:rFonts w:hint="eastAsia"/>
                      <w:szCs w:val="21"/>
                    </w:rPr>
                    <w:t>违约责任</w:t>
                  </w:r>
                </w:p>
              </w:tc>
              <w:tc>
                <w:tcPr>
                  <w:tcW w:w="2443" w:type="dxa"/>
                  <w:tcBorders>
                    <w:top w:val="single" w:color="auto" w:sz="4" w:space="0"/>
                    <w:left w:val="single" w:color="auto" w:sz="4" w:space="0"/>
                    <w:bottom w:val="single" w:color="auto" w:sz="4" w:space="0"/>
                    <w:right w:val="single" w:color="auto" w:sz="4" w:space="0"/>
                  </w:tcBorders>
                  <w:vAlign w:val="center"/>
                </w:tcPr>
                <w:p w14:paraId="177A5763">
                  <w:pPr>
                    <w:jc w:val="center"/>
                    <w:rPr>
                      <w:szCs w:val="21"/>
                    </w:rPr>
                  </w:pPr>
                  <w:r>
                    <w:rPr>
                      <w:rFonts w:hint="eastAsia"/>
                      <w:szCs w:val="21"/>
                    </w:rPr>
                    <w:t>合格</w:t>
                  </w:r>
                  <w:r>
                    <w:rPr>
                      <w:szCs w:val="21"/>
                    </w:rPr>
                    <w:t>/</w:t>
                  </w:r>
                  <w:r>
                    <w:rPr>
                      <w:rFonts w:hint="eastAsia"/>
                      <w:szCs w:val="21"/>
                    </w:rPr>
                    <w:t>不合格</w:t>
                  </w:r>
                </w:p>
              </w:tc>
            </w:tr>
            <w:tr w14:paraId="5AD89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58613419">
                  <w:pPr>
                    <w:spacing w:line="400" w:lineRule="exact"/>
                    <w:jc w:val="center"/>
                    <w:rPr>
                      <w:rFonts w:hAnsi="宋体"/>
                    </w:rPr>
                  </w:pPr>
                  <w:r>
                    <w:rPr>
                      <w:rFonts w:hint="eastAsia" w:hAnsi="宋体"/>
                    </w:rPr>
                    <w:t>8</w:t>
                  </w:r>
                </w:p>
              </w:tc>
              <w:tc>
                <w:tcPr>
                  <w:tcW w:w="3010" w:type="dxa"/>
                  <w:tcBorders>
                    <w:top w:val="single" w:color="auto" w:sz="4" w:space="0"/>
                    <w:left w:val="single" w:color="auto" w:sz="4" w:space="0"/>
                    <w:bottom w:val="single" w:color="auto" w:sz="4" w:space="0"/>
                    <w:right w:val="single" w:color="auto" w:sz="4" w:space="0"/>
                  </w:tcBorders>
                  <w:vAlign w:val="center"/>
                </w:tcPr>
                <w:p w14:paraId="11DF99D6">
                  <w:pPr>
                    <w:jc w:val="center"/>
                    <w:rPr>
                      <w:szCs w:val="21"/>
                    </w:rPr>
                  </w:pPr>
                  <w:r>
                    <w:rPr>
                      <w:rFonts w:hint="eastAsia"/>
                    </w:rPr>
                    <w:t>质保期</w:t>
                  </w:r>
                </w:p>
              </w:tc>
              <w:tc>
                <w:tcPr>
                  <w:tcW w:w="2443" w:type="dxa"/>
                  <w:tcBorders>
                    <w:top w:val="single" w:color="auto" w:sz="4" w:space="0"/>
                    <w:left w:val="single" w:color="auto" w:sz="4" w:space="0"/>
                    <w:bottom w:val="single" w:color="auto" w:sz="4" w:space="0"/>
                    <w:right w:val="single" w:color="auto" w:sz="4" w:space="0"/>
                  </w:tcBorders>
                  <w:vAlign w:val="center"/>
                </w:tcPr>
                <w:p w14:paraId="5A557B9F">
                  <w:pPr>
                    <w:jc w:val="center"/>
                    <w:rPr>
                      <w:szCs w:val="21"/>
                    </w:rPr>
                  </w:pPr>
                  <w:r>
                    <w:rPr>
                      <w:rFonts w:hint="eastAsia"/>
                      <w:szCs w:val="21"/>
                    </w:rPr>
                    <w:t>合格</w:t>
                  </w:r>
                  <w:r>
                    <w:rPr>
                      <w:szCs w:val="21"/>
                    </w:rPr>
                    <w:t>/</w:t>
                  </w:r>
                  <w:r>
                    <w:rPr>
                      <w:rFonts w:hint="eastAsia"/>
                      <w:szCs w:val="21"/>
                    </w:rPr>
                    <w:t>不合格</w:t>
                  </w:r>
                </w:p>
              </w:tc>
            </w:tr>
            <w:tr w14:paraId="00E77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7D5E9F70">
                  <w:pPr>
                    <w:spacing w:line="400" w:lineRule="exact"/>
                    <w:jc w:val="center"/>
                    <w:rPr>
                      <w:rFonts w:hAnsi="宋体"/>
                    </w:rPr>
                  </w:pPr>
                  <w:r>
                    <w:rPr>
                      <w:rFonts w:hint="eastAsia" w:hAnsi="宋体"/>
                    </w:rPr>
                    <w:t>9</w:t>
                  </w:r>
                </w:p>
              </w:tc>
              <w:tc>
                <w:tcPr>
                  <w:tcW w:w="3010" w:type="dxa"/>
                  <w:tcBorders>
                    <w:top w:val="single" w:color="auto" w:sz="4" w:space="0"/>
                    <w:left w:val="single" w:color="auto" w:sz="4" w:space="0"/>
                    <w:bottom w:val="single" w:color="auto" w:sz="4" w:space="0"/>
                    <w:right w:val="single" w:color="auto" w:sz="4" w:space="0"/>
                  </w:tcBorders>
                  <w:vAlign w:val="center"/>
                </w:tcPr>
                <w:p w14:paraId="656683BF">
                  <w:pPr>
                    <w:jc w:val="center"/>
                    <w:rPr>
                      <w:rStyle w:val="40"/>
                      <w:bCs/>
                    </w:rPr>
                  </w:pPr>
                  <w:r>
                    <w:rPr>
                      <w:rFonts w:hint="eastAsia"/>
                    </w:rPr>
                    <w:t>售后服务</w:t>
                  </w:r>
                </w:p>
              </w:tc>
              <w:tc>
                <w:tcPr>
                  <w:tcW w:w="2443" w:type="dxa"/>
                  <w:tcBorders>
                    <w:top w:val="single" w:color="auto" w:sz="4" w:space="0"/>
                    <w:left w:val="single" w:color="auto" w:sz="4" w:space="0"/>
                    <w:bottom w:val="single" w:color="auto" w:sz="4" w:space="0"/>
                    <w:right w:val="single" w:color="auto" w:sz="4" w:space="0"/>
                  </w:tcBorders>
                  <w:vAlign w:val="center"/>
                </w:tcPr>
                <w:p w14:paraId="7F20CC97">
                  <w:pPr>
                    <w:jc w:val="center"/>
                    <w:rPr>
                      <w:szCs w:val="21"/>
                    </w:rPr>
                  </w:pPr>
                  <w:r>
                    <w:rPr>
                      <w:rFonts w:hint="eastAsia"/>
                      <w:szCs w:val="21"/>
                    </w:rPr>
                    <w:t>合格</w:t>
                  </w:r>
                  <w:r>
                    <w:rPr>
                      <w:szCs w:val="21"/>
                    </w:rPr>
                    <w:t>/</w:t>
                  </w:r>
                  <w:r>
                    <w:rPr>
                      <w:rFonts w:hint="eastAsia"/>
                      <w:szCs w:val="21"/>
                    </w:rPr>
                    <w:t>不合格</w:t>
                  </w:r>
                </w:p>
              </w:tc>
            </w:tr>
            <w:tr w14:paraId="4B886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19292247">
                  <w:pPr>
                    <w:spacing w:line="400" w:lineRule="exact"/>
                    <w:jc w:val="center"/>
                    <w:rPr>
                      <w:rFonts w:hAnsi="宋体"/>
                    </w:rPr>
                  </w:pPr>
                  <w:r>
                    <w:rPr>
                      <w:rFonts w:hint="eastAsia" w:hAnsi="宋体"/>
                    </w:rPr>
                    <w:t>10</w:t>
                  </w:r>
                </w:p>
              </w:tc>
              <w:tc>
                <w:tcPr>
                  <w:tcW w:w="3010" w:type="dxa"/>
                  <w:tcBorders>
                    <w:top w:val="single" w:color="auto" w:sz="4" w:space="0"/>
                    <w:left w:val="single" w:color="auto" w:sz="4" w:space="0"/>
                    <w:bottom w:val="single" w:color="auto" w:sz="4" w:space="0"/>
                    <w:right w:val="single" w:color="auto" w:sz="4" w:space="0"/>
                  </w:tcBorders>
                  <w:vAlign w:val="center"/>
                </w:tcPr>
                <w:p w14:paraId="6BE9D4BC">
                  <w:pPr>
                    <w:jc w:val="center"/>
                    <w:rPr>
                      <w:rStyle w:val="40"/>
                      <w:bCs/>
                    </w:rPr>
                  </w:pPr>
                  <w:r>
                    <w:rPr>
                      <w:rFonts w:hint="eastAsia"/>
                      <w:sz w:val="22"/>
                    </w:rPr>
                    <w:t>控制金额</w:t>
                  </w:r>
                </w:p>
              </w:tc>
              <w:tc>
                <w:tcPr>
                  <w:tcW w:w="2443" w:type="dxa"/>
                  <w:tcBorders>
                    <w:top w:val="single" w:color="auto" w:sz="4" w:space="0"/>
                    <w:left w:val="single" w:color="auto" w:sz="4" w:space="0"/>
                    <w:bottom w:val="single" w:color="auto" w:sz="4" w:space="0"/>
                    <w:right w:val="single" w:color="auto" w:sz="4" w:space="0"/>
                  </w:tcBorders>
                  <w:vAlign w:val="center"/>
                </w:tcPr>
                <w:p w14:paraId="10022CE9">
                  <w:pPr>
                    <w:jc w:val="center"/>
                    <w:rPr>
                      <w:szCs w:val="21"/>
                    </w:rPr>
                  </w:pPr>
                  <w:r>
                    <w:rPr>
                      <w:rFonts w:hint="eastAsia"/>
                      <w:szCs w:val="21"/>
                    </w:rPr>
                    <w:t>合格</w:t>
                  </w:r>
                  <w:r>
                    <w:rPr>
                      <w:szCs w:val="21"/>
                    </w:rPr>
                    <w:t>/</w:t>
                  </w:r>
                  <w:r>
                    <w:rPr>
                      <w:rFonts w:hint="eastAsia"/>
                      <w:szCs w:val="21"/>
                    </w:rPr>
                    <w:t>不合格</w:t>
                  </w:r>
                </w:p>
              </w:tc>
            </w:tr>
            <w:tr w14:paraId="4F3E5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2" w:type="dxa"/>
                  <w:tcBorders>
                    <w:top w:val="single" w:color="auto" w:sz="4" w:space="0"/>
                    <w:left w:val="single" w:color="auto" w:sz="4" w:space="0"/>
                    <w:bottom w:val="single" w:color="auto" w:sz="4" w:space="0"/>
                    <w:right w:val="single" w:color="auto" w:sz="4" w:space="0"/>
                  </w:tcBorders>
                  <w:vAlign w:val="center"/>
                </w:tcPr>
                <w:p w14:paraId="468B6279">
                  <w:pPr>
                    <w:spacing w:line="400" w:lineRule="exact"/>
                    <w:jc w:val="center"/>
                    <w:rPr>
                      <w:rFonts w:hAnsi="宋体"/>
                    </w:rPr>
                  </w:pPr>
                  <w:r>
                    <w:rPr>
                      <w:rFonts w:hint="eastAsia" w:hAnsi="宋体"/>
                    </w:rPr>
                    <w:t>结论</w:t>
                  </w:r>
                </w:p>
              </w:tc>
              <w:tc>
                <w:tcPr>
                  <w:tcW w:w="3010" w:type="dxa"/>
                  <w:tcBorders>
                    <w:top w:val="single" w:color="auto" w:sz="4" w:space="0"/>
                    <w:left w:val="single" w:color="auto" w:sz="4" w:space="0"/>
                    <w:bottom w:val="single" w:color="auto" w:sz="4" w:space="0"/>
                    <w:right w:val="single" w:color="auto" w:sz="4" w:space="0"/>
                  </w:tcBorders>
                  <w:vAlign w:val="center"/>
                </w:tcPr>
                <w:p w14:paraId="569EDAA1">
                  <w:pPr>
                    <w:jc w:val="center"/>
                    <w:rPr>
                      <w:sz w:val="22"/>
                    </w:rPr>
                  </w:pPr>
                </w:p>
              </w:tc>
              <w:tc>
                <w:tcPr>
                  <w:tcW w:w="2443" w:type="dxa"/>
                  <w:tcBorders>
                    <w:top w:val="single" w:color="auto" w:sz="4" w:space="0"/>
                    <w:left w:val="single" w:color="auto" w:sz="4" w:space="0"/>
                    <w:bottom w:val="single" w:color="auto" w:sz="4" w:space="0"/>
                    <w:right w:val="single" w:color="auto" w:sz="4" w:space="0"/>
                  </w:tcBorders>
                  <w:vAlign w:val="center"/>
                </w:tcPr>
                <w:p w14:paraId="3C7AE426">
                  <w:pPr>
                    <w:jc w:val="center"/>
                    <w:rPr>
                      <w:szCs w:val="21"/>
                    </w:rPr>
                  </w:pPr>
                  <w:r>
                    <w:rPr>
                      <w:rFonts w:hint="eastAsia"/>
                      <w:szCs w:val="21"/>
                    </w:rPr>
                    <w:t>合格</w:t>
                  </w:r>
                  <w:r>
                    <w:rPr>
                      <w:szCs w:val="21"/>
                    </w:rPr>
                    <w:t>/</w:t>
                  </w:r>
                  <w:r>
                    <w:rPr>
                      <w:rFonts w:hint="eastAsia"/>
                      <w:szCs w:val="21"/>
                    </w:rPr>
                    <w:t>不合格</w:t>
                  </w:r>
                </w:p>
              </w:tc>
            </w:tr>
          </w:tbl>
          <w:p w14:paraId="570BBEA1">
            <w:pPr>
              <w:spacing w:line="400" w:lineRule="exact"/>
              <w:rPr>
                <w:rStyle w:val="40"/>
                <w:bCs/>
              </w:rPr>
            </w:pPr>
          </w:p>
        </w:tc>
      </w:tr>
    </w:tbl>
    <w:p w14:paraId="5FB58113">
      <w:pPr>
        <w:rPr>
          <w:sz w:val="10"/>
          <w:szCs w:val="10"/>
        </w:rPr>
      </w:pPr>
    </w:p>
    <w:p w14:paraId="63B12FF2">
      <w:pPr>
        <w:rPr>
          <w:sz w:val="10"/>
          <w:szCs w:val="10"/>
        </w:rPr>
      </w:pPr>
    </w:p>
    <w:p w14:paraId="1AE5BD9C">
      <w:pPr>
        <w:rPr>
          <w:sz w:val="10"/>
          <w:szCs w:val="10"/>
        </w:rPr>
      </w:pPr>
    </w:p>
    <w:p w14:paraId="16A7589B">
      <w:pPr>
        <w:rPr>
          <w:sz w:val="10"/>
          <w:szCs w:val="10"/>
        </w:rPr>
      </w:pPr>
    </w:p>
    <w:p w14:paraId="1CB9AFE6">
      <w:pPr>
        <w:rPr>
          <w:sz w:val="10"/>
          <w:szCs w:val="10"/>
        </w:rPr>
      </w:pPr>
    </w:p>
    <w:tbl>
      <w:tblPr>
        <w:tblStyle w:val="21"/>
        <w:tblW w:w="8418" w:type="dxa"/>
        <w:tblInd w:w="0" w:type="dxa"/>
        <w:tblLayout w:type="fixed"/>
        <w:tblCellMar>
          <w:top w:w="0" w:type="dxa"/>
          <w:left w:w="108" w:type="dxa"/>
          <w:bottom w:w="0" w:type="dxa"/>
          <w:right w:w="108" w:type="dxa"/>
        </w:tblCellMar>
      </w:tblPr>
      <w:tblGrid>
        <w:gridCol w:w="1065"/>
        <w:gridCol w:w="7353"/>
      </w:tblGrid>
      <w:tr w14:paraId="42A21E47">
        <w:tblPrEx>
          <w:tblCellMar>
            <w:top w:w="0" w:type="dxa"/>
            <w:left w:w="108" w:type="dxa"/>
            <w:bottom w:w="0" w:type="dxa"/>
            <w:right w:w="108" w:type="dxa"/>
          </w:tblCellMar>
        </w:tblPrEx>
        <w:tc>
          <w:tcPr>
            <w:tcW w:w="1065" w:type="dxa"/>
          </w:tcPr>
          <w:p w14:paraId="29C52F5C">
            <w:pPr>
              <w:spacing w:line="400" w:lineRule="exact"/>
              <w:rPr>
                <w:color w:val="FF0000"/>
              </w:rPr>
            </w:pPr>
            <w:r>
              <w:rPr>
                <w:color w:val="FF0000"/>
              </w:rPr>
              <w:t>3.3</w:t>
            </w:r>
          </w:p>
        </w:tc>
        <w:tc>
          <w:tcPr>
            <w:tcW w:w="7353" w:type="dxa"/>
          </w:tcPr>
          <w:p w14:paraId="482303EA">
            <w:pPr>
              <w:numPr>
                <w:ilvl w:val="0"/>
                <w:numId w:val="0"/>
              </w:numPr>
              <w:spacing w:line="360" w:lineRule="auto"/>
              <w:rPr>
                <w:rFonts w:hint="default"/>
                <w:color w:val="auto"/>
                <w:highlight w:val="none"/>
                <w:lang w:val="en-US" w:eastAsia="zh-CN"/>
              </w:rPr>
            </w:pPr>
            <w:r>
              <w:rPr>
                <w:rFonts w:hint="eastAsia" w:ascii="宋体" w:hAnsi="宋体" w:eastAsia="宋体" w:cs="宋体"/>
                <w:b/>
                <w:color w:val="auto"/>
                <w:sz w:val="24"/>
                <w:highlight w:val="none"/>
                <w:lang w:val="en-US" w:eastAsia="zh-CN"/>
              </w:rPr>
              <w:t>详细评审</w:t>
            </w:r>
          </w:p>
          <w:p w14:paraId="52F99451">
            <w:pPr>
              <w:spacing w:line="400" w:lineRule="exact"/>
              <w:ind w:leftChars="-507" w:hanging="1064" w:hangingChars="507"/>
              <w:rPr>
                <w:bCs/>
                <w:color w:val="FF0000"/>
              </w:rPr>
            </w:pPr>
          </w:p>
        </w:tc>
      </w:tr>
    </w:tbl>
    <w:p w14:paraId="0AE6C925">
      <w:pPr>
        <w:rPr>
          <w:color w:val="FF0000"/>
          <w:sz w:val="10"/>
          <w:szCs w:val="10"/>
        </w:rPr>
      </w:pPr>
    </w:p>
    <w:tbl>
      <w:tblPr>
        <w:tblStyle w:val="21"/>
        <w:tblW w:w="4984"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022"/>
        <w:gridCol w:w="1311"/>
        <w:gridCol w:w="6169"/>
      </w:tblGrid>
      <w:tr w14:paraId="6BA299D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Align w:val="center"/>
          </w:tcPr>
          <w:p w14:paraId="185AEADD">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4399" w:type="pct"/>
            <w:gridSpan w:val="2"/>
            <w:vAlign w:val="center"/>
          </w:tcPr>
          <w:p w14:paraId="0BD40589">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1ED0A09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Align w:val="center"/>
          </w:tcPr>
          <w:p w14:paraId="606F9B16">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分值构成</w:t>
            </w:r>
          </w:p>
        </w:tc>
        <w:tc>
          <w:tcPr>
            <w:tcW w:w="4399" w:type="pct"/>
            <w:gridSpan w:val="2"/>
            <w:vAlign w:val="center"/>
          </w:tcPr>
          <w:p w14:paraId="177BDC8C">
            <w:pPr>
              <w:keepNext w:val="0"/>
              <w:keepLines w:val="0"/>
              <w:pageBreakBefore w:val="0"/>
              <w:widowControl w:val="0"/>
              <w:kinsoku/>
              <w:wordWrap/>
              <w:overflowPunct/>
              <w:topLinePunct w:val="0"/>
              <w:autoSpaceDE/>
              <w:autoSpaceDN/>
              <w:bidi w:val="0"/>
              <w:spacing w:line="288"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技术部分</w:t>
            </w:r>
            <w:r>
              <w:rPr>
                <w:rFonts w:hint="eastAsia" w:ascii="宋体" w:hAnsi="宋体" w:eastAsia="宋体" w:cs="宋体"/>
                <w:color w:val="auto"/>
                <w:sz w:val="21"/>
                <w:szCs w:val="21"/>
                <w:highlight w:val="none"/>
                <w:lang w:val="en-US" w:eastAsia="zh-CN"/>
              </w:rPr>
              <w:t>25</w:t>
            </w:r>
            <w:r>
              <w:rPr>
                <w:rFonts w:hint="eastAsia" w:ascii="宋体" w:hAnsi="宋体" w:eastAsia="宋体" w:cs="宋体"/>
                <w:color w:val="auto"/>
                <w:sz w:val="21"/>
                <w:szCs w:val="21"/>
                <w:highlight w:val="none"/>
              </w:rPr>
              <w:t>.0分</w:t>
            </w:r>
          </w:p>
          <w:p w14:paraId="26B33AB4">
            <w:pPr>
              <w:keepNext w:val="0"/>
              <w:keepLines w:val="0"/>
              <w:pageBreakBefore w:val="0"/>
              <w:widowControl w:val="0"/>
              <w:kinsoku/>
              <w:wordWrap/>
              <w:overflowPunct/>
              <w:topLinePunct w:val="0"/>
              <w:autoSpaceDE/>
              <w:autoSpaceDN/>
              <w:bidi w:val="0"/>
              <w:spacing w:line="288"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商务部分</w:t>
            </w:r>
            <w:r>
              <w:rPr>
                <w:rFonts w:hint="eastAsia" w:ascii="宋体" w:hAnsi="宋体" w:eastAsia="宋体" w:cs="宋体"/>
                <w:color w:val="auto"/>
                <w:sz w:val="21"/>
                <w:szCs w:val="21"/>
                <w:highlight w:val="none"/>
                <w:lang w:val="en-US" w:eastAsia="zh-CN"/>
              </w:rPr>
              <w:t>25</w:t>
            </w:r>
            <w:r>
              <w:rPr>
                <w:rFonts w:hint="eastAsia" w:ascii="宋体" w:hAnsi="宋体" w:eastAsia="宋体" w:cs="宋体"/>
                <w:color w:val="auto"/>
                <w:sz w:val="21"/>
                <w:szCs w:val="21"/>
                <w:highlight w:val="none"/>
              </w:rPr>
              <w:t>.0分</w:t>
            </w:r>
          </w:p>
          <w:p w14:paraId="40BE464A">
            <w:pPr>
              <w:keepNext w:val="0"/>
              <w:keepLines w:val="0"/>
              <w:pageBreakBefore w:val="0"/>
              <w:widowControl w:val="0"/>
              <w:kinsoku/>
              <w:wordWrap/>
              <w:overflowPunct/>
              <w:topLinePunct w:val="0"/>
              <w:autoSpaceDE/>
              <w:autoSpaceDN/>
              <w:bidi w:val="0"/>
              <w:spacing w:line="288"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报价得分</w:t>
            </w:r>
            <w:r>
              <w:rPr>
                <w:rFonts w:hint="eastAsia" w:ascii="宋体" w:hAnsi="宋体" w:eastAsia="宋体" w:cs="宋体"/>
                <w:color w:val="auto"/>
                <w:sz w:val="21"/>
                <w:szCs w:val="21"/>
                <w:highlight w:val="none"/>
                <w:lang w:val="en-US" w:eastAsia="zh-CN"/>
              </w:rPr>
              <w:t>50</w:t>
            </w:r>
            <w:r>
              <w:rPr>
                <w:rFonts w:hint="eastAsia" w:ascii="宋体" w:hAnsi="宋体" w:eastAsia="宋体" w:cs="宋体"/>
                <w:color w:val="auto"/>
                <w:sz w:val="21"/>
                <w:szCs w:val="21"/>
                <w:highlight w:val="none"/>
              </w:rPr>
              <w:t>.0分</w:t>
            </w:r>
          </w:p>
        </w:tc>
      </w:tr>
      <w:tr w14:paraId="7E55F8B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restart"/>
            <w:vAlign w:val="center"/>
          </w:tcPr>
          <w:p w14:paraId="106BDD4F">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技术部分</w:t>
            </w:r>
          </w:p>
        </w:tc>
        <w:tc>
          <w:tcPr>
            <w:tcW w:w="770" w:type="pct"/>
            <w:vAlign w:val="center"/>
          </w:tcPr>
          <w:p w14:paraId="59327727">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cs="Arial"/>
                <w:color w:val="auto"/>
                <w:sz w:val="21"/>
                <w:szCs w:val="21"/>
                <w:highlight w:val="none"/>
              </w:rPr>
              <w:t>基本材质和物理特性分</w:t>
            </w:r>
            <w:r>
              <w:rPr>
                <w:rFonts w:hint="eastAsia"/>
                <w:color w:val="auto"/>
                <w:sz w:val="21"/>
                <w:szCs w:val="21"/>
                <w:highlight w:val="none"/>
                <w:lang w:eastAsia="zh-CN"/>
              </w:rPr>
              <w:t>（</w:t>
            </w:r>
            <w:r>
              <w:rPr>
                <w:rFonts w:hint="eastAsia"/>
                <w:color w:val="auto"/>
                <w:sz w:val="21"/>
                <w:szCs w:val="21"/>
                <w:highlight w:val="none"/>
                <w:lang w:val="en-US" w:eastAsia="zh-CN"/>
              </w:rPr>
              <w:t>8.0分</w:t>
            </w:r>
            <w:r>
              <w:rPr>
                <w:rFonts w:hint="eastAsia"/>
                <w:color w:val="auto"/>
                <w:sz w:val="21"/>
                <w:szCs w:val="21"/>
                <w:highlight w:val="none"/>
                <w:lang w:eastAsia="zh-CN"/>
              </w:rPr>
              <w:t>）</w:t>
            </w:r>
          </w:p>
        </w:tc>
        <w:tc>
          <w:tcPr>
            <w:tcW w:w="3628" w:type="pct"/>
            <w:vAlign w:val="top"/>
          </w:tcPr>
          <w:p w14:paraId="1EAED3D2">
            <w:pPr>
              <w:keepNext w:val="0"/>
              <w:keepLines w:val="0"/>
              <w:pageBreakBefore w:val="0"/>
              <w:widowControl w:val="0"/>
              <w:numPr>
                <w:ilvl w:val="0"/>
                <w:numId w:val="0"/>
              </w:numPr>
              <w:kinsoku/>
              <w:wordWrap/>
              <w:overflowPunct/>
              <w:topLinePunct w:val="0"/>
              <w:autoSpaceDE/>
              <w:autoSpaceDN/>
              <w:bidi w:val="0"/>
              <w:spacing w:line="288" w:lineRule="auto"/>
              <w:ind w:left="0" w:leftChars="0" w:firstLine="0" w:firstLineChars="0"/>
              <w:jc w:val="left"/>
              <w:textAlignment w:val="auto"/>
              <w:rPr>
                <w:rFonts w:hint="default" w:ascii="宋体" w:hAnsi="宋体" w:eastAsia="宋体" w:cs="宋体"/>
                <w:color w:val="auto"/>
                <w:sz w:val="21"/>
                <w:szCs w:val="21"/>
                <w:highlight w:val="none"/>
                <w:lang w:val="en-US"/>
              </w:rPr>
            </w:pPr>
            <w:r>
              <w:rPr>
                <w:rFonts w:ascii="宋体" w:hAnsi="宋体" w:eastAsia="宋体" w:cs="宋体"/>
                <w:kern w:val="0"/>
                <w:sz w:val="21"/>
                <w:szCs w:val="21"/>
                <w:lang w:val="en-US" w:eastAsia="zh-CN" w:bidi="ar"/>
              </w:rPr>
              <w:t>根据投标人提供的医疗废物周转桶</w:t>
            </w:r>
            <w:r>
              <w:rPr>
                <w:rStyle w:val="24"/>
                <w:rFonts w:ascii="宋体" w:hAnsi="宋体" w:eastAsia="宋体" w:cs="宋体"/>
                <w:kern w:val="0"/>
                <w:sz w:val="21"/>
                <w:szCs w:val="21"/>
                <w:lang w:val="en-US" w:eastAsia="zh-CN" w:bidi="ar"/>
              </w:rPr>
              <w:t>核心技术指标</w:t>
            </w:r>
            <w:r>
              <w:rPr>
                <w:rFonts w:ascii="宋体" w:hAnsi="宋体" w:eastAsia="宋体" w:cs="宋体"/>
                <w:kern w:val="0"/>
                <w:sz w:val="21"/>
                <w:szCs w:val="21"/>
                <w:lang w:val="en-US" w:eastAsia="zh-CN" w:bidi="ar"/>
              </w:rPr>
              <w:t>进行评审，选取以下 4 项关键指标分别从高到低排序，计算平均排名：1. HDPE 原材料性能指标（密度、拉伸屈服强度、断裂伸长率）2. 产品总重量（含全部配件）3. 桶身及桶口壁厚参数4. 核心物理性能（跌落、堆码、密封、耐穿刺综合指标）平均排名第一名得 8 分，第二名得 6 分，第三名得 4 分，第四名得 2 分，第五名及以后得 1 分。排名相同的，以</w:t>
            </w:r>
            <w:r>
              <w:rPr>
                <w:rStyle w:val="24"/>
                <w:rFonts w:ascii="宋体" w:hAnsi="宋体" w:eastAsia="宋体" w:cs="宋体"/>
                <w:kern w:val="0"/>
                <w:sz w:val="21"/>
                <w:szCs w:val="21"/>
                <w:lang w:val="en-US" w:eastAsia="zh-CN" w:bidi="ar"/>
              </w:rPr>
              <w:t>HDPE 原材料拉伸屈服强度</w:t>
            </w:r>
            <w:r>
              <w:rPr>
                <w:rFonts w:ascii="宋体" w:hAnsi="宋体" w:eastAsia="宋体" w:cs="宋体"/>
                <w:kern w:val="0"/>
                <w:sz w:val="21"/>
                <w:szCs w:val="21"/>
                <w:lang w:val="en-US" w:eastAsia="zh-CN" w:bidi="ar"/>
              </w:rPr>
              <w:t>高低确定先后顺序。</w:t>
            </w:r>
          </w:p>
        </w:tc>
      </w:tr>
      <w:tr w14:paraId="28C7C3F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continue"/>
            <w:vAlign w:val="center"/>
          </w:tcPr>
          <w:p w14:paraId="249D3709">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7E4C3063">
            <w:pPr>
              <w:keepNext w:val="0"/>
              <w:keepLines w:val="0"/>
              <w:pageBreakBefore w:val="0"/>
              <w:widowControl w:val="0"/>
              <w:kinsoku/>
              <w:wordWrap/>
              <w:overflowPunct/>
              <w:topLinePunct w:val="0"/>
              <w:autoSpaceDE/>
              <w:autoSpaceDN/>
              <w:bidi w:val="0"/>
              <w:spacing w:line="288" w:lineRule="auto"/>
              <w:jc w:val="center"/>
              <w:textAlignment w:val="auto"/>
              <w:rPr>
                <w:rFonts w:ascii="宋体" w:hAnsi="宋体" w:cs="Arial"/>
                <w:color w:val="auto"/>
                <w:sz w:val="21"/>
                <w:szCs w:val="21"/>
                <w:highlight w:val="none"/>
              </w:rPr>
            </w:pPr>
            <w:r>
              <w:rPr>
                <w:rFonts w:hint="eastAsia" w:ascii="宋体" w:hAnsi="宋体" w:cs="Arial"/>
                <w:color w:val="auto"/>
                <w:sz w:val="21"/>
                <w:szCs w:val="21"/>
                <w:highlight w:val="none"/>
              </w:rPr>
              <w:t>技术方案</w:t>
            </w:r>
          </w:p>
          <w:p w14:paraId="23B93D64">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ascii="宋体" w:hAnsi="宋体" w:cs="Arial"/>
                <w:color w:val="auto"/>
                <w:sz w:val="21"/>
                <w:szCs w:val="21"/>
                <w:highlight w:val="none"/>
              </w:rPr>
              <w:t>(</w:t>
            </w:r>
            <w:r>
              <w:rPr>
                <w:rFonts w:hint="eastAsia" w:ascii="宋体" w:hAnsi="宋体" w:cs="Arial"/>
                <w:color w:val="auto"/>
                <w:sz w:val="21"/>
                <w:szCs w:val="21"/>
                <w:highlight w:val="none"/>
                <w:lang w:val="en-US" w:eastAsia="zh-CN"/>
              </w:rPr>
              <w:t>12.0</w:t>
            </w:r>
            <w:r>
              <w:rPr>
                <w:rFonts w:ascii="宋体" w:hAnsi="宋体" w:cs="Arial"/>
                <w:color w:val="auto"/>
                <w:sz w:val="21"/>
                <w:szCs w:val="21"/>
                <w:highlight w:val="none"/>
              </w:rPr>
              <w:t>分</w:t>
            </w:r>
            <w:r>
              <w:rPr>
                <w:rFonts w:hint="eastAsia" w:ascii="宋体" w:hAnsi="宋体" w:cs="Arial"/>
                <w:color w:val="auto"/>
                <w:sz w:val="21"/>
                <w:szCs w:val="21"/>
                <w:highlight w:val="none"/>
                <w:lang w:eastAsia="zh-CN"/>
              </w:rPr>
              <w:t>）</w:t>
            </w:r>
          </w:p>
        </w:tc>
        <w:tc>
          <w:tcPr>
            <w:tcW w:w="3628" w:type="pct"/>
            <w:vAlign w:val="top"/>
          </w:tcPr>
          <w:p w14:paraId="7515683F">
            <w:pPr>
              <w:keepNext w:val="0"/>
              <w:keepLines w:val="0"/>
              <w:pageBreakBefore w:val="0"/>
              <w:widowControl w:val="0"/>
              <w:numPr>
                <w:ilvl w:val="0"/>
                <w:numId w:val="0"/>
              </w:numPr>
              <w:kinsoku/>
              <w:wordWrap/>
              <w:overflowPunct/>
              <w:topLinePunct w:val="0"/>
              <w:autoSpaceDE/>
              <w:autoSpaceDN/>
              <w:bidi w:val="0"/>
              <w:spacing w:line="288" w:lineRule="auto"/>
              <w:jc w:val="left"/>
              <w:textAlignment w:val="auto"/>
              <w:rPr>
                <w:rFonts w:hint="eastAsia" w:ascii="宋体" w:hAnsi="宋体" w:eastAsia="宋体" w:cs="宋体"/>
                <w:color w:val="auto"/>
                <w:sz w:val="21"/>
                <w:szCs w:val="21"/>
                <w:highlight w:val="none"/>
              </w:rPr>
            </w:pPr>
            <w:r>
              <w:rPr>
                <w:rFonts w:ascii="宋体" w:hAnsi="宋体" w:eastAsia="宋体" w:cs="宋体"/>
                <w:kern w:val="0"/>
                <w:sz w:val="21"/>
                <w:szCs w:val="21"/>
                <w:lang w:val="en-US" w:eastAsia="zh-CN" w:bidi="ar"/>
              </w:rPr>
              <w:t>根据投标人的以下内容进行综合比较排名：1. 生产团队专业水平及技术力量配置2. 产品生产工艺及全过程质量控制体系3. 供货进度保障方案（含样品测试、批量生产、物流配送计划）4. 对招标文件所有技术要求的响应程度及优化建议第一名得 12 分，第二名得 10 分，第三名得 8 分，第四名得 5 分，第五名及以后不得分。</w:t>
            </w:r>
          </w:p>
        </w:tc>
      </w:tr>
      <w:tr w14:paraId="59C6CD9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continue"/>
            <w:vAlign w:val="center"/>
          </w:tcPr>
          <w:p w14:paraId="45BE945A">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7930D70F">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cs="Arial"/>
                <w:color w:val="auto"/>
                <w:sz w:val="21"/>
                <w:szCs w:val="21"/>
                <w:highlight w:val="none"/>
              </w:rPr>
              <w:t>售后维护方案</w:t>
            </w:r>
            <w:r>
              <w:rPr>
                <w:color w:val="auto"/>
                <w:sz w:val="21"/>
                <w:szCs w:val="21"/>
                <w:highlight w:val="none"/>
              </w:rPr>
              <w:t xml:space="preserve"> </w:t>
            </w:r>
            <w:r>
              <w:rPr>
                <w:rFonts w:hint="eastAsia"/>
                <w:color w:val="auto"/>
                <w:sz w:val="21"/>
                <w:szCs w:val="21"/>
                <w:highlight w:val="none"/>
                <w:lang w:eastAsia="zh-CN"/>
              </w:rPr>
              <w:t>（</w:t>
            </w:r>
            <w:r>
              <w:rPr>
                <w:rFonts w:hint="eastAsia"/>
                <w:color w:val="auto"/>
                <w:sz w:val="21"/>
                <w:szCs w:val="21"/>
                <w:highlight w:val="none"/>
                <w:lang w:val="en-US" w:eastAsia="zh-CN"/>
              </w:rPr>
              <w:t>5.</w:t>
            </w:r>
            <w:r>
              <w:rPr>
                <w:color w:val="auto"/>
                <w:sz w:val="21"/>
                <w:szCs w:val="21"/>
                <w:highlight w:val="none"/>
              </w:rPr>
              <w:t>0分</w:t>
            </w:r>
            <w:r>
              <w:rPr>
                <w:rFonts w:hint="eastAsia"/>
                <w:color w:val="auto"/>
                <w:sz w:val="21"/>
                <w:szCs w:val="21"/>
                <w:highlight w:val="none"/>
                <w:lang w:eastAsia="zh-CN"/>
              </w:rPr>
              <w:t>）</w:t>
            </w:r>
          </w:p>
        </w:tc>
        <w:tc>
          <w:tcPr>
            <w:tcW w:w="3628" w:type="pct"/>
            <w:vAlign w:val="top"/>
          </w:tcPr>
          <w:p w14:paraId="489A7731">
            <w:pPr>
              <w:keepNext w:val="0"/>
              <w:keepLines w:val="0"/>
              <w:pageBreakBefore w:val="0"/>
              <w:widowControl w:val="0"/>
              <w:numPr>
                <w:ilvl w:val="0"/>
                <w:numId w:val="0"/>
              </w:numPr>
              <w:kinsoku/>
              <w:wordWrap/>
              <w:overflowPunct/>
              <w:topLinePunct w:val="0"/>
              <w:autoSpaceDE/>
              <w:autoSpaceDN/>
              <w:bidi w:val="0"/>
              <w:spacing w:line="288" w:lineRule="auto"/>
              <w:ind w:left="0" w:leftChars="0" w:firstLine="420" w:firstLineChars="200"/>
              <w:jc w:val="left"/>
              <w:textAlignment w:val="auto"/>
              <w:rPr>
                <w:rFonts w:hint="eastAsia" w:ascii="宋体" w:hAnsi="宋体" w:eastAsia="宋体" w:cs="宋体"/>
                <w:color w:val="auto"/>
                <w:sz w:val="21"/>
                <w:szCs w:val="21"/>
                <w:highlight w:val="none"/>
              </w:rPr>
            </w:pPr>
            <w:r>
              <w:rPr>
                <w:rFonts w:ascii="宋体" w:hAnsi="宋体" w:eastAsia="宋体" w:cs="宋体"/>
                <w:kern w:val="0"/>
                <w:sz w:val="21"/>
                <w:szCs w:val="21"/>
                <w:lang w:val="en-US" w:eastAsia="zh-CN" w:bidi="ar"/>
              </w:rPr>
              <w:t>评委根据售后服务方案的完整性、可行性独立评审：</w:t>
            </w:r>
            <w:r>
              <w:rPr>
                <w:rFonts w:hint="eastAsia" w:ascii="宋体" w:hAnsi="宋体" w:eastAsia="宋体" w:cs="宋体"/>
                <w:kern w:val="0"/>
                <w:sz w:val="21"/>
                <w:szCs w:val="21"/>
                <w:lang w:val="en-US" w:eastAsia="zh-CN" w:bidi="ar"/>
              </w:rPr>
              <w:t>1.</w:t>
            </w:r>
            <w:r>
              <w:rPr>
                <w:rStyle w:val="24"/>
                <w:rFonts w:ascii="宋体" w:hAnsi="宋体" w:eastAsia="宋体" w:cs="宋体"/>
                <w:b w:val="0"/>
                <w:bCs/>
                <w:kern w:val="0"/>
                <w:sz w:val="21"/>
                <w:szCs w:val="21"/>
                <w:lang w:val="en-US" w:eastAsia="zh-CN" w:bidi="ar"/>
              </w:rPr>
              <w:t>优（5 分）</w:t>
            </w:r>
            <w:r>
              <w:rPr>
                <w:rFonts w:ascii="宋体" w:hAnsi="宋体" w:eastAsia="宋体" w:cs="宋体"/>
                <w:kern w:val="0"/>
                <w:sz w:val="21"/>
                <w:szCs w:val="21"/>
                <w:lang w:val="en-US" w:eastAsia="zh-CN" w:bidi="ar"/>
              </w:rPr>
              <w:t>：有明确完整的服务计划，包含 7×24 小时热线、4 小时电话响应、48 小时现场到达、备品备件储备（≥200 个）、免费送件上门、操作培训等全部内容，并针对本项目提出额外可行的优惠服务承诺。</w:t>
            </w:r>
            <w:r>
              <w:rPr>
                <w:rFonts w:hint="eastAsia" w:ascii="宋体" w:hAnsi="宋体" w:eastAsia="宋体" w:cs="宋体"/>
                <w:kern w:val="0"/>
                <w:sz w:val="21"/>
                <w:szCs w:val="21"/>
                <w:lang w:val="en-US" w:eastAsia="zh-CN" w:bidi="ar"/>
              </w:rPr>
              <w:t>2.</w:t>
            </w:r>
            <w:r>
              <w:rPr>
                <w:rStyle w:val="24"/>
                <w:rFonts w:ascii="宋体" w:hAnsi="宋体" w:eastAsia="宋体" w:cs="宋体"/>
                <w:b w:val="0"/>
                <w:bCs/>
                <w:kern w:val="0"/>
                <w:sz w:val="21"/>
                <w:szCs w:val="21"/>
                <w:lang w:val="en-US" w:eastAsia="zh-CN" w:bidi="ar"/>
              </w:rPr>
              <w:t>良（3 分）</w:t>
            </w:r>
            <w:r>
              <w:rPr>
                <w:rFonts w:ascii="宋体" w:hAnsi="宋体" w:eastAsia="宋体" w:cs="宋体"/>
                <w:kern w:val="0"/>
                <w:sz w:val="21"/>
                <w:szCs w:val="21"/>
                <w:lang w:val="en-US" w:eastAsia="zh-CN" w:bidi="ar"/>
              </w:rPr>
              <w:t>：有较好的服务计划，包含基本响应时间、故障解决方案及主要售后服务内容。</w:t>
            </w:r>
            <w:r>
              <w:rPr>
                <w:rFonts w:hint="eastAsia" w:ascii="宋体" w:hAnsi="宋体" w:eastAsia="宋体" w:cs="宋体"/>
                <w:kern w:val="0"/>
                <w:sz w:val="21"/>
                <w:szCs w:val="21"/>
                <w:lang w:val="en-US" w:eastAsia="zh-CN" w:bidi="ar"/>
              </w:rPr>
              <w:t>3.</w:t>
            </w:r>
            <w:r>
              <w:rPr>
                <w:rStyle w:val="24"/>
                <w:rFonts w:ascii="宋体" w:hAnsi="宋体" w:eastAsia="宋体" w:cs="宋体"/>
                <w:b w:val="0"/>
                <w:bCs/>
                <w:kern w:val="0"/>
                <w:sz w:val="21"/>
                <w:szCs w:val="21"/>
                <w:lang w:val="en-US" w:eastAsia="zh-CN" w:bidi="ar"/>
              </w:rPr>
              <w:t>中（1 分）</w:t>
            </w:r>
            <w:r>
              <w:rPr>
                <w:rFonts w:ascii="宋体" w:hAnsi="宋体" w:eastAsia="宋体" w:cs="宋体"/>
                <w:kern w:val="0"/>
                <w:sz w:val="21"/>
                <w:szCs w:val="21"/>
                <w:lang w:val="en-US" w:eastAsia="zh-CN" w:bidi="ar"/>
              </w:rPr>
              <w:t>：有服务计划，明确了响应时间和基本故障解决方案。</w:t>
            </w:r>
            <w:r>
              <w:rPr>
                <w:rFonts w:hint="eastAsia" w:ascii="宋体" w:hAnsi="宋体" w:eastAsia="宋体" w:cs="宋体"/>
                <w:kern w:val="0"/>
                <w:sz w:val="21"/>
                <w:szCs w:val="21"/>
                <w:lang w:val="en-US" w:eastAsia="zh-CN" w:bidi="ar"/>
              </w:rPr>
              <w:t>4.</w:t>
            </w:r>
            <w:r>
              <w:rPr>
                <w:rStyle w:val="24"/>
                <w:rFonts w:ascii="宋体" w:hAnsi="宋体" w:eastAsia="宋体" w:cs="宋体"/>
                <w:kern w:val="0"/>
                <w:sz w:val="21"/>
                <w:szCs w:val="21"/>
                <w:lang w:val="en-US" w:eastAsia="zh-CN" w:bidi="ar"/>
              </w:rPr>
              <w:t>一</w:t>
            </w:r>
            <w:r>
              <w:rPr>
                <w:rStyle w:val="24"/>
                <w:rFonts w:ascii="宋体" w:hAnsi="宋体" w:eastAsia="宋体" w:cs="宋体"/>
                <w:b w:val="0"/>
                <w:bCs/>
                <w:kern w:val="0"/>
                <w:sz w:val="21"/>
                <w:szCs w:val="21"/>
                <w:lang w:val="en-US" w:eastAsia="zh-CN" w:bidi="ar"/>
              </w:rPr>
              <w:t>般（0.5 分）</w:t>
            </w:r>
            <w:r>
              <w:rPr>
                <w:rFonts w:ascii="宋体" w:hAnsi="宋体" w:eastAsia="宋体" w:cs="宋体"/>
                <w:kern w:val="0"/>
                <w:sz w:val="21"/>
                <w:szCs w:val="21"/>
                <w:lang w:val="en-US" w:eastAsia="zh-CN" w:bidi="ar"/>
              </w:rPr>
              <w:t>：有简单服务计划，内容基本可行。</w:t>
            </w:r>
          </w:p>
        </w:tc>
      </w:tr>
      <w:tr w14:paraId="3C8F01B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restart"/>
            <w:vAlign w:val="center"/>
          </w:tcPr>
          <w:p w14:paraId="35278B48">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商务部分</w:t>
            </w:r>
          </w:p>
        </w:tc>
        <w:tc>
          <w:tcPr>
            <w:tcW w:w="770" w:type="pct"/>
            <w:vAlign w:val="center"/>
          </w:tcPr>
          <w:p w14:paraId="5E50E65B">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企业管理体系认证 </w:t>
            </w:r>
          </w:p>
          <w:p w14:paraId="3E840054">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2.0分</w:t>
            </w:r>
            <w:r>
              <w:rPr>
                <w:rFonts w:hint="eastAsia" w:ascii="宋体" w:hAnsi="宋体" w:eastAsia="宋体" w:cs="宋体"/>
                <w:color w:val="auto"/>
                <w:sz w:val="21"/>
                <w:szCs w:val="21"/>
                <w:highlight w:val="none"/>
                <w:lang w:eastAsia="zh-CN"/>
              </w:rPr>
              <w:t>）</w:t>
            </w:r>
          </w:p>
        </w:tc>
        <w:tc>
          <w:tcPr>
            <w:tcW w:w="3628" w:type="pct"/>
            <w:vAlign w:val="center"/>
          </w:tcPr>
          <w:p w14:paraId="7D24660D">
            <w:r>
              <w:rPr>
                <w:rFonts w:ascii="宋体" w:hAnsi="宋体" w:eastAsia="宋体" w:cs="宋体"/>
                <w:kern w:val="0"/>
                <w:sz w:val="21"/>
                <w:szCs w:val="21"/>
                <w:lang w:val="en-US" w:eastAsia="zh-CN" w:bidi="ar"/>
              </w:rPr>
              <w:t>投标人同时具备有效期内的以下认证证书，每个得 1 分，本项最高得 2 分：1. 质量管理体系认证（ISO9001）2. 环境管理体系认证（ISO14001）3. 职业健康安全管理体系认证（ISO45001）</w:t>
            </w:r>
          </w:p>
          <w:p w14:paraId="6F137AC5">
            <w:r>
              <w:rPr>
                <w:rFonts w:ascii="宋体" w:hAnsi="宋体" w:eastAsia="宋体" w:cs="宋体"/>
                <w:kern w:val="0"/>
                <w:sz w:val="21"/>
                <w:szCs w:val="21"/>
                <w:lang w:val="en-US" w:eastAsia="zh-CN" w:bidi="ar"/>
              </w:rPr>
              <w:t>提供认证证书复印件及</w:t>
            </w:r>
            <w:r>
              <w:rPr>
                <w:rStyle w:val="24"/>
                <w:rFonts w:ascii="宋体" w:hAnsi="宋体" w:eastAsia="宋体" w:cs="宋体"/>
                <w:kern w:val="0"/>
                <w:sz w:val="21"/>
                <w:szCs w:val="21"/>
                <w:lang w:val="en-US" w:eastAsia="zh-CN" w:bidi="ar"/>
              </w:rPr>
              <w:t>国家认证认可监督管理委员会（</w:t>
            </w:r>
            <w:r>
              <w:rPr>
                <w:rStyle w:val="24"/>
                <w:rFonts w:ascii="宋体" w:hAnsi="宋体" w:eastAsia="宋体" w:cs="宋体"/>
                <w:kern w:val="0"/>
                <w:sz w:val="21"/>
                <w:szCs w:val="21"/>
                <w:lang w:val="en-US" w:eastAsia="zh-CN" w:bidi="ar"/>
              </w:rPr>
              <w:fldChar w:fldCharType="begin"/>
            </w:r>
            <w:r>
              <w:rPr>
                <w:rStyle w:val="24"/>
                <w:rFonts w:ascii="宋体" w:hAnsi="宋体" w:eastAsia="宋体" w:cs="宋体"/>
                <w:kern w:val="0"/>
                <w:sz w:val="21"/>
                <w:szCs w:val="21"/>
                <w:lang w:val="en-US" w:eastAsia="zh-CN" w:bidi="ar"/>
              </w:rPr>
              <w:instrText xml:space="preserve"> HYPERLINK "https://www.cnca.gov.cn/" \t "_blank" </w:instrText>
            </w:r>
            <w:r>
              <w:rPr>
                <w:rStyle w:val="24"/>
                <w:rFonts w:ascii="宋体" w:hAnsi="宋体" w:eastAsia="宋体" w:cs="宋体"/>
                <w:kern w:val="0"/>
                <w:sz w:val="21"/>
                <w:szCs w:val="21"/>
                <w:lang w:val="en-US" w:eastAsia="zh-CN" w:bidi="ar"/>
              </w:rPr>
              <w:fldChar w:fldCharType="separate"/>
            </w:r>
            <w:r>
              <w:rPr>
                <w:rStyle w:val="27"/>
                <w:rFonts w:ascii="宋体" w:hAnsi="宋体" w:eastAsia="宋体" w:cs="宋体"/>
                <w:sz w:val="21"/>
                <w:szCs w:val="21"/>
              </w:rPr>
              <w:t>www.cnca.gov.cn</w:t>
            </w:r>
            <w:r>
              <w:rPr>
                <w:rStyle w:val="24"/>
                <w:rFonts w:ascii="宋体" w:hAnsi="宋体" w:eastAsia="宋体" w:cs="宋体"/>
                <w:kern w:val="0"/>
                <w:sz w:val="21"/>
                <w:szCs w:val="21"/>
                <w:lang w:val="en-US" w:eastAsia="zh-CN" w:bidi="ar"/>
              </w:rPr>
              <w:fldChar w:fldCharType="end"/>
            </w:r>
            <w:r>
              <w:rPr>
                <w:rStyle w:val="24"/>
                <w:rFonts w:ascii="宋体" w:hAnsi="宋体" w:eastAsia="宋体" w:cs="宋体"/>
                <w:kern w:val="0"/>
                <w:sz w:val="21"/>
                <w:szCs w:val="21"/>
                <w:lang w:val="en-US" w:eastAsia="zh-CN" w:bidi="ar"/>
              </w:rPr>
              <w:t>）</w:t>
            </w:r>
            <w:r>
              <w:rPr>
                <w:rFonts w:ascii="宋体" w:hAnsi="宋体" w:eastAsia="宋体" w:cs="宋体"/>
                <w:kern w:val="0"/>
                <w:sz w:val="21"/>
                <w:szCs w:val="21"/>
                <w:lang w:val="en-US" w:eastAsia="zh-CN" w:bidi="ar"/>
              </w:rPr>
              <w:t xml:space="preserve"> 查询截图，未提供或不清晰不得分</w:t>
            </w:r>
            <w:r>
              <w:rPr>
                <w:rFonts w:hint="eastAsia" w:ascii="宋体" w:hAnsi="宋体" w:eastAsia="宋体" w:cs="宋体"/>
                <w:kern w:val="0"/>
                <w:sz w:val="21"/>
                <w:szCs w:val="21"/>
                <w:lang w:val="en-US" w:eastAsia="zh-CN" w:bidi="ar"/>
              </w:rPr>
              <w:t>。</w:t>
            </w:r>
          </w:p>
          <w:p w14:paraId="1DF10DEE">
            <w:pPr>
              <w:keepNext w:val="0"/>
              <w:keepLines w:val="0"/>
              <w:pageBreakBefore w:val="0"/>
              <w:widowControl w:val="0"/>
              <w:kinsoku/>
              <w:wordWrap/>
              <w:overflowPunct/>
              <w:topLinePunct w:val="0"/>
              <w:autoSpaceDE/>
              <w:autoSpaceDN/>
              <w:bidi w:val="0"/>
              <w:spacing w:line="288" w:lineRule="auto"/>
              <w:textAlignment w:val="auto"/>
              <w:rPr>
                <w:rFonts w:hint="eastAsia" w:ascii="宋体" w:hAnsi="宋体" w:eastAsia="宋体" w:cs="宋体"/>
                <w:color w:val="auto"/>
                <w:sz w:val="21"/>
                <w:szCs w:val="21"/>
                <w:highlight w:val="none"/>
              </w:rPr>
            </w:pPr>
          </w:p>
        </w:tc>
      </w:tr>
      <w:tr w14:paraId="0E934A2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continue"/>
            <w:vAlign w:val="center"/>
          </w:tcPr>
          <w:p w14:paraId="18E77426">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40A52B09">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同类业绩</w:t>
            </w:r>
          </w:p>
          <w:p w14:paraId="132B7C46">
            <w:pPr>
              <w:keepNext w:val="0"/>
              <w:keepLines w:val="0"/>
              <w:pageBreakBefore w:val="0"/>
              <w:widowControl w:val="0"/>
              <w:kinsoku/>
              <w:wordWrap/>
              <w:overflowPunct/>
              <w:topLinePunct w:val="0"/>
              <w:autoSpaceDE/>
              <w:autoSpaceDN/>
              <w:bidi w:val="0"/>
              <w:spacing w:line="288" w:lineRule="auto"/>
              <w:jc w:val="center"/>
              <w:textAlignment w:val="auto"/>
              <w:rPr>
                <w:rFonts w:hint="eastAsia" w:ascii="Times New Roman" w:hAnsi="Times New Roman" w:eastAsia="宋体" w:cs="Times New Roman"/>
                <w:snapToGrid w:val="0"/>
                <w:color w:val="auto"/>
                <w:kern w:val="0"/>
                <w:sz w:val="21"/>
                <w:szCs w:val="21"/>
                <w:highlight w:val="none"/>
              </w:rPr>
            </w:pPr>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val="en-US" w:eastAsia="zh-CN"/>
              </w:rPr>
              <w:t>10.0</w:t>
            </w:r>
            <w:r>
              <w:rPr>
                <w:rFonts w:hint="eastAsia" w:ascii="宋体" w:hAnsi="宋体" w:eastAsia="宋体" w:cs="宋体"/>
                <w:color w:val="auto"/>
                <w:sz w:val="21"/>
                <w:szCs w:val="21"/>
                <w:highlight w:val="none"/>
              </w:rPr>
              <w:t>)</w:t>
            </w:r>
          </w:p>
        </w:tc>
        <w:tc>
          <w:tcPr>
            <w:tcW w:w="3628" w:type="pct"/>
            <w:vAlign w:val="center"/>
          </w:tcPr>
          <w:p w14:paraId="418665DB">
            <w:pPr>
              <w:keepNext w:val="0"/>
              <w:keepLines w:val="0"/>
              <w:widowControl/>
              <w:suppressLineNumbers w:val="0"/>
              <w:spacing w:before="0" w:beforeAutospacing="0" w:after="60" w:afterAutospacing="0"/>
              <w:ind w:left="0" w:right="0"/>
              <w:jc w:val="left"/>
              <w:rPr>
                <w:rFonts w:hint="default" w:ascii="宋体" w:hAnsi="宋体"/>
                <w:snapToGrid w:val="0"/>
              </w:rPr>
            </w:pPr>
            <w:r>
              <w:rPr>
                <w:rFonts w:hint="eastAsia" w:ascii="宋体" w:hAnsi="宋体"/>
                <w:snapToGrid w:val="0"/>
              </w:rPr>
              <w:t>投标人20</w:t>
            </w:r>
            <w:r>
              <w:rPr>
                <w:rFonts w:hint="eastAsia" w:ascii="宋体" w:hAnsi="宋体"/>
                <w:snapToGrid w:val="0"/>
                <w:lang w:val="en-US" w:eastAsia="zh-CN"/>
              </w:rPr>
              <w:t>23—</w:t>
            </w:r>
            <w:r>
              <w:rPr>
                <w:rFonts w:hint="eastAsia" w:ascii="宋体" w:hAnsi="宋体"/>
                <w:snapToGrid w:val="0"/>
              </w:rPr>
              <w:t>202</w:t>
            </w:r>
            <w:r>
              <w:rPr>
                <w:rFonts w:hint="eastAsia" w:ascii="宋体" w:hAnsi="宋体"/>
                <w:snapToGrid w:val="0"/>
                <w:lang w:val="en-US" w:eastAsia="zh-CN"/>
              </w:rPr>
              <w:t>5</w:t>
            </w:r>
            <w:r>
              <w:rPr>
                <w:rFonts w:hint="eastAsia" w:ascii="宋体" w:hAnsi="宋体"/>
                <w:snapToGrid w:val="0"/>
              </w:rPr>
              <w:t>年完成</w:t>
            </w:r>
            <w:r>
              <w:rPr>
                <w:rFonts w:hint="eastAsia" w:ascii="宋体" w:hAnsi="宋体"/>
                <w:snapToGrid w:val="0"/>
                <w:lang w:val="en-US" w:eastAsia="zh-CN"/>
              </w:rPr>
              <w:t>医疗</w:t>
            </w:r>
            <w:r>
              <w:rPr>
                <w:rFonts w:hint="eastAsia" w:ascii="宋体" w:hAnsi="宋体"/>
                <w:snapToGrid w:val="0"/>
              </w:rPr>
              <w:t>废物</w:t>
            </w:r>
            <w:r>
              <w:rPr>
                <w:rFonts w:hint="eastAsia" w:ascii="宋体" w:hAnsi="宋体"/>
                <w:snapToGrid w:val="0"/>
                <w:lang w:val="en-US" w:eastAsia="zh-CN"/>
              </w:rPr>
              <w:t>周转桶供货项目，合同</w:t>
            </w:r>
            <w:r>
              <w:rPr>
                <w:rFonts w:hint="eastAsia" w:ascii="宋体" w:hAnsi="宋体"/>
                <w:snapToGrid w:val="0"/>
              </w:rPr>
              <w:t>金额不低于本次招标</w:t>
            </w:r>
            <w:r>
              <w:rPr>
                <w:rFonts w:hint="eastAsia" w:ascii="宋体" w:hAnsi="宋体"/>
                <w:snapToGrid w:val="0"/>
                <w:lang w:val="en-US" w:eastAsia="zh-CN"/>
              </w:rPr>
              <w:t>金</w:t>
            </w:r>
            <w:r>
              <w:rPr>
                <w:rFonts w:hint="eastAsia" w:ascii="宋体" w:hAnsi="宋体"/>
                <w:snapToGrid w:val="0"/>
              </w:rPr>
              <w:t>额</w:t>
            </w:r>
            <w:r>
              <w:rPr>
                <w:rFonts w:hint="eastAsia" w:ascii="宋体" w:hAnsi="宋体"/>
                <w:snapToGrid w:val="0"/>
                <w:lang w:eastAsia="zh-CN"/>
              </w:rPr>
              <w:t>。</w:t>
            </w:r>
            <w:r>
              <w:rPr>
                <w:rFonts w:ascii="宋体" w:hAnsi="宋体" w:eastAsia="宋体" w:cs="宋体"/>
                <w:kern w:val="0"/>
                <w:sz w:val="21"/>
                <w:szCs w:val="21"/>
                <w:lang w:val="en-US" w:eastAsia="zh-CN" w:bidi="ar"/>
              </w:rPr>
              <w:t>1. 单个合同金额≥96 万元的纯供货项目，每个得 2 分，最高得 6 分2. 单个合同同时包含供货、现场验收、技术培训及售后服务的完整项目，每个再加 2 分，最高得 4 分本项累计最高得 10 分，同一项目不重复计分。</w:t>
            </w:r>
          </w:p>
          <w:p w14:paraId="5593A99E">
            <w:pPr>
              <w:keepNext w:val="0"/>
              <w:keepLines w:val="0"/>
              <w:pageBreakBefore w:val="0"/>
              <w:widowControl w:val="0"/>
              <w:numPr>
                <w:ilvl w:val="0"/>
                <w:numId w:val="0"/>
              </w:numPr>
              <w:kinsoku/>
              <w:wordWrap/>
              <w:overflowPunct/>
              <w:topLinePunct w:val="0"/>
              <w:autoSpaceDE/>
              <w:autoSpaceDN/>
              <w:bidi w:val="0"/>
              <w:spacing w:line="288" w:lineRule="auto"/>
              <w:ind w:left="0" w:leftChars="0" w:firstLine="0" w:firstLineChars="0"/>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ascii="宋体" w:hAnsi="宋体"/>
                <w:snapToGrid w:val="0"/>
              </w:rPr>
              <w:t>（提供项目中标通知书或合同关键页复印件，原件备查。未按要求提供或资料未能显示本评分准则要求的不得分）</w:t>
            </w:r>
          </w:p>
        </w:tc>
      </w:tr>
      <w:tr w14:paraId="3D17B5A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continue"/>
            <w:vAlign w:val="center"/>
          </w:tcPr>
          <w:p w14:paraId="1B4334EF">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2480EE9E">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lang w:eastAsia="zh-CN"/>
              </w:rPr>
            </w:pPr>
            <w:r>
              <w:rPr>
                <w:rFonts w:hint="eastAsia" w:ascii="Times New Roman" w:hAnsi="Times New Roman" w:eastAsia="宋体" w:cs="Times New Roman"/>
                <w:snapToGrid w:val="0"/>
                <w:color w:val="auto"/>
                <w:kern w:val="0"/>
                <w:sz w:val="21"/>
                <w:szCs w:val="21"/>
                <w:highlight w:val="none"/>
              </w:rPr>
              <w:t>质保期</w:t>
            </w:r>
            <w:r>
              <w:rPr>
                <w:rFonts w:hint="eastAsia"/>
                <w:snapToGrid w:val="0"/>
                <w:color w:val="auto"/>
                <w:kern w:val="0"/>
                <w:sz w:val="21"/>
                <w:szCs w:val="21"/>
                <w:highlight w:val="none"/>
                <w:lang w:eastAsia="zh-CN"/>
              </w:rPr>
              <w:t>（</w:t>
            </w:r>
            <w:r>
              <w:rPr>
                <w:rFonts w:hint="eastAsia"/>
                <w:snapToGrid w:val="0"/>
                <w:color w:val="auto"/>
                <w:kern w:val="0"/>
                <w:sz w:val="21"/>
                <w:szCs w:val="21"/>
                <w:highlight w:val="none"/>
                <w:lang w:val="en-US" w:eastAsia="zh-CN"/>
              </w:rPr>
              <w:t>3.0分）</w:t>
            </w:r>
          </w:p>
        </w:tc>
        <w:tc>
          <w:tcPr>
            <w:tcW w:w="3628" w:type="pct"/>
            <w:vAlign w:val="center"/>
          </w:tcPr>
          <w:p w14:paraId="4408A9D4">
            <w:pPr>
              <w:keepNext w:val="0"/>
              <w:keepLines w:val="0"/>
              <w:pageBreakBefore w:val="0"/>
              <w:widowControl w:val="0"/>
              <w:kinsoku/>
              <w:wordWrap/>
              <w:overflowPunct/>
              <w:topLinePunct w:val="0"/>
              <w:autoSpaceDE/>
              <w:autoSpaceDN/>
              <w:bidi w:val="0"/>
              <w:adjustRightInd w:val="0"/>
              <w:snapToGrid w:val="0"/>
              <w:spacing w:line="288" w:lineRule="auto"/>
              <w:jc w:val="left"/>
              <w:textAlignment w:val="auto"/>
              <w:rPr>
                <w:rFonts w:hint="eastAsia" w:ascii="Times New Roman" w:hAnsi="Times New Roman" w:eastAsia="宋体" w:cs="Times New Roman"/>
                <w:snapToGrid w:val="0"/>
                <w:color w:val="auto"/>
                <w:kern w:val="0"/>
                <w:sz w:val="21"/>
                <w:szCs w:val="21"/>
                <w:highlight w:val="none"/>
              </w:rPr>
            </w:pPr>
            <w:r>
              <w:rPr>
                <w:rFonts w:hint="eastAsia" w:ascii="Times New Roman" w:hAnsi="Times New Roman" w:eastAsia="宋体" w:cs="Times New Roman"/>
                <w:snapToGrid w:val="0"/>
                <w:color w:val="auto"/>
                <w:kern w:val="0"/>
                <w:sz w:val="21"/>
                <w:szCs w:val="21"/>
                <w:highlight w:val="none"/>
              </w:rPr>
              <w:t>质保期：</w:t>
            </w:r>
          </w:p>
          <w:p w14:paraId="63FD9008">
            <w:pPr>
              <w:keepNext w:val="0"/>
              <w:keepLines w:val="0"/>
              <w:pageBreakBefore w:val="0"/>
              <w:widowControl w:val="0"/>
              <w:numPr>
                <w:ilvl w:val="0"/>
                <w:numId w:val="0"/>
              </w:numPr>
              <w:kinsoku/>
              <w:wordWrap/>
              <w:overflowPunct/>
              <w:topLinePunct w:val="0"/>
              <w:autoSpaceDE/>
              <w:autoSpaceDN/>
              <w:bidi w:val="0"/>
              <w:spacing w:line="288" w:lineRule="auto"/>
              <w:ind w:left="0" w:leftChars="0" w:firstLine="0" w:firstLineChars="0"/>
              <w:textAlignment w:val="auto"/>
              <w:rPr>
                <w:rFonts w:hint="eastAsia" w:ascii="宋体" w:hAnsi="宋体" w:eastAsia="宋体" w:cs="宋体"/>
                <w:color w:val="auto"/>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承诺</w:t>
            </w:r>
            <w:r>
              <w:rPr>
                <w:rFonts w:hint="eastAsia" w:ascii="Times New Roman" w:hAnsi="Times New Roman" w:eastAsia="宋体" w:cs="Times New Roman"/>
                <w:snapToGrid w:val="0"/>
                <w:color w:val="auto"/>
                <w:kern w:val="0"/>
                <w:sz w:val="21"/>
                <w:szCs w:val="21"/>
                <w:highlight w:val="none"/>
              </w:rPr>
              <w:t>质保期1年（含1年）的，得</w:t>
            </w:r>
            <w:r>
              <w:rPr>
                <w:rFonts w:hint="eastAsia" w:ascii="Times New Roman" w:hAnsi="Times New Roman" w:eastAsia="宋体" w:cs="Times New Roman"/>
                <w:snapToGrid w:val="0"/>
                <w:color w:val="auto"/>
                <w:kern w:val="0"/>
                <w:sz w:val="21"/>
                <w:szCs w:val="21"/>
                <w:highlight w:val="none"/>
                <w:lang w:val="en-US" w:eastAsia="zh-CN"/>
              </w:rPr>
              <w:t>1</w:t>
            </w:r>
            <w:r>
              <w:rPr>
                <w:rFonts w:hint="eastAsia" w:ascii="Times New Roman" w:hAnsi="Times New Roman" w:eastAsia="宋体" w:cs="Times New Roman"/>
                <w:snapToGrid w:val="0"/>
                <w:color w:val="auto"/>
                <w:kern w:val="0"/>
                <w:sz w:val="21"/>
                <w:szCs w:val="21"/>
                <w:highlight w:val="none"/>
              </w:rPr>
              <w:t>分；质保期1.5</w:t>
            </w:r>
            <w:r>
              <w:rPr>
                <w:rFonts w:hint="eastAsia" w:ascii="Times New Roman" w:hAnsi="Times New Roman" w:eastAsia="宋体" w:cs="Times New Roman"/>
                <w:snapToGrid w:val="0"/>
                <w:color w:val="auto"/>
                <w:kern w:val="0"/>
                <w:sz w:val="21"/>
                <w:szCs w:val="21"/>
                <w:highlight w:val="none"/>
                <w:lang w:val="en-US" w:eastAsia="zh-CN"/>
              </w:rPr>
              <w:t>年</w:t>
            </w:r>
            <w:r>
              <w:rPr>
                <w:rFonts w:hint="eastAsia" w:ascii="Times New Roman" w:hAnsi="Times New Roman" w:eastAsia="宋体" w:cs="Times New Roman"/>
                <w:snapToGrid w:val="0"/>
                <w:color w:val="auto"/>
                <w:kern w:val="0"/>
                <w:sz w:val="21"/>
                <w:szCs w:val="21"/>
                <w:highlight w:val="none"/>
              </w:rPr>
              <w:t>，得</w:t>
            </w:r>
            <w:r>
              <w:rPr>
                <w:rFonts w:hint="eastAsia" w:ascii="Times New Roman" w:hAnsi="Times New Roman" w:eastAsia="宋体" w:cs="Times New Roman"/>
                <w:snapToGrid w:val="0"/>
                <w:color w:val="auto"/>
                <w:kern w:val="0"/>
                <w:sz w:val="21"/>
                <w:szCs w:val="21"/>
                <w:highlight w:val="none"/>
                <w:lang w:val="en-US" w:eastAsia="zh-CN"/>
              </w:rPr>
              <w:t>2</w:t>
            </w:r>
            <w:r>
              <w:rPr>
                <w:rFonts w:hint="eastAsia" w:ascii="Times New Roman" w:hAnsi="Times New Roman" w:eastAsia="宋体" w:cs="Times New Roman"/>
                <w:snapToGrid w:val="0"/>
                <w:color w:val="auto"/>
                <w:kern w:val="0"/>
                <w:sz w:val="21"/>
                <w:szCs w:val="21"/>
                <w:highlight w:val="none"/>
              </w:rPr>
              <w:t>分；质保期2年，得</w:t>
            </w:r>
            <w:r>
              <w:rPr>
                <w:rFonts w:hint="eastAsia" w:ascii="Times New Roman" w:hAnsi="Times New Roman" w:eastAsia="宋体" w:cs="Times New Roman"/>
                <w:snapToGrid w:val="0"/>
                <w:color w:val="auto"/>
                <w:kern w:val="0"/>
                <w:sz w:val="21"/>
                <w:szCs w:val="21"/>
                <w:highlight w:val="none"/>
                <w:lang w:val="en-US" w:eastAsia="zh-CN"/>
              </w:rPr>
              <w:t>3</w:t>
            </w:r>
            <w:r>
              <w:rPr>
                <w:rFonts w:hint="eastAsia" w:ascii="Times New Roman" w:hAnsi="Times New Roman" w:eastAsia="宋体" w:cs="Times New Roman"/>
                <w:snapToGrid w:val="0"/>
                <w:color w:val="auto"/>
                <w:kern w:val="0"/>
                <w:sz w:val="21"/>
                <w:szCs w:val="21"/>
                <w:highlight w:val="none"/>
              </w:rPr>
              <w:t>分</w:t>
            </w:r>
            <w:r>
              <w:rPr>
                <w:rFonts w:hint="eastAsia" w:ascii="Times New Roman" w:hAnsi="Times New Roman" w:eastAsia="宋体" w:cs="Times New Roman"/>
                <w:snapToGrid w:val="0"/>
                <w:color w:val="auto"/>
                <w:kern w:val="0"/>
                <w:sz w:val="21"/>
                <w:szCs w:val="21"/>
                <w:highlight w:val="none"/>
                <w:lang w:eastAsia="zh-CN"/>
              </w:rPr>
              <w:t>。</w:t>
            </w:r>
          </w:p>
        </w:tc>
      </w:tr>
      <w:tr w14:paraId="2D48BCE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Merge w:val="continue"/>
            <w:vAlign w:val="center"/>
          </w:tcPr>
          <w:p w14:paraId="11567753">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7D97038B">
            <w:pPr>
              <w:keepNext w:val="0"/>
              <w:keepLines w:val="0"/>
              <w:pageBreakBefore w:val="0"/>
              <w:widowControl w:val="0"/>
              <w:kinsoku/>
              <w:wordWrap/>
              <w:overflowPunct/>
              <w:topLinePunct w:val="0"/>
              <w:autoSpaceDE/>
              <w:autoSpaceDN/>
              <w:bidi w:val="0"/>
              <w:spacing w:line="288" w:lineRule="auto"/>
              <w:jc w:val="center"/>
              <w:textAlignment w:val="auto"/>
              <w:rPr>
                <w:rFonts w:hint="default" w:ascii="Times New Roman" w:hAnsi="Times New Roman" w:eastAsia="宋体" w:cs="Times New Roman"/>
                <w:snapToGrid w:val="0"/>
                <w:color w:val="auto"/>
                <w:kern w:val="0"/>
                <w:sz w:val="21"/>
                <w:szCs w:val="21"/>
                <w:highlight w:val="none"/>
                <w:lang w:val="en-US"/>
              </w:rPr>
            </w:pPr>
            <w:r>
              <w:rPr>
                <w:rFonts w:hint="eastAsia" w:ascii="宋体" w:hAnsi="宋体"/>
                <w:color w:val="000000"/>
                <w:szCs w:val="21"/>
                <w:highlight w:val="none"/>
                <w:lang w:val="en-US" w:eastAsia="zh-CN"/>
              </w:rPr>
              <w:t>企业信用等级（5.0分）</w:t>
            </w:r>
          </w:p>
        </w:tc>
        <w:tc>
          <w:tcPr>
            <w:tcW w:w="3628" w:type="pct"/>
            <w:vAlign w:val="center"/>
          </w:tcPr>
          <w:p w14:paraId="12BAAEA9">
            <w:pPr>
              <w:keepNext w:val="0"/>
              <w:keepLines w:val="0"/>
              <w:pageBreakBefore w:val="0"/>
              <w:widowControl w:val="0"/>
              <w:numPr>
                <w:ilvl w:val="0"/>
                <w:numId w:val="0"/>
              </w:numPr>
              <w:kinsoku/>
              <w:wordWrap/>
              <w:overflowPunct/>
              <w:topLinePunct w:val="0"/>
              <w:autoSpaceDE/>
              <w:autoSpaceDN/>
              <w:bidi w:val="0"/>
              <w:spacing w:line="288" w:lineRule="auto"/>
              <w:ind w:left="0" w:leftChars="0" w:firstLine="0" w:firstLineChars="0"/>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投标人获得企业信用等级证书为AAA得5分，等级为AA得3分，等级为A得1分，未提供有效证明文件的不得分。</w:t>
            </w:r>
          </w:p>
          <w:p w14:paraId="015A3668">
            <w:pPr>
              <w:keepNext w:val="0"/>
              <w:keepLines w:val="0"/>
              <w:pageBreakBefore w:val="0"/>
              <w:widowControl w:val="0"/>
              <w:numPr>
                <w:ilvl w:val="0"/>
                <w:numId w:val="0"/>
              </w:numPr>
              <w:kinsoku/>
              <w:wordWrap/>
              <w:overflowPunct/>
              <w:topLinePunct w:val="0"/>
              <w:autoSpaceDE/>
              <w:autoSpaceDN/>
              <w:bidi w:val="0"/>
              <w:spacing w:line="288" w:lineRule="auto"/>
              <w:ind w:left="0" w:leftChars="0" w:firstLine="0" w:firstLineChars="0"/>
              <w:textAlignment w:val="auto"/>
              <w:rPr>
                <w:rFonts w:hint="eastAsia" w:ascii="Times New Roman" w:hAnsi="Times New Roman" w:eastAsia="宋体" w:cs="Times New Roman"/>
                <w:snapToGrid w:val="0"/>
                <w:color w:val="auto"/>
                <w:kern w:val="0"/>
                <w:sz w:val="21"/>
                <w:szCs w:val="21"/>
                <w:highlight w:val="none"/>
                <w:lang w:val="en-US" w:eastAsia="zh-CN"/>
              </w:rPr>
            </w:pPr>
            <w:r>
              <w:rPr>
                <w:rFonts w:hint="eastAsia" w:ascii="Times New Roman" w:hAnsi="Times New Roman" w:eastAsia="宋体" w:cs="Times New Roman"/>
                <w:snapToGrid w:val="0"/>
                <w:color w:val="auto"/>
                <w:kern w:val="0"/>
                <w:sz w:val="21"/>
                <w:szCs w:val="21"/>
                <w:highlight w:val="none"/>
                <w:lang w:val="en-US" w:eastAsia="zh-CN"/>
              </w:rPr>
              <w:t>投标人需提供有效的证明文件扫描件。</w:t>
            </w:r>
          </w:p>
        </w:tc>
      </w:tr>
      <w:tr w14:paraId="458E6C6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976" w:hRule="atLeast"/>
        </w:trPr>
        <w:tc>
          <w:tcPr>
            <w:tcW w:w="600" w:type="pct"/>
            <w:vMerge w:val="continue"/>
            <w:vAlign w:val="center"/>
          </w:tcPr>
          <w:p w14:paraId="67CA2E09">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p>
        </w:tc>
        <w:tc>
          <w:tcPr>
            <w:tcW w:w="770" w:type="pct"/>
            <w:vAlign w:val="center"/>
          </w:tcPr>
          <w:p w14:paraId="2A6B719D">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企业实力</w:t>
            </w:r>
          </w:p>
          <w:p w14:paraId="06FAA438">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5.0分）</w:t>
            </w:r>
          </w:p>
        </w:tc>
        <w:tc>
          <w:tcPr>
            <w:tcW w:w="3628" w:type="pct"/>
            <w:vAlign w:val="center"/>
          </w:tcPr>
          <w:p w14:paraId="60EF0BAC">
            <w:pPr>
              <w:keepNext w:val="0"/>
              <w:keepLines w:val="0"/>
              <w:pageBreakBefore w:val="0"/>
              <w:widowControl w:val="0"/>
              <w:kinsoku/>
              <w:wordWrap/>
              <w:overflowPunct/>
              <w:topLinePunct w:val="0"/>
              <w:autoSpaceDE/>
              <w:autoSpaceDN/>
              <w:bidi w:val="0"/>
              <w:spacing w:line="288" w:lineRule="auto"/>
              <w:textAlignment w:val="auto"/>
              <w:rPr>
                <w:rFonts w:hint="eastAsia" w:ascii="宋体" w:hAnsi="宋体" w:eastAsia="宋体" w:cs="宋体"/>
                <w:color w:val="auto"/>
                <w:sz w:val="21"/>
                <w:szCs w:val="21"/>
                <w:highlight w:val="none"/>
                <w:lang w:val="en-US" w:eastAsia="zh-CN"/>
              </w:rPr>
            </w:pPr>
            <w:r>
              <w:rPr>
                <w:rFonts w:ascii="宋体" w:hAnsi="宋体" w:eastAsia="宋体" w:cs="宋体"/>
                <w:kern w:val="0"/>
                <w:sz w:val="21"/>
                <w:szCs w:val="21"/>
                <w:lang w:val="en-US" w:eastAsia="zh-CN" w:bidi="ar"/>
              </w:rPr>
              <w:t>至投标截止时间，投标人具有与</w:t>
            </w:r>
            <w:r>
              <w:rPr>
                <w:rStyle w:val="24"/>
                <w:rFonts w:ascii="宋体" w:hAnsi="宋体" w:eastAsia="宋体" w:cs="宋体"/>
                <w:kern w:val="0"/>
                <w:sz w:val="21"/>
                <w:szCs w:val="21"/>
                <w:lang w:val="en-US" w:eastAsia="zh-CN" w:bidi="ar"/>
              </w:rPr>
              <w:t>医疗废物周转桶产品相关</w:t>
            </w:r>
            <w:r>
              <w:rPr>
                <w:rFonts w:ascii="宋体" w:hAnsi="宋体" w:eastAsia="宋体" w:cs="宋体"/>
                <w:kern w:val="0"/>
                <w:sz w:val="21"/>
                <w:szCs w:val="21"/>
                <w:lang w:val="en-US" w:eastAsia="zh-CN" w:bidi="ar"/>
              </w:rPr>
              <w:t>的专利证书：・发明专利证书：每提供 1 个得 1.5 分・实用新型专利证书：每提供 1 个得 1.0 分本项最高得 5 分。</w:t>
            </w:r>
            <w:r>
              <w:rPr>
                <w:rFonts w:hint="eastAsia" w:ascii="宋体" w:hAnsi="宋体" w:eastAsia="宋体" w:cs="宋体"/>
                <w:color w:val="auto"/>
                <w:sz w:val="21"/>
                <w:szCs w:val="21"/>
                <w:highlight w:val="none"/>
                <w:lang w:val="en-US" w:eastAsia="zh-CN"/>
              </w:rPr>
              <w:t xml:space="preserve">评分说明：同时提供专利证书复印件和国家知识产权局网站 </w:t>
            </w:r>
          </w:p>
          <w:p w14:paraId="22311953">
            <w:pPr>
              <w:keepNext w:val="0"/>
              <w:keepLines w:val="0"/>
              <w:pageBreakBefore w:val="0"/>
              <w:widowControl w:val="0"/>
              <w:kinsoku/>
              <w:wordWrap/>
              <w:overflowPunct/>
              <w:topLinePunct w:val="0"/>
              <w:autoSpaceDE/>
              <w:autoSpaceDN/>
              <w:bidi w:val="0"/>
              <w:spacing w:line="288" w:lineRule="auto"/>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（http://www.cnipa.gov.cn/）查询结果的网页截图作为证明材料，缺少不得分。</w:t>
            </w:r>
          </w:p>
        </w:tc>
      </w:tr>
      <w:tr w14:paraId="7C35B94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7" w:hRule="atLeast"/>
        </w:trPr>
        <w:tc>
          <w:tcPr>
            <w:tcW w:w="600" w:type="pct"/>
            <w:vAlign w:val="center"/>
          </w:tcPr>
          <w:p w14:paraId="6B41C884">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投标报价</w:t>
            </w:r>
          </w:p>
        </w:tc>
        <w:tc>
          <w:tcPr>
            <w:tcW w:w="770" w:type="pct"/>
            <w:vAlign w:val="center"/>
          </w:tcPr>
          <w:p w14:paraId="25CABA38">
            <w:pPr>
              <w:keepNext w:val="0"/>
              <w:keepLines w:val="0"/>
              <w:pageBreakBefore w:val="0"/>
              <w:widowControl w:val="0"/>
              <w:kinsoku/>
              <w:wordWrap/>
              <w:overflowPunct/>
              <w:topLinePunct w:val="0"/>
              <w:autoSpaceDE/>
              <w:autoSpaceDN/>
              <w:bidi w:val="0"/>
              <w:spacing w:line="288"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投标报价得分 </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50</w:t>
            </w:r>
            <w:r>
              <w:rPr>
                <w:rFonts w:hint="eastAsia" w:ascii="宋体" w:hAnsi="宋体" w:eastAsia="宋体" w:cs="宋体"/>
                <w:color w:val="auto"/>
                <w:sz w:val="21"/>
                <w:szCs w:val="21"/>
                <w:highlight w:val="none"/>
              </w:rPr>
              <w:t>.0分</w:t>
            </w:r>
            <w:r>
              <w:rPr>
                <w:rFonts w:hint="eastAsia" w:ascii="宋体" w:hAnsi="宋体" w:eastAsia="宋体" w:cs="宋体"/>
                <w:color w:val="auto"/>
                <w:sz w:val="21"/>
                <w:szCs w:val="21"/>
                <w:highlight w:val="none"/>
                <w:lang w:eastAsia="zh-CN"/>
              </w:rPr>
              <w:t>）</w:t>
            </w:r>
          </w:p>
        </w:tc>
        <w:tc>
          <w:tcPr>
            <w:tcW w:w="3628" w:type="pct"/>
            <w:vAlign w:val="center"/>
          </w:tcPr>
          <w:p w14:paraId="22DB2773">
            <w:pPr>
              <w:keepNext w:val="0"/>
              <w:keepLines w:val="0"/>
              <w:pageBreakBefore w:val="0"/>
              <w:widowControl w:val="0"/>
              <w:kinsoku/>
              <w:wordWrap/>
              <w:overflowPunct/>
              <w:topLinePunct w:val="0"/>
              <w:autoSpaceDE/>
              <w:autoSpaceDN/>
              <w:bidi w:val="0"/>
              <w:spacing w:line="288" w:lineRule="auto"/>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投标人以本项目基准价（固定单价）为基础，以基准价得分</w:t>
            </w:r>
            <w:r>
              <w:rPr>
                <w:rFonts w:hint="eastAsia" w:ascii="宋体" w:hAnsi="宋体" w:eastAsia="宋体" w:cs="宋体"/>
                <w:color w:val="auto"/>
                <w:sz w:val="21"/>
                <w:szCs w:val="21"/>
                <w:highlight w:val="none"/>
                <w:lang w:val="en-US" w:eastAsia="zh-CN"/>
              </w:rPr>
              <w:t>35</w:t>
            </w:r>
            <w:r>
              <w:rPr>
                <w:rFonts w:hint="eastAsia" w:ascii="宋体" w:hAnsi="宋体" w:eastAsia="宋体" w:cs="宋体"/>
                <w:color w:val="auto"/>
                <w:sz w:val="21"/>
                <w:szCs w:val="21"/>
                <w:highlight w:val="none"/>
              </w:rPr>
              <w:t>分计，整体价格按比例下浮，整体价格每下浮0.5%，得分增加1分，本项目最高得分50分。</w:t>
            </w:r>
          </w:p>
        </w:tc>
      </w:tr>
    </w:tbl>
    <w:p w14:paraId="2984ACB6">
      <w:pPr>
        <w:rPr>
          <w:color w:val="FF0000"/>
          <w:sz w:val="10"/>
          <w:szCs w:val="10"/>
        </w:rPr>
      </w:pPr>
    </w:p>
    <w:p w14:paraId="204DDF5C">
      <w:pPr>
        <w:spacing w:line="400" w:lineRule="exact"/>
        <w:rPr>
          <w:color w:val="auto"/>
        </w:rPr>
      </w:pPr>
    </w:p>
    <w:p w14:paraId="67FED93D">
      <w:pPr>
        <w:autoSpaceDN w:val="0"/>
        <w:adjustRightInd w:val="0"/>
        <w:snapToGrid w:val="0"/>
        <w:jc w:val="left"/>
        <w:rPr>
          <w:rFonts w:ascii="宋体" w:hAnsi="宋体"/>
          <w:b/>
          <w:color w:val="auto"/>
          <w:sz w:val="22"/>
        </w:rPr>
      </w:pPr>
      <w:r>
        <w:rPr>
          <w:color w:val="auto"/>
        </w:rPr>
        <w:t>3.</w:t>
      </w:r>
      <w:r>
        <w:rPr>
          <w:rFonts w:hint="eastAsia"/>
          <w:color w:val="auto"/>
          <w:lang w:val="en-US" w:eastAsia="zh-CN"/>
        </w:rPr>
        <w:t>4</w:t>
      </w:r>
      <w:r>
        <w:rPr>
          <w:rFonts w:hint="eastAsia" w:ascii="宋体" w:hAnsi="宋体"/>
          <w:b/>
          <w:color w:val="auto"/>
          <w:sz w:val="22"/>
        </w:rPr>
        <w:t xml:space="preserve"> 《商务标、技术标、价格标权重表和综合得分汇总》</w:t>
      </w:r>
    </w:p>
    <w:p w14:paraId="71109CB6">
      <w:pPr>
        <w:autoSpaceDE w:val="0"/>
        <w:autoSpaceDN w:val="0"/>
        <w:adjustRightInd w:val="0"/>
        <w:snapToGrid w:val="0"/>
        <w:rPr>
          <w:rFonts w:ascii="宋体" w:hAnsi="宋体"/>
          <w:b/>
          <w:color w:val="auto"/>
        </w:rPr>
      </w:pPr>
    </w:p>
    <w:tbl>
      <w:tblPr>
        <w:tblStyle w:val="21"/>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2158"/>
        <w:gridCol w:w="2159"/>
        <w:gridCol w:w="2159"/>
      </w:tblGrid>
      <w:tr w14:paraId="6643A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8528" w:type="dxa"/>
            <w:gridSpan w:val="4"/>
            <w:shd w:val="clear" w:color="auto" w:fill="D9E2F3"/>
            <w:vAlign w:val="center"/>
          </w:tcPr>
          <w:p w14:paraId="5CD9FC20">
            <w:pPr>
              <w:autoSpaceDE w:val="0"/>
              <w:autoSpaceDN w:val="0"/>
              <w:adjustRightInd w:val="0"/>
              <w:snapToGrid w:val="0"/>
              <w:jc w:val="center"/>
              <w:rPr>
                <w:rFonts w:ascii="宋体" w:hAnsi="宋体"/>
                <w:b/>
                <w:color w:val="auto"/>
                <w:sz w:val="32"/>
                <w:szCs w:val="32"/>
              </w:rPr>
            </w:pPr>
            <w:r>
              <w:rPr>
                <w:rFonts w:hint="eastAsia" w:ascii="宋体" w:hAnsi="宋体"/>
                <w:b/>
                <w:color w:val="auto"/>
                <w:sz w:val="32"/>
                <w:szCs w:val="32"/>
              </w:rPr>
              <w:t>《商务标、技术标、价格标权重表和综合得分汇总》</w:t>
            </w:r>
          </w:p>
        </w:tc>
      </w:tr>
      <w:tr w14:paraId="3E023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2052" w:type="dxa"/>
            <w:vAlign w:val="center"/>
          </w:tcPr>
          <w:p w14:paraId="5C9EB9F2">
            <w:pPr>
              <w:autoSpaceDE w:val="0"/>
              <w:autoSpaceDN w:val="0"/>
              <w:adjustRightInd w:val="0"/>
              <w:snapToGrid w:val="0"/>
              <w:jc w:val="center"/>
              <w:rPr>
                <w:rFonts w:ascii="宋体" w:hAnsi="宋体"/>
                <w:b/>
                <w:color w:val="auto"/>
              </w:rPr>
            </w:pPr>
            <w:r>
              <w:rPr>
                <w:rFonts w:hint="eastAsia" w:ascii="宋体" w:hAnsi="宋体"/>
                <w:b/>
                <w:color w:val="auto"/>
              </w:rPr>
              <w:t>权重名称</w:t>
            </w:r>
          </w:p>
        </w:tc>
        <w:tc>
          <w:tcPr>
            <w:tcW w:w="2158" w:type="dxa"/>
            <w:vAlign w:val="center"/>
          </w:tcPr>
          <w:p w14:paraId="4FA518F6">
            <w:pPr>
              <w:autoSpaceDE w:val="0"/>
              <w:autoSpaceDN w:val="0"/>
              <w:adjustRightInd w:val="0"/>
              <w:snapToGrid w:val="0"/>
              <w:jc w:val="center"/>
              <w:rPr>
                <w:rFonts w:ascii="宋体" w:hAnsi="宋体"/>
                <w:b/>
                <w:color w:val="auto"/>
              </w:rPr>
            </w:pPr>
            <w:r>
              <w:rPr>
                <w:rFonts w:hint="eastAsia" w:ascii="宋体" w:hAnsi="宋体"/>
                <w:b/>
                <w:color w:val="auto"/>
              </w:rPr>
              <w:t>商务标权重</w:t>
            </w:r>
          </w:p>
        </w:tc>
        <w:tc>
          <w:tcPr>
            <w:tcW w:w="2159" w:type="dxa"/>
            <w:vAlign w:val="center"/>
          </w:tcPr>
          <w:p w14:paraId="3FCD915E">
            <w:pPr>
              <w:autoSpaceDE w:val="0"/>
              <w:autoSpaceDN w:val="0"/>
              <w:adjustRightInd w:val="0"/>
              <w:snapToGrid w:val="0"/>
              <w:jc w:val="center"/>
              <w:rPr>
                <w:rFonts w:ascii="宋体" w:hAnsi="宋体"/>
                <w:b/>
                <w:color w:val="auto"/>
              </w:rPr>
            </w:pPr>
            <w:r>
              <w:rPr>
                <w:rFonts w:hint="eastAsia" w:ascii="宋体" w:hAnsi="宋体"/>
                <w:b/>
                <w:color w:val="auto"/>
              </w:rPr>
              <w:t>技术标权重</w:t>
            </w:r>
          </w:p>
        </w:tc>
        <w:tc>
          <w:tcPr>
            <w:tcW w:w="2159" w:type="dxa"/>
            <w:vAlign w:val="center"/>
          </w:tcPr>
          <w:p w14:paraId="35A28F51">
            <w:pPr>
              <w:autoSpaceDE w:val="0"/>
              <w:autoSpaceDN w:val="0"/>
              <w:adjustRightInd w:val="0"/>
              <w:snapToGrid w:val="0"/>
              <w:jc w:val="center"/>
              <w:rPr>
                <w:rFonts w:ascii="宋体" w:hAnsi="宋体"/>
                <w:b/>
                <w:color w:val="auto"/>
              </w:rPr>
            </w:pPr>
            <w:r>
              <w:rPr>
                <w:rFonts w:hint="eastAsia" w:ascii="宋体" w:hAnsi="宋体"/>
                <w:b/>
                <w:color w:val="auto"/>
              </w:rPr>
              <w:t>价格标权重</w:t>
            </w:r>
          </w:p>
        </w:tc>
      </w:tr>
      <w:tr w14:paraId="529AF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2052" w:type="dxa"/>
            <w:vAlign w:val="center"/>
          </w:tcPr>
          <w:p w14:paraId="43B8A4D4">
            <w:pPr>
              <w:autoSpaceDE w:val="0"/>
              <w:autoSpaceDN w:val="0"/>
              <w:adjustRightInd w:val="0"/>
              <w:snapToGrid w:val="0"/>
              <w:jc w:val="center"/>
              <w:rPr>
                <w:rFonts w:ascii="宋体" w:hAnsi="宋体"/>
                <w:color w:val="auto"/>
              </w:rPr>
            </w:pPr>
            <w:r>
              <w:rPr>
                <w:rFonts w:hint="eastAsia" w:ascii="宋体" w:hAnsi="宋体"/>
                <w:color w:val="auto"/>
              </w:rPr>
              <w:t>权重</w:t>
            </w:r>
          </w:p>
        </w:tc>
        <w:tc>
          <w:tcPr>
            <w:tcW w:w="2158" w:type="dxa"/>
            <w:vAlign w:val="center"/>
          </w:tcPr>
          <w:p w14:paraId="2B39DAA2">
            <w:pPr>
              <w:autoSpaceDE w:val="0"/>
              <w:autoSpaceDN w:val="0"/>
              <w:adjustRightInd w:val="0"/>
              <w:snapToGrid w:val="0"/>
              <w:jc w:val="center"/>
              <w:rPr>
                <w:rFonts w:ascii="宋体" w:hAnsi="宋体"/>
                <w:color w:val="auto"/>
              </w:rPr>
            </w:pPr>
            <w:r>
              <w:rPr>
                <w:rFonts w:hint="eastAsia" w:ascii="宋体" w:hAnsi="宋体"/>
                <w:color w:val="auto"/>
                <w:lang w:val="en-US" w:eastAsia="zh-CN"/>
              </w:rPr>
              <w:t>25</w:t>
            </w:r>
            <w:r>
              <w:rPr>
                <w:rFonts w:hint="eastAsia" w:ascii="宋体" w:hAnsi="宋体"/>
                <w:color w:val="auto"/>
              </w:rPr>
              <w:t>%</w:t>
            </w:r>
          </w:p>
        </w:tc>
        <w:tc>
          <w:tcPr>
            <w:tcW w:w="2159" w:type="dxa"/>
            <w:vAlign w:val="center"/>
          </w:tcPr>
          <w:p w14:paraId="4493CCA7">
            <w:pPr>
              <w:autoSpaceDE w:val="0"/>
              <w:autoSpaceDN w:val="0"/>
              <w:adjustRightInd w:val="0"/>
              <w:snapToGrid w:val="0"/>
              <w:jc w:val="center"/>
              <w:rPr>
                <w:rFonts w:ascii="宋体" w:hAnsi="宋体"/>
                <w:color w:val="auto"/>
              </w:rPr>
            </w:pPr>
            <w:r>
              <w:rPr>
                <w:rFonts w:hint="eastAsia" w:ascii="宋体" w:hAnsi="宋体"/>
                <w:color w:val="auto"/>
                <w:lang w:val="en-US" w:eastAsia="zh-CN"/>
              </w:rPr>
              <w:t>25</w:t>
            </w:r>
            <w:r>
              <w:rPr>
                <w:rFonts w:hint="eastAsia" w:ascii="宋体" w:hAnsi="宋体"/>
                <w:color w:val="auto"/>
              </w:rPr>
              <w:t>%</w:t>
            </w:r>
          </w:p>
        </w:tc>
        <w:tc>
          <w:tcPr>
            <w:tcW w:w="2159" w:type="dxa"/>
            <w:vAlign w:val="center"/>
          </w:tcPr>
          <w:p w14:paraId="7D562886">
            <w:pPr>
              <w:autoSpaceDE w:val="0"/>
              <w:autoSpaceDN w:val="0"/>
              <w:adjustRightInd w:val="0"/>
              <w:snapToGrid w:val="0"/>
              <w:jc w:val="center"/>
              <w:rPr>
                <w:rFonts w:ascii="宋体" w:hAnsi="宋体"/>
                <w:color w:val="auto"/>
              </w:rPr>
            </w:pPr>
            <w:r>
              <w:rPr>
                <w:rFonts w:hint="eastAsia" w:ascii="宋体" w:hAnsi="宋体"/>
                <w:color w:val="auto"/>
                <w:lang w:val="en-US" w:eastAsia="zh-CN"/>
              </w:rPr>
              <w:t>5</w:t>
            </w:r>
            <w:r>
              <w:rPr>
                <w:rFonts w:hint="eastAsia" w:ascii="宋体" w:hAnsi="宋体"/>
                <w:color w:val="auto"/>
              </w:rPr>
              <w:t>0%</w:t>
            </w:r>
          </w:p>
        </w:tc>
      </w:tr>
      <w:tr w14:paraId="2CBD7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8528" w:type="dxa"/>
            <w:gridSpan w:val="4"/>
            <w:vAlign w:val="center"/>
          </w:tcPr>
          <w:p w14:paraId="0AC188EF">
            <w:pPr>
              <w:autoSpaceDE w:val="0"/>
              <w:autoSpaceDN w:val="0"/>
              <w:adjustRightInd w:val="0"/>
              <w:snapToGrid w:val="0"/>
              <w:jc w:val="center"/>
              <w:rPr>
                <w:rFonts w:ascii="宋体" w:hAnsi="宋体"/>
                <w:color w:val="auto"/>
              </w:rPr>
            </w:pPr>
            <w:r>
              <w:rPr>
                <w:rFonts w:hint="eastAsia" w:ascii="宋体" w:hAnsi="宋体"/>
                <w:color w:val="auto"/>
              </w:rPr>
              <w:t>投标人综合得分=商务标得分+技术标得分+价格标得分</w:t>
            </w:r>
          </w:p>
        </w:tc>
      </w:tr>
    </w:tbl>
    <w:p w14:paraId="474FE135">
      <w:pPr>
        <w:spacing w:before="160" w:after="120" w:line="440" w:lineRule="exact"/>
        <w:outlineLvl w:val="0"/>
        <w:rPr>
          <w:rFonts w:ascii="黑体" w:eastAsia="黑体"/>
          <w:sz w:val="32"/>
          <w:szCs w:val="32"/>
        </w:rPr>
      </w:pPr>
    </w:p>
    <w:p w14:paraId="7AF5477D">
      <w:pPr>
        <w:spacing w:before="160" w:after="120" w:line="440" w:lineRule="exact"/>
        <w:outlineLvl w:val="0"/>
        <w:rPr>
          <w:rFonts w:ascii="黑体" w:eastAsia="黑体"/>
          <w:sz w:val="32"/>
          <w:szCs w:val="32"/>
        </w:rPr>
      </w:pPr>
    </w:p>
    <w:p w14:paraId="11480D83">
      <w:pPr>
        <w:pStyle w:val="12"/>
        <w:ind w:firstLine="448"/>
        <w:rPr>
          <w:rFonts w:ascii="黑体" w:eastAsia="黑体"/>
          <w:sz w:val="32"/>
          <w:szCs w:val="32"/>
        </w:rPr>
      </w:pPr>
    </w:p>
    <w:p w14:paraId="215E0D59">
      <w:pPr>
        <w:pStyle w:val="12"/>
        <w:ind w:firstLine="448"/>
        <w:rPr>
          <w:rFonts w:ascii="黑体" w:eastAsia="黑体"/>
          <w:sz w:val="32"/>
          <w:szCs w:val="32"/>
        </w:rPr>
      </w:pPr>
    </w:p>
    <w:p w14:paraId="5A82DA2C">
      <w:pPr>
        <w:pStyle w:val="12"/>
        <w:ind w:firstLine="448"/>
        <w:rPr>
          <w:rFonts w:ascii="黑体" w:eastAsia="黑体"/>
          <w:sz w:val="32"/>
          <w:szCs w:val="32"/>
        </w:rPr>
      </w:pPr>
    </w:p>
    <w:p w14:paraId="770E6252">
      <w:pPr>
        <w:pStyle w:val="12"/>
        <w:ind w:firstLine="448"/>
        <w:rPr>
          <w:rFonts w:ascii="黑体" w:eastAsia="黑体"/>
          <w:sz w:val="32"/>
          <w:szCs w:val="32"/>
        </w:rPr>
      </w:pPr>
    </w:p>
    <w:p w14:paraId="693422E8">
      <w:pPr>
        <w:pStyle w:val="12"/>
        <w:ind w:left="0" w:leftChars="0" w:firstLine="0" w:firstLineChars="0"/>
        <w:rPr>
          <w:rFonts w:ascii="黑体" w:eastAsia="黑体"/>
          <w:sz w:val="32"/>
          <w:szCs w:val="32"/>
        </w:rPr>
      </w:pPr>
    </w:p>
    <w:p w14:paraId="7DB5F179">
      <w:pPr>
        <w:spacing w:before="160" w:after="120" w:line="440" w:lineRule="exact"/>
        <w:outlineLvl w:val="0"/>
        <w:rPr>
          <w:rFonts w:ascii="黑体" w:eastAsia="黑体"/>
          <w:sz w:val="32"/>
          <w:szCs w:val="32"/>
        </w:rPr>
      </w:pPr>
    </w:p>
    <w:p w14:paraId="77752903">
      <w:pPr>
        <w:pStyle w:val="7"/>
        <w:rPr>
          <w:rFonts w:ascii="黑体" w:eastAsia="黑体"/>
          <w:sz w:val="32"/>
          <w:szCs w:val="32"/>
        </w:rPr>
      </w:pPr>
    </w:p>
    <w:p w14:paraId="1DBB71CB">
      <w:pPr>
        <w:pStyle w:val="8"/>
      </w:pPr>
    </w:p>
    <w:p w14:paraId="541B19D5">
      <w:pPr>
        <w:pStyle w:val="7"/>
        <w:spacing w:line="360" w:lineRule="auto"/>
        <w:ind w:right="420"/>
        <w:jc w:val="center"/>
        <w:outlineLvl w:val="0"/>
        <w:rPr>
          <w:rFonts w:ascii="黑体" w:eastAsia="黑体"/>
          <w:sz w:val="32"/>
          <w:szCs w:val="32"/>
        </w:rPr>
      </w:pPr>
      <w:bookmarkStart w:id="36" w:name="_Toc496002345"/>
      <w:bookmarkStart w:id="37" w:name="_Toc10619"/>
      <w:bookmarkStart w:id="38" w:name="_Toc20946"/>
      <w:bookmarkStart w:id="39" w:name="_Toc21337"/>
      <w:bookmarkStart w:id="40" w:name="_Toc16744"/>
      <w:bookmarkStart w:id="41" w:name="_Toc6217"/>
      <w:r>
        <w:rPr>
          <w:rFonts w:hint="eastAsia" w:ascii="黑体" w:eastAsia="黑体"/>
          <w:sz w:val="32"/>
          <w:szCs w:val="32"/>
        </w:rPr>
        <w:t>第三章投标方须知</w:t>
      </w:r>
      <w:bookmarkEnd w:id="36"/>
      <w:bookmarkEnd w:id="37"/>
      <w:bookmarkEnd w:id="38"/>
      <w:bookmarkEnd w:id="39"/>
      <w:bookmarkEnd w:id="40"/>
      <w:bookmarkEnd w:id="41"/>
    </w:p>
    <w:tbl>
      <w:tblPr>
        <w:tblStyle w:val="21"/>
        <w:tblW w:w="8388" w:type="dxa"/>
        <w:tblInd w:w="0" w:type="dxa"/>
        <w:tblLayout w:type="fixed"/>
        <w:tblCellMar>
          <w:top w:w="0" w:type="dxa"/>
          <w:left w:w="108" w:type="dxa"/>
          <w:bottom w:w="0" w:type="dxa"/>
          <w:right w:w="108" w:type="dxa"/>
        </w:tblCellMar>
      </w:tblPr>
      <w:tblGrid>
        <w:gridCol w:w="828"/>
        <w:gridCol w:w="7560"/>
      </w:tblGrid>
      <w:tr w14:paraId="5E378CCC">
        <w:tblPrEx>
          <w:tblCellMar>
            <w:top w:w="0" w:type="dxa"/>
            <w:left w:w="108" w:type="dxa"/>
            <w:bottom w:w="0" w:type="dxa"/>
            <w:right w:w="108" w:type="dxa"/>
          </w:tblCellMar>
        </w:tblPrEx>
        <w:tc>
          <w:tcPr>
            <w:tcW w:w="8388" w:type="dxa"/>
            <w:gridSpan w:val="2"/>
          </w:tcPr>
          <w:p w14:paraId="4AF53896">
            <w:pPr>
              <w:pStyle w:val="3"/>
              <w:ind w:left="420"/>
              <w:jc w:val="center"/>
              <w:rPr>
                <w:rFonts w:ascii="楷体_GB2312" w:eastAsia="楷体_GB2312"/>
              </w:rPr>
            </w:pPr>
            <w:bookmarkStart w:id="42" w:name="_Toc236803066"/>
            <w:bookmarkStart w:id="43" w:name="_Toc21426"/>
            <w:bookmarkStart w:id="44" w:name="_Toc496002346"/>
            <w:bookmarkStart w:id="45" w:name="_Toc211243236"/>
            <w:r>
              <w:rPr>
                <w:rFonts w:hint="eastAsia" w:ascii="楷体_GB2312" w:eastAsia="楷体_GB2312"/>
                <w:sz w:val="24"/>
                <w:szCs w:val="24"/>
              </w:rPr>
              <w:t>一说明</w:t>
            </w:r>
            <w:bookmarkEnd w:id="42"/>
            <w:bookmarkEnd w:id="43"/>
            <w:bookmarkEnd w:id="44"/>
            <w:bookmarkEnd w:id="45"/>
          </w:p>
        </w:tc>
      </w:tr>
      <w:tr w14:paraId="5A679611">
        <w:tblPrEx>
          <w:tblCellMar>
            <w:top w:w="0" w:type="dxa"/>
            <w:left w:w="108" w:type="dxa"/>
            <w:bottom w:w="0" w:type="dxa"/>
            <w:right w:w="108" w:type="dxa"/>
          </w:tblCellMar>
        </w:tblPrEx>
        <w:tc>
          <w:tcPr>
            <w:tcW w:w="8388" w:type="dxa"/>
            <w:gridSpan w:val="2"/>
          </w:tcPr>
          <w:p w14:paraId="0F6B6102">
            <w:pPr>
              <w:rPr>
                <w:rFonts w:ascii="宋体"/>
                <w:b/>
              </w:rPr>
            </w:pPr>
            <w:bookmarkStart w:id="46" w:name="_Toc211243237"/>
            <w:bookmarkStart w:id="47" w:name="_Toc236803067"/>
            <w:r>
              <w:rPr>
                <w:rFonts w:ascii="宋体" w:hAnsi="宋体"/>
                <w:b/>
              </w:rPr>
              <w:t>1</w:t>
            </w:r>
            <w:bookmarkEnd w:id="46"/>
            <w:bookmarkStart w:id="48" w:name="_Toc211243238"/>
            <w:bookmarkStart w:id="49" w:name="_Toc205615992"/>
            <w:bookmarkStart w:id="50" w:name="_Toc205623144"/>
            <w:r>
              <w:rPr>
                <w:rFonts w:ascii="宋体" w:hAnsi="宋体"/>
                <w:b/>
              </w:rPr>
              <w:t xml:space="preserve">. </w:t>
            </w:r>
            <w:r>
              <w:rPr>
                <w:rFonts w:hint="eastAsia" w:ascii="宋体" w:hAnsi="宋体"/>
                <w:b/>
              </w:rPr>
              <w:t>资金来源</w:t>
            </w:r>
            <w:bookmarkEnd w:id="47"/>
            <w:bookmarkEnd w:id="48"/>
            <w:bookmarkEnd w:id="49"/>
            <w:bookmarkEnd w:id="50"/>
          </w:p>
        </w:tc>
      </w:tr>
      <w:tr w14:paraId="5943796D">
        <w:tblPrEx>
          <w:tblCellMar>
            <w:top w:w="0" w:type="dxa"/>
            <w:left w:w="108" w:type="dxa"/>
            <w:bottom w:w="0" w:type="dxa"/>
            <w:right w:w="108" w:type="dxa"/>
          </w:tblCellMar>
        </w:tblPrEx>
        <w:tc>
          <w:tcPr>
            <w:tcW w:w="828" w:type="dxa"/>
          </w:tcPr>
          <w:p w14:paraId="67F1DB63">
            <w:pPr>
              <w:spacing w:line="360" w:lineRule="exact"/>
              <w:ind w:right="-57"/>
            </w:pPr>
            <w:r>
              <w:rPr>
                <w:szCs w:val="21"/>
              </w:rPr>
              <w:t>1.1</w:t>
            </w:r>
          </w:p>
        </w:tc>
        <w:tc>
          <w:tcPr>
            <w:tcW w:w="7560" w:type="dxa"/>
          </w:tcPr>
          <w:p w14:paraId="5CFC6A06">
            <w:pPr>
              <w:spacing w:line="400" w:lineRule="exact"/>
              <w:rPr>
                <w:rFonts w:hAnsi="宋体"/>
                <w:szCs w:val="21"/>
              </w:rPr>
            </w:pPr>
            <w:r>
              <w:rPr>
                <w:rFonts w:hint="eastAsia" w:hAnsi="宋体"/>
                <w:szCs w:val="21"/>
              </w:rPr>
              <w:t>采购人已获得一笔资金。采购人计划将一部分资金用于支付本次招标后所签订的合同项下的款项。</w:t>
            </w:r>
          </w:p>
        </w:tc>
      </w:tr>
      <w:tr w14:paraId="197CDB13">
        <w:tblPrEx>
          <w:tblCellMar>
            <w:top w:w="0" w:type="dxa"/>
            <w:left w:w="108" w:type="dxa"/>
            <w:bottom w:w="0" w:type="dxa"/>
            <w:right w:w="108" w:type="dxa"/>
          </w:tblCellMar>
        </w:tblPrEx>
        <w:tc>
          <w:tcPr>
            <w:tcW w:w="8388" w:type="dxa"/>
            <w:gridSpan w:val="2"/>
          </w:tcPr>
          <w:p w14:paraId="6482D615">
            <w:bookmarkStart w:id="51" w:name="_Toc211243239"/>
            <w:bookmarkStart w:id="52" w:name="_Toc236803068"/>
            <w:r>
              <w:rPr>
                <w:rFonts w:ascii="宋体" w:hAnsi="宋体"/>
                <w:b/>
              </w:rPr>
              <w:t>2</w:t>
            </w:r>
            <w:bookmarkEnd w:id="51"/>
            <w:bookmarkStart w:id="53" w:name="_Toc205623146"/>
            <w:bookmarkStart w:id="54" w:name="_Toc205615994"/>
            <w:bookmarkStart w:id="55" w:name="_Toc211243240"/>
            <w:r>
              <w:rPr>
                <w:rFonts w:ascii="宋体" w:hAnsi="宋体"/>
                <w:b/>
              </w:rPr>
              <w:t xml:space="preserve">. </w:t>
            </w:r>
            <w:r>
              <w:rPr>
                <w:rFonts w:hint="eastAsia" w:ascii="宋体" w:hAnsi="宋体"/>
                <w:b/>
              </w:rPr>
              <w:t>招标方</w:t>
            </w:r>
            <w:bookmarkEnd w:id="52"/>
            <w:bookmarkEnd w:id="53"/>
            <w:bookmarkEnd w:id="54"/>
            <w:bookmarkEnd w:id="55"/>
          </w:p>
        </w:tc>
      </w:tr>
      <w:tr w14:paraId="7A319314">
        <w:tblPrEx>
          <w:tblCellMar>
            <w:top w:w="0" w:type="dxa"/>
            <w:left w:w="108" w:type="dxa"/>
            <w:bottom w:w="0" w:type="dxa"/>
            <w:right w:w="108" w:type="dxa"/>
          </w:tblCellMar>
        </w:tblPrEx>
        <w:tc>
          <w:tcPr>
            <w:tcW w:w="828" w:type="dxa"/>
          </w:tcPr>
          <w:p w14:paraId="140E3841">
            <w:pPr>
              <w:spacing w:line="360" w:lineRule="exact"/>
              <w:ind w:right="-57"/>
              <w:rPr>
                <w:szCs w:val="21"/>
              </w:rPr>
            </w:pPr>
            <w:r>
              <w:rPr>
                <w:szCs w:val="21"/>
              </w:rPr>
              <w:t>2.1</w:t>
            </w:r>
          </w:p>
        </w:tc>
        <w:tc>
          <w:tcPr>
            <w:tcW w:w="7560" w:type="dxa"/>
          </w:tcPr>
          <w:p w14:paraId="5801C2F6">
            <w:pPr>
              <w:pStyle w:val="11"/>
              <w:spacing w:line="400" w:lineRule="exact"/>
              <w:rPr>
                <w:rFonts w:ascii="Times New Roman"/>
                <w:kern w:val="2"/>
                <w:szCs w:val="21"/>
              </w:rPr>
            </w:pPr>
            <w:r>
              <w:rPr>
                <w:rFonts w:hint="eastAsia" w:hAnsi="宋体" w:eastAsia="宋体" w:cs="宋体"/>
                <w:kern w:val="2"/>
                <w:szCs w:val="21"/>
              </w:rPr>
              <w:t>招标方是指获得资金并依法提出招标项目、进行招标的国家机关、企事业单位或者其他社会组织，或称采购人、买方。</w:t>
            </w:r>
          </w:p>
          <w:p w14:paraId="1E877813">
            <w:pPr>
              <w:pStyle w:val="11"/>
              <w:spacing w:line="400" w:lineRule="exact"/>
              <w:rPr>
                <w:rFonts w:ascii="Times New Roman"/>
                <w:kern w:val="2"/>
                <w:szCs w:val="21"/>
              </w:rPr>
            </w:pPr>
            <w:r>
              <w:rPr>
                <w:rFonts w:hint="eastAsia" w:hAnsi="宋体" w:eastAsia="宋体" w:cs="宋体"/>
                <w:kern w:val="2"/>
                <w:szCs w:val="21"/>
              </w:rPr>
              <w:t>本次招标的</w:t>
            </w:r>
            <w:r>
              <w:rPr>
                <w:rFonts w:hint="eastAsia" w:hAnsi="宋体" w:eastAsia="宋体" w:cs="宋体"/>
                <w:szCs w:val="21"/>
              </w:rPr>
              <w:t>招标方名称、地址、联系人、电话、传真见第二章</w:t>
            </w:r>
            <w:r>
              <w:rPr>
                <w:szCs w:val="21"/>
              </w:rPr>
              <w:t>“</w:t>
            </w:r>
            <w:r>
              <w:rPr>
                <w:rFonts w:hint="eastAsia" w:hAnsi="宋体" w:eastAsia="宋体" w:cs="宋体"/>
                <w:szCs w:val="21"/>
              </w:rPr>
              <w:t>投标方须知专用表</w:t>
            </w:r>
            <w:r>
              <w:rPr>
                <w:szCs w:val="21"/>
              </w:rPr>
              <w:t>”</w:t>
            </w:r>
          </w:p>
        </w:tc>
      </w:tr>
      <w:tr w14:paraId="0A722B26">
        <w:tblPrEx>
          <w:tblCellMar>
            <w:top w:w="0" w:type="dxa"/>
            <w:left w:w="108" w:type="dxa"/>
            <w:bottom w:w="0" w:type="dxa"/>
            <w:right w:w="108" w:type="dxa"/>
          </w:tblCellMar>
        </w:tblPrEx>
        <w:tc>
          <w:tcPr>
            <w:tcW w:w="8388" w:type="dxa"/>
            <w:gridSpan w:val="2"/>
          </w:tcPr>
          <w:p w14:paraId="4A3F1A9F">
            <w:pPr>
              <w:rPr>
                <w:rFonts w:ascii="黑体" w:eastAsia="黑体"/>
                <w:szCs w:val="21"/>
              </w:rPr>
            </w:pPr>
            <w:bookmarkStart w:id="56" w:name="_Toc211243244"/>
            <w:bookmarkStart w:id="57" w:name="_Toc205623150"/>
            <w:bookmarkStart w:id="58" w:name="_Toc236803070"/>
            <w:bookmarkStart w:id="59" w:name="_Toc205615998"/>
            <w:r>
              <w:rPr>
                <w:rFonts w:ascii="宋体" w:hAnsi="宋体"/>
                <w:b/>
              </w:rPr>
              <w:t xml:space="preserve">3. </w:t>
            </w:r>
            <w:r>
              <w:rPr>
                <w:rFonts w:hint="eastAsia" w:ascii="宋体" w:hAnsi="宋体"/>
                <w:b/>
              </w:rPr>
              <w:t>合格的投标方</w:t>
            </w:r>
            <w:bookmarkEnd w:id="56"/>
            <w:bookmarkEnd w:id="57"/>
            <w:bookmarkEnd w:id="58"/>
            <w:bookmarkEnd w:id="59"/>
          </w:p>
        </w:tc>
      </w:tr>
      <w:tr w14:paraId="5007F8A3">
        <w:tblPrEx>
          <w:tblCellMar>
            <w:top w:w="0" w:type="dxa"/>
            <w:left w:w="108" w:type="dxa"/>
            <w:bottom w:w="0" w:type="dxa"/>
            <w:right w:w="108" w:type="dxa"/>
          </w:tblCellMar>
        </w:tblPrEx>
        <w:tc>
          <w:tcPr>
            <w:tcW w:w="828" w:type="dxa"/>
          </w:tcPr>
          <w:p w14:paraId="215617AF">
            <w:pPr>
              <w:spacing w:line="400" w:lineRule="exact"/>
              <w:ind w:right="-57"/>
              <w:rPr>
                <w:szCs w:val="21"/>
              </w:rPr>
            </w:pPr>
            <w:r>
              <w:rPr>
                <w:szCs w:val="21"/>
              </w:rPr>
              <w:t>3.1</w:t>
            </w:r>
          </w:p>
        </w:tc>
        <w:tc>
          <w:tcPr>
            <w:tcW w:w="7560" w:type="dxa"/>
          </w:tcPr>
          <w:p w14:paraId="3F937E4F">
            <w:pPr>
              <w:spacing w:line="400" w:lineRule="exact"/>
              <w:rPr>
                <w:rFonts w:hAnsi="宋体"/>
                <w:szCs w:val="21"/>
              </w:rPr>
            </w:pPr>
            <w:r>
              <w:rPr>
                <w:rFonts w:hint="eastAsia"/>
                <w:szCs w:val="21"/>
              </w:rPr>
              <w:t>投标方是响应招标、在中华人民共和国境内注册且为人民币流通区域内的法人或</w:t>
            </w:r>
            <w:r>
              <w:rPr>
                <w:rFonts w:hint="eastAsia"/>
                <w:szCs w:val="21"/>
                <w:lang w:eastAsia="zh-CN"/>
              </w:rPr>
              <w:t>其他组织</w:t>
            </w:r>
            <w:r>
              <w:rPr>
                <w:rFonts w:hint="eastAsia"/>
                <w:szCs w:val="21"/>
              </w:rPr>
              <w:t>。除非另有规定，凡是提供产自中华人民共和国或是与中华人民共和国有正常贸易往来的国家或地区货物的供货人均可投标。但</w:t>
            </w:r>
            <w:r>
              <w:rPr>
                <w:rFonts w:hint="eastAsia" w:ascii="宋体" w:hAnsi="宋体"/>
                <w:szCs w:val="21"/>
              </w:rPr>
              <w:t>法定代表人为同一个人的两个及两个以上法人，母公司、全资子公司及其控股公司，不可在本招标中同时投标。</w:t>
            </w:r>
          </w:p>
        </w:tc>
      </w:tr>
      <w:tr w14:paraId="784137D6">
        <w:tblPrEx>
          <w:tblCellMar>
            <w:top w:w="0" w:type="dxa"/>
            <w:left w:w="108" w:type="dxa"/>
            <w:bottom w:w="0" w:type="dxa"/>
            <w:right w:w="108" w:type="dxa"/>
          </w:tblCellMar>
        </w:tblPrEx>
        <w:trPr>
          <w:trHeight w:val="671" w:hRule="atLeast"/>
        </w:trPr>
        <w:tc>
          <w:tcPr>
            <w:tcW w:w="828" w:type="dxa"/>
          </w:tcPr>
          <w:p w14:paraId="4EA828FD">
            <w:pPr>
              <w:spacing w:line="400" w:lineRule="exact"/>
              <w:ind w:right="-57"/>
              <w:rPr>
                <w:szCs w:val="21"/>
              </w:rPr>
            </w:pPr>
            <w:r>
              <w:rPr>
                <w:szCs w:val="21"/>
              </w:rPr>
              <w:t xml:space="preserve">3.2  </w:t>
            </w:r>
          </w:p>
        </w:tc>
        <w:tc>
          <w:tcPr>
            <w:tcW w:w="7560" w:type="dxa"/>
          </w:tcPr>
          <w:p w14:paraId="0CCB0F9E">
            <w:pPr>
              <w:spacing w:line="400" w:lineRule="exact"/>
              <w:rPr>
                <w:rFonts w:hAnsi="宋体"/>
                <w:szCs w:val="21"/>
              </w:rPr>
            </w:pPr>
            <w:r>
              <w:rPr>
                <w:rFonts w:hint="eastAsia" w:hAnsi="宋体"/>
                <w:szCs w:val="21"/>
              </w:rPr>
              <w:t>只有在法律上和财务上独立、合法运作并独立于招标方和招标机构的供货人才能参加投标。招标方的任何不</w:t>
            </w:r>
            <w:r>
              <w:rPr>
                <w:rFonts w:hint="eastAsia" w:hAnsi="宋体"/>
                <w:szCs w:val="21"/>
                <w:lang w:eastAsia="zh-CN"/>
              </w:rPr>
              <w:t>具备</w:t>
            </w:r>
            <w:r>
              <w:rPr>
                <w:rFonts w:hint="eastAsia" w:hAnsi="宋体"/>
                <w:szCs w:val="21"/>
              </w:rPr>
              <w:t>独立法人资格的附属机构（单位），无资格参加该项目的投标。</w:t>
            </w:r>
          </w:p>
        </w:tc>
      </w:tr>
      <w:tr w14:paraId="01D55B94">
        <w:tblPrEx>
          <w:tblCellMar>
            <w:top w:w="0" w:type="dxa"/>
            <w:left w:w="108" w:type="dxa"/>
            <w:bottom w:w="0" w:type="dxa"/>
            <w:right w:w="108" w:type="dxa"/>
          </w:tblCellMar>
        </w:tblPrEx>
        <w:tc>
          <w:tcPr>
            <w:tcW w:w="8388" w:type="dxa"/>
            <w:gridSpan w:val="2"/>
          </w:tcPr>
          <w:p w14:paraId="76ED4BF2">
            <w:pPr>
              <w:rPr>
                <w:rFonts w:ascii="黑体" w:eastAsia="黑体"/>
                <w:szCs w:val="21"/>
              </w:rPr>
            </w:pPr>
            <w:bookmarkStart w:id="60" w:name="_Toc205623152"/>
            <w:bookmarkStart w:id="61" w:name="_Toc205616000"/>
            <w:bookmarkStart w:id="62" w:name="_Toc211243246"/>
            <w:bookmarkStart w:id="63" w:name="_Toc236803071"/>
            <w:r>
              <w:rPr>
                <w:rFonts w:ascii="宋体" w:hAnsi="宋体"/>
                <w:b/>
              </w:rPr>
              <w:t xml:space="preserve">4. </w:t>
            </w:r>
            <w:r>
              <w:rPr>
                <w:rFonts w:hint="eastAsia" w:ascii="宋体" w:hAnsi="宋体"/>
                <w:b/>
              </w:rPr>
              <w:t>合格的货物和相关服务</w:t>
            </w:r>
            <w:bookmarkEnd w:id="60"/>
            <w:bookmarkEnd w:id="61"/>
            <w:bookmarkEnd w:id="62"/>
            <w:bookmarkEnd w:id="63"/>
          </w:p>
        </w:tc>
      </w:tr>
      <w:tr w14:paraId="5671CF77">
        <w:tblPrEx>
          <w:tblCellMar>
            <w:top w:w="0" w:type="dxa"/>
            <w:left w:w="108" w:type="dxa"/>
            <w:bottom w:w="0" w:type="dxa"/>
            <w:right w:w="108" w:type="dxa"/>
          </w:tblCellMar>
        </w:tblPrEx>
        <w:tc>
          <w:tcPr>
            <w:tcW w:w="828" w:type="dxa"/>
          </w:tcPr>
          <w:p w14:paraId="1FD77202">
            <w:pPr>
              <w:spacing w:line="400" w:lineRule="exact"/>
              <w:ind w:right="-57"/>
              <w:rPr>
                <w:szCs w:val="21"/>
              </w:rPr>
            </w:pPr>
            <w:r>
              <w:rPr>
                <w:szCs w:val="21"/>
              </w:rPr>
              <w:t>4.1</w:t>
            </w:r>
          </w:p>
        </w:tc>
        <w:tc>
          <w:tcPr>
            <w:tcW w:w="7560" w:type="dxa"/>
          </w:tcPr>
          <w:p w14:paraId="45C8E728">
            <w:pPr>
              <w:pStyle w:val="7"/>
              <w:spacing w:line="400" w:lineRule="exact"/>
              <w:jc w:val="both"/>
              <w:rPr>
                <w:rFonts w:ascii="Times New Roman"/>
                <w:sz w:val="21"/>
                <w:szCs w:val="21"/>
              </w:rPr>
            </w:pPr>
            <w:r>
              <w:rPr>
                <w:rFonts w:hint="eastAsia"/>
                <w:sz w:val="21"/>
                <w:szCs w:val="21"/>
              </w:rPr>
              <w:t>本招标项目为货物及相关服务招标，提供的货物必须是全新的。</w:t>
            </w:r>
          </w:p>
        </w:tc>
      </w:tr>
      <w:tr w14:paraId="79A7B42D">
        <w:tblPrEx>
          <w:tblCellMar>
            <w:top w:w="0" w:type="dxa"/>
            <w:left w:w="108" w:type="dxa"/>
            <w:bottom w:w="0" w:type="dxa"/>
            <w:right w:w="108" w:type="dxa"/>
          </w:tblCellMar>
        </w:tblPrEx>
        <w:tc>
          <w:tcPr>
            <w:tcW w:w="828" w:type="dxa"/>
          </w:tcPr>
          <w:p w14:paraId="015C6168">
            <w:pPr>
              <w:spacing w:line="400" w:lineRule="exact"/>
              <w:ind w:right="-57"/>
              <w:rPr>
                <w:szCs w:val="21"/>
              </w:rPr>
            </w:pPr>
            <w:r>
              <w:rPr>
                <w:szCs w:val="21"/>
              </w:rPr>
              <w:t>4.2</w:t>
            </w:r>
          </w:p>
        </w:tc>
        <w:tc>
          <w:tcPr>
            <w:tcW w:w="7560" w:type="dxa"/>
            <w:vAlign w:val="center"/>
          </w:tcPr>
          <w:p w14:paraId="592ACEC8">
            <w:pPr>
              <w:pStyle w:val="7"/>
              <w:spacing w:line="400" w:lineRule="exact"/>
              <w:jc w:val="both"/>
              <w:rPr>
                <w:rFonts w:ascii="Times New Roman"/>
                <w:sz w:val="21"/>
                <w:szCs w:val="21"/>
              </w:rPr>
            </w:pPr>
            <w:r>
              <w:rPr>
                <w:rFonts w:hint="eastAsia"/>
                <w:sz w:val="21"/>
                <w:szCs w:val="21"/>
              </w:rPr>
              <w:t>货物及相关的服务必须符合中华人民共和国的设计和制造生产或行业标准。</w:t>
            </w:r>
          </w:p>
        </w:tc>
      </w:tr>
      <w:tr w14:paraId="2C4C944E">
        <w:tblPrEx>
          <w:tblCellMar>
            <w:top w:w="0" w:type="dxa"/>
            <w:left w:w="108" w:type="dxa"/>
            <w:bottom w:w="0" w:type="dxa"/>
            <w:right w:w="108" w:type="dxa"/>
          </w:tblCellMar>
        </w:tblPrEx>
        <w:tc>
          <w:tcPr>
            <w:tcW w:w="828" w:type="dxa"/>
          </w:tcPr>
          <w:p w14:paraId="10E0DDEC">
            <w:pPr>
              <w:spacing w:line="400" w:lineRule="exact"/>
              <w:ind w:right="-57"/>
              <w:rPr>
                <w:szCs w:val="21"/>
              </w:rPr>
            </w:pPr>
            <w:r>
              <w:rPr>
                <w:szCs w:val="21"/>
              </w:rPr>
              <w:t>4.3</w:t>
            </w:r>
          </w:p>
        </w:tc>
        <w:tc>
          <w:tcPr>
            <w:tcW w:w="7560" w:type="dxa"/>
          </w:tcPr>
          <w:p w14:paraId="06CCD406">
            <w:pPr>
              <w:spacing w:line="400" w:lineRule="exact"/>
              <w:rPr>
                <w:rFonts w:hAnsi="宋体"/>
              </w:rPr>
            </w:pPr>
            <w:r>
              <w:rPr>
                <w:rFonts w:hint="eastAsia" w:hAnsi="宋体"/>
              </w:rPr>
              <w:t>进口的货物必须是具有合法的进口手续和途径并通过了中华人民共和国商检部门检验的现货。</w:t>
            </w:r>
          </w:p>
        </w:tc>
      </w:tr>
      <w:tr w14:paraId="52B5BCC6">
        <w:tblPrEx>
          <w:tblCellMar>
            <w:top w:w="0" w:type="dxa"/>
            <w:left w:w="108" w:type="dxa"/>
            <w:bottom w:w="0" w:type="dxa"/>
            <w:right w:w="108" w:type="dxa"/>
          </w:tblCellMar>
        </w:tblPrEx>
        <w:tc>
          <w:tcPr>
            <w:tcW w:w="828" w:type="dxa"/>
          </w:tcPr>
          <w:p w14:paraId="5CB8546B">
            <w:pPr>
              <w:spacing w:line="400" w:lineRule="exact"/>
              <w:ind w:right="-57"/>
              <w:rPr>
                <w:szCs w:val="21"/>
              </w:rPr>
            </w:pPr>
            <w:r>
              <w:rPr>
                <w:szCs w:val="21"/>
              </w:rPr>
              <w:t>4.4</w:t>
            </w:r>
          </w:p>
        </w:tc>
        <w:tc>
          <w:tcPr>
            <w:tcW w:w="7560" w:type="dxa"/>
          </w:tcPr>
          <w:p w14:paraId="6555FF30">
            <w:pPr>
              <w:pStyle w:val="7"/>
              <w:spacing w:line="400" w:lineRule="exact"/>
              <w:jc w:val="both"/>
              <w:rPr>
                <w:sz w:val="21"/>
                <w:szCs w:val="21"/>
              </w:rPr>
            </w:pPr>
            <w:r>
              <w:rPr>
                <w:rFonts w:hint="eastAsia" w:ascii="Times New Roman" w:hAnsi="宋体"/>
                <w:sz w:val="21"/>
                <w:szCs w:val="21"/>
              </w:rPr>
              <w:t>投标方应保证，招标方在中华人民共和国使用该货物或货物的任何一部分时，</w:t>
            </w:r>
            <w:r>
              <w:rPr>
                <w:rFonts w:hint="eastAsia"/>
                <w:sz w:val="21"/>
                <w:szCs w:val="21"/>
              </w:rPr>
              <w:t>免受第三方提出的侵犯其专利权、商标权或工业设计权的起诉。</w:t>
            </w:r>
          </w:p>
        </w:tc>
      </w:tr>
      <w:tr w14:paraId="005BF652">
        <w:tblPrEx>
          <w:tblCellMar>
            <w:top w:w="0" w:type="dxa"/>
            <w:left w:w="108" w:type="dxa"/>
            <w:bottom w:w="0" w:type="dxa"/>
            <w:right w:w="108" w:type="dxa"/>
          </w:tblCellMar>
        </w:tblPrEx>
        <w:tc>
          <w:tcPr>
            <w:tcW w:w="8388" w:type="dxa"/>
            <w:gridSpan w:val="2"/>
          </w:tcPr>
          <w:p w14:paraId="00A0A582">
            <w:pPr>
              <w:pStyle w:val="3"/>
              <w:spacing w:before="360" w:after="0" w:line="240" w:lineRule="auto"/>
              <w:jc w:val="center"/>
              <w:rPr>
                <w:rFonts w:ascii="楷体_GB2312" w:eastAsia="楷体_GB2312"/>
                <w:b w:val="0"/>
                <w:sz w:val="24"/>
              </w:rPr>
            </w:pPr>
            <w:bookmarkStart w:id="64" w:name="_Toc496002347"/>
            <w:bookmarkStart w:id="65" w:name="_Toc211243249"/>
            <w:bookmarkStart w:id="66" w:name="_Toc236803073"/>
            <w:bookmarkStart w:id="67" w:name="_Toc17261"/>
            <w:r>
              <w:rPr>
                <w:rFonts w:hint="eastAsia" w:ascii="楷体_GB2312" w:eastAsia="楷体_GB2312"/>
                <w:sz w:val="24"/>
                <w:szCs w:val="24"/>
              </w:rPr>
              <w:t>二招标文件</w:t>
            </w:r>
            <w:bookmarkEnd w:id="64"/>
            <w:bookmarkEnd w:id="65"/>
            <w:bookmarkEnd w:id="66"/>
            <w:bookmarkEnd w:id="67"/>
          </w:p>
        </w:tc>
      </w:tr>
      <w:tr w14:paraId="495F7C70">
        <w:tblPrEx>
          <w:tblCellMar>
            <w:top w:w="0" w:type="dxa"/>
            <w:left w:w="108" w:type="dxa"/>
            <w:bottom w:w="0" w:type="dxa"/>
            <w:right w:w="108" w:type="dxa"/>
          </w:tblCellMar>
        </w:tblPrEx>
        <w:tc>
          <w:tcPr>
            <w:tcW w:w="8388" w:type="dxa"/>
            <w:gridSpan w:val="2"/>
          </w:tcPr>
          <w:p w14:paraId="546936A4">
            <w:pPr>
              <w:rPr>
                <w:rFonts w:ascii="黑体" w:eastAsia="黑体"/>
                <w:szCs w:val="21"/>
              </w:rPr>
            </w:pPr>
            <w:bookmarkStart w:id="68" w:name="_Toc211243251"/>
            <w:bookmarkStart w:id="69" w:name="_Toc205623157"/>
            <w:bookmarkStart w:id="70" w:name="_Toc236803074"/>
            <w:bookmarkStart w:id="71" w:name="_Toc205616005"/>
            <w:r>
              <w:rPr>
                <w:rFonts w:ascii="宋体" w:hAnsi="宋体"/>
                <w:b/>
              </w:rPr>
              <w:t xml:space="preserve">5. </w:t>
            </w:r>
            <w:r>
              <w:rPr>
                <w:rFonts w:hint="eastAsia" w:ascii="宋体" w:hAnsi="宋体"/>
                <w:b/>
              </w:rPr>
              <w:t>招标文件构成</w:t>
            </w:r>
            <w:bookmarkEnd w:id="68"/>
            <w:bookmarkEnd w:id="69"/>
            <w:bookmarkEnd w:id="70"/>
            <w:bookmarkEnd w:id="71"/>
          </w:p>
        </w:tc>
      </w:tr>
      <w:tr w14:paraId="3711CC3A">
        <w:tblPrEx>
          <w:tblCellMar>
            <w:top w:w="0" w:type="dxa"/>
            <w:left w:w="108" w:type="dxa"/>
            <w:bottom w:w="0" w:type="dxa"/>
            <w:right w:w="108" w:type="dxa"/>
          </w:tblCellMar>
        </w:tblPrEx>
        <w:tc>
          <w:tcPr>
            <w:tcW w:w="828" w:type="dxa"/>
          </w:tcPr>
          <w:p w14:paraId="1D145694">
            <w:pPr>
              <w:spacing w:line="400" w:lineRule="exact"/>
              <w:ind w:right="-57"/>
              <w:rPr>
                <w:szCs w:val="21"/>
              </w:rPr>
            </w:pPr>
            <w:r>
              <w:rPr>
                <w:szCs w:val="21"/>
              </w:rPr>
              <w:t>5.1</w:t>
            </w:r>
          </w:p>
        </w:tc>
        <w:tc>
          <w:tcPr>
            <w:tcW w:w="7560" w:type="dxa"/>
          </w:tcPr>
          <w:p w14:paraId="379D87A1">
            <w:pPr>
              <w:spacing w:line="400" w:lineRule="exact"/>
              <w:rPr>
                <w:szCs w:val="21"/>
              </w:rPr>
            </w:pPr>
            <w:r>
              <w:rPr>
                <w:rFonts w:hint="eastAsia" w:hAnsi="宋体"/>
                <w:szCs w:val="21"/>
              </w:rPr>
              <w:t>要求提供的货物、招标过程和合同条件在招标文件中均有说明。</w:t>
            </w:r>
          </w:p>
          <w:p w14:paraId="6288503A">
            <w:pPr>
              <w:spacing w:line="400" w:lineRule="exact"/>
              <w:rPr>
                <w:szCs w:val="21"/>
              </w:rPr>
            </w:pPr>
            <w:r>
              <w:rPr>
                <w:rFonts w:hint="eastAsia" w:hAnsi="宋体"/>
                <w:szCs w:val="21"/>
              </w:rPr>
              <w:t>招标文件共五章，内容如下：</w:t>
            </w:r>
          </w:p>
          <w:p w14:paraId="2C42B2D8">
            <w:pPr>
              <w:spacing w:line="400" w:lineRule="exact"/>
              <w:rPr>
                <w:szCs w:val="21"/>
              </w:rPr>
            </w:pPr>
            <w:r>
              <w:rPr>
                <w:rFonts w:hint="eastAsia" w:hAnsi="宋体"/>
                <w:szCs w:val="21"/>
              </w:rPr>
              <w:t>第一章投标邀请</w:t>
            </w:r>
          </w:p>
          <w:p w14:paraId="7A3541AA">
            <w:pPr>
              <w:spacing w:line="400" w:lineRule="exact"/>
              <w:rPr>
                <w:szCs w:val="21"/>
              </w:rPr>
            </w:pPr>
            <w:r>
              <w:rPr>
                <w:rFonts w:hint="eastAsia" w:hAnsi="宋体"/>
                <w:szCs w:val="21"/>
              </w:rPr>
              <w:t>第二章招标需求要览</w:t>
            </w:r>
          </w:p>
          <w:p w14:paraId="679CB657">
            <w:pPr>
              <w:spacing w:line="400" w:lineRule="exact"/>
              <w:rPr>
                <w:szCs w:val="21"/>
              </w:rPr>
            </w:pPr>
            <w:r>
              <w:rPr>
                <w:rFonts w:hint="eastAsia" w:hAnsi="宋体"/>
                <w:szCs w:val="21"/>
              </w:rPr>
              <w:t>第三章投标方须知</w:t>
            </w:r>
          </w:p>
          <w:p w14:paraId="6E70B996">
            <w:pPr>
              <w:spacing w:line="400" w:lineRule="exact"/>
              <w:rPr>
                <w:szCs w:val="21"/>
              </w:rPr>
            </w:pPr>
            <w:r>
              <w:rPr>
                <w:rFonts w:hint="eastAsia" w:hAnsi="宋体"/>
                <w:szCs w:val="21"/>
              </w:rPr>
              <w:t>第四章合同格式</w:t>
            </w:r>
          </w:p>
          <w:p w14:paraId="3223CF98">
            <w:pPr>
              <w:spacing w:line="400" w:lineRule="exact"/>
              <w:rPr>
                <w:szCs w:val="21"/>
              </w:rPr>
            </w:pPr>
            <w:r>
              <w:rPr>
                <w:rFonts w:hint="eastAsia" w:hAnsi="宋体"/>
                <w:szCs w:val="21"/>
              </w:rPr>
              <w:t>第五章投标文件格式</w:t>
            </w:r>
          </w:p>
        </w:tc>
      </w:tr>
      <w:tr w14:paraId="2BD0DF74">
        <w:tblPrEx>
          <w:tblCellMar>
            <w:top w:w="0" w:type="dxa"/>
            <w:left w:w="108" w:type="dxa"/>
            <w:bottom w:w="0" w:type="dxa"/>
            <w:right w:w="108" w:type="dxa"/>
          </w:tblCellMar>
        </w:tblPrEx>
        <w:tc>
          <w:tcPr>
            <w:tcW w:w="828" w:type="dxa"/>
          </w:tcPr>
          <w:p w14:paraId="6EE61222">
            <w:pPr>
              <w:spacing w:line="400" w:lineRule="exact"/>
              <w:ind w:right="-57"/>
              <w:rPr>
                <w:szCs w:val="21"/>
              </w:rPr>
            </w:pPr>
            <w:r>
              <w:rPr>
                <w:szCs w:val="21"/>
              </w:rPr>
              <w:t>5.2</w:t>
            </w:r>
          </w:p>
        </w:tc>
        <w:tc>
          <w:tcPr>
            <w:tcW w:w="7560" w:type="dxa"/>
          </w:tcPr>
          <w:p w14:paraId="0B488C84">
            <w:pPr>
              <w:spacing w:line="400" w:lineRule="exact"/>
              <w:rPr>
                <w:rFonts w:hAnsi="宋体"/>
                <w:szCs w:val="21"/>
              </w:rPr>
            </w:pPr>
            <w:r>
              <w:rPr>
                <w:rFonts w:hint="eastAsia" w:hAnsi="宋体"/>
                <w:szCs w:val="21"/>
              </w:rPr>
              <w:t>投标方应认真阅读招标文件中所有的事项、格式、条款和技术规范等。投标方没有按照招标文件要求提交全部资料，或者投标没有对招标文件在各方面都作出实质性响应是投标方的风险，并可能导致其投标被拒绝。</w:t>
            </w:r>
          </w:p>
        </w:tc>
      </w:tr>
      <w:tr w14:paraId="035C4B18">
        <w:tblPrEx>
          <w:tblCellMar>
            <w:top w:w="0" w:type="dxa"/>
            <w:left w:w="108" w:type="dxa"/>
            <w:bottom w:w="0" w:type="dxa"/>
            <w:right w:w="108" w:type="dxa"/>
          </w:tblCellMar>
        </w:tblPrEx>
        <w:tc>
          <w:tcPr>
            <w:tcW w:w="8388" w:type="dxa"/>
            <w:gridSpan w:val="2"/>
          </w:tcPr>
          <w:p w14:paraId="45D41672">
            <w:pPr>
              <w:rPr>
                <w:rFonts w:ascii="黑体" w:eastAsia="黑体"/>
                <w:szCs w:val="21"/>
              </w:rPr>
            </w:pPr>
            <w:bookmarkStart w:id="72" w:name="_Toc211243253"/>
            <w:bookmarkStart w:id="73" w:name="_Toc205616007"/>
            <w:bookmarkStart w:id="74" w:name="_Toc205623159"/>
            <w:bookmarkStart w:id="75" w:name="_Toc236803075"/>
            <w:r>
              <w:rPr>
                <w:rFonts w:ascii="宋体" w:hAnsi="宋体"/>
                <w:b/>
              </w:rPr>
              <w:t xml:space="preserve">6. </w:t>
            </w:r>
            <w:r>
              <w:rPr>
                <w:rFonts w:hint="eastAsia" w:ascii="宋体" w:hAnsi="宋体"/>
                <w:b/>
              </w:rPr>
              <w:t>招标文件的澄清</w:t>
            </w:r>
            <w:bookmarkEnd w:id="72"/>
            <w:bookmarkEnd w:id="73"/>
            <w:bookmarkEnd w:id="74"/>
            <w:bookmarkEnd w:id="75"/>
          </w:p>
        </w:tc>
      </w:tr>
      <w:tr w14:paraId="2E245A64">
        <w:tblPrEx>
          <w:tblCellMar>
            <w:top w:w="0" w:type="dxa"/>
            <w:left w:w="108" w:type="dxa"/>
            <w:bottom w:w="0" w:type="dxa"/>
            <w:right w:w="108" w:type="dxa"/>
          </w:tblCellMar>
        </w:tblPrEx>
        <w:trPr>
          <w:trHeight w:val="431" w:hRule="atLeast"/>
        </w:trPr>
        <w:tc>
          <w:tcPr>
            <w:tcW w:w="828" w:type="dxa"/>
          </w:tcPr>
          <w:p w14:paraId="546B02C3">
            <w:pPr>
              <w:spacing w:line="400" w:lineRule="exact"/>
              <w:ind w:right="-57"/>
              <w:rPr>
                <w:rFonts w:ascii="宋体"/>
                <w:szCs w:val="21"/>
              </w:rPr>
            </w:pPr>
            <w:r>
              <w:rPr>
                <w:szCs w:val="21"/>
              </w:rPr>
              <w:t>6.1</w:t>
            </w:r>
          </w:p>
        </w:tc>
        <w:tc>
          <w:tcPr>
            <w:tcW w:w="7560" w:type="dxa"/>
          </w:tcPr>
          <w:p w14:paraId="57B5CBB7">
            <w:pPr>
              <w:spacing w:line="400" w:lineRule="exact"/>
              <w:rPr>
                <w:rFonts w:hAnsi="宋体"/>
                <w:szCs w:val="21"/>
              </w:rPr>
            </w:pPr>
            <w:r>
              <w:rPr>
                <w:rFonts w:hint="eastAsia" w:hAnsi="宋体"/>
                <w:szCs w:val="21"/>
              </w:rPr>
              <w:t>任何要求对招标文件进行澄清的投标方，均应以书面形式通知招标方。招标方对其在投标截止期</w:t>
            </w:r>
            <w:r>
              <w:rPr>
                <w:szCs w:val="21"/>
              </w:rPr>
              <w:t>15</w:t>
            </w:r>
            <w:r>
              <w:rPr>
                <w:rFonts w:hint="eastAsia" w:hAnsi="宋体"/>
                <w:szCs w:val="21"/>
              </w:rPr>
              <w:t>天以前收到的对招标文件的澄清要求均以书面形式予以答复，同时将书面答复发给每个领取招标文件的投标方（答复中不包括问题的来源）。</w:t>
            </w:r>
          </w:p>
        </w:tc>
      </w:tr>
      <w:tr w14:paraId="5D9A436D">
        <w:tblPrEx>
          <w:tblCellMar>
            <w:top w:w="0" w:type="dxa"/>
            <w:left w:w="108" w:type="dxa"/>
            <w:bottom w:w="0" w:type="dxa"/>
            <w:right w:w="108" w:type="dxa"/>
          </w:tblCellMar>
        </w:tblPrEx>
        <w:tc>
          <w:tcPr>
            <w:tcW w:w="8388" w:type="dxa"/>
            <w:gridSpan w:val="2"/>
          </w:tcPr>
          <w:p w14:paraId="319A6E69">
            <w:pPr>
              <w:rPr>
                <w:rFonts w:ascii="黑体" w:eastAsia="黑体"/>
                <w:szCs w:val="21"/>
              </w:rPr>
            </w:pPr>
            <w:bookmarkStart w:id="76" w:name="_Toc211243255"/>
            <w:bookmarkStart w:id="77" w:name="_Toc205616009"/>
            <w:bookmarkStart w:id="78" w:name="_Toc205623161"/>
            <w:bookmarkStart w:id="79" w:name="_Toc236803076"/>
            <w:r>
              <w:rPr>
                <w:rFonts w:ascii="宋体" w:hAnsi="宋体"/>
                <w:b/>
              </w:rPr>
              <w:t xml:space="preserve">7. </w:t>
            </w:r>
            <w:r>
              <w:rPr>
                <w:rFonts w:hint="eastAsia" w:ascii="宋体" w:hAnsi="宋体"/>
                <w:b/>
              </w:rPr>
              <w:t>招标文件的修改</w:t>
            </w:r>
            <w:bookmarkEnd w:id="76"/>
            <w:bookmarkEnd w:id="77"/>
            <w:bookmarkEnd w:id="78"/>
            <w:bookmarkEnd w:id="79"/>
          </w:p>
        </w:tc>
      </w:tr>
      <w:tr w14:paraId="1DE9652C">
        <w:tblPrEx>
          <w:tblCellMar>
            <w:top w:w="0" w:type="dxa"/>
            <w:left w:w="108" w:type="dxa"/>
            <w:bottom w:w="0" w:type="dxa"/>
            <w:right w:w="108" w:type="dxa"/>
          </w:tblCellMar>
        </w:tblPrEx>
        <w:tc>
          <w:tcPr>
            <w:tcW w:w="828" w:type="dxa"/>
          </w:tcPr>
          <w:p w14:paraId="38439EBF">
            <w:pPr>
              <w:spacing w:line="400" w:lineRule="exact"/>
              <w:ind w:right="-57"/>
              <w:rPr>
                <w:szCs w:val="21"/>
              </w:rPr>
            </w:pPr>
            <w:r>
              <w:rPr>
                <w:szCs w:val="21"/>
              </w:rPr>
              <w:t xml:space="preserve">7.1  </w:t>
            </w:r>
          </w:p>
        </w:tc>
        <w:tc>
          <w:tcPr>
            <w:tcW w:w="7560" w:type="dxa"/>
          </w:tcPr>
          <w:p w14:paraId="5E311C1B">
            <w:pPr>
              <w:spacing w:line="400" w:lineRule="exact"/>
              <w:rPr>
                <w:szCs w:val="21"/>
              </w:rPr>
            </w:pPr>
            <w:r>
              <w:rPr>
                <w:rFonts w:hint="eastAsia"/>
                <w:szCs w:val="21"/>
              </w:rPr>
              <w:t>投标截止期前的任何时候，无论出于何种原因，招标方可主动地或在解答投标方提出的澄清问题时对招标文件进行修改。</w:t>
            </w:r>
          </w:p>
        </w:tc>
      </w:tr>
      <w:tr w14:paraId="325B1CAD">
        <w:tblPrEx>
          <w:tblCellMar>
            <w:top w:w="0" w:type="dxa"/>
            <w:left w:w="108" w:type="dxa"/>
            <w:bottom w:w="0" w:type="dxa"/>
            <w:right w:w="108" w:type="dxa"/>
          </w:tblCellMar>
        </w:tblPrEx>
        <w:tc>
          <w:tcPr>
            <w:tcW w:w="828" w:type="dxa"/>
          </w:tcPr>
          <w:p w14:paraId="1751216D">
            <w:pPr>
              <w:spacing w:line="400" w:lineRule="exact"/>
              <w:ind w:right="-57"/>
              <w:rPr>
                <w:szCs w:val="21"/>
              </w:rPr>
            </w:pPr>
            <w:r>
              <w:rPr>
                <w:szCs w:val="21"/>
              </w:rPr>
              <w:t xml:space="preserve">7.2  </w:t>
            </w:r>
          </w:p>
        </w:tc>
        <w:tc>
          <w:tcPr>
            <w:tcW w:w="7560" w:type="dxa"/>
          </w:tcPr>
          <w:p w14:paraId="0AC975DF">
            <w:pPr>
              <w:spacing w:line="400" w:lineRule="exact"/>
              <w:rPr>
                <w:szCs w:val="21"/>
              </w:rPr>
            </w:pPr>
            <w:r>
              <w:rPr>
                <w:rFonts w:hint="eastAsia"/>
                <w:szCs w:val="21"/>
              </w:rPr>
              <w:t>招标文件的修改将以书面形式通知所有领取招标文件的投标方，并对其具有约束力。投标方在收到上述通知后，应立即向招标方回函确认。</w:t>
            </w:r>
          </w:p>
        </w:tc>
      </w:tr>
      <w:tr w14:paraId="7786A295">
        <w:tblPrEx>
          <w:tblCellMar>
            <w:top w:w="0" w:type="dxa"/>
            <w:left w:w="108" w:type="dxa"/>
            <w:bottom w:w="0" w:type="dxa"/>
            <w:right w:w="108" w:type="dxa"/>
          </w:tblCellMar>
        </w:tblPrEx>
        <w:tc>
          <w:tcPr>
            <w:tcW w:w="828" w:type="dxa"/>
          </w:tcPr>
          <w:p w14:paraId="771599DA">
            <w:pPr>
              <w:spacing w:line="400" w:lineRule="exact"/>
              <w:ind w:right="-57"/>
              <w:rPr>
                <w:rFonts w:ascii="宋体"/>
                <w:szCs w:val="21"/>
              </w:rPr>
            </w:pPr>
            <w:r>
              <w:rPr>
                <w:szCs w:val="21"/>
              </w:rPr>
              <w:t>7.3</w:t>
            </w:r>
          </w:p>
        </w:tc>
        <w:tc>
          <w:tcPr>
            <w:tcW w:w="7560" w:type="dxa"/>
          </w:tcPr>
          <w:p w14:paraId="6FCDDEE7">
            <w:pPr>
              <w:spacing w:line="400" w:lineRule="exact"/>
              <w:rPr>
                <w:szCs w:val="21"/>
              </w:rPr>
            </w:pPr>
            <w:r>
              <w:rPr>
                <w:rFonts w:hint="eastAsia"/>
                <w:szCs w:val="21"/>
              </w:rPr>
              <w:t>为使投标</w:t>
            </w:r>
            <w:r>
              <w:rPr>
                <w:rFonts w:hint="eastAsia"/>
                <w:szCs w:val="21"/>
                <w:lang w:eastAsia="zh-CN"/>
              </w:rPr>
              <w:t>方在</w:t>
            </w:r>
            <w:r>
              <w:rPr>
                <w:rFonts w:hint="eastAsia"/>
                <w:szCs w:val="21"/>
              </w:rPr>
              <w:t>准备投标时有充分时间对招标文件的修改部分进行研究，招标方将按规定和需要适当推迟投标截止期。</w:t>
            </w:r>
          </w:p>
        </w:tc>
      </w:tr>
      <w:tr w14:paraId="0B1AD730">
        <w:tblPrEx>
          <w:tblCellMar>
            <w:top w:w="0" w:type="dxa"/>
            <w:left w:w="108" w:type="dxa"/>
            <w:bottom w:w="0" w:type="dxa"/>
            <w:right w:w="108" w:type="dxa"/>
          </w:tblCellMar>
        </w:tblPrEx>
        <w:tc>
          <w:tcPr>
            <w:tcW w:w="8388" w:type="dxa"/>
            <w:gridSpan w:val="2"/>
          </w:tcPr>
          <w:p w14:paraId="598E2D2E">
            <w:pPr>
              <w:pStyle w:val="3"/>
              <w:spacing w:before="360" w:after="0" w:line="240" w:lineRule="auto"/>
              <w:jc w:val="center"/>
              <w:rPr>
                <w:rFonts w:ascii="楷体_GB2312" w:eastAsia="楷体_GB2312"/>
                <w:sz w:val="24"/>
                <w:szCs w:val="24"/>
              </w:rPr>
            </w:pPr>
            <w:bookmarkStart w:id="80" w:name="_Toc21141"/>
            <w:bookmarkStart w:id="81" w:name="_Toc496002348"/>
            <w:bookmarkStart w:id="82" w:name="_Toc211243256"/>
            <w:bookmarkStart w:id="83" w:name="_Toc236803077"/>
            <w:r>
              <w:rPr>
                <w:rFonts w:hint="eastAsia" w:ascii="楷体_GB2312" w:eastAsia="楷体_GB2312"/>
                <w:sz w:val="24"/>
                <w:szCs w:val="24"/>
              </w:rPr>
              <w:t>三投标文件的编制</w:t>
            </w:r>
            <w:bookmarkEnd w:id="80"/>
            <w:bookmarkEnd w:id="81"/>
            <w:bookmarkEnd w:id="82"/>
            <w:bookmarkEnd w:id="83"/>
          </w:p>
        </w:tc>
      </w:tr>
      <w:tr w14:paraId="0661802F">
        <w:tblPrEx>
          <w:tblCellMar>
            <w:top w:w="0" w:type="dxa"/>
            <w:left w:w="108" w:type="dxa"/>
            <w:bottom w:w="0" w:type="dxa"/>
            <w:right w:w="108" w:type="dxa"/>
          </w:tblCellMar>
        </w:tblPrEx>
        <w:tc>
          <w:tcPr>
            <w:tcW w:w="8388" w:type="dxa"/>
            <w:gridSpan w:val="2"/>
          </w:tcPr>
          <w:p w14:paraId="69843A61">
            <w:pPr>
              <w:rPr>
                <w:rFonts w:ascii="宋体"/>
                <w:b/>
              </w:rPr>
            </w:pPr>
            <w:bookmarkStart w:id="84" w:name="_Toc205623164"/>
            <w:bookmarkStart w:id="85" w:name="_Toc205616012"/>
            <w:bookmarkStart w:id="86" w:name="_Toc211243258"/>
            <w:bookmarkStart w:id="87" w:name="_Toc236803078"/>
            <w:r>
              <w:rPr>
                <w:rFonts w:ascii="宋体" w:hAnsi="宋体"/>
                <w:b/>
              </w:rPr>
              <w:t xml:space="preserve">8. </w:t>
            </w:r>
            <w:r>
              <w:rPr>
                <w:rFonts w:hint="eastAsia" w:ascii="宋体" w:hAnsi="宋体"/>
                <w:b/>
              </w:rPr>
              <w:t>投标的语言</w:t>
            </w:r>
            <w:bookmarkEnd w:id="84"/>
            <w:bookmarkEnd w:id="85"/>
            <w:bookmarkEnd w:id="86"/>
            <w:bookmarkEnd w:id="87"/>
          </w:p>
        </w:tc>
      </w:tr>
      <w:tr w14:paraId="74F87972">
        <w:tblPrEx>
          <w:tblCellMar>
            <w:top w:w="0" w:type="dxa"/>
            <w:left w:w="108" w:type="dxa"/>
            <w:bottom w:w="0" w:type="dxa"/>
            <w:right w:w="108" w:type="dxa"/>
          </w:tblCellMar>
        </w:tblPrEx>
        <w:tc>
          <w:tcPr>
            <w:tcW w:w="828" w:type="dxa"/>
          </w:tcPr>
          <w:p w14:paraId="7EEF1008">
            <w:pPr>
              <w:spacing w:line="400" w:lineRule="exact"/>
              <w:ind w:right="-57"/>
              <w:rPr>
                <w:rFonts w:ascii="宋体"/>
                <w:szCs w:val="21"/>
              </w:rPr>
            </w:pPr>
            <w:r>
              <w:rPr>
                <w:szCs w:val="21"/>
              </w:rPr>
              <w:t xml:space="preserve">8.1  </w:t>
            </w:r>
          </w:p>
        </w:tc>
        <w:tc>
          <w:tcPr>
            <w:tcW w:w="7560" w:type="dxa"/>
          </w:tcPr>
          <w:p w14:paraId="545C28B4">
            <w:pPr>
              <w:pStyle w:val="18"/>
              <w:spacing w:line="400" w:lineRule="exact"/>
              <w:rPr>
                <w:szCs w:val="21"/>
              </w:rPr>
            </w:pPr>
            <w:r>
              <w:rPr>
                <w:rFonts w:hint="eastAsia" w:hAnsi="宋体"/>
                <w:szCs w:val="21"/>
              </w:rPr>
              <w:t>投标方提交的投标文件以及投标方与招标方就有关投标的所有来往函电均应使用中文书写。对于任何非中文的资料，都应提供中文翻译本，在解</w:t>
            </w:r>
            <w:r>
              <w:rPr>
                <w:rFonts w:hint="eastAsia"/>
                <w:szCs w:val="21"/>
              </w:rPr>
              <w:t>释时以翻译本为准。</w:t>
            </w:r>
          </w:p>
        </w:tc>
      </w:tr>
      <w:tr w14:paraId="402455AC">
        <w:tblPrEx>
          <w:tblCellMar>
            <w:top w:w="0" w:type="dxa"/>
            <w:left w:w="108" w:type="dxa"/>
            <w:bottom w:w="0" w:type="dxa"/>
            <w:right w:w="108" w:type="dxa"/>
          </w:tblCellMar>
        </w:tblPrEx>
        <w:tc>
          <w:tcPr>
            <w:tcW w:w="8388" w:type="dxa"/>
            <w:gridSpan w:val="2"/>
          </w:tcPr>
          <w:p w14:paraId="2FD0B495">
            <w:pPr>
              <w:rPr>
                <w:rFonts w:ascii="黑体" w:eastAsia="黑体"/>
                <w:szCs w:val="21"/>
              </w:rPr>
            </w:pPr>
            <w:bookmarkStart w:id="88" w:name="_Toc236803079"/>
            <w:bookmarkStart w:id="89" w:name="_Toc205616014"/>
            <w:bookmarkStart w:id="90" w:name="_Toc205623166"/>
            <w:bookmarkStart w:id="91" w:name="_Toc211243260"/>
            <w:r>
              <w:rPr>
                <w:rFonts w:ascii="宋体" w:hAnsi="宋体"/>
                <w:b/>
              </w:rPr>
              <w:t xml:space="preserve">9. </w:t>
            </w:r>
            <w:r>
              <w:rPr>
                <w:rFonts w:hint="eastAsia" w:ascii="宋体" w:hAnsi="宋体"/>
                <w:b/>
              </w:rPr>
              <w:t>投标文件构成</w:t>
            </w:r>
            <w:bookmarkEnd w:id="88"/>
            <w:bookmarkEnd w:id="89"/>
            <w:bookmarkEnd w:id="90"/>
            <w:bookmarkEnd w:id="91"/>
          </w:p>
        </w:tc>
      </w:tr>
      <w:tr w14:paraId="032E2BD7">
        <w:tblPrEx>
          <w:tblCellMar>
            <w:top w:w="0" w:type="dxa"/>
            <w:left w:w="108" w:type="dxa"/>
            <w:bottom w:w="0" w:type="dxa"/>
            <w:right w:w="108" w:type="dxa"/>
          </w:tblCellMar>
        </w:tblPrEx>
        <w:tc>
          <w:tcPr>
            <w:tcW w:w="828" w:type="dxa"/>
          </w:tcPr>
          <w:p w14:paraId="2B1E0F3E">
            <w:pPr>
              <w:spacing w:line="400" w:lineRule="exact"/>
              <w:ind w:right="-57"/>
              <w:rPr>
                <w:rFonts w:ascii="宋体"/>
                <w:szCs w:val="21"/>
              </w:rPr>
            </w:pPr>
            <w:r>
              <w:rPr>
                <w:szCs w:val="21"/>
              </w:rPr>
              <w:t xml:space="preserve">9.1  </w:t>
            </w:r>
          </w:p>
        </w:tc>
        <w:tc>
          <w:tcPr>
            <w:tcW w:w="7560" w:type="dxa"/>
          </w:tcPr>
          <w:p w14:paraId="6886C08B">
            <w:pPr>
              <w:spacing w:line="400" w:lineRule="exact"/>
              <w:rPr>
                <w:szCs w:val="21"/>
              </w:rPr>
            </w:pPr>
            <w:r>
              <w:rPr>
                <w:rFonts w:hint="eastAsia" w:hAnsi="宋体"/>
                <w:szCs w:val="21"/>
              </w:rPr>
              <w:t>投标方编写的投标文件应包括下列部分：</w:t>
            </w:r>
          </w:p>
          <w:p w14:paraId="57D21A01">
            <w:pPr>
              <w:spacing w:line="400" w:lineRule="exact"/>
              <w:rPr>
                <w:szCs w:val="21"/>
              </w:rPr>
            </w:pPr>
            <w:r>
              <w:rPr>
                <w:szCs w:val="21"/>
              </w:rPr>
              <w:t>1</w:t>
            </w:r>
            <w:r>
              <w:rPr>
                <w:rFonts w:hint="eastAsia"/>
                <w:szCs w:val="21"/>
              </w:rPr>
              <w:t>）</w:t>
            </w:r>
            <w:r>
              <w:rPr>
                <w:rFonts w:hint="eastAsia" w:hAnsi="宋体"/>
                <w:szCs w:val="21"/>
              </w:rPr>
              <w:t>投标书；（见格式</w:t>
            </w:r>
            <w:r>
              <w:rPr>
                <w:rFonts w:hAnsi="宋体"/>
                <w:szCs w:val="21"/>
              </w:rPr>
              <w:t>1</w:t>
            </w:r>
            <w:r>
              <w:rPr>
                <w:rFonts w:hint="eastAsia" w:hAnsi="宋体"/>
                <w:szCs w:val="21"/>
              </w:rPr>
              <w:t>）</w:t>
            </w:r>
          </w:p>
          <w:p w14:paraId="41B09690">
            <w:pPr>
              <w:spacing w:line="400" w:lineRule="exact"/>
              <w:rPr>
                <w:szCs w:val="21"/>
              </w:rPr>
            </w:pPr>
            <w:r>
              <w:rPr>
                <w:szCs w:val="21"/>
              </w:rPr>
              <w:t>2</w:t>
            </w:r>
            <w:r>
              <w:rPr>
                <w:rFonts w:hint="eastAsia"/>
                <w:szCs w:val="21"/>
              </w:rPr>
              <w:t>）</w:t>
            </w:r>
            <w:r>
              <w:rPr>
                <w:rFonts w:hint="eastAsia" w:hAnsi="宋体"/>
                <w:szCs w:val="21"/>
              </w:rPr>
              <w:t>投标一览表；（见格式</w:t>
            </w:r>
            <w:r>
              <w:rPr>
                <w:rFonts w:hAnsi="宋体"/>
                <w:szCs w:val="21"/>
              </w:rPr>
              <w:t>2</w:t>
            </w:r>
            <w:r>
              <w:rPr>
                <w:rFonts w:hint="eastAsia" w:hAnsi="宋体"/>
                <w:szCs w:val="21"/>
              </w:rPr>
              <w:t>）</w:t>
            </w:r>
          </w:p>
          <w:p w14:paraId="665EC7A2">
            <w:pPr>
              <w:spacing w:line="400" w:lineRule="exact"/>
              <w:rPr>
                <w:szCs w:val="21"/>
              </w:rPr>
            </w:pPr>
            <w:r>
              <w:rPr>
                <w:szCs w:val="21"/>
              </w:rPr>
              <w:t>3</w:t>
            </w:r>
            <w:r>
              <w:rPr>
                <w:rFonts w:hint="eastAsia"/>
                <w:szCs w:val="21"/>
              </w:rPr>
              <w:t>）</w:t>
            </w:r>
            <w:r>
              <w:rPr>
                <w:rFonts w:hint="eastAsia" w:hAnsi="宋体"/>
                <w:szCs w:val="21"/>
              </w:rPr>
              <w:t>投标分项报价表；（见格式</w:t>
            </w:r>
            <w:r>
              <w:rPr>
                <w:rFonts w:hAnsi="宋体"/>
                <w:szCs w:val="21"/>
              </w:rPr>
              <w:t>3</w:t>
            </w:r>
            <w:r>
              <w:rPr>
                <w:rFonts w:hint="eastAsia" w:hAnsi="宋体"/>
                <w:szCs w:val="21"/>
              </w:rPr>
              <w:t>）</w:t>
            </w:r>
          </w:p>
          <w:p w14:paraId="41C78488">
            <w:pPr>
              <w:spacing w:line="400" w:lineRule="exact"/>
              <w:rPr>
                <w:rFonts w:hAnsi="宋体"/>
                <w:szCs w:val="21"/>
              </w:rPr>
            </w:pPr>
            <w:r>
              <w:rPr>
                <w:szCs w:val="21"/>
              </w:rPr>
              <w:t>4</w:t>
            </w:r>
            <w:r>
              <w:rPr>
                <w:rFonts w:hint="eastAsia"/>
                <w:szCs w:val="21"/>
              </w:rPr>
              <w:t>）</w:t>
            </w:r>
            <w:r>
              <w:rPr>
                <w:rFonts w:hint="eastAsia" w:hAnsi="宋体"/>
                <w:szCs w:val="21"/>
              </w:rPr>
              <w:t>货物说明一览表；（见格式</w:t>
            </w:r>
            <w:r>
              <w:rPr>
                <w:rFonts w:hAnsi="宋体"/>
                <w:szCs w:val="21"/>
              </w:rPr>
              <w:t>4</w:t>
            </w:r>
            <w:r>
              <w:rPr>
                <w:rFonts w:hint="eastAsia" w:hAnsi="宋体"/>
                <w:szCs w:val="21"/>
              </w:rPr>
              <w:t>）</w:t>
            </w:r>
          </w:p>
          <w:p w14:paraId="6B400ECD">
            <w:pPr>
              <w:spacing w:line="400" w:lineRule="exact"/>
              <w:rPr>
                <w:rFonts w:hAnsi="宋体"/>
                <w:szCs w:val="21"/>
              </w:rPr>
            </w:pPr>
            <w:r>
              <w:rPr>
                <w:rFonts w:hAnsi="宋体"/>
                <w:szCs w:val="21"/>
              </w:rPr>
              <w:t>5</w:t>
            </w:r>
            <w:r>
              <w:rPr>
                <w:rFonts w:hint="eastAsia" w:hAnsi="宋体"/>
                <w:szCs w:val="21"/>
              </w:rPr>
              <w:t>）</w:t>
            </w:r>
            <w:r>
              <w:rPr>
                <w:rFonts w:hint="eastAsia"/>
                <w:szCs w:val="28"/>
              </w:rPr>
              <w:t>技术性能参数的详细描述；</w:t>
            </w:r>
            <w:r>
              <w:rPr>
                <w:rFonts w:hint="eastAsia" w:hAnsi="宋体"/>
                <w:szCs w:val="21"/>
              </w:rPr>
              <w:t>（见格式</w:t>
            </w:r>
            <w:r>
              <w:rPr>
                <w:rFonts w:hAnsi="宋体"/>
                <w:szCs w:val="21"/>
              </w:rPr>
              <w:t>5</w:t>
            </w:r>
            <w:r>
              <w:rPr>
                <w:rFonts w:hint="eastAsia" w:hAnsi="宋体"/>
                <w:szCs w:val="21"/>
              </w:rPr>
              <w:t>）</w:t>
            </w:r>
          </w:p>
          <w:p w14:paraId="6FFCD0FC">
            <w:pPr>
              <w:spacing w:line="400" w:lineRule="exact"/>
              <w:rPr>
                <w:szCs w:val="21"/>
              </w:rPr>
            </w:pPr>
            <w:r>
              <w:rPr>
                <w:szCs w:val="21"/>
              </w:rPr>
              <w:t>6</w:t>
            </w:r>
            <w:r>
              <w:rPr>
                <w:rFonts w:hint="eastAsia"/>
                <w:szCs w:val="21"/>
              </w:rPr>
              <w:t>）</w:t>
            </w:r>
            <w:r>
              <w:rPr>
                <w:rFonts w:hint="eastAsia" w:hAnsi="宋体"/>
                <w:szCs w:val="21"/>
              </w:rPr>
              <w:t>技术规格响应</w:t>
            </w:r>
            <w:r>
              <w:rPr>
                <w:rFonts w:hAnsi="宋体"/>
                <w:szCs w:val="21"/>
              </w:rPr>
              <w:t>/</w:t>
            </w:r>
            <w:r>
              <w:rPr>
                <w:rFonts w:hint="eastAsia" w:hAnsi="宋体"/>
                <w:szCs w:val="21"/>
              </w:rPr>
              <w:t>偏离表；（见格式</w:t>
            </w:r>
            <w:r>
              <w:rPr>
                <w:rFonts w:hAnsi="宋体"/>
                <w:szCs w:val="21"/>
              </w:rPr>
              <w:t>6</w:t>
            </w:r>
            <w:r>
              <w:rPr>
                <w:rFonts w:hint="eastAsia" w:hAnsi="宋体"/>
                <w:szCs w:val="21"/>
              </w:rPr>
              <w:t>）</w:t>
            </w:r>
          </w:p>
          <w:p w14:paraId="3EF5EEFB">
            <w:pPr>
              <w:spacing w:line="400" w:lineRule="exact"/>
              <w:rPr>
                <w:rFonts w:hAnsi="宋体"/>
                <w:szCs w:val="21"/>
              </w:rPr>
            </w:pPr>
            <w:r>
              <w:rPr>
                <w:szCs w:val="21"/>
              </w:rPr>
              <w:t>7</w:t>
            </w:r>
            <w:r>
              <w:rPr>
                <w:rFonts w:hint="eastAsia"/>
                <w:szCs w:val="21"/>
              </w:rPr>
              <w:t>）</w:t>
            </w:r>
            <w:r>
              <w:rPr>
                <w:rFonts w:hint="eastAsia" w:hAnsi="宋体"/>
                <w:szCs w:val="21"/>
              </w:rPr>
              <w:t>商务条款响应</w:t>
            </w:r>
            <w:r>
              <w:rPr>
                <w:rFonts w:hAnsi="宋体"/>
                <w:szCs w:val="21"/>
              </w:rPr>
              <w:t>/</w:t>
            </w:r>
            <w:r>
              <w:rPr>
                <w:rFonts w:hint="eastAsia" w:hAnsi="宋体"/>
                <w:szCs w:val="21"/>
              </w:rPr>
              <w:t>偏离表；（见格式</w:t>
            </w:r>
            <w:r>
              <w:rPr>
                <w:rFonts w:hAnsi="宋体"/>
                <w:szCs w:val="21"/>
              </w:rPr>
              <w:t>7</w:t>
            </w:r>
            <w:r>
              <w:rPr>
                <w:rFonts w:hint="eastAsia" w:hAnsi="宋体"/>
                <w:szCs w:val="21"/>
              </w:rPr>
              <w:t>）</w:t>
            </w:r>
          </w:p>
          <w:p w14:paraId="69C2F464">
            <w:pPr>
              <w:spacing w:line="400" w:lineRule="exact"/>
              <w:rPr>
                <w:rFonts w:hAnsi="宋体"/>
                <w:szCs w:val="21"/>
              </w:rPr>
            </w:pPr>
            <w:r>
              <w:rPr>
                <w:rFonts w:hAnsi="宋体"/>
                <w:szCs w:val="21"/>
              </w:rPr>
              <w:t>8</w:t>
            </w:r>
            <w:r>
              <w:rPr>
                <w:rFonts w:hint="eastAsia" w:hAnsi="宋体"/>
                <w:szCs w:val="21"/>
              </w:rPr>
              <w:t>）公司情况介绍；（见格式</w:t>
            </w:r>
            <w:r>
              <w:rPr>
                <w:rFonts w:hAnsi="宋体"/>
                <w:szCs w:val="21"/>
              </w:rPr>
              <w:t>8</w:t>
            </w:r>
            <w:r>
              <w:rPr>
                <w:rFonts w:hint="eastAsia" w:hAnsi="宋体"/>
                <w:szCs w:val="21"/>
              </w:rPr>
              <w:t>）</w:t>
            </w:r>
          </w:p>
          <w:p w14:paraId="105A706B">
            <w:pPr>
              <w:spacing w:line="400" w:lineRule="exact"/>
              <w:rPr>
                <w:rFonts w:hAnsi="宋体"/>
                <w:szCs w:val="21"/>
              </w:rPr>
            </w:pPr>
            <w:r>
              <w:rPr>
                <w:szCs w:val="21"/>
              </w:rPr>
              <w:t>9</w:t>
            </w:r>
            <w:r>
              <w:rPr>
                <w:rFonts w:hint="eastAsia"/>
                <w:szCs w:val="21"/>
              </w:rPr>
              <w:t>）</w:t>
            </w:r>
            <w:r>
              <w:rPr>
                <w:rFonts w:hint="eastAsia" w:hAnsi="宋体"/>
                <w:szCs w:val="21"/>
              </w:rPr>
              <w:t>售后服务计划；（见格式</w:t>
            </w:r>
            <w:r>
              <w:rPr>
                <w:rFonts w:hAnsi="宋体"/>
                <w:szCs w:val="21"/>
              </w:rPr>
              <w:t>9</w:t>
            </w:r>
            <w:r>
              <w:rPr>
                <w:rFonts w:hint="eastAsia" w:hAnsi="宋体"/>
                <w:szCs w:val="21"/>
              </w:rPr>
              <w:t>）</w:t>
            </w:r>
          </w:p>
          <w:p w14:paraId="0B9D686A">
            <w:pPr>
              <w:spacing w:line="400" w:lineRule="exact"/>
              <w:rPr>
                <w:rFonts w:ascii="宋体"/>
                <w:bCs/>
                <w:szCs w:val="21"/>
              </w:rPr>
            </w:pPr>
            <w:r>
              <w:rPr>
                <w:rFonts w:hAnsi="宋体"/>
                <w:szCs w:val="21"/>
              </w:rPr>
              <w:t>10</w:t>
            </w:r>
            <w:r>
              <w:rPr>
                <w:rFonts w:hint="eastAsia" w:hAnsi="宋体"/>
                <w:szCs w:val="21"/>
              </w:rPr>
              <w:t>）</w:t>
            </w:r>
            <w:r>
              <w:rPr>
                <w:rFonts w:hint="eastAsia" w:ascii="宋体" w:hAnsi="宋体"/>
                <w:bCs/>
                <w:szCs w:val="21"/>
              </w:rPr>
              <w:t>法定代表人证明书；</w:t>
            </w:r>
            <w:r>
              <w:rPr>
                <w:rFonts w:hint="eastAsia" w:hAnsi="宋体"/>
                <w:szCs w:val="21"/>
              </w:rPr>
              <w:t>（见格式</w:t>
            </w:r>
            <w:r>
              <w:rPr>
                <w:rFonts w:hAnsi="宋体"/>
                <w:szCs w:val="21"/>
              </w:rPr>
              <w:t>10</w:t>
            </w:r>
            <w:r>
              <w:rPr>
                <w:rFonts w:hint="eastAsia" w:hAnsi="宋体"/>
                <w:szCs w:val="21"/>
              </w:rPr>
              <w:t>）</w:t>
            </w:r>
          </w:p>
          <w:p w14:paraId="299F8EE9">
            <w:pPr>
              <w:spacing w:line="400" w:lineRule="exact"/>
              <w:rPr>
                <w:rFonts w:ascii="宋体"/>
                <w:bCs/>
                <w:szCs w:val="21"/>
              </w:rPr>
            </w:pPr>
            <w:r>
              <w:rPr>
                <w:bCs/>
                <w:szCs w:val="21"/>
              </w:rPr>
              <w:t>11</w:t>
            </w:r>
            <w:r>
              <w:rPr>
                <w:rFonts w:hint="eastAsia"/>
                <w:bCs/>
                <w:szCs w:val="21"/>
              </w:rPr>
              <w:t>）</w:t>
            </w:r>
            <w:r>
              <w:rPr>
                <w:rFonts w:hint="eastAsia" w:ascii="宋体" w:hAnsi="宋体"/>
                <w:bCs/>
                <w:szCs w:val="21"/>
              </w:rPr>
              <w:t>法定代表人授权书（</w:t>
            </w:r>
            <w:r>
              <w:rPr>
                <w:rFonts w:hint="eastAsia" w:hAnsi="宋体"/>
                <w:szCs w:val="21"/>
              </w:rPr>
              <w:t>见格式</w:t>
            </w:r>
            <w:r>
              <w:rPr>
                <w:rFonts w:hAnsi="宋体"/>
                <w:szCs w:val="21"/>
              </w:rPr>
              <w:t>11</w:t>
            </w:r>
            <w:r>
              <w:rPr>
                <w:rFonts w:hint="eastAsia" w:hAnsi="宋体"/>
                <w:szCs w:val="21"/>
              </w:rPr>
              <w:t>，</w:t>
            </w:r>
            <w:r>
              <w:rPr>
                <w:rFonts w:hint="eastAsia" w:ascii="宋体" w:hAnsi="宋体"/>
                <w:bCs/>
                <w:szCs w:val="21"/>
              </w:rPr>
              <w:t>投标文件非法定代表人签署时提供）；</w:t>
            </w:r>
          </w:p>
          <w:p w14:paraId="6A5D1F67">
            <w:pPr>
              <w:spacing w:line="400" w:lineRule="exact"/>
              <w:rPr>
                <w:szCs w:val="21"/>
              </w:rPr>
            </w:pPr>
            <w:r>
              <w:rPr>
                <w:szCs w:val="21"/>
              </w:rPr>
              <w:t>12</w:t>
            </w:r>
            <w:r>
              <w:rPr>
                <w:rFonts w:hint="eastAsia"/>
                <w:szCs w:val="21"/>
              </w:rPr>
              <w:t>）</w:t>
            </w:r>
            <w:r>
              <w:rPr>
                <w:rFonts w:hint="eastAsia" w:hAnsi="宋体"/>
                <w:szCs w:val="21"/>
              </w:rPr>
              <w:t>资格证明文件；（见格式</w:t>
            </w:r>
            <w:r>
              <w:rPr>
                <w:rFonts w:hAnsi="宋体"/>
                <w:szCs w:val="21"/>
              </w:rPr>
              <w:t>12</w:t>
            </w:r>
            <w:r>
              <w:rPr>
                <w:rFonts w:hint="eastAsia" w:hAnsi="宋体"/>
                <w:szCs w:val="21"/>
              </w:rPr>
              <w:t>和本须知第</w:t>
            </w:r>
            <w:r>
              <w:rPr>
                <w:rFonts w:hAnsi="宋体"/>
                <w:szCs w:val="21"/>
              </w:rPr>
              <w:t>12</w:t>
            </w:r>
            <w:r>
              <w:rPr>
                <w:rFonts w:hint="eastAsia" w:hAnsi="宋体"/>
                <w:szCs w:val="21"/>
              </w:rPr>
              <w:t>）</w:t>
            </w:r>
          </w:p>
          <w:p w14:paraId="013EBF72">
            <w:pPr>
              <w:spacing w:line="400" w:lineRule="exact"/>
              <w:ind w:left="374" w:hanging="374"/>
              <w:rPr>
                <w:rFonts w:hAnsi="宋体"/>
                <w:szCs w:val="21"/>
              </w:rPr>
            </w:pPr>
            <w:r>
              <w:rPr>
                <w:szCs w:val="21"/>
              </w:rPr>
              <w:t>13</w:t>
            </w:r>
            <w:r>
              <w:rPr>
                <w:rFonts w:hint="eastAsia"/>
                <w:szCs w:val="21"/>
              </w:rPr>
              <w:t>）</w:t>
            </w:r>
            <w:r>
              <w:rPr>
                <w:rFonts w:hint="eastAsia" w:hAnsi="宋体"/>
                <w:szCs w:val="21"/>
              </w:rPr>
              <w:t>投标货物符合</w:t>
            </w:r>
            <w:r>
              <w:rPr>
                <w:rFonts w:hint="eastAsia" w:ascii="宋体" w:hAnsi="宋体"/>
                <w:szCs w:val="21"/>
              </w:rPr>
              <w:t>“招标文件”规</w:t>
            </w:r>
            <w:r>
              <w:rPr>
                <w:rFonts w:hint="eastAsia" w:hAnsi="宋体"/>
                <w:szCs w:val="21"/>
              </w:rPr>
              <w:t>定的证明文件</w:t>
            </w:r>
            <w:r>
              <w:rPr>
                <w:rFonts w:hint="eastAsia" w:hAnsi="宋体"/>
                <w:szCs w:val="21"/>
                <w:lang w:eastAsia="zh-CN"/>
              </w:rPr>
              <w:t>，以</w:t>
            </w:r>
            <w:r>
              <w:rPr>
                <w:rFonts w:hint="eastAsia" w:hAnsi="宋体"/>
                <w:szCs w:val="21"/>
              </w:rPr>
              <w:t>及投标方认为需加以说明的其他内容；（见本须知第</w:t>
            </w:r>
            <w:r>
              <w:rPr>
                <w:rFonts w:hAnsi="宋体"/>
                <w:szCs w:val="21"/>
              </w:rPr>
              <w:t>13</w:t>
            </w:r>
            <w:r>
              <w:rPr>
                <w:rFonts w:hint="eastAsia" w:hAnsi="宋体"/>
                <w:szCs w:val="21"/>
              </w:rPr>
              <w:t>条）</w:t>
            </w:r>
          </w:p>
          <w:p w14:paraId="6A7BD407">
            <w:pPr>
              <w:spacing w:line="400" w:lineRule="exact"/>
              <w:ind w:left="420" w:hanging="420"/>
              <w:rPr>
                <w:szCs w:val="21"/>
              </w:rPr>
            </w:pPr>
            <w:r>
              <w:rPr>
                <w:rFonts w:hAnsi="宋体"/>
                <w:szCs w:val="21"/>
              </w:rPr>
              <w:t>14</w:t>
            </w:r>
            <w:r>
              <w:rPr>
                <w:rFonts w:hint="eastAsia" w:hAnsi="宋体"/>
                <w:szCs w:val="21"/>
              </w:rPr>
              <w:t>）提供制造商出具的产品中文说明书和</w:t>
            </w:r>
            <w:r>
              <w:rPr>
                <w:szCs w:val="21"/>
              </w:rPr>
              <w:t>/</w:t>
            </w:r>
            <w:r>
              <w:rPr>
                <w:rFonts w:hint="eastAsia"/>
                <w:szCs w:val="21"/>
              </w:rPr>
              <w:t>或</w:t>
            </w:r>
            <w:r>
              <w:rPr>
                <w:rFonts w:hint="eastAsia" w:hAnsi="宋体"/>
                <w:szCs w:val="21"/>
              </w:rPr>
              <w:t>样本（彩页、照片）；</w:t>
            </w:r>
          </w:p>
          <w:p w14:paraId="714DC142">
            <w:pPr>
              <w:spacing w:line="400" w:lineRule="exact"/>
              <w:rPr>
                <w:rFonts w:hAnsi="宋体"/>
                <w:szCs w:val="21"/>
              </w:rPr>
            </w:pPr>
            <w:r>
              <w:rPr>
                <w:szCs w:val="21"/>
              </w:rPr>
              <w:t>15</w:t>
            </w:r>
            <w:r>
              <w:rPr>
                <w:rFonts w:hint="eastAsia"/>
                <w:szCs w:val="21"/>
              </w:rPr>
              <w:t>）</w:t>
            </w:r>
            <w:r>
              <w:rPr>
                <w:rFonts w:hint="eastAsia" w:hAnsi="宋体"/>
                <w:szCs w:val="21"/>
              </w:rPr>
              <w:t>投标文件电子文档（使用</w:t>
            </w:r>
            <w:r>
              <w:rPr>
                <w:rFonts w:hAnsi="宋体"/>
                <w:szCs w:val="21"/>
              </w:rPr>
              <w:t>Word</w:t>
            </w:r>
            <w:r>
              <w:rPr>
                <w:rFonts w:hint="eastAsia" w:hAnsi="宋体"/>
                <w:szCs w:val="21"/>
              </w:rPr>
              <w:t>、</w:t>
            </w:r>
            <w:r>
              <w:rPr>
                <w:rFonts w:hAnsi="宋体"/>
                <w:szCs w:val="21"/>
              </w:rPr>
              <w:t>Excel</w:t>
            </w:r>
            <w:r>
              <w:rPr>
                <w:rFonts w:hint="eastAsia" w:hAnsi="宋体"/>
                <w:szCs w:val="21"/>
              </w:rPr>
              <w:t>、</w:t>
            </w:r>
            <w:r>
              <w:rPr>
                <w:rFonts w:hAnsi="宋体"/>
                <w:szCs w:val="21"/>
              </w:rPr>
              <w:t>AutoCAD</w:t>
            </w:r>
            <w:r>
              <w:rPr>
                <w:rFonts w:hint="eastAsia" w:hAnsi="宋体"/>
                <w:szCs w:val="21"/>
              </w:rPr>
              <w:t>格式刻录的只读U盘）。</w:t>
            </w:r>
          </w:p>
        </w:tc>
      </w:tr>
      <w:tr w14:paraId="42C74E37">
        <w:tblPrEx>
          <w:tblCellMar>
            <w:top w:w="0" w:type="dxa"/>
            <w:left w:w="108" w:type="dxa"/>
            <w:bottom w:w="0" w:type="dxa"/>
            <w:right w:w="108" w:type="dxa"/>
          </w:tblCellMar>
        </w:tblPrEx>
        <w:tc>
          <w:tcPr>
            <w:tcW w:w="828" w:type="dxa"/>
          </w:tcPr>
          <w:p w14:paraId="789F5C53">
            <w:pPr>
              <w:spacing w:line="400" w:lineRule="exact"/>
              <w:ind w:right="-57"/>
              <w:rPr>
                <w:szCs w:val="21"/>
              </w:rPr>
            </w:pPr>
            <w:r>
              <w:rPr>
                <w:szCs w:val="21"/>
              </w:rPr>
              <w:t xml:space="preserve">9.2  </w:t>
            </w:r>
          </w:p>
        </w:tc>
        <w:tc>
          <w:tcPr>
            <w:tcW w:w="7560" w:type="dxa"/>
          </w:tcPr>
          <w:p w14:paraId="5A1D16D8">
            <w:pPr>
              <w:spacing w:line="400" w:lineRule="exact"/>
              <w:rPr>
                <w:szCs w:val="21"/>
              </w:rPr>
            </w:pPr>
            <w:r>
              <w:rPr>
                <w:rFonts w:hint="eastAsia" w:hAnsi="宋体"/>
                <w:szCs w:val="21"/>
              </w:rPr>
              <w:t>投标方应将</w:t>
            </w:r>
            <w:r>
              <w:rPr>
                <w:rFonts w:hint="eastAsia" w:ascii="宋体" w:hAnsi="宋体"/>
                <w:szCs w:val="21"/>
              </w:rPr>
              <w:t>“投标文件”</w:t>
            </w:r>
            <w:r>
              <w:rPr>
                <w:rFonts w:hint="eastAsia" w:hAnsi="宋体"/>
                <w:szCs w:val="21"/>
              </w:rPr>
              <w:t>装订成册，并填写</w:t>
            </w:r>
            <w:r>
              <w:rPr>
                <w:rFonts w:hint="eastAsia" w:ascii="宋体" w:hAnsi="宋体"/>
                <w:szCs w:val="21"/>
              </w:rPr>
              <w:t>“投标文件资料清单”</w:t>
            </w:r>
            <w:r>
              <w:rPr>
                <w:rFonts w:hint="eastAsia" w:hAnsi="宋体"/>
                <w:szCs w:val="21"/>
              </w:rPr>
              <w:t>。</w:t>
            </w:r>
          </w:p>
        </w:tc>
      </w:tr>
      <w:tr w14:paraId="605EBA8A">
        <w:tblPrEx>
          <w:tblCellMar>
            <w:top w:w="0" w:type="dxa"/>
            <w:left w:w="108" w:type="dxa"/>
            <w:bottom w:w="0" w:type="dxa"/>
            <w:right w:w="108" w:type="dxa"/>
          </w:tblCellMar>
        </w:tblPrEx>
        <w:tc>
          <w:tcPr>
            <w:tcW w:w="8388" w:type="dxa"/>
            <w:gridSpan w:val="2"/>
          </w:tcPr>
          <w:p w14:paraId="317FDC25">
            <w:pPr>
              <w:rPr>
                <w:rFonts w:ascii="黑体" w:eastAsia="黑体"/>
                <w:szCs w:val="21"/>
              </w:rPr>
            </w:pPr>
            <w:bookmarkStart w:id="92" w:name="_Toc211243262"/>
            <w:bookmarkStart w:id="93" w:name="_Toc236803080"/>
            <w:bookmarkStart w:id="94" w:name="_Toc205616016"/>
            <w:bookmarkStart w:id="95" w:name="_Toc205623168"/>
            <w:r>
              <w:rPr>
                <w:rFonts w:ascii="宋体" w:hAnsi="宋体"/>
                <w:b/>
              </w:rPr>
              <w:t xml:space="preserve">10. </w:t>
            </w:r>
            <w:r>
              <w:rPr>
                <w:rFonts w:hint="eastAsia" w:ascii="宋体" w:hAnsi="宋体"/>
                <w:b/>
              </w:rPr>
              <w:t>投标文件格式</w:t>
            </w:r>
            <w:bookmarkEnd w:id="92"/>
            <w:bookmarkEnd w:id="93"/>
            <w:bookmarkEnd w:id="94"/>
            <w:bookmarkEnd w:id="95"/>
          </w:p>
        </w:tc>
      </w:tr>
      <w:tr w14:paraId="7CA2540F">
        <w:tblPrEx>
          <w:tblCellMar>
            <w:top w:w="0" w:type="dxa"/>
            <w:left w:w="108" w:type="dxa"/>
            <w:bottom w:w="0" w:type="dxa"/>
            <w:right w:w="108" w:type="dxa"/>
          </w:tblCellMar>
        </w:tblPrEx>
        <w:tc>
          <w:tcPr>
            <w:tcW w:w="828" w:type="dxa"/>
          </w:tcPr>
          <w:p w14:paraId="09FF733B">
            <w:pPr>
              <w:spacing w:line="400" w:lineRule="exact"/>
              <w:ind w:right="-57"/>
              <w:rPr>
                <w:szCs w:val="21"/>
              </w:rPr>
            </w:pPr>
            <w:r>
              <w:rPr>
                <w:szCs w:val="21"/>
              </w:rPr>
              <w:t>10.1</w:t>
            </w:r>
          </w:p>
        </w:tc>
        <w:tc>
          <w:tcPr>
            <w:tcW w:w="7560" w:type="dxa"/>
          </w:tcPr>
          <w:p w14:paraId="02C893EE">
            <w:pPr>
              <w:spacing w:line="400" w:lineRule="exact"/>
              <w:rPr>
                <w:rFonts w:ascii="宋体"/>
                <w:szCs w:val="21"/>
              </w:rPr>
            </w:pPr>
            <w:r>
              <w:rPr>
                <w:rFonts w:hint="eastAsia" w:ascii="宋体" w:hAnsi="宋体"/>
                <w:szCs w:val="21"/>
              </w:rPr>
              <w:t>投标方应按招标文件第五章提供的“投标文件格式”完整地填写投标文件及招标文件规定的</w:t>
            </w:r>
            <w:r>
              <w:rPr>
                <w:rFonts w:hint="eastAsia" w:ascii="宋体" w:hAnsi="宋体"/>
                <w:szCs w:val="21"/>
                <w:lang w:eastAsia="zh-CN"/>
              </w:rPr>
              <w:t>其他</w:t>
            </w:r>
            <w:r>
              <w:rPr>
                <w:rFonts w:hint="eastAsia" w:ascii="宋体" w:hAnsi="宋体"/>
                <w:szCs w:val="21"/>
              </w:rPr>
              <w:t>内容。</w:t>
            </w:r>
            <w:r>
              <w:rPr>
                <w:rFonts w:hint="eastAsia" w:hAnsi="宋体"/>
                <w:szCs w:val="21"/>
              </w:rPr>
              <w:t>未按规定格式填写，内容不全或关键字迹模糊、无法辨认的按废标处理。</w:t>
            </w:r>
          </w:p>
        </w:tc>
      </w:tr>
      <w:tr w14:paraId="689EBF1C">
        <w:tblPrEx>
          <w:tblCellMar>
            <w:top w:w="0" w:type="dxa"/>
            <w:left w:w="108" w:type="dxa"/>
            <w:bottom w:w="0" w:type="dxa"/>
            <w:right w:w="108" w:type="dxa"/>
          </w:tblCellMar>
        </w:tblPrEx>
        <w:tc>
          <w:tcPr>
            <w:tcW w:w="828" w:type="dxa"/>
          </w:tcPr>
          <w:p w14:paraId="27EFF4D0">
            <w:pPr>
              <w:spacing w:line="400" w:lineRule="exact"/>
              <w:ind w:right="-57"/>
              <w:rPr>
                <w:rFonts w:ascii="宋体"/>
                <w:szCs w:val="21"/>
              </w:rPr>
            </w:pPr>
            <w:r>
              <w:rPr>
                <w:szCs w:val="21"/>
              </w:rPr>
              <w:t>10.2</w:t>
            </w:r>
          </w:p>
        </w:tc>
        <w:tc>
          <w:tcPr>
            <w:tcW w:w="7560" w:type="dxa"/>
          </w:tcPr>
          <w:p w14:paraId="26E15516">
            <w:pPr>
              <w:spacing w:line="400" w:lineRule="exact"/>
              <w:rPr>
                <w:szCs w:val="21"/>
              </w:rPr>
            </w:pPr>
            <w:r>
              <w:rPr>
                <w:rFonts w:hint="eastAsia" w:hAnsi="宋体"/>
                <w:szCs w:val="21"/>
              </w:rPr>
              <w:t>投标方不得将同一货物包中的内容拆开投标，否则将导致其投标被拒绝。</w:t>
            </w:r>
          </w:p>
        </w:tc>
      </w:tr>
      <w:tr w14:paraId="79E61D35">
        <w:tblPrEx>
          <w:tblCellMar>
            <w:top w:w="0" w:type="dxa"/>
            <w:left w:w="108" w:type="dxa"/>
            <w:bottom w:w="0" w:type="dxa"/>
            <w:right w:w="108" w:type="dxa"/>
          </w:tblCellMar>
        </w:tblPrEx>
        <w:tc>
          <w:tcPr>
            <w:tcW w:w="8388" w:type="dxa"/>
            <w:gridSpan w:val="2"/>
          </w:tcPr>
          <w:p w14:paraId="15F29003">
            <w:pPr>
              <w:rPr>
                <w:rFonts w:ascii="黑体" w:eastAsia="黑体"/>
                <w:szCs w:val="21"/>
              </w:rPr>
            </w:pPr>
            <w:r>
              <w:rPr>
                <w:rFonts w:ascii="宋体" w:hAnsi="宋体"/>
                <w:b/>
              </w:rPr>
              <w:t xml:space="preserve">11. </w:t>
            </w:r>
            <w:r>
              <w:rPr>
                <w:rFonts w:hint="eastAsia" w:ascii="宋体" w:hAnsi="宋体"/>
                <w:b/>
              </w:rPr>
              <w:t>投标报价和货币</w:t>
            </w:r>
          </w:p>
        </w:tc>
      </w:tr>
      <w:tr w14:paraId="002BDD79">
        <w:tblPrEx>
          <w:tblCellMar>
            <w:top w:w="0" w:type="dxa"/>
            <w:left w:w="108" w:type="dxa"/>
            <w:bottom w:w="0" w:type="dxa"/>
            <w:right w:w="108" w:type="dxa"/>
          </w:tblCellMar>
        </w:tblPrEx>
        <w:tc>
          <w:tcPr>
            <w:tcW w:w="828" w:type="dxa"/>
          </w:tcPr>
          <w:p w14:paraId="03298DBA">
            <w:pPr>
              <w:spacing w:line="400" w:lineRule="exact"/>
              <w:ind w:right="-57"/>
              <w:rPr>
                <w:szCs w:val="21"/>
              </w:rPr>
            </w:pPr>
            <w:r>
              <w:rPr>
                <w:szCs w:val="21"/>
              </w:rPr>
              <w:t>11.1</w:t>
            </w:r>
          </w:p>
        </w:tc>
        <w:tc>
          <w:tcPr>
            <w:tcW w:w="7560" w:type="dxa"/>
          </w:tcPr>
          <w:p w14:paraId="3151236B">
            <w:pPr>
              <w:spacing w:line="400" w:lineRule="exact"/>
              <w:rPr>
                <w:b/>
                <w:szCs w:val="21"/>
              </w:rPr>
            </w:pPr>
            <w:r>
              <w:rPr>
                <w:rFonts w:hint="eastAsia" w:hAnsi="宋体"/>
                <w:szCs w:val="21"/>
              </w:rPr>
              <w:t>投标方应按招标文件第二章中规定的报价方式和币种报价。</w:t>
            </w:r>
          </w:p>
        </w:tc>
      </w:tr>
      <w:tr w14:paraId="7E59FC47">
        <w:tblPrEx>
          <w:tblCellMar>
            <w:top w:w="0" w:type="dxa"/>
            <w:left w:w="108" w:type="dxa"/>
            <w:bottom w:w="0" w:type="dxa"/>
            <w:right w:w="108" w:type="dxa"/>
          </w:tblCellMar>
        </w:tblPrEx>
        <w:tc>
          <w:tcPr>
            <w:tcW w:w="828" w:type="dxa"/>
          </w:tcPr>
          <w:p w14:paraId="17A0E377">
            <w:pPr>
              <w:spacing w:line="400" w:lineRule="exact"/>
              <w:ind w:right="-57"/>
              <w:rPr>
                <w:szCs w:val="21"/>
              </w:rPr>
            </w:pPr>
            <w:r>
              <w:rPr>
                <w:szCs w:val="21"/>
              </w:rPr>
              <w:t xml:space="preserve">11.2  </w:t>
            </w:r>
          </w:p>
        </w:tc>
        <w:tc>
          <w:tcPr>
            <w:tcW w:w="7560" w:type="dxa"/>
          </w:tcPr>
          <w:p w14:paraId="6A1165E8">
            <w:pPr>
              <w:pStyle w:val="7"/>
              <w:spacing w:line="400" w:lineRule="exact"/>
              <w:jc w:val="both"/>
              <w:rPr>
                <w:rFonts w:ascii="Times New Roman"/>
                <w:sz w:val="21"/>
                <w:szCs w:val="21"/>
              </w:rPr>
            </w:pPr>
            <w:r>
              <w:rPr>
                <w:rFonts w:hint="eastAsia" w:ascii="Times New Roman" w:hAnsi="宋体"/>
                <w:sz w:val="21"/>
                <w:szCs w:val="21"/>
              </w:rPr>
              <w:t>国产的货物及其有关服务的报价应包括要向中华人民共和国政府缴纳的增值税</w:t>
            </w:r>
            <w:r>
              <w:rPr>
                <w:rFonts w:hint="eastAsia"/>
                <w:sz w:val="21"/>
                <w:szCs w:val="21"/>
              </w:rPr>
              <w:t>和其他税。</w:t>
            </w:r>
          </w:p>
        </w:tc>
      </w:tr>
      <w:tr w14:paraId="108E56E0">
        <w:tblPrEx>
          <w:tblCellMar>
            <w:top w:w="0" w:type="dxa"/>
            <w:left w:w="108" w:type="dxa"/>
            <w:bottom w:w="0" w:type="dxa"/>
            <w:right w:w="108" w:type="dxa"/>
          </w:tblCellMar>
        </w:tblPrEx>
        <w:tc>
          <w:tcPr>
            <w:tcW w:w="828" w:type="dxa"/>
          </w:tcPr>
          <w:p w14:paraId="36F31A71">
            <w:pPr>
              <w:spacing w:line="400" w:lineRule="exact"/>
              <w:ind w:right="-57"/>
              <w:rPr>
                <w:szCs w:val="21"/>
              </w:rPr>
            </w:pPr>
            <w:r>
              <w:rPr>
                <w:szCs w:val="21"/>
              </w:rPr>
              <w:t xml:space="preserve">11.3  </w:t>
            </w:r>
          </w:p>
        </w:tc>
        <w:tc>
          <w:tcPr>
            <w:tcW w:w="7560" w:type="dxa"/>
          </w:tcPr>
          <w:p w14:paraId="323247F3">
            <w:pPr>
              <w:pStyle w:val="7"/>
              <w:spacing w:line="400" w:lineRule="exact"/>
              <w:jc w:val="both"/>
              <w:rPr>
                <w:rFonts w:ascii="Times New Roman"/>
                <w:sz w:val="21"/>
                <w:szCs w:val="21"/>
              </w:rPr>
            </w:pPr>
            <w:r>
              <w:rPr>
                <w:rFonts w:hint="eastAsia" w:ascii="Times New Roman" w:hAnsi="宋体"/>
                <w:sz w:val="21"/>
                <w:szCs w:val="21"/>
              </w:rPr>
              <w:t>在中华人民共和国境内提供的进口货物及其有关服务的报价应包括要向中华人</w:t>
            </w:r>
            <w:r>
              <w:rPr>
                <w:rFonts w:hint="eastAsia" w:hAnsi="宋体"/>
                <w:sz w:val="21"/>
                <w:szCs w:val="21"/>
              </w:rPr>
              <w:t>民共和国政府缴纳的关税、增值税和其他税</w:t>
            </w:r>
            <w:r>
              <w:rPr>
                <w:rFonts w:hint="eastAsia"/>
                <w:sz w:val="21"/>
                <w:szCs w:val="21"/>
              </w:rPr>
              <w:t>。</w:t>
            </w:r>
          </w:p>
        </w:tc>
      </w:tr>
      <w:tr w14:paraId="72E136D5">
        <w:tblPrEx>
          <w:tblCellMar>
            <w:top w:w="0" w:type="dxa"/>
            <w:left w:w="108" w:type="dxa"/>
            <w:bottom w:w="0" w:type="dxa"/>
            <w:right w:w="108" w:type="dxa"/>
          </w:tblCellMar>
        </w:tblPrEx>
        <w:tc>
          <w:tcPr>
            <w:tcW w:w="8388" w:type="dxa"/>
            <w:gridSpan w:val="2"/>
          </w:tcPr>
          <w:p w14:paraId="4F73288D">
            <w:pPr>
              <w:rPr>
                <w:rFonts w:ascii="黑体" w:eastAsia="黑体"/>
                <w:szCs w:val="21"/>
              </w:rPr>
            </w:pPr>
            <w:bookmarkStart w:id="96" w:name="_Toc211243266"/>
            <w:bookmarkStart w:id="97" w:name="_Toc205616020"/>
            <w:bookmarkStart w:id="98" w:name="_Toc205623172"/>
            <w:bookmarkStart w:id="99" w:name="_Toc236803082"/>
            <w:r>
              <w:rPr>
                <w:rFonts w:ascii="宋体" w:hAnsi="宋体"/>
                <w:b/>
              </w:rPr>
              <w:t xml:space="preserve">12. </w:t>
            </w:r>
            <w:r>
              <w:rPr>
                <w:rFonts w:hint="eastAsia" w:ascii="宋体" w:hAnsi="宋体"/>
                <w:b/>
              </w:rPr>
              <w:t>投标方资格的证明文件</w:t>
            </w:r>
            <w:bookmarkEnd w:id="96"/>
            <w:bookmarkEnd w:id="97"/>
            <w:bookmarkEnd w:id="98"/>
            <w:bookmarkEnd w:id="99"/>
          </w:p>
        </w:tc>
      </w:tr>
      <w:tr w14:paraId="6958A38C">
        <w:tblPrEx>
          <w:tblCellMar>
            <w:top w:w="0" w:type="dxa"/>
            <w:left w:w="108" w:type="dxa"/>
            <w:bottom w:w="0" w:type="dxa"/>
            <w:right w:w="108" w:type="dxa"/>
          </w:tblCellMar>
        </w:tblPrEx>
        <w:tc>
          <w:tcPr>
            <w:tcW w:w="828" w:type="dxa"/>
          </w:tcPr>
          <w:p w14:paraId="2078E50B">
            <w:pPr>
              <w:spacing w:line="400" w:lineRule="exact"/>
              <w:ind w:right="-57"/>
              <w:rPr>
                <w:szCs w:val="21"/>
              </w:rPr>
            </w:pPr>
            <w:r>
              <w:rPr>
                <w:szCs w:val="21"/>
              </w:rPr>
              <w:t>12.1</w:t>
            </w:r>
          </w:p>
        </w:tc>
        <w:tc>
          <w:tcPr>
            <w:tcW w:w="7560" w:type="dxa"/>
          </w:tcPr>
          <w:p w14:paraId="098C2F29">
            <w:pPr>
              <w:spacing w:line="400" w:lineRule="exact"/>
              <w:rPr>
                <w:rFonts w:hAnsi="宋体"/>
                <w:szCs w:val="21"/>
              </w:rPr>
            </w:pPr>
            <w:r>
              <w:rPr>
                <w:rFonts w:hint="eastAsia" w:hAnsi="宋体"/>
                <w:szCs w:val="21"/>
              </w:rPr>
              <w:t>投标方应提交证明其有资格参加投标和中标后有能力履行合同的文件，并作为其投标文件的一部分。如果投标方为联合体，应提交联合体各方的资格证明文件、共同投标协议并注明主办人及各方拟承担的工作和责任；联合体成员</w:t>
            </w:r>
            <w:r>
              <w:rPr>
                <w:rFonts w:hint="eastAsia"/>
              </w:rPr>
              <w:t>不得再以自己名义单独投标，也不得组成或参加其他联合体在同一项目中投标；否则作无效标处理。</w:t>
            </w:r>
          </w:p>
        </w:tc>
      </w:tr>
      <w:tr w14:paraId="701E36C4">
        <w:tblPrEx>
          <w:tblCellMar>
            <w:top w:w="0" w:type="dxa"/>
            <w:left w:w="108" w:type="dxa"/>
            <w:bottom w:w="0" w:type="dxa"/>
            <w:right w:w="108" w:type="dxa"/>
          </w:tblCellMar>
        </w:tblPrEx>
        <w:tc>
          <w:tcPr>
            <w:tcW w:w="828" w:type="dxa"/>
          </w:tcPr>
          <w:p w14:paraId="2572F1BC">
            <w:pPr>
              <w:spacing w:line="400" w:lineRule="exact"/>
              <w:ind w:right="-57"/>
              <w:rPr>
                <w:szCs w:val="21"/>
              </w:rPr>
            </w:pPr>
            <w:bookmarkStart w:id="100" w:name="_Toc208720792"/>
            <w:bookmarkStart w:id="101" w:name="_Toc208720344"/>
            <w:r>
              <w:rPr>
                <w:szCs w:val="21"/>
              </w:rPr>
              <w:t>12.2</w:t>
            </w:r>
            <w:bookmarkEnd w:id="100"/>
            <w:bookmarkEnd w:id="101"/>
          </w:p>
        </w:tc>
        <w:tc>
          <w:tcPr>
            <w:tcW w:w="7560" w:type="dxa"/>
          </w:tcPr>
          <w:p w14:paraId="6079F986">
            <w:pPr>
              <w:spacing w:line="400" w:lineRule="exact"/>
              <w:rPr>
                <w:szCs w:val="21"/>
              </w:rPr>
            </w:pPr>
            <w:r>
              <w:rPr>
                <w:rFonts w:hint="eastAsia"/>
                <w:szCs w:val="21"/>
              </w:rPr>
              <w:t>投标方提交的资格证明文件应使招标方满意。</w:t>
            </w:r>
          </w:p>
        </w:tc>
      </w:tr>
      <w:tr w14:paraId="3A0E1FA1">
        <w:tblPrEx>
          <w:tblCellMar>
            <w:top w:w="0" w:type="dxa"/>
            <w:left w:w="108" w:type="dxa"/>
            <w:bottom w:w="0" w:type="dxa"/>
            <w:right w:w="108" w:type="dxa"/>
          </w:tblCellMar>
        </w:tblPrEx>
        <w:tc>
          <w:tcPr>
            <w:tcW w:w="828" w:type="dxa"/>
          </w:tcPr>
          <w:p w14:paraId="0DE92740">
            <w:pPr>
              <w:spacing w:line="400" w:lineRule="exact"/>
              <w:ind w:right="-57"/>
              <w:rPr>
                <w:szCs w:val="21"/>
              </w:rPr>
            </w:pPr>
            <w:bookmarkStart w:id="102" w:name="_Toc208720793"/>
            <w:bookmarkStart w:id="103" w:name="_Toc208720345"/>
            <w:r>
              <w:rPr>
                <w:szCs w:val="21"/>
              </w:rPr>
              <w:t>12.3</w:t>
            </w:r>
            <w:bookmarkEnd w:id="102"/>
            <w:bookmarkEnd w:id="103"/>
          </w:p>
        </w:tc>
        <w:tc>
          <w:tcPr>
            <w:tcW w:w="7560" w:type="dxa"/>
          </w:tcPr>
          <w:p w14:paraId="52DB216D">
            <w:pPr>
              <w:spacing w:line="400" w:lineRule="exact"/>
              <w:rPr>
                <w:szCs w:val="21"/>
              </w:rPr>
            </w:pPr>
            <w:r>
              <w:rPr>
                <w:rFonts w:hint="eastAsia"/>
                <w:szCs w:val="21"/>
              </w:rPr>
              <w:t>投标方提交的证明其中标后能履行合同的资格证明文件应包括下列文件：</w:t>
            </w:r>
          </w:p>
          <w:p w14:paraId="15F19D27">
            <w:pPr>
              <w:spacing w:line="400" w:lineRule="exact"/>
              <w:ind w:left="306" w:hanging="306"/>
              <w:rPr>
                <w:szCs w:val="21"/>
              </w:rPr>
            </w:pPr>
            <w:r>
              <w:rPr>
                <w:rFonts w:hint="eastAsia"/>
                <w:szCs w:val="21"/>
                <w:lang w:eastAsia="zh-CN"/>
              </w:rPr>
              <w:t>1）</w:t>
            </w:r>
            <w:r>
              <w:rPr>
                <w:szCs w:val="21"/>
              </w:rPr>
              <w:t xml:space="preserve"> </w:t>
            </w:r>
            <w:r>
              <w:rPr>
                <w:rFonts w:hint="eastAsia"/>
                <w:szCs w:val="21"/>
              </w:rPr>
              <w:t>如果投标方按照合同提供的货物不是投标方自己制造的，投标方应得到货物制造商同意其在本次投标中提供该货物的正式授权；</w:t>
            </w:r>
          </w:p>
          <w:p w14:paraId="09D51DB7">
            <w:pPr>
              <w:spacing w:line="400" w:lineRule="exact"/>
              <w:rPr>
                <w:szCs w:val="21"/>
              </w:rPr>
            </w:pPr>
            <w:r>
              <w:rPr>
                <w:rFonts w:hint="eastAsia"/>
                <w:szCs w:val="21"/>
                <w:lang w:eastAsia="zh-CN"/>
              </w:rPr>
              <w:t>2）</w:t>
            </w:r>
            <w:r>
              <w:rPr>
                <w:szCs w:val="21"/>
              </w:rPr>
              <w:t xml:space="preserve"> </w:t>
            </w:r>
            <w:r>
              <w:rPr>
                <w:rFonts w:hint="eastAsia"/>
                <w:szCs w:val="21"/>
              </w:rPr>
              <w:t>投标方已具备履行合同所需的财务、技术和生产能力；</w:t>
            </w:r>
          </w:p>
          <w:p w14:paraId="024E81F7">
            <w:pPr>
              <w:spacing w:line="400" w:lineRule="exact"/>
              <w:rPr>
                <w:szCs w:val="21"/>
              </w:rPr>
            </w:pPr>
            <w:r>
              <w:rPr>
                <w:rFonts w:hint="eastAsia"/>
                <w:szCs w:val="21"/>
                <w:lang w:eastAsia="zh-CN"/>
              </w:rPr>
              <w:t>3）</w:t>
            </w:r>
            <w:r>
              <w:rPr>
                <w:szCs w:val="21"/>
              </w:rPr>
              <w:t xml:space="preserve"> </w:t>
            </w:r>
            <w:r>
              <w:rPr>
                <w:rFonts w:hint="eastAsia" w:hAnsi="宋体"/>
                <w:szCs w:val="21"/>
              </w:rPr>
              <w:t>投标方应满足招标文件第二章中规定的资格标准</w:t>
            </w:r>
            <w:r>
              <w:rPr>
                <w:rFonts w:hint="eastAsia"/>
                <w:szCs w:val="21"/>
              </w:rPr>
              <w:t>；</w:t>
            </w:r>
          </w:p>
          <w:p w14:paraId="34A7FF2B">
            <w:pPr>
              <w:spacing w:line="400" w:lineRule="exact"/>
              <w:rPr>
                <w:szCs w:val="21"/>
              </w:rPr>
            </w:pPr>
            <w:r>
              <w:rPr>
                <w:szCs w:val="21"/>
              </w:rPr>
              <w:t>4</w:t>
            </w:r>
            <w:r>
              <w:rPr>
                <w:rFonts w:hint="eastAsia"/>
                <w:szCs w:val="21"/>
              </w:rPr>
              <w:t>）招标文件中要求的</w:t>
            </w:r>
            <w:r>
              <w:rPr>
                <w:rFonts w:hint="eastAsia"/>
                <w:szCs w:val="21"/>
                <w:lang w:eastAsia="zh-CN"/>
              </w:rPr>
              <w:t>其他</w:t>
            </w:r>
            <w:r>
              <w:rPr>
                <w:rFonts w:hint="eastAsia"/>
                <w:szCs w:val="21"/>
              </w:rPr>
              <w:t>资格证明文件。</w:t>
            </w:r>
          </w:p>
        </w:tc>
      </w:tr>
      <w:tr w14:paraId="3BB4CAD6">
        <w:tblPrEx>
          <w:tblCellMar>
            <w:top w:w="0" w:type="dxa"/>
            <w:left w:w="108" w:type="dxa"/>
            <w:bottom w:w="0" w:type="dxa"/>
            <w:right w:w="108" w:type="dxa"/>
          </w:tblCellMar>
        </w:tblPrEx>
        <w:tc>
          <w:tcPr>
            <w:tcW w:w="8388" w:type="dxa"/>
            <w:gridSpan w:val="2"/>
          </w:tcPr>
          <w:p w14:paraId="7C3C2EEF">
            <w:pPr>
              <w:rPr>
                <w:rFonts w:ascii="黑体" w:eastAsia="黑体"/>
                <w:szCs w:val="21"/>
              </w:rPr>
            </w:pPr>
            <w:bookmarkStart w:id="104" w:name="_Toc205616022"/>
            <w:bookmarkStart w:id="105" w:name="_Toc211243268"/>
            <w:bookmarkStart w:id="106" w:name="_Toc236803083"/>
            <w:bookmarkStart w:id="107" w:name="_Toc205623174"/>
            <w:r>
              <w:rPr>
                <w:rFonts w:ascii="宋体" w:hAnsi="宋体"/>
                <w:b/>
              </w:rPr>
              <w:t xml:space="preserve">13. </w:t>
            </w:r>
            <w:r>
              <w:rPr>
                <w:rFonts w:hint="eastAsia" w:ascii="宋体" w:hAnsi="宋体"/>
                <w:b/>
              </w:rPr>
              <w:t>证明货物的合格性和符合招标文件规定的文件</w:t>
            </w:r>
            <w:bookmarkEnd w:id="104"/>
            <w:bookmarkEnd w:id="105"/>
            <w:bookmarkEnd w:id="106"/>
            <w:bookmarkEnd w:id="107"/>
          </w:p>
        </w:tc>
      </w:tr>
      <w:tr w14:paraId="4B650248">
        <w:tblPrEx>
          <w:tblCellMar>
            <w:top w:w="0" w:type="dxa"/>
            <w:left w:w="108" w:type="dxa"/>
            <w:bottom w:w="0" w:type="dxa"/>
            <w:right w:w="108" w:type="dxa"/>
          </w:tblCellMar>
        </w:tblPrEx>
        <w:tc>
          <w:tcPr>
            <w:tcW w:w="828" w:type="dxa"/>
          </w:tcPr>
          <w:p w14:paraId="7770D85B">
            <w:pPr>
              <w:spacing w:line="400" w:lineRule="exact"/>
              <w:ind w:right="-57"/>
              <w:rPr>
                <w:szCs w:val="21"/>
              </w:rPr>
            </w:pPr>
            <w:r>
              <w:rPr>
                <w:szCs w:val="21"/>
              </w:rPr>
              <w:t xml:space="preserve">13.1  </w:t>
            </w:r>
          </w:p>
        </w:tc>
        <w:tc>
          <w:tcPr>
            <w:tcW w:w="7560" w:type="dxa"/>
          </w:tcPr>
          <w:p w14:paraId="60E72742">
            <w:pPr>
              <w:spacing w:line="400" w:lineRule="exact"/>
              <w:rPr>
                <w:szCs w:val="21"/>
              </w:rPr>
            </w:pPr>
            <w:r>
              <w:rPr>
                <w:rFonts w:hint="eastAsia" w:hAnsi="宋体"/>
                <w:szCs w:val="21"/>
              </w:rPr>
              <w:t>投标方应提交证明文件证明其</w:t>
            </w:r>
            <w:r>
              <w:rPr>
                <w:rFonts w:hint="eastAsia" w:hAnsi="宋体"/>
                <w:szCs w:val="21"/>
                <w:lang w:eastAsia="zh-CN"/>
              </w:rPr>
              <w:t>拟提</w:t>
            </w:r>
            <w:r>
              <w:rPr>
                <w:rFonts w:hint="eastAsia" w:hAnsi="宋体"/>
                <w:szCs w:val="21"/>
              </w:rPr>
              <w:t>供的合同项下的货物和服务的合格性符合招标文件规定。该证明文件作为投标文件的一部分。</w:t>
            </w:r>
          </w:p>
        </w:tc>
      </w:tr>
      <w:tr w14:paraId="0EC3C09E">
        <w:tblPrEx>
          <w:tblCellMar>
            <w:top w:w="0" w:type="dxa"/>
            <w:left w:w="108" w:type="dxa"/>
            <w:bottom w:w="0" w:type="dxa"/>
            <w:right w:w="108" w:type="dxa"/>
          </w:tblCellMar>
        </w:tblPrEx>
        <w:tc>
          <w:tcPr>
            <w:tcW w:w="828" w:type="dxa"/>
          </w:tcPr>
          <w:p w14:paraId="5C9EC6D3">
            <w:pPr>
              <w:spacing w:line="400" w:lineRule="exact"/>
              <w:ind w:right="-57"/>
              <w:rPr>
                <w:szCs w:val="21"/>
              </w:rPr>
            </w:pPr>
            <w:r>
              <w:rPr>
                <w:szCs w:val="21"/>
              </w:rPr>
              <w:t xml:space="preserve">13.2  </w:t>
            </w:r>
          </w:p>
        </w:tc>
        <w:tc>
          <w:tcPr>
            <w:tcW w:w="7560" w:type="dxa"/>
          </w:tcPr>
          <w:p w14:paraId="60547B06">
            <w:pPr>
              <w:spacing w:line="400" w:lineRule="exact"/>
              <w:rPr>
                <w:rFonts w:hAnsi="宋体"/>
                <w:szCs w:val="21"/>
              </w:rPr>
            </w:pPr>
            <w:r>
              <w:rPr>
                <w:rFonts w:hint="eastAsia" w:hAnsi="宋体"/>
                <w:szCs w:val="21"/>
              </w:rPr>
              <w:t>证明货物和服务与招标文件的要求相一致的文件，可以是文字资料、图纸和数据，它包括：</w:t>
            </w:r>
          </w:p>
          <w:p w14:paraId="38D08D64">
            <w:pPr>
              <w:pStyle w:val="11"/>
              <w:spacing w:line="400" w:lineRule="exact"/>
              <w:ind w:left="278" w:hanging="278"/>
              <w:rPr>
                <w:rFonts w:ascii="Times New Roman"/>
                <w:szCs w:val="21"/>
              </w:rPr>
            </w:pPr>
            <w:r>
              <w:rPr>
                <w:rFonts w:hint="eastAsia" w:ascii="Times New Roman" w:eastAsia="宋体"/>
                <w:szCs w:val="21"/>
                <w:lang w:eastAsia="zh-CN"/>
              </w:rPr>
              <w:t>1）</w:t>
            </w:r>
            <w:r>
              <w:rPr>
                <w:rFonts w:hint="eastAsia" w:hAnsi="宋体" w:eastAsia="宋体" w:cs="宋体"/>
                <w:szCs w:val="21"/>
              </w:rPr>
              <w:t>货物主要技术指标和性能的详细说明。对照招标文件技术规格，逐条说明所提供货物和服务已对招标方的技术规格做出了实质性的响应，或申明与技术规格条文的偏差和例外。如投标文件中的相关内容与产品说明书和</w:t>
            </w:r>
            <w:r>
              <w:rPr>
                <w:szCs w:val="21"/>
              </w:rPr>
              <w:t>/</w:t>
            </w:r>
            <w:r>
              <w:rPr>
                <w:rFonts w:hint="eastAsia" w:hAnsi="宋体" w:eastAsia="宋体" w:cs="宋体"/>
                <w:szCs w:val="21"/>
              </w:rPr>
              <w:t>或样本不符，要提供合理的说明，若说明不合理或未提供说明，将以产品说明书和</w:t>
            </w:r>
            <w:r>
              <w:rPr>
                <w:szCs w:val="21"/>
              </w:rPr>
              <w:t>/</w:t>
            </w:r>
            <w:r>
              <w:rPr>
                <w:rFonts w:hint="eastAsia" w:hAnsi="宋体" w:eastAsia="宋体" w:cs="宋体"/>
                <w:szCs w:val="21"/>
              </w:rPr>
              <w:t>或样本为准。</w:t>
            </w:r>
          </w:p>
          <w:p w14:paraId="3F617C67">
            <w:pPr>
              <w:spacing w:line="400" w:lineRule="exact"/>
              <w:ind w:left="278" w:hanging="278"/>
              <w:rPr>
                <w:szCs w:val="21"/>
              </w:rPr>
            </w:pPr>
            <w:r>
              <w:rPr>
                <w:rFonts w:hint="eastAsia"/>
                <w:lang w:eastAsia="zh-CN"/>
              </w:rPr>
              <w:t>2）</w:t>
            </w:r>
            <w:r>
              <w:t xml:space="preserve"> </w:t>
            </w:r>
            <w:r>
              <w:rPr>
                <w:rFonts w:hint="eastAsia"/>
              </w:rPr>
              <w:t>货物从招标方验收后开始使用至招标文件中列出的使用周期内正常、连续地使用所必须的备件和专用工具清单，包括备件和专用工具的货源及现行价格。</w:t>
            </w:r>
          </w:p>
        </w:tc>
      </w:tr>
      <w:tr w14:paraId="106582ED">
        <w:tblPrEx>
          <w:tblCellMar>
            <w:top w:w="0" w:type="dxa"/>
            <w:left w:w="108" w:type="dxa"/>
            <w:bottom w:w="0" w:type="dxa"/>
            <w:right w:w="108" w:type="dxa"/>
          </w:tblCellMar>
        </w:tblPrEx>
        <w:tc>
          <w:tcPr>
            <w:tcW w:w="828" w:type="dxa"/>
          </w:tcPr>
          <w:p w14:paraId="3050CB8C">
            <w:pPr>
              <w:spacing w:line="400" w:lineRule="exact"/>
              <w:ind w:right="-57"/>
              <w:rPr>
                <w:szCs w:val="21"/>
              </w:rPr>
            </w:pPr>
            <w:r>
              <w:rPr>
                <w:szCs w:val="21"/>
              </w:rPr>
              <w:t xml:space="preserve">13.3  </w:t>
            </w:r>
          </w:p>
        </w:tc>
        <w:tc>
          <w:tcPr>
            <w:tcW w:w="7560" w:type="dxa"/>
          </w:tcPr>
          <w:p w14:paraId="37AA3C19">
            <w:pPr>
              <w:spacing w:line="400" w:lineRule="exact"/>
              <w:rPr>
                <w:rFonts w:ascii="宋体"/>
                <w:szCs w:val="21"/>
              </w:rPr>
            </w:pPr>
            <w:r>
              <w:rPr>
                <w:rFonts w:hint="eastAsia"/>
                <w:kern w:val="0"/>
                <w:szCs w:val="21"/>
              </w:rPr>
              <w:t>投标方在阐述上述第</w:t>
            </w:r>
            <w:r>
              <w:rPr>
                <w:kern w:val="0"/>
                <w:szCs w:val="21"/>
              </w:rPr>
              <w:t>13.2</w:t>
            </w:r>
            <w:r>
              <w:rPr>
                <w:rFonts w:hint="eastAsia"/>
                <w:kern w:val="0"/>
                <w:szCs w:val="21"/>
              </w:rPr>
              <w:t>（</w:t>
            </w:r>
            <w:r>
              <w:rPr>
                <w:kern w:val="0"/>
                <w:szCs w:val="21"/>
              </w:rPr>
              <w:t>1</w:t>
            </w:r>
            <w:r>
              <w:rPr>
                <w:rFonts w:hint="eastAsia"/>
                <w:kern w:val="0"/>
                <w:szCs w:val="21"/>
              </w:rPr>
              <w:t>）时应注意招标方在技术规格中指出的材料</w:t>
            </w:r>
            <w:r>
              <w:rPr>
                <w:rFonts w:hint="eastAsia" w:hAnsi="宋体"/>
                <w:szCs w:val="21"/>
              </w:rPr>
              <w:t>和货物的标准起说明作用，并没有任何限制性。投标方在投标中可以选用替代标准或分类号，但这些替代要实质上</w:t>
            </w:r>
            <w:r>
              <w:rPr>
                <w:rFonts w:hint="eastAsia"/>
                <w:szCs w:val="21"/>
              </w:rPr>
              <w:t>满足或超过招标文件的要求，</w:t>
            </w:r>
            <w:r>
              <w:rPr>
                <w:rFonts w:hint="eastAsia" w:ascii="宋体" w:hAnsi="宋体"/>
                <w:szCs w:val="21"/>
              </w:rPr>
              <w:t>否则视为不满足招标文件要求。衡量标准以评标委员会意见为准。</w:t>
            </w:r>
          </w:p>
        </w:tc>
      </w:tr>
      <w:tr w14:paraId="16103C38">
        <w:tblPrEx>
          <w:tblCellMar>
            <w:top w:w="0" w:type="dxa"/>
            <w:left w:w="108" w:type="dxa"/>
            <w:bottom w:w="0" w:type="dxa"/>
            <w:right w:w="108" w:type="dxa"/>
          </w:tblCellMar>
        </w:tblPrEx>
        <w:tc>
          <w:tcPr>
            <w:tcW w:w="8388" w:type="dxa"/>
            <w:gridSpan w:val="2"/>
          </w:tcPr>
          <w:p w14:paraId="2791FC7D">
            <w:pPr>
              <w:rPr>
                <w:rFonts w:ascii="黑体" w:eastAsia="黑体"/>
                <w:szCs w:val="21"/>
              </w:rPr>
            </w:pPr>
            <w:bookmarkStart w:id="108" w:name="_Toc236803085"/>
            <w:bookmarkStart w:id="109" w:name="_Toc205623178"/>
            <w:bookmarkStart w:id="110" w:name="_Toc205616026"/>
            <w:bookmarkStart w:id="111" w:name="_Toc211243272"/>
            <w:r>
              <w:rPr>
                <w:rFonts w:ascii="宋体" w:hAnsi="宋体"/>
                <w:b/>
              </w:rPr>
              <w:t xml:space="preserve">14. </w:t>
            </w:r>
            <w:r>
              <w:rPr>
                <w:rFonts w:hint="eastAsia" w:ascii="宋体" w:hAnsi="宋体"/>
                <w:b/>
              </w:rPr>
              <w:t>投标有效期</w:t>
            </w:r>
            <w:bookmarkEnd w:id="108"/>
            <w:bookmarkEnd w:id="109"/>
            <w:bookmarkEnd w:id="110"/>
            <w:bookmarkEnd w:id="111"/>
          </w:p>
        </w:tc>
      </w:tr>
      <w:tr w14:paraId="24FA3A70">
        <w:tblPrEx>
          <w:tblCellMar>
            <w:top w:w="0" w:type="dxa"/>
            <w:left w:w="108" w:type="dxa"/>
            <w:bottom w:w="0" w:type="dxa"/>
            <w:right w:w="108" w:type="dxa"/>
          </w:tblCellMar>
        </w:tblPrEx>
        <w:tc>
          <w:tcPr>
            <w:tcW w:w="828" w:type="dxa"/>
          </w:tcPr>
          <w:p w14:paraId="2D66AA99">
            <w:pPr>
              <w:spacing w:line="400" w:lineRule="exact"/>
              <w:ind w:right="-57"/>
              <w:rPr>
                <w:szCs w:val="21"/>
              </w:rPr>
            </w:pPr>
            <w:r>
              <w:rPr>
                <w:szCs w:val="21"/>
              </w:rPr>
              <w:t>14.1</w:t>
            </w:r>
          </w:p>
        </w:tc>
        <w:tc>
          <w:tcPr>
            <w:tcW w:w="7560" w:type="dxa"/>
          </w:tcPr>
          <w:p w14:paraId="746A9E39">
            <w:pPr>
              <w:spacing w:line="400" w:lineRule="exact"/>
              <w:rPr>
                <w:szCs w:val="21"/>
              </w:rPr>
            </w:pPr>
            <w:r>
              <w:rPr>
                <w:rFonts w:hint="eastAsia" w:hAnsi="宋体"/>
                <w:szCs w:val="21"/>
              </w:rPr>
              <w:t>投标应在本须知</w:t>
            </w:r>
            <w:r>
              <w:rPr>
                <w:rFonts w:hAnsi="宋体"/>
                <w:szCs w:val="21"/>
              </w:rPr>
              <w:t>21.1</w:t>
            </w:r>
            <w:r>
              <w:rPr>
                <w:rFonts w:hint="eastAsia" w:hAnsi="宋体"/>
                <w:szCs w:val="21"/>
              </w:rPr>
              <w:t>条规定的开标日后</w:t>
            </w:r>
            <w:r>
              <w:rPr>
                <w:rFonts w:hint="eastAsia" w:hAnsi="宋体"/>
                <w:szCs w:val="21"/>
                <w:lang w:val="en-US" w:eastAsia="zh-CN"/>
              </w:rPr>
              <w:t>90</w:t>
            </w:r>
            <w:r>
              <w:rPr>
                <w:rFonts w:hint="eastAsia" w:hAnsi="宋体"/>
                <w:szCs w:val="21"/>
              </w:rPr>
              <w:t>个日历日内保持有效，否则将导致废标。</w:t>
            </w:r>
          </w:p>
        </w:tc>
      </w:tr>
      <w:tr w14:paraId="543B7332">
        <w:tblPrEx>
          <w:tblCellMar>
            <w:top w:w="0" w:type="dxa"/>
            <w:left w:w="108" w:type="dxa"/>
            <w:bottom w:w="0" w:type="dxa"/>
            <w:right w:w="108" w:type="dxa"/>
          </w:tblCellMar>
        </w:tblPrEx>
        <w:tc>
          <w:tcPr>
            <w:tcW w:w="828" w:type="dxa"/>
          </w:tcPr>
          <w:p w14:paraId="14B95B4C">
            <w:pPr>
              <w:spacing w:line="400" w:lineRule="exact"/>
              <w:ind w:right="-57"/>
              <w:rPr>
                <w:szCs w:val="21"/>
              </w:rPr>
            </w:pPr>
            <w:r>
              <w:rPr>
                <w:szCs w:val="21"/>
              </w:rPr>
              <w:t xml:space="preserve">14.2  </w:t>
            </w:r>
          </w:p>
        </w:tc>
        <w:tc>
          <w:tcPr>
            <w:tcW w:w="7560" w:type="dxa"/>
          </w:tcPr>
          <w:p w14:paraId="492E2699">
            <w:pPr>
              <w:spacing w:line="400" w:lineRule="exact"/>
              <w:rPr>
                <w:rFonts w:hAnsi="宋体"/>
                <w:szCs w:val="21"/>
              </w:rPr>
            </w:pPr>
            <w:r>
              <w:rPr>
                <w:rFonts w:hint="eastAsia" w:hAnsi="宋体"/>
                <w:szCs w:val="21"/>
              </w:rPr>
              <w:t>特殊情况下，在原投标有效期截止之前，招标方可要求投标方同意延长投标有效期。这种要求与答复均应以书面形式提交。</w:t>
            </w:r>
          </w:p>
        </w:tc>
      </w:tr>
      <w:tr w14:paraId="77A669F9">
        <w:tblPrEx>
          <w:tblCellMar>
            <w:top w:w="0" w:type="dxa"/>
            <w:left w:w="108" w:type="dxa"/>
            <w:bottom w:w="0" w:type="dxa"/>
            <w:right w:w="108" w:type="dxa"/>
          </w:tblCellMar>
        </w:tblPrEx>
        <w:tc>
          <w:tcPr>
            <w:tcW w:w="8388" w:type="dxa"/>
            <w:gridSpan w:val="2"/>
          </w:tcPr>
          <w:p w14:paraId="3EBC12E7">
            <w:pPr>
              <w:rPr>
                <w:rFonts w:ascii="黑体" w:eastAsia="黑体"/>
                <w:szCs w:val="21"/>
              </w:rPr>
            </w:pPr>
            <w:bookmarkStart w:id="112" w:name="_Toc211243274"/>
            <w:bookmarkStart w:id="113" w:name="_Toc205616028"/>
            <w:bookmarkStart w:id="114" w:name="_Toc205623180"/>
            <w:bookmarkStart w:id="115" w:name="_Toc236803086"/>
            <w:r>
              <w:rPr>
                <w:rFonts w:ascii="宋体" w:hAnsi="宋体"/>
                <w:b/>
              </w:rPr>
              <w:t xml:space="preserve">15. </w:t>
            </w:r>
            <w:r>
              <w:rPr>
                <w:rFonts w:hint="eastAsia" w:ascii="宋体" w:hAnsi="宋体"/>
                <w:b/>
              </w:rPr>
              <w:t>投标文件的式样和签署</w:t>
            </w:r>
            <w:bookmarkEnd w:id="112"/>
            <w:bookmarkEnd w:id="113"/>
            <w:bookmarkEnd w:id="114"/>
            <w:bookmarkEnd w:id="115"/>
          </w:p>
        </w:tc>
      </w:tr>
      <w:tr w14:paraId="3FAF3143">
        <w:tblPrEx>
          <w:tblCellMar>
            <w:top w:w="0" w:type="dxa"/>
            <w:left w:w="108" w:type="dxa"/>
            <w:bottom w:w="0" w:type="dxa"/>
            <w:right w:w="108" w:type="dxa"/>
          </w:tblCellMar>
        </w:tblPrEx>
        <w:tc>
          <w:tcPr>
            <w:tcW w:w="828" w:type="dxa"/>
          </w:tcPr>
          <w:p w14:paraId="24D1886F">
            <w:pPr>
              <w:spacing w:line="400" w:lineRule="exact"/>
              <w:ind w:right="-57"/>
              <w:rPr>
                <w:szCs w:val="21"/>
              </w:rPr>
            </w:pPr>
            <w:r>
              <w:rPr>
                <w:szCs w:val="21"/>
              </w:rPr>
              <w:t xml:space="preserve">15.1  </w:t>
            </w:r>
          </w:p>
        </w:tc>
        <w:tc>
          <w:tcPr>
            <w:tcW w:w="7560" w:type="dxa"/>
          </w:tcPr>
          <w:p w14:paraId="3FE78C6B">
            <w:pPr>
              <w:spacing w:line="400" w:lineRule="exact"/>
              <w:rPr>
                <w:szCs w:val="21"/>
              </w:rPr>
            </w:pPr>
            <w:r>
              <w:rPr>
                <w:rFonts w:hint="eastAsia" w:hAnsi="宋体"/>
                <w:szCs w:val="21"/>
              </w:rPr>
              <w:t>投标方应准备</w:t>
            </w:r>
            <w:r>
              <w:rPr>
                <w:rFonts w:hint="eastAsia"/>
                <w:szCs w:val="21"/>
              </w:rPr>
              <w:t>“投标方须知专用表”规定数目的正本、</w:t>
            </w:r>
            <w:r>
              <w:rPr>
                <w:rFonts w:hint="eastAsia" w:hAnsi="宋体"/>
                <w:szCs w:val="21"/>
              </w:rPr>
              <w:t>副本及</w:t>
            </w:r>
            <w:r>
              <w:rPr>
                <w:rFonts w:hint="eastAsia" w:hAnsi="宋体"/>
              </w:rPr>
              <w:t>“投标一览表”信封（内容见</w:t>
            </w:r>
            <w:r>
              <w:rPr>
                <w:rFonts w:hAnsi="宋体"/>
              </w:rPr>
              <w:t>16.1</w:t>
            </w:r>
            <w:r>
              <w:rPr>
                <w:rFonts w:hint="eastAsia" w:hAnsi="宋体"/>
              </w:rPr>
              <w:t>条）</w:t>
            </w:r>
            <w:r>
              <w:rPr>
                <w:rFonts w:hint="eastAsia" w:hAnsi="宋体"/>
                <w:szCs w:val="21"/>
              </w:rPr>
              <w:t>，投标文件须清楚地标明</w:t>
            </w:r>
            <w:r>
              <w:rPr>
                <w:rFonts w:hint="eastAsia" w:ascii="宋体" w:hAnsi="宋体"/>
                <w:szCs w:val="21"/>
              </w:rPr>
              <w:t>“正本”或“副本”。</w:t>
            </w:r>
            <w:r>
              <w:rPr>
                <w:rFonts w:hint="eastAsia" w:hAnsi="宋体"/>
                <w:szCs w:val="21"/>
              </w:rPr>
              <w:t>若正本和副本不符，以正本为准；纸质文件和电子文档内容不一致时，以纸质文件为准。</w:t>
            </w:r>
          </w:p>
        </w:tc>
      </w:tr>
      <w:tr w14:paraId="203E202F">
        <w:tblPrEx>
          <w:tblCellMar>
            <w:top w:w="0" w:type="dxa"/>
            <w:left w:w="108" w:type="dxa"/>
            <w:bottom w:w="0" w:type="dxa"/>
            <w:right w:w="108" w:type="dxa"/>
          </w:tblCellMar>
        </w:tblPrEx>
        <w:tc>
          <w:tcPr>
            <w:tcW w:w="828" w:type="dxa"/>
          </w:tcPr>
          <w:p w14:paraId="3E90CEA0">
            <w:pPr>
              <w:spacing w:line="400" w:lineRule="exact"/>
              <w:ind w:right="-57"/>
              <w:rPr>
                <w:szCs w:val="21"/>
              </w:rPr>
            </w:pPr>
            <w:r>
              <w:rPr>
                <w:szCs w:val="21"/>
              </w:rPr>
              <w:t>15.2</w:t>
            </w:r>
          </w:p>
        </w:tc>
        <w:tc>
          <w:tcPr>
            <w:tcW w:w="7560" w:type="dxa"/>
          </w:tcPr>
          <w:p w14:paraId="6CA2B81E">
            <w:pPr>
              <w:spacing w:line="400" w:lineRule="exact"/>
              <w:rPr>
                <w:rFonts w:hAnsi="宋体"/>
                <w:szCs w:val="21"/>
              </w:rPr>
            </w:pPr>
            <w:r>
              <w:rPr>
                <w:rFonts w:hint="eastAsia" w:hAnsi="宋体"/>
                <w:szCs w:val="21"/>
              </w:rPr>
              <w:t>投标文件的正本需打印，并由投标方法定代表人或经其正式授权并对投标方有约束力的代表在投标文件上签字（简称：有效签字）</w:t>
            </w:r>
            <w:r>
              <w:rPr>
                <w:rFonts w:hint="eastAsia"/>
                <w:szCs w:val="21"/>
              </w:rPr>
              <w:t>和加盖公章</w:t>
            </w:r>
            <w:r>
              <w:rPr>
                <w:rFonts w:hint="eastAsia" w:hAnsi="宋体"/>
                <w:szCs w:val="21"/>
              </w:rPr>
              <w:t>。授权代表须将以书面形式出具的</w:t>
            </w:r>
            <w:r>
              <w:rPr>
                <w:rFonts w:hint="eastAsia" w:ascii="宋体" w:hAnsi="宋体"/>
                <w:szCs w:val="21"/>
              </w:rPr>
              <w:t>“法定代表人授权书”</w:t>
            </w:r>
            <w:r>
              <w:rPr>
                <w:rFonts w:hint="eastAsia" w:hAnsi="宋体"/>
                <w:szCs w:val="21"/>
              </w:rPr>
              <w:t>附在投标文件中。</w:t>
            </w:r>
            <w:r>
              <w:rPr>
                <w:rFonts w:hint="eastAsia"/>
                <w:szCs w:val="21"/>
              </w:rPr>
              <w:t>投标文件应按招标文件要求的范围由投标方法定代表人或其授权代表用姓或首字母签字（简称：小签，在要求小签页盖章或签字视同小签）。投标文件的副本可采用正本的复印件。</w:t>
            </w:r>
          </w:p>
        </w:tc>
      </w:tr>
      <w:tr w14:paraId="3C4C8A55">
        <w:tblPrEx>
          <w:tblCellMar>
            <w:top w:w="0" w:type="dxa"/>
            <w:left w:w="108" w:type="dxa"/>
            <w:bottom w:w="0" w:type="dxa"/>
            <w:right w:w="108" w:type="dxa"/>
          </w:tblCellMar>
        </w:tblPrEx>
        <w:tc>
          <w:tcPr>
            <w:tcW w:w="828" w:type="dxa"/>
          </w:tcPr>
          <w:p w14:paraId="19E88E93">
            <w:pPr>
              <w:spacing w:line="400" w:lineRule="exact"/>
              <w:ind w:right="-57"/>
              <w:rPr>
                <w:szCs w:val="21"/>
              </w:rPr>
            </w:pPr>
            <w:r>
              <w:rPr>
                <w:szCs w:val="21"/>
              </w:rPr>
              <w:t xml:space="preserve">15.3  </w:t>
            </w:r>
          </w:p>
        </w:tc>
        <w:tc>
          <w:tcPr>
            <w:tcW w:w="7560" w:type="dxa"/>
          </w:tcPr>
          <w:p w14:paraId="0FE8B320">
            <w:pPr>
              <w:spacing w:line="400" w:lineRule="exact"/>
              <w:rPr>
                <w:szCs w:val="21"/>
              </w:rPr>
            </w:pPr>
            <w:r>
              <w:rPr>
                <w:rFonts w:hint="eastAsia" w:hAnsi="宋体"/>
                <w:szCs w:val="21"/>
              </w:rPr>
              <w:t>任何行间插字、涂改和增删，必须由投标文件签字人用姓或首字母在旁边签字才有效。</w:t>
            </w:r>
          </w:p>
        </w:tc>
      </w:tr>
      <w:tr w14:paraId="0E5851BF">
        <w:tblPrEx>
          <w:tblCellMar>
            <w:top w:w="0" w:type="dxa"/>
            <w:left w:w="108" w:type="dxa"/>
            <w:bottom w:w="0" w:type="dxa"/>
            <w:right w:w="108" w:type="dxa"/>
          </w:tblCellMar>
        </w:tblPrEx>
        <w:tc>
          <w:tcPr>
            <w:tcW w:w="8388" w:type="dxa"/>
            <w:gridSpan w:val="2"/>
          </w:tcPr>
          <w:p w14:paraId="7B7C64DC">
            <w:pPr>
              <w:pStyle w:val="3"/>
              <w:spacing w:before="360" w:after="0" w:line="240" w:lineRule="auto"/>
              <w:jc w:val="center"/>
              <w:rPr>
                <w:rFonts w:ascii="楷体_GB2312" w:eastAsia="楷体_GB2312"/>
                <w:sz w:val="24"/>
                <w:szCs w:val="24"/>
              </w:rPr>
            </w:pPr>
            <w:bookmarkStart w:id="116" w:name="_Toc236803087"/>
            <w:bookmarkStart w:id="117" w:name="_Toc211243275"/>
            <w:bookmarkStart w:id="118" w:name="_Toc496002349"/>
            <w:bookmarkStart w:id="119" w:name="_Toc3776"/>
            <w:r>
              <w:rPr>
                <w:rFonts w:hint="eastAsia" w:ascii="楷体_GB2312" w:eastAsia="楷体_GB2312"/>
                <w:sz w:val="24"/>
                <w:szCs w:val="24"/>
              </w:rPr>
              <w:t>四投标文件的递交</w:t>
            </w:r>
            <w:bookmarkEnd w:id="116"/>
            <w:bookmarkEnd w:id="117"/>
            <w:bookmarkEnd w:id="118"/>
            <w:bookmarkEnd w:id="119"/>
          </w:p>
        </w:tc>
      </w:tr>
      <w:tr w14:paraId="7CA7CDF7">
        <w:tblPrEx>
          <w:tblCellMar>
            <w:top w:w="0" w:type="dxa"/>
            <w:left w:w="108" w:type="dxa"/>
            <w:bottom w:w="0" w:type="dxa"/>
            <w:right w:w="108" w:type="dxa"/>
          </w:tblCellMar>
        </w:tblPrEx>
        <w:tc>
          <w:tcPr>
            <w:tcW w:w="8388" w:type="dxa"/>
            <w:gridSpan w:val="2"/>
          </w:tcPr>
          <w:p w14:paraId="1BFAD631">
            <w:pPr>
              <w:rPr>
                <w:rFonts w:ascii="黑体" w:eastAsia="黑体"/>
                <w:szCs w:val="21"/>
              </w:rPr>
            </w:pPr>
            <w:bookmarkStart w:id="120" w:name="_Toc211243277"/>
            <w:bookmarkStart w:id="121" w:name="_Toc236803088"/>
            <w:bookmarkStart w:id="122" w:name="_Toc205623183"/>
            <w:bookmarkStart w:id="123" w:name="_Toc205616031"/>
            <w:r>
              <w:rPr>
                <w:rFonts w:ascii="宋体" w:hAnsi="宋体"/>
                <w:b/>
              </w:rPr>
              <w:t xml:space="preserve">16. </w:t>
            </w:r>
            <w:r>
              <w:rPr>
                <w:rFonts w:hint="eastAsia" w:ascii="宋体" w:hAnsi="宋体"/>
                <w:b/>
              </w:rPr>
              <w:t>投标文件的密封和标记</w:t>
            </w:r>
            <w:bookmarkEnd w:id="120"/>
            <w:bookmarkEnd w:id="121"/>
            <w:bookmarkEnd w:id="122"/>
            <w:bookmarkEnd w:id="123"/>
          </w:p>
        </w:tc>
      </w:tr>
      <w:tr w14:paraId="153655BB">
        <w:tblPrEx>
          <w:tblCellMar>
            <w:top w:w="0" w:type="dxa"/>
            <w:left w:w="108" w:type="dxa"/>
            <w:bottom w:w="0" w:type="dxa"/>
            <w:right w:w="108" w:type="dxa"/>
          </w:tblCellMar>
        </w:tblPrEx>
        <w:tc>
          <w:tcPr>
            <w:tcW w:w="828" w:type="dxa"/>
          </w:tcPr>
          <w:p w14:paraId="290F7C9C">
            <w:pPr>
              <w:spacing w:line="400" w:lineRule="exact"/>
              <w:ind w:right="-57"/>
              <w:rPr>
                <w:szCs w:val="21"/>
              </w:rPr>
            </w:pPr>
            <w:r>
              <w:rPr>
                <w:szCs w:val="21"/>
              </w:rPr>
              <w:t xml:space="preserve">16.1  </w:t>
            </w:r>
          </w:p>
        </w:tc>
        <w:tc>
          <w:tcPr>
            <w:tcW w:w="7560" w:type="dxa"/>
          </w:tcPr>
          <w:p w14:paraId="7B96162A">
            <w:pPr>
              <w:spacing w:line="400" w:lineRule="exact"/>
              <w:rPr>
                <w:rFonts w:ascii="宋体"/>
                <w:szCs w:val="21"/>
              </w:rPr>
            </w:pPr>
            <w:r>
              <w:rPr>
                <w:rFonts w:hint="eastAsia" w:hAnsi="宋体"/>
                <w:szCs w:val="21"/>
              </w:rPr>
              <w:t>为方便开标唱标，投标方应将“投标一览表</w:t>
            </w:r>
            <w:r>
              <w:rPr>
                <w:rFonts w:hint="eastAsia" w:hAnsi="宋体"/>
                <w:szCs w:val="21"/>
                <w:lang w:eastAsia="zh-CN"/>
              </w:rPr>
              <w:t>”“</w:t>
            </w:r>
            <w:r>
              <w:rPr>
                <w:rFonts w:hint="eastAsia"/>
              </w:rPr>
              <w:t>价格变更声明”（如有）、“</w:t>
            </w:r>
            <w:r>
              <w:rPr>
                <w:rFonts w:hint="eastAsia" w:ascii="宋体" w:hAnsi="宋体"/>
                <w:szCs w:val="21"/>
              </w:rPr>
              <w:t>投标文件电子文档”</w:t>
            </w:r>
            <w:r>
              <w:rPr>
                <w:rFonts w:hint="eastAsia" w:hAnsi="宋体"/>
              </w:rPr>
              <w:t>（使用</w:t>
            </w:r>
            <w:r>
              <w:rPr>
                <w:rFonts w:hAnsi="宋体"/>
              </w:rPr>
              <w:t>Word</w:t>
            </w:r>
            <w:r>
              <w:rPr>
                <w:rFonts w:hint="eastAsia" w:hAnsi="宋体"/>
              </w:rPr>
              <w:t>、</w:t>
            </w:r>
            <w:r>
              <w:rPr>
                <w:rFonts w:hAnsi="宋体"/>
              </w:rPr>
              <w:t>Excel</w:t>
            </w:r>
            <w:r>
              <w:rPr>
                <w:rFonts w:hint="eastAsia" w:hAnsi="宋体"/>
              </w:rPr>
              <w:t>、</w:t>
            </w:r>
            <w:r>
              <w:rPr>
                <w:rFonts w:hAnsi="宋体"/>
              </w:rPr>
              <w:t>AutoCAD</w:t>
            </w:r>
            <w:r>
              <w:rPr>
                <w:rFonts w:hint="eastAsia" w:hAnsi="宋体"/>
                <w:lang w:val="en-US" w:eastAsia="zh-CN"/>
              </w:rPr>
              <w:t>保存的U盘</w:t>
            </w:r>
            <w:r>
              <w:rPr>
                <w:rFonts w:hint="eastAsia" w:hAnsi="宋体"/>
              </w:rPr>
              <w:t>）</w:t>
            </w:r>
            <w:r>
              <w:rPr>
                <w:rFonts w:hint="eastAsia" w:hAnsi="宋体"/>
                <w:szCs w:val="21"/>
              </w:rPr>
              <w:t>各</w:t>
            </w:r>
            <w:r>
              <w:rPr>
                <w:rFonts w:hAnsi="宋体"/>
                <w:szCs w:val="21"/>
              </w:rPr>
              <w:t>1</w:t>
            </w:r>
            <w:r>
              <w:rPr>
                <w:rFonts w:hint="eastAsia" w:hAnsi="宋体"/>
                <w:szCs w:val="21"/>
              </w:rPr>
              <w:t>份</w:t>
            </w:r>
            <w:r>
              <w:rPr>
                <w:rFonts w:hint="eastAsia"/>
              </w:rPr>
              <w:t>装入一个</w:t>
            </w:r>
            <w:r>
              <w:rPr>
                <w:rFonts w:hint="eastAsia" w:hAnsi="宋体"/>
                <w:szCs w:val="21"/>
              </w:rPr>
              <w:t>密封信封内，信封上标明</w:t>
            </w:r>
            <w:r>
              <w:rPr>
                <w:rFonts w:hint="eastAsia" w:ascii="宋体" w:hAnsi="宋体"/>
                <w:szCs w:val="21"/>
              </w:rPr>
              <w:t>“投标一览表”字样，在投标时</w:t>
            </w:r>
            <w:r>
              <w:rPr>
                <w:rFonts w:hint="eastAsia" w:hAnsi="宋体"/>
                <w:szCs w:val="21"/>
              </w:rPr>
              <w:t>单独提交。</w:t>
            </w:r>
            <w:r>
              <w:rPr>
                <w:rFonts w:hint="eastAsia" w:ascii="宋体" w:hAnsi="宋体"/>
                <w:szCs w:val="21"/>
              </w:rPr>
              <w:t>投标方应将投标文件正本和所有的副本分开</w:t>
            </w:r>
            <w:r>
              <w:rPr>
                <w:rFonts w:hint="eastAsia" w:ascii="宋体" w:hAnsi="宋体"/>
                <w:szCs w:val="21"/>
                <w:lang w:eastAsia="zh-CN"/>
              </w:rPr>
              <w:t>密封</w:t>
            </w:r>
            <w:r>
              <w:rPr>
                <w:rFonts w:hint="eastAsia" w:ascii="宋体" w:hAnsi="宋体"/>
                <w:szCs w:val="21"/>
              </w:rPr>
              <w:t>在信封中（副本可封装在一个或几个信封</w:t>
            </w:r>
            <w:r>
              <w:rPr>
                <w:rFonts w:hint="eastAsia" w:hAnsi="宋体"/>
                <w:szCs w:val="21"/>
              </w:rPr>
              <w:t>中）</w:t>
            </w:r>
            <w:r>
              <w:rPr>
                <w:rFonts w:hint="eastAsia" w:ascii="宋体" w:hAnsi="宋体"/>
                <w:szCs w:val="21"/>
              </w:rPr>
              <w:t>，且在信封上标明“正本”“副本”字样。</w:t>
            </w:r>
            <w:r>
              <w:rPr>
                <w:rFonts w:hint="eastAsia" w:hAnsi="宋体"/>
              </w:rPr>
              <w:t>投标文件密封封口处须加盖投标单位公章或有效签字。</w:t>
            </w:r>
          </w:p>
        </w:tc>
      </w:tr>
      <w:tr w14:paraId="02863D36">
        <w:tblPrEx>
          <w:tblCellMar>
            <w:top w:w="0" w:type="dxa"/>
            <w:left w:w="108" w:type="dxa"/>
            <w:bottom w:w="0" w:type="dxa"/>
            <w:right w:w="108" w:type="dxa"/>
          </w:tblCellMar>
        </w:tblPrEx>
        <w:tc>
          <w:tcPr>
            <w:tcW w:w="828" w:type="dxa"/>
          </w:tcPr>
          <w:p w14:paraId="2FF2C7CA">
            <w:pPr>
              <w:spacing w:line="400" w:lineRule="exact"/>
              <w:ind w:right="-57"/>
              <w:rPr>
                <w:szCs w:val="21"/>
              </w:rPr>
            </w:pPr>
            <w:r>
              <w:rPr>
                <w:szCs w:val="21"/>
              </w:rPr>
              <w:t xml:space="preserve">16.2  </w:t>
            </w:r>
          </w:p>
        </w:tc>
        <w:tc>
          <w:tcPr>
            <w:tcW w:w="7560" w:type="dxa"/>
          </w:tcPr>
          <w:p w14:paraId="30025C10">
            <w:pPr>
              <w:spacing w:line="400" w:lineRule="exact"/>
              <w:rPr>
                <w:szCs w:val="21"/>
              </w:rPr>
            </w:pPr>
            <w:r>
              <w:rPr>
                <w:rFonts w:hint="eastAsia" w:hAnsi="宋体"/>
                <w:szCs w:val="21"/>
              </w:rPr>
              <w:t>信封均应：</w:t>
            </w:r>
          </w:p>
          <w:p w14:paraId="36FBFE03">
            <w:pPr>
              <w:spacing w:line="400" w:lineRule="exact"/>
              <w:rPr>
                <w:szCs w:val="21"/>
              </w:rPr>
            </w:pPr>
            <w:r>
              <w:rPr>
                <w:rFonts w:hint="eastAsia"/>
                <w:szCs w:val="21"/>
                <w:lang w:eastAsia="zh-CN"/>
              </w:rPr>
              <w:t>1）</w:t>
            </w:r>
            <w:r>
              <w:rPr>
                <w:rFonts w:hint="eastAsia" w:hAnsi="宋体"/>
                <w:szCs w:val="21"/>
              </w:rPr>
              <w:t>清楚标明递交至：“投标邀请”指明的投标地点。</w:t>
            </w:r>
          </w:p>
          <w:p w14:paraId="63D2E433">
            <w:pPr>
              <w:spacing w:line="400" w:lineRule="exact"/>
              <w:ind w:left="105" w:hanging="105"/>
              <w:rPr>
                <w:szCs w:val="21"/>
              </w:rPr>
            </w:pPr>
            <w:r>
              <w:rPr>
                <w:rFonts w:hint="eastAsia"/>
                <w:szCs w:val="21"/>
                <w:lang w:eastAsia="zh-CN"/>
              </w:rPr>
              <w:t>2）</w:t>
            </w:r>
            <w:r>
              <w:rPr>
                <w:rFonts w:hint="eastAsia" w:hAnsi="宋体"/>
                <w:szCs w:val="21"/>
              </w:rPr>
              <w:t>注明招标编号、项目名称、货物名称</w:t>
            </w:r>
            <w:r>
              <w:rPr>
                <w:rFonts w:hint="eastAsia" w:ascii="宋体" w:hAnsi="宋体"/>
                <w:szCs w:val="21"/>
              </w:rPr>
              <w:t>“</w:t>
            </w:r>
            <w:r>
              <w:rPr>
                <w:rFonts w:hint="eastAsia" w:hAnsi="宋体"/>
                <w:szCs w:val="21"/>
              </w:rPr>
              <w:t>在</w:t>
            </w:r>
            <w:r>
              <w:rPr>
                <w:rFonts w:hint="eastAsia"/>
                <w:szCs w:val="21"/>
              </w:rPr>
              <w:t>（</w:t>
            </w:r>
            <w:r>
              <w:rPr>
                <w:rFonts w:hint="eastAsia"/>
                <w:szCs w:val="21"/>
                <w:lang w:eastAsia="zh-CN"/>
              </w:rPr>
              <w:t>‘</w:t>
            </w:r>
            <w:r>
              <w:rPr>
                <w:rFonts w:hint="eastAsia"/>
                <w:i/>
                <w:szCs w:val="21"/>
              </w:rPr>
              <w:t>投标邀请</w:t>
            </w:r>
            <w:r>
              <w:rPr>
                <w:rFonts w:hint="eastAsia"/>
                <w:i/>
                <w:szCs w:val="21"/>
                <w:lang w:eastAsia="zh-CN"/>
              </w:rPr>
              <w:t>’</w:t>
            </w:r>
            <w:r>
              <w:rPr>
                <w:rFonts w:hint="eastAsia"/>
                <w:i/>
                <w:szCs w:val="21"/>
              </w:rPr>
              <w:t>规定的开标日期和时间</w:t>
            </w:r>
            <w:r>
              <w:rPr>
                <w:rFonts w:hint="eastAsia"/>
                <w:szCs w:val="21"/>
              </w:rPr>
              <w:t>）</w:t>
            </w:r>
            <w:r>
              <w:rPr>
                <w:rFonts w:hint="eastAsia" w:hAnsi="宋体"/>
                <w:szCs w:val="21"/>
              </w:rPr>
              <w:t>之前不得启封</w:t>
            </w:r>
            <w:r>
              <w:rPr>
                <w:rFonts w:hint="eastAsia" w:ascii="宋体" w:hAnsi="宋体"/>
                <w:szCs w:val="21"/>
              </w:rPr>
              <w:t>”</w:t>
            </w:r>
            <w:r>
              <w:rPr>
                <w:rFonts w:hint="eastAsia" w:hAnsi="宋体"/>
                <w:szCs w:val="21"/>
              </w:rPr>
              <w:t>的字样。</w:t>
            </w:r>
          </w:p>
        </w:tc>
      </w:tr>
      <w:tr w14:paraId="52184A5C">
        <w:tblPrEx>
          <w:tblCellMar>
            <w:top w:w="0" w:type="dxa"/>
            <w:left w:w="108" w:type="dxa"/>
            <w:bottom w:w="0" w:type="dxa"/>
            <w:right w:w="108" w:type="dxa"/>
          </w:tblCellMar>
        </w:tblPrEx>
        <w:tc>
          <w:tcPr>
            <w:tcW w:w="828" w:type="dxa"/>
          </w:tcPr>
          <w:p w14:paraId="73F32CD2">
            <w:pPr>
              <w:spacing w:line="400" w:lineRule="exact"/>
              <w:ind w:right="-57"/>
              <w:rPr>
                <w:szCs w:val="21"/>
              </w:rPr>
            </w:pPr>
            <w:r>
              <w:rPr>
                <w:szCs w:val="21"/>
              </w:rPr>
              <w:t xml:space="preserve">16.3  </w:t>
            </w:r>
          </w:p>
        </w:tc>
        <w:tc>
          <w:tcPr>
            <w:tcW w:w="7560" w:type="dxa"/>
          </w:tcPr>
          <w:p w14:paraId="2B7BA4DC">
            <w:pPr>
              <w:spacing w:line="400" w:lineRule="exact"/>
              <w:rPr>
                <w:szCs w:val="21"/>
              </w:rPr>
            </w:pPr>
            <w:r>
              <w:rPr>
                <w:rFonts w:hint="eastAsia" w:hAnsi="宋体"/>
                <w:szCs w:val="21"/>
              </w:rPr>
              <w:t>如果投标文件未按本须知第</w:t>
            </w:r>
            <w:r>
              <w:rPr>
                <w:rFonts w:hAnsi="宋体"/>
                <w:szCs w:val="21"/>
              </w:rPr>
              <w:t>16.1</w:t>
            </w:r>
            <w:r>
              <w:rPr>
                <w:rFonts w:hint="eastAsia" w:hAnsi="宋体"/>
                <w:szCs w:val="21"/>
              </w:rPr>
              <w:t>条要求封装、密封及未在</w:t>
            </w:r>
            <w:r>
              <w:rPr>
                <w:rFonts w:hint="eastAsia" w:hAnsi="宋体"/>
              </w:rPr>
              <w:t>密封封口处加盖投标单位公章</w:t>
            </w:r>
            <w:r>
              <w:rPr>
                <w:rFonts w:hint="eastAsia" w:hAnsi="宋体"/>
                <w:szCs w:val="21"/>
              </w:rPr>
              <w:t>，招标方将不予受理。</w:t>
            </w:r>
          </w:p>
        </w:tc>
      </w:tr>
      <w:tr w14:paraId="4C735F89">
        <w:tblPrEx>
          <w:tblCellMar>
            <w:top w:w="0" w:type="dxa"/>
            <w:left w:w="108" w:type="dxa"/>
            <w:bottom w:w="0" w:type="dxa"/>
            <w:right w:w="108" w:type="dxa"/>
          </w:tblCellMar>
        </w:tblPrEx>
        <w:tc>
          <w:tcPr>
            <w:tcW w:w="8388" w:type="dxa"/>
            <w:gridSpan w:val="2"/>
          </w:tcPr>
          <w:p w14:paraId="0FF7CABE">
            <w:pPr>
              <w:rPr>
                <w:rFonts w:ascii="黑体" w:eastAsia="黑体"/>
                <w:szCs w:val="21"/>
              </w:rPr>
            </w:pPr>
            <w:bookmarkStart w:id="124" w:name="_Toc205623185"/>
            <w:bookmarkStart w:id="125" w:name="_Toc211243279"/>
            <w:bookmarkStart w:id="126" w:name="_Toc236803089"/>
            <w:bookmarkStart w:id="127" w:name="_Toc205616033"/>
            <w:r>
              <w:rPr>
                <w:rFonts w:ascii="宋体" w:hAnsi="宋体"/>
                <w:b/>
              </w:rPr>
              <w:t xml:space="preserve">17. </w:t>
            </w:r>
            <w:r>
              <w:rPr>
                <w:rFonts w:hint="eastAsia" w:ascii="宋体" w:hAnsi="宋体"/>
                <w:b/>
              </w:rPr>
              <w:t>投标截止期</w:t>
            </w:r>
            <w:bookmarkEnd w:id="124"/>
            <w:bookmarkEnd w:id="125"/>
            <w:bookmarkEnd w:id="126"/>
            <w:bookmarkEnd w:id="127"/>
          </w:p>
        </w:tc>
      </w:tr>
      <w:tr w14:paraId="638780FB">
        <w:tblPrEx>
          <w:tblCellMar>
            <w:top w:w="0" w:type="dxa"/>
            <w:left w:w="108" w:type="dxa"/>
            <w:bottom w:w="0" w:type="dxa"/>
            <w:right w:w="108" w:type="dxa"/>
          </w:tblCellMar>
        </w:tblPrEx>
        <w:tc>
          <w:tcPr>
            <w:tcW w:w="828" w:type="dxa"/>
          </w:tcPr>
          <w:p w14:paraId="64A37595">
            <w:pPr>
              <w:spacing w:line="400" w:lineRule="exact"/>
              <w:ind w:right="-57"/>
              <w:rPr>
                <w:szCs w:val="21"/>
              </w:rPr>
            </w:pPr>
            <w:r>
              <w:rPr>
                <w:szCs w:val="21"/>
              </w:rPr>
              <w:t xml:space="preserve">17.1  </w:t>
            </w:r>
          </w:p>
        </w:tc>
        <w:tc>
          <w:tcPr>
            <w:tcW w:w="7560" w:type="dxa"/>
          </w:tcPr>
          <w:p w14:paraId="4851836C">
            <w:pPr>
              <w:spacing w:line="400" w:lineRule="exact"/>
              <w:rPr>
                <w:szCs w:val="21"/>
              </w:rPr>
            </w:pPr>
            <w:r>
              <w:rPr>
                <w:rFonts w:hint="eastAsia" w:ascii="宋体" w:hAnsi="宋体"/>
                <w:spacing w:val="-2"/>
                <w:szCs w:val="21"/>
              </w:rPr>
              <w:t>投标方应在不迟于“</w:t>
            </w:r>
            <w:r>
              <w:rPr>
                <w:rFonts w:hint="eastAsia" w:ascii="宋体" w:hAnsi="宋体"/>
                <w:szCs w:val="21"/>
              </w:rPr>
              <w:t>投标邀请”</w:t>
            </w:r>
            <w:r>
              <w:rPr>
                <w:rFonts w:hint="eastAsia" w:ascii="宋体" w:hAnsi="宋体"/>
                <w:spacing w:val="-2"/>
                <w:szCs w:val="21"/>
              </w:rPr>
              <w:t>中规定的投标截止时间和投标地点将投标文件递交至招标方</w:t>
            </w:r>
            <w:r>
              <w:rPr>
                <w:rFonts w:hint="eastAsia" w:ascii="宋体" w:hAnsi="宋体"/>
                <w:szCs w:val="21"/>
              </w:rPr>
              <w:t>，</w:t>
            </w:r>
            <w:r>
              <w:rPr>
                <w:rFonts w:hint="eastAsia" w:hAnsi="宋体"/>
                <w:szCs w:val="21"/>
              </w:rPr>
              <w:t>逾期送达或未送达指定地点的不予受理。</w:t>
            </w:r>
          </w:p>
        </w:tc>
      </w:tr>
      <w:tr w14:paraId="415D7E4E">
        <w:tblPrEx>
          <w:tblCellMar>
            <w:top w:w="0" w:type="dxa"/>
            <w:left w:w="108" w:type="dxa"/>
            <w:bottom w:w="0" w:type="dxa"/>
            <w:right w:w="108" w:type="dxa"/>
          </w:tblCellMar>
        </w:tblPrEx>
        <w:tc>
          <w:tcPr>
            <w:tcW w:w="828" w:type="dxa"/>
          </w:tcPr>
          <w:p w14:paraId="70844D24">
            <w:pPr>
              <w:spacing w:line="400" w:lineRule="exact"/>
              <w:ind w:right="-57"/>
              <w:rPr>
                <w:szCs w:val="21"/>
              </w:rPr>
            </w:pPr>
            <w:r>
              <w:rPr>
                <w:szCs w:val="21"/>
              </w:rPr>
              <w:t xml:space="preserve">17.2  </w:t>
            </w:r>
          </w:p>
        </w:tc>
        <w:tc>
          <w:tcPr>
            <w:tcW w:w="7560" w:type="dxa"/>
          </w:tcPr>
          <w:p w14:paraId="29827E40">
            <w:pPr>
              <w:spacing w:line="400" w:lineRule="exact"/>
              <w:rPr>
                <w:rFonts w:hAnsi="宋体"/>
                <w:szCs w:val="21"/>
              </w:rPr>
            </w:pPr>
            <w:r>
              <w:rPr>
                <w:rFonts w:hint="eastAsia" w:hAnsi="宋体"/>
                <w:szCs w:val="21"/>
              </w:rPr>
              <w:t>招标方可以按本须知第</w:t>
            </w:r>
            <w:r>
              <w:rPr>
                <w:szCs w:val="21"/>
              </w:rPr>
              <w:t>7</w:t>
            </w:r>
            <w:r>
              <w:rPr>
                <w:rFonts w:hint="eastAsia" w:hAnsi="宋体"/>
                <w:szCs w:val="21"/>
              </w:rPr>
              <w:t>条规定，通过修改招标文件自行决定酌情延长投标截止期。在此情况下，招标方和投标方受投标截止期制约的所有权利和义务均应延长至新的截止期。</w:t>
            </w:r>
          </w:p>
        </w:tc>
      </w:tr>
      <w:tr w14:paraId="49B2A22A">
        <w:tblPrEx>
          <w:tblCellMar>
            <w:top w:w="0" w:type="dxa"/>
            <w:left w:w="108" w:type="dxa"/>
            <w:bottom w:w="0" w:type="dxa"/>
            <w:right w:w="108" w:type="dxa"/>
          </w:tblCellMar>
        </w:tblPrEx>
        <w:tc>
          <w:tcPr>
            <w:tcW w:w="828" w:type="dxa"/>
          </w:tcPr>
          <w:p w14:paraId="324B7CA5">
            <w:pPr>
              <w:spacing w:line="400" w:lineRule="exact"/>
              <w:ind w:right="-57"/>
              <w:rPr>
                <w:szCs w:val="21"/>
              </w:rPr>
            </w:pPr>
            <w:r>
              <w:rPr>
                <w:szCs w:val="21"/>
              </w:rPr>
              <w:t>17.3</w:t>
            </w:r>
          </w:p>
        </w:tc>
        <w:tc>
          <w:tcPr>
            <w:tcW w:w="7560" w:type="dxa"/>
          </w:tcPr>
          <w:p w14:paraId="7380A245">
            <w:pPr>
              <w:spacing w:line="400" w:lineRule="exact"/>
              <w:rPr>
                <w:szCs w:val="21"/>
              </w:rPr>
            </w:pPr>
            <w:r>
              <w:rPr>
                <w:rFonts w:hint="eastAsia" w:hAnsi="宋体"/>
                <w:szCs w:val="21"/>
              </w:rPr>
              <w:t>招标方于开标前</w:t>
            </w:r>
            <w:r>
              <w:rPr>
                <w:szCs w:val="21"/>
              </w:rPr>
              <w:t>30</w:t>
            </w:r>
            <w:r>
              <w:rPr>
                <w:rFonts w:hint="eastAsia" w:hAnsi="宋体"/>
                <w:szCs w:val="21"/>
              </w:rPr>
              <w:t>分钟开始接收投标文件。</w:t>
            </w:r>
          </w:p>
        </w:tc>
      </w:tr>
      <w:tr w14:paraId="7B66A0EE">
        <w:tblPrEx>
          <w:tblCellMar>
            <w:top w:w="0" w:type="dxa"/>
            <w:left w:w="108" w:type="dxa"/>
            <w:bottom w:w="0" w:type="dxa"/>
            <w:right w:w="108" w:type="dxa"/>
          </w:tblCellMar>
        </w:tblPrEx>
        <w:tc>
          <w:tcPr>
            <w:tcW w:w="8388" w:type="dxa"/>
            <w:gridSpan w:val="2"/>
          </w:tcPr>
          <w:p w14:paraId="42CF9801">
            <w:pPr>
              <w:rPr>
                <w:rFonts w:ascii="黑体" w:eastAsia="黑体"/>
                <w:szCs w:val="21"/>
              </w:rPr>
            </w:pPr>
            <w:bookmarkStart w:id="128" w:name="_Toc236803090"/>
            <w:bookmarkStart w:id="129" w:name="_Toc205623187"/>
            <w:bookmarkStart w:id="130" w:name="_Toc211243281"/>
            <w:bookmarkStart w:id="131" w:name="_Toc205616035"/>
            <w:r>
              <w:rPr>
                <w:rFonts w:ascii="宋体" w:hAnsi="宋体"/>
                <w:b/>
              </w:rPr>
              <w:t xml:space="preserve">18. </w:t>
            </w:r>
            <w:r>
              <w:rPr>
                <w:rFonts w:hint="eastAsia" w:ascii="宋体" w:hAnsi="宋体"/>
                <w:b/>
              </w:rPr>
              <w:t>迟交的投标文件</w:t>
            </w:r>
            <w:bookmarkEnd w:id="128"/>
            <w:bookmarkEnd w:id="129"/>
            <w:bookmarkEnd w:id="130"/>
            <w:bookmarkEnd w:id="131"/>
          </w:p>
        </w:tc>
      </w:tr>
      <w:tr w14:paraId="6165950B">
        <w:tblPrEx>
          <w:tblCellMar>
            <w:top w:w="0" w:type="dxa"/>
            <w:left w:w="108" w:type="dxa"/>
            <w:bottom w:w="0" w:type="dxa"/>
            <w:right w:w="108" w:type="dxa"/>
          </w:tblCellMar>
        </w:tblPrEx>
        <w:tc>
          <w:tcPr>
            <w:tcW w:w="828" w:type="dxa"/>
          </w:tcPr>
          <w:p w14:paraId="3E4D8007">
            <w:pPr>
              <w:spacing w:line="400" w:lineRule="exact"/>
              <w:ind w:right="-57"/>
              <w:rPr>
                <w:rFonts w:ascii="宋体"/>
                <w:szCs w:val="21"/>
              </w:rPr>
            </w:pPr>
            <w:r>
              <w:rPr>
                <w:szCs w:val="21"/>
              </w:rPr>
              <w:t xml:space="preserve">18.1  </w:t>
            </w:r>
          </w:p>
        </w:tc>
        <w:tc>
          <w:tcPr>
            <w:tcW w:w="7560" w:type="dxa"/>
          </w:tcPr>
          <w:p w14:paraId="711B7947">
            <w:pPr>
              <w:spacing w:line="400" w:lineRule="exact"/>
              <w:rPr>
                <w:szCs w:val="21"/>
              </w:rPr>
            </w:pPr>
            <w:r>
              <w:rPr>
                <w:rFonts w:hint="eastAsia" w:hAnsi="宋体"/>
                <w:szCs w:val="21"/>
              </w:rPr>
              <w:t>招标方将拒绝并原封退回在本须知第</w:t>
            </w:r>
            <w:r>
              <w:rPr>
                <w:szCs w:val="21"/>
              </w:rPr>
              <w:t>17</w:t>
            </w:r>
            <w:r>
              <w:rPr>
                <w:rFonts w:hint="eastAsia" w:hAnsi="宋体"/>
                <w:szCs w:val="21"/>
              </w:rPr>
              <w:t>条规定的截止期后收到的任何投标文件。</w:t>
            </w:r>
          </w:p>
        </w:tc>
      </w:tr>
      <w:tr w14:paraId="55A11928">
        <w:tblPrEx>
          <w:tblCellMar>
            <w:top w:w="0" w:type="dxa"/>
            <w:left w:w="108" w:type="dxa"/>
            <w:bottom w:w="0" w:type="dxa"/>
            <w:right w:w="108" w:type="dxa"/>
          </w:tblCellMar>
        </w:tblPrEx>
        <w:tc>
          <w:tcPr>
            <w:tcW w:w="8388" w:type="dxa"/>
            <w:gridSpan w:val="2"/>
          </w:tcPr>
          <w:p w14:paraId="67BEFEAA">
            <w:pPr>
              <w:rPr>
                <w:rFonts w:ascii="黑体" w:eastAsia="黑体"/>
                <w:szCs w:val="21"/>
              </w:rPr>
            </w:pPr>
            <w:bookmarkStart w:id="132" w:name="_Toc211243283"/>
            <w:bookmarkStart w:id="133" w:name="_Toc236803091"/>
            <w:bookmarkStart w:id="134" w:name="_Toc205623189"/>
            <w:bookmarkStart w:id="135" w:name="_Toc205616037"/>
            <w:r>
              <w:rPr>
                <w:rFonts w:ascii="宋体" w:hAnsi="宋体"/>
                <w:b/>
              </w:rPr>
              <w:t xml:space="preserve">19. </w:t>
            </w:r>
            <w:r>
              <w:rPr>
                <w:rFonts w:hint="eastAsia" w:ascii="宋体" w:hAnsi="宋体"/>
                <w:b/>
              </w:rPr>
              <w:t>投标文件的修改与撤回</w:t>
            </w:r>
            <w:bookmarkEnd w:id="132"/>
            <w:bookmarkEnd w:id="133"/>
            <w:bookmarkEnd w:id="134"/>
            <w:bookmarkEnd w:id="135"/>
          </w:p>
        </w:tc>
      </w:tr>
      <w:tr w14:paraId="06455E86">
        <w:tblPrEx>
          <w:tblCellMar>
            <w:top w:w="0" w:type="dxa"/>
            <w:left w:w="108" w:type="dxa"/>
            <w:bottom w:w="0" w:type="dxa"/>
            <w:right w:w="108" w:type="dxa"/>
          </w:tblCellMar>
        </w:tblPrEx>
        <w:tc>
          <w:tcPr>
            <w:tcW w:w="828" w:type="dxa"/>
          </w:tcPr>
          <w:p w14:paraId="3ED9202A">
            <w:pPr>
              <w:spacing w:line="400" w:lineRule="exact"/>
              <w:ind w:right="-57"/>
              <w:rPr>
                <w:szCs w:val="21"/>
              </w:rPr>
            </w:pPr>
            <w:r>
              <w:rPr>
                <w:szCs w:val="21"/>
              </w:rPr>
              <w:t xml:space="preserve">19.1  </w:t>
            </w:r>
          </w:p>
        </w:tc>
        <w:tc>
          <w:tcPr>
            <w:tcW w:w="7560" w:type="dxa"/>
          </w:tcPr>
          <w:p w14:paraId="4D58C68B">
            <w:pPr>
              <w:spacing w:line="400" w:lineRule="exact"/>
              <w:rPr>
                <w:szCs w:val="21"/>
              </w:rPr>
            </w:pPr>
            <w:r>
              <w:rPr>
                <w:rFonts w:hint="eastAsia" w:hAnsi="宋体"/>
                <w:szCs w:val="21"/>
              </w:rPr>
              <w:t>投标方在递交投标文件后，可以修改或撤回其投标，但招标方必须在第</w:t>
            </w:r>
            <w:r>
              <w:rPr>
                <w:szCs w:val="21"/>
              </w:rPr>
              <w:t>17</w:t>
            </w:r>
            <w:r>
              <w:rPr>
                <w:rFonts w:hint="eastAsia" w:hAnsi="宋体"/>
                <w:szCs w:val="21"/>
              </w:rPr>
              <w:t>条规定的投标截止期之前，收到修改或撤回的书面通知。</w:t>
            </w:r>
          </w:p>
        </w:tc>
      </w:tr>
      <w:tr w14:paraId="3F79B994">
        <w:tblPrEx>
          <w:tblCellMar>
            <w:top w:w="0" w:type="dxa"/>
            <w:left w:w="108" w:type="dxa"/>
            <w:bottom w:w="0" w:type="dxa"/>
            <w:right w:w="108" w:type="dxa"/>
          </w:tblCellMar>
        </w:tblPrEx>
        <w:tc>
          <w:tcPr>
            <w:tcW w:w="828" w:type="dxa"/>
          </w:tcPr>
          <w:p w14:paraId="4D3DFC2C">
            <w:pPr>
              <w:spacing w:line="400" w:lineRule="exact"/>
              <w:ind w:right="-57"/>
              <w:rPr>
                <w:szCs w:val="21"/>
              </w:rPr>
            </w:pPr>
            <w:r>
              <w:rPr>
                <w:szCs w:val="21"/>
              </w:rPr>
              <w:t xml:space="preserve">19.2  </w:t>
            </w:r>
          </w:p>
        </w:tc>
        <w:tc>
          <w:tcPr>
            <w:tcW w:w="7560" w:type="dxa"/>
          </w:tcPr>
          <w:p w14:paraId="39A7295F">
            <w:pPr>
              <w:spacing w:line="400" w:lineRule="exact"/>
              <w:rPr>
                <w:szCs w:val="21"/>
              </w:rPr>
            </w:pPr>
            <w:r>
              <w:rPr>
                <w:rFonts w:hint="eastAsia" w:hAnsi="宋体"/>
                <w:szCs w:val="21"/>
              </w:rPr>
              <w:t>投标方的修改或撤回通知应按本须知第</w:t>
            </w:r>
            <w:r>
              <w:rPr>
                <w:szCs w:val="21"/>
              </w:rPr>
              <w:t>17</w:t>
            </w:r>
            <w:r>
              <w:rPr>
                <w:rFonts w:hint="eastAsia" w:hAnsi="宋体"/>
                <w:szCs w:val="21"/>
              </w:rPr>
              <w:t>条规定编制、密封、标记和递交。</w:t>
            </w:r>
          </w:p>
        </w:tc>
      </w:tr>
      <w:tr w14:paraId="4AAAFB59">
        <w:tblPrEx>
          <w:tblCellMar>
            <w:top w:w="0" w:type="dxa"/>
            <w:left w:w="108" w:type="dxa"/>
            <w:bottom w:w="0" w:type="dxa"/>
            <w:right w:w="108" w:type="dxa"/>
          </w:tblCellMar>
        </w:tblPrEx>
        <w:tc>
          <w:tcPr>
            <w:tcW w:w="828" w:type="dxa"/>
          </w:tcPr>
          <w:p w14:paraId="648EA2DE">
            <w:pPr>
              <w:spacing w:line="400" w:lineRule="exact"/>
              <w:ind w:right="-57"/>
              <w:rPr>
                <w:szCs w:val="21"/>
              </w:rPr>
            </w:pPr>
            <w:r>
              <w:rPr>
                <w:szCs w:val="21"/>
              </w:rPr>
              <w:t xml:space="preserve">19.3  </w:t>
            </w:r>
          </w:p>
        </w:tc>
        <w:tc>
          <w:tcPr>
            <w:tcW w:w="7560" w:type="dxa"/>
          </w:tcPr>
          <w:p w14:paraId="160721C9">
            <w:pPr>
              <w:spacing w:line="400" w:lineRule="exact"/>
              <w:rPr>
                <w:szCs w:val="21"/>
              </w:rPr>
            </w:pPr>
            <w:r>
              <w:rPr>
                <w:rFonts w:hint="eastAsia" w:hAnsi="宋体"/>
                <w:szCs w:val="21"/>
              </w:rPr>
              <w:t>在投标截止期之后，投标方不得对其投标做任何修改。</w:t>
            </w:r>
          </w:p>
        </w:tc>
      </w:tr>
      <w:tr w14:paraId="49E2D076">
        <w:tblPrEx>
          <w:tblCellMar>
            <w:top w:w="0" w:type="dxa"/>
            <w:left w:w="108" w:type="dxa"/>
            <w:bottom w:w="0" w:type="dxa"/>
            <w:right w:w="108" w:type="dxa"/>
          </w:tblCellMar>
        </w:tblPrEx>
        <w:tc>
          <w:tcPr>
            <w:tcW w:w="8388" w:type="dxa"/>
            <w:gridSpan w:val="2"/>
          </w:tcPr>
          <w:p w14:paraId="067E62AF">
            <w:pPr>
              <w:rPr>
                <w:szCs w:val="21"/>
              </w:rPr>
            </w:pPr>
            <w:bookmarkStart w:id="136" w:name="_Toc205616039"/>
            <w:bookmarkStart w:id="137" w:name="_Toc236803092"/>
            <w:bookmarkStart w:id="138" w:name="_Toc211243285"/>
            <w:bookmarkStart w:id="139" w:name="_Toc205623191"/>
            <w:r>
              <w:rPr>
                <w:rFonts w:ascii="宋体" w:hAnsi="宋体"/>
                <w:b/>
              </w:rPr>
              <w:t xml:space="preserve">20. </w:t>
            </w:r>
            <w:r>
              <w:rPr>
                <w:rFonts w:hint="eastAsia" w:ascii="宋体" w:hAnsi="宋体"/>
                <w:b/>
              </w:rPr>
              <w:t>评标委员会</w:t>
            </w:r>
            <w:bookmarkEnd w:id="136"/>
            <w:bookmarkEnd w:id="137"/>
            <w:bookmarkEnd w:id="138"/>
            <w:bookmarkEnd w:id="139"/>
          </w:p>
        </w:tc>
      </w:tr>
      <w:tr w14:paraId="7140A59B">
        <w:tblPrEx>
          <w:tblCellMar>
            <w:top w:w="0" w:type="dxa"/>
            <w:left w:w="108" w:type="dxa"/>
            <w:bottom w:w="0" w:type="dxa"/>
            <w:right w:w="108" w:type="dxa"/>
          </w:tblCellMar>
        </w:tblPrEx>
        <w:tc>
          <w:tcPr>
            <w:tcW w:w="828" w:type="dxa"/>
          </w:tcPr>
          <w:p w14:paraId="314245EA">
            <w:pPr>
              <w:spacing w:line="400" w:lineRule="exact"/>
              <w:ind w:right="-57"/>
              <w:rPr>
                <w:rFonts w:ascii="宋体"/>
                <w:szCs w:val="21"/>
              </w:rPr>
            </w:pPr>
            <w:r>
              <w:rPr>
                <w:szCs w:val="21"/>
              </w:rPr>
              <w:t xml:space="preserve">20.1  </w:t>
            </w:r>
          </w:p>
        </w:tc>
        <w:tc>
          <w:tcPr>
            <w:tcW w:w="7560" w:type="dxa"/>
          </w:tcPr>
          <w:p w14:paraId="2788BC96">
            <w:pPr>
              <w:pStyle w:val="7"/>
              <w:spacing w:line="400" w:lineRule="exact"/>
              <w:jc w:val="both"/>
              <w:rPr>
                <w:rFonts w:ascii="Times New Roman" w:hAnsi="宋体"/>
                <w:sz w:val="21"/>
                <w:szCs w:val="21"/>
              </w:rPr>
            </w:pPr>
            <w:r>
              <w:rPr>
                <w:rFonts w:hint="eastAsia" w:ascii="Times New Roman" w:hAnsi="宋体"/>
                <w:sz w:val="21"/>
                <w:szCs w:val="21"/>
              </w:rPr>
              <w:t>依法组成评标委员会，评标委员会由招标方和有关技术、经济等方面的专家组成，</w:t>
            </w:r>
          </w:p>
          <w:p w14:paraId="31B8641A">
            <w:pPr>
              <w:pStyle w:val="7"/>
              <w:spacing w:line="400" w:lineRule="exact"/>
              <w:jc w:val="both"/>
              <w:rPr>
                <w:sz w:val="21"/>
                <w:szCs w:val="21"/>
              </w:rPr>
            </w:pPr>
            <w:r>
              <w:rPr>
                <w:rFonts w:hint="eastAsia" w:ascii="Times New Roman" w:hAnsi="宋体"/>
                <w:sz w:val="21"/>
                <w:szCs w:val="21"/>
              </w:rPr>
              <w:t>成员人数为不少于</w:t>
            </w:r>
            <w:r>
              <w:rPr>
                <w:rFonts w:ascii="Times New Roman"/>
                <w:sz w:val="21"/>
                <w:szCs w:val="21"/>
              </w:rPr>
              <w:t>5</w:t>
            </w:r>
            <w:r>
              <w:rPr>
                <w:rFonts w:hint="eastAsia" w:ascii="Times New Roman" w:hAnsi="宋体"/>
                <w:sz w:val="21"/>
                <w:szCs w:val="21"/>
              </w:rPr>
              <w:t>人以上单数，其中技术、经济等方面的专家不少于成员</w:t>
            </w:r>
            <w:r>
              <w:rPr>
                <w:rFonts w:hint="eastAsia"/>
                <w:sz w:val="21"/>
                <w:szCs w:val="21"/>
              </w:rPr>
              <w:t>总数</w:t>
            </w:r>
          </w:p>
          <w:p w14:paraId="68734666">
            <w:pPr>
              <w:pStyle w:val="7"/>
              <w:spacing w:line="400" w:lineRule="exact"/>
              <w:jc w:val="both"/>
              <w:rPr>
                <w:rFonts w:ascii="Times New Roman" w:hAnsi="宋体"/>
                <w:sz w:val="21"/>
                <w:szCs w:val="21"/>
              </w:rPr>
            </w:pPr>
            <w:r>
              <w:rPr>
                <w:rFonts w:hint="eastAsia"/>
                <w:sz w:val="21"/>
                <w:szCs w:val="21"/>
              </w:rPr>
              <w:t>的三分之二。</w:t>
            </w:r>
          </w:p>
        </w:tc>
      </w:tr>
      <w:tr w14:paraId="33D2758E">
        <w:tblPrEx>
          <w:tblCellMar>
            <w:top w:w="0" w:type="dxa"/>
            <w:left w:w="108" w:type="dxa"/>
            <w:bottom w:w="0" w:type="dxa"/>
            <w:right w:w="108" w:type="dxa"/>
          </w:tblCellMar>
        </w:tblPrEx>
        <w:tc>
          <w:tcPr>
            <w:tcW w:w="8388" w:type="dxa"/>
            <w:gridSpan w:val="2"/>
          </w:tcPr>
          <w:p w14:paraId="6E4C0580">
            <w:pPr>
              <w:pStyle w:val="3"/>
              <w:spacing w:before="360" w:after="0" w:line="240" w:lineRule="auto"/>
              <w:jc w:val="center"/>
              <w:rPr>
                <w:rFonts w:ascii="楷体_GB2312" w:eastAsia="楷体_GB2312"/>
                <w:sz w:val="24"/>
              </w:rPr>
            </w:pPr>
            <w:bookmarkStart w:id="140" w:name="_Toc236803093"/>
            <w:bookmarkStart w:id="141" w:name="_Toc20292"/>
            <w:bookmarkStart w:id="142" w:name="_Toc496002350"/>
            <w:bookmarkStart w:id="143" w:name="_Toc211243286"/>
            <w:r>
              <w:rPr>
                <w:rFonts w:hint="eastAsia" w:ascii="楷体_GB2312" w:eastAsia="楷体_GB2312"/>
                <w:sz w:val="24"/>
                <w:szCs w:val="24"/>
              </w:rPr>
              <w:t>五开标与评标</w:t>
            </w:r>
            <w:bookmarkEnd w:id="140"/>
            <w:bookmarkEnd w:id="141"/>
            <w:bookmarkEnd w:id="142"/>
            <w:bookmarkEnd w:id="143"/>
          </w:p>
        </w:tc>
      </w:tr>
      <w:tr w14:paraId="181A395E">
        <w:tblPrEx>
          <w:tblCellMar>
            <w:top w:w="0" w:type="dxa"/>
            <w:left w:w="108" w:type="dxa"/>
            <w:bottom w:w="0" w:type="dxa"/>
            <w:right w:w="108" w:type="dxa"/>
          </w:tblCellMar>
        </w:tblPrEx>
        <w:tc>
          <w:tcPr>
            <w:tcW w:w="8388" w:type="dxa"/>
            <w:gridSpan w:val="2"/>
          </w:tcPr>
          <w:p w14:paraId="7F3192F5">
            <w:pPr>
              <w:rPr>
                <w:szCs w:val="21"/>
              </w:rPr>
            </w:pPr>
            <w:bookmarkStart w:id="144" w:name="_Toc236803094"/>
            <w:bookmarkStart w:id="145" w:name="_Toc205623194"/>
            <w:bookmarkStart w:id="146" w:name="_Toc211243288"/>
            <w:bookmarkStart w:id="147" w:name="_Toc205616042"/>
            <w:r>
              <w:rPr>
                <w:rFonts w:ascii="宋体" w:hAnsi="宋体"/>
                <w:b/>
              </w:rPr>
              <w:t xml:space="preserve">21. </w:t>
            </w:r>
            <w:r>
              <w:rPr>
                <w:rFonts w:hint="eastAsia" w:ascii="宋体" w:hAnsi="宋体"/>
                <w:b/>
              </w:rPr>
              <w:t>开标</w:t>
            </w:r>
            <w:bookmarkEnd w:id="144"/>
            <w:bookmarkEnd w:id="145"/>
            <w:bookmarkEnd w:id="146"/>
            <w:bookmarkEnd w:id="147"/>
          </w:p>
        </w:tc>
      </w:tr>
      <w:tr w14:paraId="1556F17B">
        <w:tblPrEx>
          <w:tblCellMar>
            <w:top w:w="0" w:type="dxa"/>
            <w:left w:w="108" w:type="dxa"/>
            <w:bottom w:w="0" w:type="dxa"/>
            <w:right w:w="108" w:type="dxa"/>
          </w:tblCellMar>
        </w:tblPrEx>
        <w:tc>
          <w:tcPr>
            <w:tcW w:w="828" w:type="dxa"/>
          </w:tcPr>
          <w:p w14:paraId="6EC79977">
            <w:pPr>
              <w:spacing w:line="400" w:lineRule="exact"/>
              <w:ind w:right="-57"/>
              <w:rPr>
                <w:szCs w:val="21"/>
              </w:rPr>
            </w:pPr>
            <w:r>
              <w:rPr>
                <w:szCs w:val="21"/>
              </w:rPr>
              <w:t xml:space="preserve">21.1  </w:t>
            </w:r>
          </w:p>
        </w:tc>
        <w:tc>
          <w:tcPr>
            <w:tcW w:w="7560" w:type="dxa"/>
          </w:tcPr>
          <w:p w14:paraId="20DD5859">
            <w:pPr>
              <w:spacing w:line="400" w:lineRule="exact"/>
              <w:rPr>
                <w:rFonts w:hAnsi="宋体"/>
                <w:szCs w:val="21"/>
              </w:rPr>
            </w:pPr>
            <w:r>
              <w:rPr>
                <w:rFonts w:hint="eastAsia" w:hAnsi="宋体"/>
                <w:szCs w:val="21"/>
              </w:rPr>
              <w:t>招标方在“投标邀请”规定的时间和地点组织公开开标。开标时需有投标方代表参加。参加开标的代表应签名报到以证明其出席。</w:t>
            </w:r>
          </w:p>
        </w:tc>
      </w:tr>
      <w:tr w14:paraId="1DBBACBD">
        <w:tblPrEx>
          <w:tblCellMar>
            <w:top w:w="0" w:type="dxa"/>
            <w:left w:w="108" w:type="dxa"/>
            <w:bottom w:w="0" w:type="dxa"/>
            <w:right w:w="108" w:type="dxa"/>
          </w:tblCellMar>
        </w:tblPrEx>
        <w:tc>
          <w:tcPr>
            <w:tcW w:w="828" w:type="dxa"/>
          </w:tcPr>
          <w:p w14:paraId="7D9A4E34">
            <w:pPr>
              <w:spacing w:line="400" w:lineRule="exact"/>
              <w:ind w:right="-57"/>
              <w:rPr>
                <w:szCs w:val="21"/>
              </w:rPr>
            </w:pPr>
            <w:r>
              <w:rPr>
                <w:szCs w:val="21"/>
              </w:rPr>
              <w:t xml:space="preserve">21.2  </w:t>
            </w:r>
          </w:p>
        </w:tc>
        <w:tc>
          <w:tcPr>
            <w:tcW w:w="7560" w:type="dxa"/>
          </w:tcPr>
          <w:p w14:paraId="27FB1F9C">
            <w:pPr>
              <w:spacing w:line="400" w:lineRule="exact"/>
              <w:rPr>
                <w:rFonts w:hAnsi="宋体"/>
                <w:szCs w:val="21"/>
              </w:rPr>
            </w:pPr>
            <w:r>
              <w:rPr>
                <w:rFonts w:hint="eastAsia" w:hAnsi="宋体"/>
                <w:szCs w:val="21"/>
              </w:rPr>
              <w:t>开标时，招标方当众宣读投标方名称、修改和撤回投标的通知、投标价格、折扣声明、是否提交了投标保证金，以及招标方认为合适的其他内容。除了按照本须知第</w:t>
            </w:r>
            <w:r>
              <w:rPr>
                <w:szCs w:val="21"/>
              </w:rPr>
              <w:t>18</w:t>
            </w:r>
            <w:r>
              <w:rPr>
                <w:rFonts w:hint="eastAsia" w:hAnsi="宋体"/>
                <w:szCs w:val="21"/>
              </w:rPr>
              <w:t>条的规定原封退回迟到的投标之外，开标时将不得拒绝任何投标。</w:t>
            </w:r>
          </w:p>
        </w:tc>
      </w:tr>
      <w:tr w14:paraId="53E6F096">
        <w:tblPrEx>
          <w:tblCellMar>
            <w:top w:w="0" w:type="dxa"/>
            <w:left w:w="108" w:type="dxa"/>
            <w:bottom w:w="0" w:type="dxa"/>
            <w:right w:w="108" w:type="dxa"/>
          </w:tblCellMar>
        </w:tblPrEx>
        <w:tc>
          <w:tcPr>
            <w:tcW w:w="828" w:type="dxa"/>
          </w:tcPr>
          <w:p w14:paraId="34F4CDE4">
            <w:pPr>
              <w:spacing w:line="400" w:lineRule="exact"/>
              <w:ind w:right="-57"/>
              <w:rPr>
                <w:szCs w:val="21"/>
              </w:rPr>
            </w:pPr>
            <w:r>
              <w:rPr>
                <w:szCs w:val="21"/>
              </w:rPr>
              <w:t xml:space="preserve">21.3  </w:t>
            </w:r>
          </w:p>
        </w:tc>
        <w:tc>
          <w:tcPr>
            <w:tcW w:w="7560" w:type="dxa"/>
          </w:tcPr>
          <w:p w14:paraId="573BB576">
            <w:pPr>
              <w:spacing w:line="400" w:lineRule="exact"/>
              <w:rPr>
                <w:rFonts w:hAnsi="宋体"/>
                <w:szCs w:val="21"/>
              </w:rPr>
            </w:pPr>
            <w:r>
              <w:rPr>
                <w:rFonts w:hint="eastAsia" w:hAnsi="宋体"/>
                <w:szCs w:val="21"/>
              </w:rPr>
              <w:t>在开标时没有启封和读出的投标文件（包括按照本须知第</w:t>
            </w:r>
            <w:r>
              <w:rPr>
                <w:szCs w:val="21"/>
              </w:rPr>
              <w:t xml:space="preserve"> 19.2</w:t>
            </w:r>
            <w:r>
              <w:rPr>
                <w:rFonts w:hint="eastAsia" w:hAnsi="宋体"/>
                <w:szCs w:val="21"/>
              </w:rPr>
              <w:t>条递交的修改书），在评标时将不予考虑。没有启封和读出的投标文件将原封退回给投标方。</w:t>
            </w:r>
          </w:p>
        </w:tc>
      </w:tr>
      <w:tr w14:paraId="2E2DC9A4">
        <w:tblPrEx>
          <w:tblCellMar>
            <w:top w:w="0" w:type="dxa"/>
            <w:left w:w="108" w:type="dxa"/>
            <w:bottom w:w="0" w:type="dxa"/>
            <w:right w:w="108" w:type="dxa"/>
          </w:tblCellMar>
        </w:tblPrEx>
        <w:tc>
          <w:tcPr>
            <w:tcW w:w="828" w:type="dxa"/>
          </w:tcPr>
          <w:p w14:paraId="203AE0CB">
            <w:pPr>
              <w:spacing w:line="400" w:lineRule="exact"/>
              <w:ind w:right="-57"/>
              <w:rPr>
                <w:szCs w:val="21"/>
              </w:rPr>
            </w:pPr>
            <w:r>
              <w:rPr>
                <w:szCs w:val="21"/>
              </w:rPr>
              <w:t xml:space="preserve">21.4  </w:t>
            </w:r>
          </w:p>
        </w:tc>
        <w:tc>
          <w:tcPr>
            <w:tcW w:w="7560" w:type="dxa"/>
          </w:tcPr>
          <w:p w14:paraId="2315CA32">
            <w:pPr>
              <w:spacing w:line="400" w:lineRule="exact"/>
              <w:rPr>
                <w:szCs w:val="21"/>
              </w:rPr>
            </w:pPr>
            <w:r>
              <w:rPr>
                <w:rFonts w:hint="eastAsia" w:hAnsi="宋体"/>
                <w:szCs w:val="21"/>
              </w:rPr>
              <w:t>招标方将做开标记录。</w:t>
            </w:r>
          </w:p>
        </w:tc>
      </w:tr>
      <w:tr w14:paraId="298C5F0C">
        <w:tblPrEx>
          <w:tblCellMar>
            <w:top w:w="0" w:type="dxa"/>
            <w:left w:w="108" w:type="dxa"/>
            <w:bottom w:w="0" w:type="dxa"/>
            <w:right w:w="108" w:type="dxa"/>
          </w:tblCellMar>
        </w:tblPrEx>
        <w:tc>
          <w:tcPr>
            <w:tcW w:w="8388" w:type="dxa"/>
            <w:gridSpan w:val="2"/>
          </w:tcPr>
          <w:p w14:paraId="5C193D43">
            <w:pPr>
              <w:rPr>
                <w:szCs w:val="21"/>
              </w:rPr>
            </w:pPr>
            <w:bookmarkStart w:id="148" w:name="_Toc236803095"/>
            <w:bookmarkStart w:id="149" w:name="_Toc205623196"/>
            <w:bookmarkStart w:id="150" w:name="_Toc205616044"/>
            <w:bookmarkStart w:id="151" w:name="_Toc211243290"/>
            <w:r>
              <w:rPr>
                <w:rFonts w:ascii="宋体" w:hAnsi="宋体"/>
                <w:b/>
              </w:rPr>
              <w:t xml:space="preserve">22. </w:t>
            </w:r>
            <w:r>
              <w:rPr>
                <w:rFonts w:hint="eastAsia" w:ascii="宋体" w:hAnsi="宋体"/>
                <w:b/>
              </w:rPr>
              <w:t>投标文件的澄清</w:t>
            </w:r>
            <w:bookmarkEnd w:id="148"/>
            <w:bookmarkEnd w:id="149"/>
            <w:bookmarkEnd w:id="150"/>
            <w:bookmarkEnd w:id="151"/>
          </w:p>
        </w:tc>
      </w:tr>
      <w:tr w14:paraId="6365BD30">
        <w:tblPrEx>
          <w:tblCellMar>
            <w:top w:w="0" w:type="dxa"/>
            <w:left w:w="108" w:type="dxa"/>
            <w:bottom w:w="0" w:type="dxa"/>
            <w:right w:w="108" w:type="dxa"/>
          </w:tblCellMar>
        </w:tblPrEx>
        <w:tc>
          <w:tcPr>
            <w:tcW w:w="828" w:type="dxa"/>
          </w:tcPr>
          <w:p w14:paraId="4F46AAA1">
            <w:pPr>
              <w:spacing w:line="400" w:lineRule="exact"/>
              <w:ind w:right="-57"/>
              <w:rPr>
                <w:rFonts w:ascii="宋体"/>
                <w:szCs w:val="21"/>
              </w:rPr>
            </w:pPr>
            <w:r>
              <w:rPr>
                <w:szCs w:val="21"/>
              </w:rPr>
              <w:t xml:space="preserve">22.1  </w:t>
            </w:r>
          </w:p>
        </w:tc>
        <w:tc>
          <w:tcPr>
            <w:tcW w:w="7560" w:type="dxa"/>
          </w:tcPr>
          <w:p w14:paraId="59F5E418">
            <w:pPr>
              <w:spacing w:line="400" w:lineRule="exact"/>
              <w:rPr>
                <w:rFonts w:hAnsi="宋体"/>
                <w:szCs w:val="21"/>
              </w:rPr>
            </w:pPr>
            <w:r>
              <w:rPr>
                <w:rFonts w:hint="eastAsia" w:hAnsi="宋体"/>
                <w:szCs w:val="21"/>
              </w:rPr>
              <w:t>在评标期间，评标委员会可要求投标方对其投标文件进行澄清，但不得寻求、提供或允许对投标价格等实质性内容做任何更改。有关澄清的要求和答复均应以书面形式提交。</w:t>
            </w:r>
          </w:p>
        </w:tc>
      </w:tr>
      <w:tr w14:paraId="74C2E1DB">
        <w:tblPrEx>
          <w:tblCellMar>
            <w:top w:w="0" w:type="dxa"/>
            <w:left w:w="108" w:type="dxa"/>
            <w:bottom w:w="0" w:type="dxa"/>
            <w:right w:w="108" w:type="dxa"/>
          </w:tblCellMar>
        </w:tblPrEx>
        <w:tc>
          <w:tcPr>
            <w:tcW w:w="8388" w:type="dxa"/>
            <w:gridSpan w:val="2"/>
          </w:tcPr>
          <w:p w14:paraId="0CD59575">
            <w:pPr>
              <w:rPr>
                <w:szCs w:val="21"/>
              </w:rPr>
            </w:pPr>
            <w:bookmarkStart w:id="152" w:name="_Toc205623198"/>
            <w:bookmarkStart w:id="153" w:name="_Toc211243292"/>
            <w:bookmarkStart w:id="154" w:name="_Toc236803096"/>
            <w:bookmarkStart w:id="155" w:name="_Toc205616046"/>
            <w:r>
              <w:rPr>
                <w:rFonts w:ascii="宋体" w:hAnsi="宋体"/>
                <w:b/>
              </w:rPr>
              <w:t xml:space="preserve">23. </w:t>
            </w:r>
            <w:r>
              <w:rPr>
                <w:rFonts w:hint="eastAsia" w:ascii="宋体" w:hAnsi="宋体"/>
                <w:b/>
              </w:rPr>
              <w:t>投标文件的初审</w:t>
            </w:r>
            <w:bookmarkEnd w:id="152"/>
            <w:bookmarkEnd w:id="153"/>
            <w:bookmarkEnd w:id="154"/>
            <w:bookmarkEnd w:id="155"/>
          </w:p>
        </w:tc>
      </w:tr>
      <w:tr w14:paraId="1309EF96">
        <w:tblPrEx>
          <w:tblCellMar>
            <w:top w:w="0" w:type="dxa"/>
            <w:left w:w="108" w:type="dxa"/>
            <w:bottom w:w="0" w:type="dxa"/>
            <w:right w:w="108" w:type="dxa"/>
          </w:tblCellMar>
        </w:tblPrEx>
        <w:tc>
          <w:tcPr>
            <w:tcW w:w="828" w:type="dxa"/>
          </w:tcPr>
          <w:p w14:paraId="7A3642A3">
            <w:pPr>
              <w:spacing w:line="400" w:lineRule="exact"/>
              <w:ind w:right="-57"/>
              <w:rPr>
                <w:szCs w:val="21"/>
              </w:rPr>
            </w:pPr>
            <w:r>
              <w:rPr>
                <w:szCs w:val="21"/>
              </w:rPr>
              <w:t xml:space="preserve">23.1  </w:t>
            </w:r>
          </w:p>
        </w:tc>
        <w:tc>
          <w:tcPr>
            <w:tcW w:w="7560" w:type="dxa"/>
          </w:tcPr>
          <w:p w14:paraId="6BE7CDB6">
            <w:pPr>
              <w:spacing w:line="400" w:lineRule="exact"/>
              <w:rPr>
                <w:rFonts w:hAnsi="宋体"/>
                <w:szCs w:val="21"/>
              </w:rPr>
            </w:pPr>
            <w:r>
              <w:rPr>
                <w:rFonts w:hint="eastAsia" w:hAnsi="宋体"/>
                <w:szCs w:val="21"/>
              </w:rPr>
              <w:t>评标委员会将审查投标文件是否完整、总体编排是否有序、文件签署是否合格、</w:t>
            </w:r>
          </w:p>
          <w:p w14:paraId="1D858E4D">
            <w:pPr>
              <w:spacing w:line="400" w:lineRule="exact"/>
              <w:rPr>
                <w:szCs w:val="21"/>
              </w:rPr>
            </w:pPr>
            <w:r>
              <w:rPr>
                <w:rFonts w:hint="eastAsia" w:hAnsi="宋体"/>
                <w:szCs w:val="21"/>
              </w:rPr>
              <w:t>投标方是否提交了投标保证金、有无计算上的错误等。</w:t>
            </w:r>
          </w:p>
        </w:tc>
      </w:tr>
      <w:tr w14:paraId="46378C1E">
        <w:tblPrEx>
          <w:tblCellMar>
            <w:top w:w="0" w:type="dxa"/>
            <w:left w:w="108" w:type="dxa"/>
            <w:bottom w:w="0" w:type="dxa"/>
            <w:right w:w="108" w:type="dxa"/>
          </w:tblCellMar>
        </w:tblPrEx>
        <w:tc>
          <w:tcPr>
            <w:tcW w:w="828" w:type="dxa"/>
          </w:tcPr>
          <w:p w14:paraId="5E3260AB">
            <w:pPr>
              <w:spacing w:line="400" w:lineRule="exact"/>
              <w:ind w:right="-57"/>
              <w:rPr>
                <w:szCs w:val="21"/>
              </w:rPr>
            </w:pPr>
            <w:r>
              <w:rPr>
                <w:szCs w:val="21"/>
              </w:rPr>
              <w:t xml:space="preserve">23.2 </w:t>
            </w:r>
          </w:p>
        </w:tc>
        <w:tc>
          <w:tcPr>
            <w:tcW w:w="7560" w:type="dxa"/>
          </w:tcPr>
          <w:p w14:paraId="1F3164A1">
            <w:pPr>
              <w:spacing w:line="400" w:lineRule="exact"/>
              <w:rPr>
                <w:szCs w:val="21"/>
              </w:rPr>
            </w:pPr>
            <w:r>
              <w:rPr>
                <w:rFonts w:hint="eastAsia" w:hAnsi="宋体"/>
                <w:szCs w:val="21"/>
              </w:rPr>
              <w:t>算术错误将按以下方法更正（次序排先者优先）：</w:t>
            </w:r>
          </w:p>
        </w:tc>
      </w:tr>
      <w:tr w14:paraId="5369CB95">
        <w:tblPrEx>
          <w:tblCellMar>
            <w:top w:w="0" w:type="dxa"/>
            <w:left w:w="108" w:type="dxa"/>
            <w:bottom w:w="0" w:type="dxa"/>
            <w:right w:w="108" w:type="dxa"/>
          </w:tblCellMar>
        </w:tblPrEx>
        <w:tc>
          <w:tcPr>
            <w:tcW w:w="828" w:type="dxa"/>
          </w:tcPr>
          <w:p w14:paraId="528072AB">
            <w:pPr>
              <w:spacing w:line="400" w:lineRule="exact"/>
              <w:ind w:right="-57"/>
              <w:rPr>
                <w:szCs w:val="21"/>
              </w:rPr>
            </w:pPr>
            <w:r>
              <w:rPr>
                <w:szCs w:val="21"/>
              </w:rPr>
              <w:t>23.2.1</w:t>
            </w:r>
          </w:p>
        </w:tc>
        <w:tc>
          <w:tcPr>
            <w:tcW w:w="7560" w:type="dxa"/>
          </w:tcPr>
          <w:p w14:paraId="76F20D0C">
            <w:pPr>
              <w:spacing w:line="400" w:lineRule="exact"/>
              <w:rPr>
                <w:szCs w:val="21"/>
              </w:rPr>
            </w:pPr>
            <w:r>
              <w:rPr>
                <w:rFonts w:hint="eastAsia" w:hAnsi="宋体"/>
                <w:szCs w:val="21"/>
              </w:rPr>
              <w:t>若投标一览表中报价相矛盾，以投标总价为准；</w:t>
            </w:r>
          </w:p>
        </w:tc>
      </w:tr>
      <w:tr w14:paraId="681A4B94">
        <w:tblPrEx>
          <w:tblCellMar>
            <w:top w:w="0" w:type="dxa"/>
            <w:left w:w="108" w:type="dxa"/>
            <w:bottom w:w="0" w:type="dxa"/>
            <w:right w:w="108" w:type="dxa"/>
          </w:tblCellMar>
        </w:tblPrEx>
        <w:tc>
          <w:tcPr>
            <w:tcW w:w="828" w:type="dxa"/>
          </w:tcPr>
          <w:p w14:paraId="77A27BF8">
            <w:pPr>
              <w:spacing w:line="400" w:lineRule="exact"/>
              <w:ind w:right="-57"/>
              <w:rPr>
                <w:szCs w:val="21"/>
              </w:rPr>
            </w:pPr>
            <w:r>
              <w:rPr>
                <w:szCs w:val="21"/>
              </w:rPr>
              <w:t>23.2.2</w:t>
            </w:r>
          </w:p>
        </w:tc>
        <w:tc>
          <w:tcPr>
            <w:tcW w:w="7560" w:type="dxa"/>
          </w:tcPr>
          <w:p w14:paraId="4DD1F272">
            <w:pPr>
              <w:spacing w:line="400" w:lineRule="exact"/>
              <w:rPr>
                <w:rFonts w:hAnsi="宋体"/>
                <w:szCs w:val="21"/>
              </w:rPr>
            </w:pPr>
            <w:r>
              <w:rPr>
                <w:rFonts w:hint="eastAsia" w:hAnsi="宋体"/>
                <w:szCs w:val="21"/>
              </w:rPr>
              <w:t>若投标一览表中报价与投标分项报价表不一致，以投标一览表为准；</w:t>
            </w:r>
          </w:p>
        </w:tc>
      </w:tr>
      <w:tr w14:paraId="21BFAB03">
        <w:tblPrEx>
          <w:tblCellMar>
            <w:top w:w="0" w:type="dxa"/>
            <w:left w:w="108" w:type="dxa"/>
            <w:bottom w:w="0" w:type="dxa"/>
            <w:right w:w="108" w:type="dxa"/>
          </w:tblCellMar>
        </w:tblPrEx>
        <w:tc>
          <w:tcPr>
            <w:tcW w:w="828" w:type="dxa"/>
          </w:tcPr>
          <w:p w14:paraId="6C3A5280">
            <w:pPr>
              <w:spacing w:line="400" w:lineRule="exact"/>
              <w:ind w:right="-57"/>
              <w:rPr>
                <w:szCs w:val="21"/>
              </w:rPr>
            </w:pPr>
            <w:r>
              <w:rPr>
                <w:szCs w:val="21"/>
              </w:rPr>
              <w:t>23.2.3</w:t>
            </w:r>
          </w:p>
        </w:tc>
        <w:tc>
          <w:tcPr>
            <w:tcW w:w="7560" w:type="dxa"/>
          </w:tcPr>
          <w:p w14:paraId="0403E4B8">
            <w:pPr>
              <w:spacing w:line="400" w:lineRule="exact"/>
              <w:rPr>
                <w:rFonts w:hAnsi="宋体"/>
                <w:szCs w:val="21"/>
              </w:rPr>
            </w:pPr>
            <w:r>
              <w:rPr>
                <w:rFonts w:hint="eastAsia" w:hAnsi="宋体"/>
                <w:szCs w:val="21"/>
              </w:rPr>
              <w:t>若投标分项报价表中分项报价与总价不一致，以总价为准；</w:t>
            </w:r>
          </w:p>
        </w:tc>
      </w:tr>
      <w:tr w14:paraId="3DA6C28F">
        <w:tblPrEx>
          <w:tblCellMar>
            <w:top w:w="0" w:type="dxa"/>
            <w:left w:w="108" w:type="dxa"/>
            <w:bottom w:w="0" w:type="dxa"/>
            <w:right w:w="108" w:type="dxa"/>
          </w:tblCellMar>
        </w:tblPrEx>
        <w:tc>
          <w:tcPr>
            <w:tcW w:w="828" w:type="dxa"/>
          </w:tcPr>
          <w:p w14:paraId="16247E8D">
            <w:pPr>
              <w:spacing w:line="400" w:lineRule="exact"/>
              <w:ind w:right="-57"/>
              <w:rPr>
                <w:szCs w:val="21"/>
              </w:rPr>
            </w:pPr>
            <w:r>
              <w:rPr>
                <w:szCs w:val="21"/>
              </w:rPr>
              <w:t>23.2.4</w:t>
            </w:r>
          </w:p>
        </w:tc>
        <w:tc>
          <w:tcPr>
            <w:tcW w:w="7560" w:type="dxa"/>
          </w:tcPr>
          <w:p w14:paraId="3B8394B4">
            <w:pPr>
              <w:spacing w:line="400" w:lineRule="exact"/>
              <w:rPr>
                <w:rFonts w:hAnsi="宋体"/>
                <w:szCs w:val="21"/>
              </w:rPr>
            </w:pPr>
            <w:r>
              <w:rPr>
                <w:rFonts w:hint="eastAsia" w:hAnsi="宋体"/>
                <w:szCs w:val="21"/>
              </w:rPr>
              <w:t>若用文字表示的数值与用数字表示的数值不一致，以文字表示的数值为准。如果投标方不接受以上对其错误的更正，其投标将被拒绝。</w:t>
            </w:r>
          </w:p>
        </w:tc>
      </w:tr>
      <w:tr w14:paraId="7A621417">
        <w:tblPrEx>
          <w:tblCellMar>
            <w:top w:w="0" w:type="dxa"/>
            <w:left w:w="108" w:type="dxa"/>
            <w:bottom w:w="0" w:type="dxa"/>
            <w:right w:w="108" w:type="dxa"/>
          </w:tblCellMar>
        </w:tblPrEx>
        <w:tc>
          <w:tcPr>
            <w:tcW w:w="828" w:type="dxa"/>
          </w:tcPr>
          <w:p w14:paraId="6EAA7853">
            <w:pPr>
              <w:spacing w:line="400" w:lineRule="exact"/>
              <w:ind w:right="-57"/>
              <w:rPr>
                <w:szCs w:val="21"/>
              </w:rPr>
            </w:pPr>
            <w:r>
              <w:rPr>
                <w:szCs w:val="21"/>
              </w:rPr>
              <w:t>23.3</w:t>
            </w:r>
          </w:p>
        </w:tc>
        <w:tc>
          <w:tcPr>
            <w:tcW w:w="7560" w:type="dxa"/>
          </w:tcPr>
          <w:p w14:paraId="18C77072">
            <w:pPr>
              <w:spacing w:line="400" w:lineRule="exact"/>
              <w:rPr>
                <w:rFonts w:hAnsi="宋体"/>
                <w:szCs w:val="21"/>
              </w:rPr>
            </w:pPr>
            <w:r>
              <w:rPr>
                <w:rFonts w:hint="eastAsia" w:hAnsi="宋体"/>
                <w:szCs w:val="21"/>
              </w:rPr>
              <w:t>对于投标文件中不构成实质性偏差的不正规、不一致或不规则，评标委员会可以</w:t>
            </w:r>
          </w:p>
          <w:p w14:paraId="05C41FD8">
            <w:pPr>
              <w:spacing w:line="400" w:lineRule="exact"/>
              <w:rPr>
                <w:rFonts w:hAnsi="宋体"/>
                <w:szCs w:val="21"/>
              </w:rPr>
            </w:pPr>
            <w:r>
              <w:rPr>
                <w:rFonts w:hint="eastAsia" w:hAnsi="宋体"/>
                <w:szCs w:val="21"/>
              </w:rPr>
              <w:t>接受，但这种接受不能损害或影响任何投标方的相对排序。</w:t>
            </w:r>
          </w:p>
        </w:tc>
      </w:tr>
      <w:tr w14:paraId="1D3AD458">
        <w:tblPrEx>
          <w:tblCellMar>
            <w:top w:w="0" w:type="dxa"/>
            <w:left w:w="108" w:type="dxa"/>
            <w:bottom w:w="0" w:type="dxa"/>
            <w:right w:w="108" w:type="dxa"/>
          </w:tblCellMar>
        </w:tblPrEx>
        <w:tc>
          <w:tcPr>
            <w:tcW w:w="828" w:type="dxa"/>
          </w:tcPr>
          <w:p w14:paraId="32023468">
            <w:pPr>
              <w:spacing w:line="400" w:lineRule="exact"/>
              <w:ind w:right="-57"/>
              <w:rPr>
                <w:szCs w:val="21"/>
              </w:rPr>
            </w:pPr>
            <w:r>
              <w:rPr>
                <w:szCs w:val="21"/>
              </w:rPr>
              <w:t xml:space="preserve">23.4  </w:t>
            </w:r>
          </w:p>
        </w:tc>
        <w:tc>
          <w:tcPr>
            <w:tcW w:w="7560" w:type="dxa"/>
          </w:tcPr>
          <w:p w14:paraId="6DB51AAF">
            <w:pPr>
              <w:spacing w:line="400" w:lineRule="exact"/>
              <w:rPr>
                <w:rFonts w:hAnsi="宋体"/>
                <w:szCs w:val="21"/>
              </w:rPr>
            </w:pPr>
            <w:r>
              <w:rPr>
                <w:rFonts w:hint="eastAsia" w:hAnsi="宋体"/>
                <w:szCs w:val="21"/>
              </w:rPr>
              <w:t>评标委员会</w:t>
            </w:r>
            <w:r>
              <w:rPr>
                <w:rFonts w:hint="eastAsia" w:hAnsi="宋体"/>
                <w:szCs w:val="21"/>
                <w:lang w:eastAsia="zh-CN"/>
              </w:rPr>
              <w:t>将</w:t>
            </w:r>
            <w:r>
              <w:rPr>
                <w:rFonts w:hint="eastAsia" w:hAnsi="宋体"/>
                <w:szCs w:val="21"/>
              </w:rPr>
              <w:t>审查每份投标文件是否实质上响应了招标文件的要求。实质上响应的投标应该是与招标文件要求的全部条款、条件和规格相符，没有重大偏离的投标。对关键条文的偏离、保留或反对，评标委员会决定投标的响应性只根据投标本身的内容，而不寻求外部的证据。</w:t>
            </w:r>
          </w:p>
        </w:tc>
      </w:tr>
      <w:tr w14:paraId="70A54384">
        <w:tblPrEx>
          <w:tblCellMar>
            <w:top w:w="0" w:type="dxa"/>
            <w:left w:w="108" w:type="dxa"/>
            <w:bottom w:w="0" w:type="dxa"/>
            <w:right w:w="108" w:type="dxa"/>
          </w:tblCellMar>
        </w:tblPrEx>
        <w:tc>
          <w:tcPr>
            <w:tcW w:w="828" w:type="dxa"/>
          </w:tcPr>
          <w:p w14:paraId="0314CA96">
            <w:pPr>
              <w:spacing w:line="400" w:lineRule="exact"/>
              <w:ind w:right="-57"/>
              <w:rPr>
                <w:rFonts w:ascii="宋体"/>
                <w:szCs w:val="21"/>
              </w:rPr>
            </w:pPr>
            <w:r>
              <w:rPr>
                <w:szCs w:val="21"/>
              </w:rPr>
              <w:t xml:space="preserve">23.5  </w:t>
            </w:r>
          </w:p>
        </w:tc>
        <w:tc>
          <w:tcPr>
            <w:tcW w:w="7560" w:type="dxa"/>
          </w:tcPr>
          <w:p w14:paraId="51F71383">
            <w:pPr>
              <w:spacing w:line="400" w:lineRule="exact"/>
              <w:rPr>
                <w:rFonts w:hAnsi="宋体"/>
                <w:szCs w:val="21"/>
              </w:rPr>
            </w:pPr>
            <w:r>
              <w:rPr>
                <w:rFonts w:hint="eastAsia" w:hAnsi="宋体"/>
                <w:szCs w:val="21"/>
              </w:rPr>
              <w:t>实质上没有响应招标文件要求的投标将被拒绝。投标方不得通过修正或</w:t>
            </w:r>
            <w:r>
              <w:rPr>
                <w:rFonts w:hint="eastAsia" w:hAnsi="宋体"/>
                <w:szCs w:val="21"/>
                <w:lang w:eastAsia="zh-CN"/>
              </w:rPr>
              <w:t>撤销不符</w:t>
            </w:r>
            <w:r>
              <w:rPr>
                <w:rFonts w:hint="eastAsia" w:hAnsi="宋体"/>
                <w:szCs w:val="21"/>
              </w:rPr>
              <w:t>合要求的偏离或保留从而使其投标成为实质上响应的投标。</w:t>
            </w:r>
          </w:p>
          <w:p w14:paraId="69B820C0">
            <w:pPr>
              <w:spacing w:line="400" w:lineRule="exact"/>
              <w:rPr>
                <w:rFonts w:hAnsi="宋体"/>
                <w:szCs w:val="21"/>
              </w:rPr>
            </w:pPr>
            <w:r>
              <w:rPr>
                <w:rFonts w:hint="eastAsia" w:hAnsi="宋体"/>
                <w:szCs w:val="21"/>
              </w:rPr>
              <w:t>如发现下列情况之一的，其投标将被拒绝：</w:t>
            </w:r>
          </w:p>
          <w:p w14:paraId="7290FEF4">
            <w:pPr>
              <w:spacing w:line="400" w:lineRule="exact"/>
              <w:rPr>
                <w:rFonts w:hAnsi="宋体"/>
                <w:szCs w:val="21"/>
              </w:rPr>
            </w:pPr>
            <w:r>
              <w:rPr>
                <w:rFonts w:hAnsi="宋体"/>
                <w:szCs w:val="21"/>
              </w:rPr>
              <w:t>1</w:t>
            </w:r>
            <w:r>
              <w:rPr>
                <w:rFonts w:hint="eastAsia" w:hAnsi="宋体"/>
                <w:szCs w:val="21"/>
              </w:rPr>
              <w:t>）投标方的投标书或资格证明文件未提供或不符合招标文件要求的；</w:t>
            </w:r>
          </w:p>
          <w:p w14:paraId="3F02A596">
            <w:pPr>
              <w:spacing w:line="400" w:lineRule="exact"/>
              <w:ind w:left="278" w:hanging="278"/>
              <w:rPr>
                <w:rFonts w:hAnsi="宋体"/>
                <w:szCs w:val="21"/>
              </w:rPr>
            </w:pPr>
            <w:r>
              <w:rPr>
                <w:rFonts w:hAnsi="宋体"/>
                <w:szCs w:val="21"/>
              </w:rPr>
              <w:t>2</w:t>
            </w:r>
            <w:r>
              <w:rPr>
                <w:rFonts w:hint="eastAsia" w:hAnsi="宋体"/>
                <w:szCs w:val="21"/>
              </w:rPr>
              <w:t>）投标文件中要求法人代表签字和加盖公章的文件无法人代表签字或公章的，或签字人无法人代表有效委托的；</w:t>
            </w:r>
          </w:p>
          <w:p w14:paraId="6BC98AC9">
            <w:pPr>
              <w:spacing w:line="400" w:lineRule="exact"/>
              <w:ind w:left="315" w:hanging="315"/>
              <w:rPr>
                <w:rFonts w:hAnsi="宋体"/>
                <w:szCs w:val="21"/>
              </w:rPr>
            </w:pPr>
            <w:r>
              <w:rPr>
                <w:rFonts w:hAnsi="宋体"/>
                <w:szCs w:val="21"/>
              </w:rPr>
              <w:t>3</w:t>
            </w:r>
            <w:r>
              <w:rPr>
                <w:rFonts w:hint="eastAsia" w:hAnsi="宋体"/>
                <w:szCs w:val="21"/>
              </w:rPr>
              <w:t>）投标文件未按招标文件要求进行小签的；</w:t>
            </w:r>
          </w:p>
          <w:p w14:paraId="25D42DC8">
            <w:pPr>
              <w:spacing w:line="400" w:lineRule="exact"/>
              <w:rPr>
                <w:rFonts w:hAnsi="宋体"/>
                <w:szCs w:val="21"/>
              </w:rPr>
            </w:pPr>
            <w:r>
              <w:rPr>
                <w:rFonts w:hAnsi="宋体"/>
                <w:szCs w:val="21"/>
              </w:rPr>
              <w:t>4</w:t>
            </w:r>
            <w:r>
              <w:rPr>
                <w:rFonts w:hint="eastAsia" w:hAnsi="宋体"/>
                <w:szCs w:val="21"/>
              </w:rPr>
              <w:t>）投标报价有严重缺漏项目的；</w:t>
            </w:r>
          </w:p>
          <w:p w14:paraId="03E34690">
            <w:pPr>
              <w:spacing w:line="400" w:lineRule="exact"/>
              <w:ind w:left="278" w:hanging="278"/>
              <w:rPr>
                <w:rFonts w:hAnsi="宋体"/>
                <w:szCs w:val="21"/>
              </w:rPr>
            </w:pPr>
            <w:r>
              <w:rPr>
                <w:rFonts w:hAnsi="宋体"/>
                <w:szCs w:val="21"/>
              </w:rPr>
              <w:t>5</w:t>
            </w:r>
            <w:r>
              <w:rPr>
                <w:rFonts w:hint="eastAsia" w:hAnsi="宋体"/>
                <w:szCs w:val="21"/>
              </w:rPr>
              <w:t>）投标文件不满足招标文件中加注“</w:t>
            </w:r>
            <w:r>
              <w:rPr>
                <w:rFonts w:ascii="宋体" w:hAnsi="宋体"/>
                <w:szCs w:val="21"/>
              </w:rPr>
              <w:t>*</w:t>
            </w:r>
            <w:r>
              <w:rPr>
                <w:rFonts w:hint="eastAsia" w:hAnsi="宋体"/>
                <w:szCs w:val="21"/>
              </w:rPr>
              <w:t>”号表示的重要条款（简称：不可偏离项）要求的；</w:t>
            </w:r>
          </w:p>
          <w:p w14:paraId="5B05159D">
            <w:pPr>
              <w:spacing w:line="400" w:lineRule="exact"/>
              <w:ind w:left="278" w:hanging="278"/>
              <w:rPr>
                <w:rFonts w:hAnsi="宋体"/>
                <w:szCs w:val="21"/>
              </w:rPr>
            </w:pPr>
            <w:r>
              <w:rPr>
                <w:rFonts w:hAnsi="宋体"/>
                <w:szCs w:val="21"/>
              </w:rPr>
              <w:t>6</w:t>
            </w:r>
            <w:r>
              <w:rPr>
                <w:rFonts w:hint="eastAsia" w:hAnsi="宋体"/>
                <w:szCs w:val="21"/>
              </w:rPr>
              <w:t>）投标文件超出招标文件一般条款（未加注“</w:t>
            </w:r>
            <w:r>
              <w:rPr>
                <w:rFonts w:ascii="宋体" w:hAnsi="宋体"/>
                <w:szCs w:val="21"/>
              </w:rPr>
              <w:t>*</w:t>
            </w:r>
            <w:r>
              <w:rPr>
                <w:rFonts w:hint="eastAsia" w:hAnsi="宋体"/>
                <w:szCs w:val="21"/>
              </w:rPr>
              <w:t>”号）允许偏离的最大范围或最高项数的；</w:t>
            </w:r>
          </w:p>
          <w:p w14:paraId="3695C256">
            <w:pPr>
              <w:spacing w:line="400" w:lineRule="exact"/>
              <w:jc w:val="left"/>
              <w:rPr>
                <w:rFonts w:hAnsi="宋体"/>
                <w:szCs w:val="21"/>
              </w:rPr>
            </w:pPr>
            <w:r>
              <w:rPr>
                <w:rFonts w:hAnsi="宋体"/>
                <w:szCs w:val="21"/>
              </w:rPr>
              <w:t>7</w:t>
            </w:r>
            <w:r>
              <w:rPr>
                <w:rFonts w:hint="eastAsia" w:hAnsi="宋体"/>
                <w:szCs w:val="21"/>
              </w:rPr>
              <w:t>）投标文件的响应与事实不符或虚假投标的；</w:t>
            </w:r>
          </w:p>
          <w:p w14:paraId="2DBBF4BA">
            <w:pPr>
              <w:spacing w:line="400" w:lineRule="exact"/>
              <w:jc w:val="left"/>
              <w:rPr>
                <w:rFonts w:hAnsi="宋体"/>
                <w:szCs w:val="21"/>
              </w:rPr>
            </w:pPr>
            <w:r>
              <w:rPr>
                <w:rFonts w:hAnsi="宋体"/>
                <w:szCs w:val="21"/>
              </w:rPr>
              <w:t>8</w:t>
            </w:r>
            <w:r>
              <w:rPr>
                <w:rFonts w:hint="eastAsia" w:hAnsi="宋体"/>
                <w:szCs w:val="21"/>
              </w:rPr>
              <w:t>）</w:t>
            </w:r>
            <w:r>
              <w:rPr>
                <w:rStyle w:val="39"/>
                <w:rFonts w:hint="eastAsia" w:ascii="宋体" w:hAnsi="宋体"/>
                <w:szCs w:val="21"/>
              </w:rPr>
              <w:t>投标方复制招标文件的技术规格相关部分内容作为其投标文件中一部分的；</w:t>
            </w:r>
          </w:p>
          <w:p w14:paraId="17AC5B7B">
            <w:pPr>
              <w:spacing w:line="400" w:lineRule="exact"/>
              <w:rPr>
                <w:rFonts w:hAnsi="宋体"/>
                <w:szCs w:val="21"/>
              </w:rPr>
            </w:pPr>
            <w:r>
              <w:rPr>
                <w:rFonts w:hAnsi="宋体"/>
                <w:szCs w:val="21"/>
              </w:rPr>
              <w:t>9</w:t>
            </w:r>
            <w:r>
              <w:rPr>
                <w:rFonts w:hint="eastAsia" w:hAnsi="宋体"/>
                <w:szCs w:val="21"/>
              </w:rPr>
              <w:t>）</w:t>
            </w:r>
            <w:r>
              <w:rPr>
                <w:rFonts w:hint="eastAsia" w:ascii="宋体" w:hAnsi="宋体"/>
                <w:szCs w:val="21"/>
              </w:rPr>
              <w:t>投标文件符合招标文件中规定废标的其他因素的</w:t>
            </w:r>
            <w:r>
              <w:rPr>
                <w:rFonts w:hint="eastAsia" w:hAnsi="宋体"/>
                <w:szCs w:val="21"/>
              </w:rPr>
              <w:t>。</w:t>
            </w:r>
          </w:p>
        </w:tc>
      </w:tr>
      <w:tr w14:paraId="354A1028">
        <w:tblPrEx>
          <w:tblCellMar>
            <w:top w:w="0" w:type="dxa"/>
            <w:left w:w="108" w:type="dxa"/>
            <w:bottom w:w="0" w:type="dxa"/>
            <w:right w:w="108" w:type="dxa"/>
          </w:tblCellMar>
        </w:tblPrEx>
        <w:tc>
          <w:tcPr>
            <w:tcW w:w="828" w:type="dxa"/>
          </w:tcPr>
          <w:p w14:paraId="09CD2EFB">
            <w:pPr>
              <w:spacing w:line="400" w:lineRule="exact"/>
              <w:ind w:right="-57"/>
              <w:rPr>
                <w:szCs w:val="21"/>
              </w:rPr>
            </w:pPr>
            <w:r>
              <w:rPr>
                <w:szCs w:val="21"/>
              </w:rPr>
              <w:t>23.6</w:t>
            </w:r>
          </w:p>
        </w:tc>
        <w:tc>
          <w:tcPr>
            <w:tcW w:w="7560" w:type="dxa"/>
          </w:tcPr>
          <w:p w14:paraId="40A9DD98">
            <w:pPr>
              <w:spacing w:line="400" w:lineRule="exact"/>
              <w:rPr>
                <w:szCs w:val="21"/>
              </w:rPr>
            </w:pPr>
            <w:r>
              <w:rPr>
                <w:rFonts w:hint="eastAsia"/>
                <w:szCs w:val="21"/>
              </w:rPr>
              <w:t>备选方案及其他额外的评标因素和标准</w:t>
            </w:r>
          </w:p>
          <w:p w14:paraId="041C4CCE">
            <w:pPr>
              <w:tabs>
                <w:tab w:val="left" w:pos="720"/>
              </w:tabs>
              <w:spacing w:line="400" w:lineRule="exact"/>
              <w:rPr>
                <w:szCs w:val="21"/>
              </w:rPr>
            </w:pPr>
            <w:r>
              <w:rPr>
                <w:rFonts w:hint="eastAsia"/>
                <w:szCs w:val="21"/>
              </w:rPr>
              <w:t>除非需求明细中另有规定，只允许投标方有一个投标方案，否则，其投标将被拒绝。如果需求明细中规定允许有备选方案，在需求明细中将对备选方案的要求作出具体说明。</w:t>
            </w:r>
          </w:p>
          <w:p w14:paraId="0168A6A0">
            <w:pPr>
              <w:tabs>
                <w:tab w:val="left" w:pos="720"/>
              </w:tabs>
              <w:spacing w:line="400" w:lineRule="exact"/>
              <w:rPr>
                <w:szCs w:val="21"/>
              </w:rPr>
            </w:pPr>
            <w:r>
              <w:rPr>
                <w:rFonts w:hint="eastAsia"/>
                <w:szCs w:val="21"/>
              </w:rPr>
              <w:t>其他额外的评标因素和标准将在需求明细中详细规定。</w:t>
            </w:r>
          </w:p>
        </w:tc>
      </w:tr>
      <w:tr w14:paraId="6A5B1515">
        <w:tblPrEx>
          <w:tblCellMar>
            <w:top w:w="0" w:type="dxa"/>
            <w:left w:w="108" w:type="dxa"/>
            <w:bottom w:w="0" w:type="dxa"/>
            <w:right w:w="108" w:type="dxa"/>
          </w:tblCellMar>
        </w:tblPrEx>
        <w:tc>
          <w:tcPr>
            <w:tcW w:w="8388" w:type="dxa"/>
            <w:gridSpan w:val="2"/>
          </w:tcPr>
          <w:p w14:paraId="33BB8E1D">
            <w:pPr>
              <w:rPr>
                <w:szCs w:val="21"/>
              </w:rPr>
            </w:pPr>
            <w:bookmarkStart w:id="156" w:name="_Toc236803097"/>
            <w:bookmarkStart w:id="157" w:name="_Toc205623200"/>
            <w:bookmarkStart w:id="158" w:name="_Toc205616048"/>
            <w:bookmarkStart w:id="159" w:name="_Toc211243294"/>
            <w:r>
              <w:rPr>
                <w:rFonts w:ascii="宋体" w:hAnsi="宋体"/>
                <w:b/>
              </w:rPr>
              <w:t xml:space="preserve">24. </w:t>
            </w:r>
            <w:r>
              <w:rPr>
                <w:rFonts w:hint="eastAsia" w:ascii="宋体" w:hAnsi="宋体"/>
                <w:b/>
              </w:rPr>
              <w:t>评标</w:t>
            </w:r>
            <w:bookmarkEnd w:id="156"/>
            <w:bookmarkEnd w:id="157"/>
            <w:bookmarkEnd w:id="158"/>
            <w:bookmarkEnd w:id="159"/>
          </w:p>
        </w:tc>
      </w:tr>
      <w:tr w14:paraId="5895E4D0">
        <w:tblPrEx>
          <w:tblCellMar>
            <w:top w:w="0" w:type="dxa"/>
            <w:left w:w="108" w:type="dxa"/>
            <w:bottom w:w="0" w:type="dxa"/>
            <w:right w:w="108" w:type="dxa"/>
          </w:tblCellMar>
        </w:tblPrEx>
        <w:tc>
          <w:tcPr>
            <w:tcW w:w="8388" w:type="dxa"/>
            <w:gridSpan w:val="2"/>
          </w:tcPr>
          <w:p w14:paraId="70686F47">
            <w:pPr>
              <w:spacing w:line="400" w:lineRule="exact"/>
            </w:pPr>
            <w:r>
              <w:rPr>
                <w:rFonts w:hint="eastAsia"/>
                <w:bCs/>
                <w:szCs w:val="21"/>
              </w:rPr>
              <w:t>见招标文件：第二章“第四节评标办法”</w:t>
            </w:r>
          </w:p>
        </w:tc>
      </w:tr>
      <w:tr w14:paraId="5BDC188A">
        <w:tblPrEx>
          <w:tblCellMar>
            <w:top w:w="0" w:type="dxa"/>
            <w:left w:w="108" w:type="dxa"/>
            <w:bottom w:w="0" w:type="dxa"/>
            <w:right w:w="108" w:type="dxa"/>
          </w:tblCellMar>
        </w:tblPrEx>
        <w:tc>
          <w:tcPr>
            <w:tcW w:w="8388" w:type="dxa"/>
            <w:gridSpan w:val="2"/>
          </w:tcPr>
          <w:p w14:paraId="7275B9D2">
            <w:pPr>
              <w:rPr>
                <w:szCs w:val="21"/>
              </w:rPr>
            </w:pPr>
            <w:bookmarkStart w:id="160" w:name="_Toc236803100"/>
            <w:bookmarkStart w:id="161" w:name="_Toc211243297"/>
            <w:bookmarkStart w:id="162" w:name="_Toc205616050"/>
            <w:bookmarkStart w:id="163" w:name="_Toc205623202"/>
            <w:r>
              <w:rPr>
                <w:rFonts w:ascii="宋体" w:hAnsi="宋体"/>
                <w:b/>
              </w:rPr>
              <w:t xml:space="preserve">25. </w:t>
            </w:r>
            <w:r>
              <w:rPr>
                <w:rFonts w:hint="eastAsia" w:ascii="宋体" w:hAnsi="宋体"/>
                <w:b/>
              </w:rPr>
              <w:t>资格后审</w:t>
            </w:r>
            <w:bookmarkEnd w:id="160"/>
            <w:bookmarkEnd w:id="161"/>
            <w:bookmarkEnd w:id="162"/>
            <w:bookmarkEnd w:id="163"/>
          </w:p>
        </w:tc>
      </w:tr>
      <w:tr w14:paraId="74FDD6EB">
        <w:tblPrEx>
          <w:tblCellMar>
            <w:top w:w="0" w:type="dxa"/>
            <w:left w:w="108" w:type="dxa"/>
            <w:bottom w:w="0" w:type="dxa"/>
            <w:right w:w="108" w:type="dxa"/>
          </w:tblCellMar>
        </w:tblPrEx>
        <w:tc>
          <w:tcPr>
            <w:tcW w:w="828" w:type="dxa"/>
          </w:tcPr>
          <w:p w14:paraId="1F868A47">
            <w:pPr>
              <w:spacing w:line="400" w:lineRule="exact"/>
              <w:ind w:right="-57"/>
              <w:rPr>
                <w:szCs w:val="21"/>
              </w:rPr>
            </w:pPr>
            <w:r>
              <w:rPr>
                <w:szCs w:val="21"/>
              </w:rPr>
              <w:t>25.1</w:t>
            </w:r>
          </w:p>
        </w:tc>
        <w:tc>
          <w:tcPr>
            <w:tcW w:w="7560" w:type="dxa"/>
          </w:tcPr>
          <w:p w14:paraId="243220C8">
            <w:pPr>
              <w:spacing w:line="400" w:lineRule="exact"/>
              <w:rPr>
                <w:rFonts w:ascii="宋体"/>
                <w:szCs w:val="21"/>
              </w:rPr>
            </w:pPr>
            <w:r>
              <w:rPr>
                <w:rFonts w:hint="eastAsia" w:ascii="宋体" w:hAnsi="宋体"/>
                <w:szCs w:val="21"/>
              </w:rPr>
              <w:t>评</w:t>
            </w:r>
            <w:r>
              <w:rPr>
                <w:rFonts w:hint="eastAsia" w:ascii="宋体" w:hAnsi="宋体"/>
                <w:spacing w:val="-2"/>
                <w:szCs w:val="21"/>
              </w:rPr>
              <w:t>标委员会将审查评标排序第一的投标方是否有能力</w:t>
            </w:r>
            <w:r>
              <w:rPr>
                <w:rFonts w:hint="eastAsia" w:ascii="宋体" w:hAnsi="宋体"/>
                <w:szCs w:val="21"/>
              </w:rPr>
              <w:t>令人满意地履行合同。</w:t>
            </w:r>
            <w:r>
              <w:rPr>
                <w:rFonts w:hint="eastAsia"/>
              </w:rPr>
              <w:t>包括对该投标方的规模、人员、场地、货物等方面的核实或现场考察。</w:t>
            </w:r>
          </w:p>
        </w:tc>
      </w:tr>
      <w:tr w14:paraId="134C03A2">
        <w:tblPrEx>
          <w:tblCellMar>
            <w:top w:w="0" w:type="dxa"/>
            <w:left w:w="108" w:type="dxa"/>
            <w:bottom w:w="0" w:type="dxa"/>
            <w:right w:w="108" w:type="dxa"/>
          </w:tblCellMar>
        </w:tblPrEx>
        <w:tc>
          <w:tcPr>
            <w:tcW w:w="828" w:type="dxa"/>
          </w:tcPr>
          <w:p w14:paraId="69A5185D">
            <w:pPr>
              <w:spacing w:line="400" w:lineRule="exact"/>
              <w:ind w:right="-57"/>
              <w:rPr>
                <w:szCs w:val="21"/>
              </w:rPr>
            </w:pPr>
            <w:r>
              <w:rPr>
                <w:szCs w:val="21"/>
              </w:rPr>
              <w:t>25.2</w:t>
            </w:r>
          </w:p>
        </w:tc>
        <w:tc>
          <w:tcPr>
            <w:tcW w:w="7560" w:type="dxa"/>
          </w:tcPr>
          <w:p w14:paraId="386AEC8B">
            <w:pPr>
              <w:spacing w:line="400" w:lineRule="exact"/>
              <w:rPr>
                <w:rFonts w:ascii="宋体"/>
                <w:szCs w:val="21"/>
              </w:rPr>
            </w:pPr>
            <w:r>
              <w:rPr>
                <w:rFonts w:hint="eastAsia" w:ascii="宋体" w:hAnsi="宋体"/>
                <w:szCs w:val="21"/>
              </w:rPr>
              <w:t>授标决定时</w:t>
            </w:r>
            <w:r>
              <w:rPr>
                <w:rFonts w:hint="eastAsia" w:ascii="宋体" w:hAnsi="宋体"/>
                <w:spacing w:val="6"/>
                <w:szCs w:val="21"/>
              </w:rPr>
              <w:t>还将考虑投标方的财务、</w:t>
            </w:r>
            <w:r>
              <w:rPr>
                <w:rFonts w:hint="eastAsia" w:ascii="宋体" w:hAnsi="宋体"/>
                <w:szCs w:val="21"/>
              </w:rPr>
              <w:t>技术和生产能力在招标期间是否有实质性</w:t>
            </w:r>
            <w:r>
              <w:rPr>
                <w:rFonts w:hint="eastAsia" w:ascii="宋体" w:hAnsi="宋体"/>
                <w:spacing w:val="6"/>
                <w:szCs w:val="21"/>
              </w:rPr>
              <w:t>变</w:t>
            </w:r>
            <w:r>
              <w:rPr>
                <w:rFonts w:hint="eastAsia" w:ascii="宋体" w:hAnsi="宋体"/>
                <w:szCs w:val="21"/>
              </w:rPr>
              <w:t>化。其基础是审查投标方按照本须知第</w:t>
            </w:r>
            <w:r>
              <w:rPr>
                <w:spacing w:val="-20"/>
                <w:szCs w:val="21"/>
              </w:rPr>
              <w:t>12</w:t>
            </w:r>
            <w:r>
              <w:rPr>
                <w:rFonts w:hint="eastAsia" w:ascii="宋体" w:hAnsi="宋体"/>
                <w:szCs w:val="21"/>
              </w:rPr>
              <w:t>条规定提交的资格证明文件和评标委员会认为必要的、合适的</w:t>
            </w:r>
            <w:r>
              <w:rPr>
                <w:rFonts w:hint="eastAsia" w:ascii="宋体" w:hAnsi="宋体"/>
                <w:szCs w:val="21"/>
                <w:lang w:eastAsia="zh-CN"/>
              </w:rPr>
              <w:t>其他</w:t>
            </w:r>
            <w:r>
              <w:rPr>
                <w:rFonts w:hint="eastAsia" w:ascii="宋体" w:hAnsi="宋体"/>
                <w:szCs w:val="21"/>
              </w:rPr>
              <w:t>资料。</w:t>
            </w:r>
          </w:p>
        </w:tc>
      </w:tr>
      <w:tr w14:paraId="0E739DF3">
        <w:tblPrEx>
          <w:tblCellMar>
            <w:top w:w="0" w:type="dxa"/>
            <w:left w:w="108" w:type="dxa"/>
            <w:bottom w:w="0" w:type="dxa"/>
            <w:right w:w="108" w:type="dxa"/>
          </w:tblCellMar>
        </w:tblPrEx>
        <w:tc>
          <w:tcPr>
            <w:tcW w:w="828" w:type="dxa"/>
          </w:tcPr>
          <w:p w14:paraId="11CA1CD6">
            <w:pPr>
              <w:spacing w:line="400" w:lineRule="exact"/>
              <w:ind w:right="-57"/>
              <w:rPr>
                <w:szCs w:val="21"/>
              </w:rPr>
            </w:pPr>
            <w:r>
              <w:rPr>
                <w:szCs w:val="21"/>
              </w:rPr>
              <w:t>25.3</w:t>
            </w:r>
          </w:p>
        </w:tc>
        <w:tc>
          <w:tcPr>
            <w:tcW w:w="7560" w:type="dxa"/>
          </w:tcPr>
          <w:p w14:paraId="74ABDDBD">
            <w:pPr>
              <w:spacing w:line="400" w:lineRule="exact"/>
              <w:jc w:val="left"/>
              <w:rPr>
                <w:rFonts w:ascii="宋体"/>
                <w:szCs w:val="21"/>
              </w:rPr>
            </w:pPr>
            <w:r>
              <w:rPr>
                <w:rFonts w:hint="eastAsia" w:ascii="宋体" w:hAnsi="宋体"/>
                <w:szCs w:val="21"/>
              </w:rPr>
              <w:t>如果审查通过，评标委员会将把合同授予该投标方；如果审查没有通过，评标委员会将拒绝其投标，并对排序下一个的投标方能否令人满意地履行合同作类似的审查。</w:t>
            </w:r>
          </w:p>
        </w:tc>
      </w:tr>
      <w:tr w14:paraId="26F16C44">
        <w:tblPrEx>
          <w:tblCellMar>
            <w:top w:w="0" w:type="dxa"/>
            <w:left w:w="108" w:type="dxa"/>
            <w:bottom w:w="0" w:type="dxa"/>
            <w:right w:w="108" w:type="dxa"/>
          </w:tblCellMar>
        </w:tblPrEx>
        <w:tc>
          <w:tcPr>
            <w:tcW w:w="8388" w:type="dxa"/>
            <w:gridSpan w:val="2"/>
          </w:tcPr>
          <w:p w14:paraId="142CBC53">
            <w:pPr>
              <w:rPr>
                <w:szCs w:val="21"/>
              </w:rPr>
            </w:pPr>
            <w:bookmarkStart w:id="164" w:name="_Toc236803098"/>
            <w:r>
              <w:rPr>
                <w:rFonts w:ascii="宋体" w:hAnsi="宋体"/>
                <w:b/>
              </w:rPr>
              <w:t xml:space="preserve">26. </w:t>
            </w:r>
            <w:r>
              <w:rPr>
                <w:rFonts w:hint="eastAsia" w:ascii="宋体" w:hAnsi="宋体"/>
                <w:b/>
              </w:rPr>
              <w:t>与招标方的接触</w:t>
            </w:r>
            <w:bookmarkEnd w:id="164"/>
          </w:p>
        </w:tc>
      </w:tr>
      <w:tr w14:paraId="6EA799E3">
        <w:tblPrEx>
          <w:tblCellMar>
            <w:top w:w="0" w:type="dxa"/>
            <w:left w:w="108" w:type="dxa"/>
            <w:bottom w:w="0" w:type="dxa"/>
            <w:right w:w="108" w:type="dxa"/>
          </w:tblCellMar>
        </w:tblPrEx>
        <w:tc>
          <w:tcPr>
            <w:tcW w:w="828" w:type="dxa"/>
          </w:tcPr>
          <w:p w14:paraId="78C8C8C4">
            <w:pPr>
              <w:spacing w:line="400" w:lineRule="exact"/>
              <w:ind w:right="-57"/>
              <w:rPr>
                <w:szCs w:val="21"/>
              </w:rPr>
            </w:pPr>
            <w:r>
              <w:rPr>
                <w:szCs w:val="21"/>
              </w:rPr>
              <w:t>26.1</w:t>
            </w:r>
          </w:p>
        </w:tc>
        <w:tc>
          <w:tcPr>
            <w:tcW w:w="7560" w:type="dxa"/>
          </w:tcPr>
          <w:p w14:paraId="78E85CB5">
            <w:pPr>
              <w:spacing w:line="400" w:lineRule="exact"/>
              <w:rPr>
                <w:szCs w:val="21"/>
              </w:rPr>
            </w:pPr>
            <w:r>
              <w:rPr>
                <w:rFonts w:hint="eastAsia" w:ascii="宋体" w:hAnsi="宋体"/>
                <w:spacing w:val="-2"/>
                <w:szCs w:val="21"/>
              </w:rPr>
              <w:t>除本须知第</w:t>
            </w:r>
            <w:r>
              <w:rPr>
                <w:spacing w:val="-2"/>
                <w:szCs w:val="21"/>
              </w:rPr>
              <w:t>22.1</w:t>
            </w:r>
            <w:r>
              <w:rPr>
                <w:rFonts w:hint="eastAsia" w:ascii="宋体" w:hAnsi="宋体"/>
                <w:spacing w:val="-2"/>
                <w:szCs w:val="21"/>
              </w:rPr>
              <w:t>条的规定外，从开标之日起至合同期间，投标方不得就与</w:t>
            </w:r>
            <w:r>
              <w:rPr>
                <w:rFonts w:hint="eastAsia" w:ascii="宋体" w:hAnsi="宋体"/>
                <w:szCs w:val="21"/>
              </w:rPr>
              <w:t>其投标有关的事项与招标方和评标委员会接触。</w:t>
            </w:r>
          </w:p>
        </w:tc>
      </w:tr>
      <w:tr w14:paraId="10E49FD3">
        <w:tblPrEx>
          <w:tblCellMar>
            <w:top w:w="0" w:type="dxa"/>
            <w:left w:w="108" w:type="dxa"/>
            <w:bottom w:w="0" w:type="dxa"/>
            <w:right w:w="108" w:type="dxa"/>
          </w:tblCellMar>
        </w:tblPrEx>
        <w:tc>
          <w:tcPr>
            <w:tcW w:w="828" w:type="dxa"/>
          </w:tcPr>
          <w:p w14:paraId="2B708EF5">
            <w:pPr>
              <w:spacing w:line="400" w:lineRule="exact"/>
              <w:ind w:right="-57"/>
              <w:rPr>
                <w:szCs w:val="21"/>
              </w:rPr>
            </w:pPr>
            <w:r>
              <w:rPr>
                <w:szCs w:val="21"/>
              </w:rPr>
              <w:t>26.2</w:t>
            </w:r>
          </w:p>
        </w:tc>
        <w:tc>
          <w:tcPr>
            <w:tcW w:w="7560" w:type="dxa"/>
          </w:tcPr>
          <w:p w14:paraId="3B350EB9">
            <w:pPr>
              <w:spacing w:line="400" w:lineRule="exact"/>
              <w:rPr>
                <w:szCs w:val="21"/>
              </w:rPr>
            </w:pPr>
            <w:r>
              <w:rPr>
                <w:rFonts w:hint="eastAsia" w:ascii="宋体" w:hAnsi="宋体"/>
                <w:spacing w:val="-2"/>
                <w:szCs w:val="21"/>
              </w:rPr>
              <w:t>投标方试图对招标方和评标委员会的评标决定进行影响，</w:t>
            </w:r>
            <w:r>
              <w:rPr>
                <w:rFonts w:hint="eastAsia" w:ascii="宋体" w:hAnsi="宋体"/>
                <w:szCs w:val="21"/>
              </w:rPr>
              <w:t>都可能导致其投标被拒绝。</w:t>
            </w:r>
          </w:p>
        </w:tc>
      </w:tr>
      <w:tr w14:paraId="1EC027E6">
        <w:tblPrEx>
          <w:tblCellMar>
            <w:top w:w="0" w:type="dxa"/>
            <w:left w:w="108" w:type="dxa"/>
            <w:bottom w:w="0" w:type="dxa"/>
            <w:right w:w="108" w:type="dxa"/>
          </w:tblCellMar>
        </w:tblPrEx>
        <w:tc>
          <w:tcPr>
            <w:tcW w:w="8388" w:type="dxa"/>
            <w:gridSpan w:val="2"/>
          </w:tcPr>
          <w:p w14:paraId="34BBAC9E">
            <w:pPr>
              <w:pStyle w:val="3"/>
              <w:spacing w:before="360" w:after="0" w:line="240" w:lineRule="auto"/>
              <w:jc w:val="center"/>
              <w:rPr>
                <w:rFonts w:ascii="楷体_GB2312" w:eastAsia="楷体_GB2312"/>
                <w:b w:val="0"/>
                <w:sz w:val="24"/>
              </w:rPr>
            </w:pPr>
            <w:bookmarkStart w:id="165" w:name="_Toc211243300"/>
            <w:bookmarkStart w:id="166" w:name="_Toc22746"/>
            <w:bookmarkStart w:id="167" w:name="_Toc496002351"/>
            <w:bookmarkStart w:id="168" w:name="_Toc236803099"/>
            <w:r>
              <w:rPr>
                <w:rFonts w:hint="eastAsia" w:ascii="楷体_GB2312" w:eastAsia="楷体_GB2312"/>
                <w:sz w:val="24"/>
                <w:szCs w:val="24"/>
              </w:rPr>
              <w:t>六授予合同</w:t>
            </w:r>
            <w:bookmarkEnd w:id="165"/>
            <w:bookmarkEnd w:id="166"/>
            <w:bookmarkEnd w:id="167"/>
            <w:bookmarkEnd w:id="168"/>
          </w:p>
        </w:tc>
      </w:tr>
      <w:tr w14:paraId="25FC4DCD">
        <w:tblPrEx>
          <w:tblCellMar>
            <w:top w:w="0" w:type="dxa"/>
            <w:left w:w="108" w:type="dxa"/>
            <w:bottom w:w="0" w:type="dxa"/>
            <w:right w:w="108" w:type="dxa"/>
          </w:tblCellMar>
        </w:tblPrEx>
        <w:tc>
          <w:tcPr>
            <w:tcW w:w="8388" w:type="dxa"/>
            <w:gridSpan w:val="2"/>
          </w:tcPr>
          <w:p w14:paraId="43F0F9C3">
            <w:pPr>
              <w:rPr>
                <w:szCs w:val="21"/>
              </w:rPr>
            </w:pPr>
            <w:bookmarkStart w:id="169" w:name="_Toc236803101"/>
            <w:bookmarkStart w:id="170" w:name="_Toc205623204"/>
            <w:bookmarkStart w:id="171" w:name="_Toc211243299"/>
            <w:bookmarkStart w:id="172" w:name="_Toc205616052"/>
            <w:r>
              <w:rPr>
                <w:rFonts w:ascii="宋体" w:hAnsi="宋体"/>
                <w:b/>
              </w:rPr>
              <w:t xml:space="preserve">27. </w:t>
            </w:r>
            <w:r>
              <w:rPr>
                <w:rFonts w:hint="eastAsia" w:ascii="宋体" w:hAnsi="宋体"/>
                <w:b/>
              </w:rPr>
              <w:t>评标结果公示</w:t>
            </w:r>
            <w:bookmarkEnd w:id="169"/>
            <w:bookmarkEnd w:id="170"/>
            <w:bookmarkEnd w:id="171"/>
            <w:bookmarkEnd w:id="172"/>
          </w:p>
        </w:tc>
      </w:tr>
      <w:tr w14:paraId="2F4AB729">
        <w:tblPrEx>
          <w:tblCellMar>
            <w:top w:w="0" w:type="dxa"/>
            <w:left w:w="108" w:type="dxa"/>
            <w:bottom w:w="0" w:type="dxa"/>
            <w:right w:w="108" w:type="dxa"/>
          </w:tblCellMar>
        </w:tblPrEx>
        <w:tc>
          <w:tcPr>
            <w:tcW w:w="828" w:type="dxa"/>
          </w:tcPr>
          <w:p w14:paraId="7B35C9E1">
            <w:pPr>
              <w:spacing w:line="400" w:lineRule="exact"/>
              <w:ind w:right="-57"/>
              <w:rPr>
                <w:szCs w:val="21"/>
              </w:rPr>
            </w:pPr>
            <w:r>
              <w:rPr>
                <w:szCs w:val="21"/>
              </w:rPr>
              <w:t>27.1</w:t>
            </w:r>
          </w:p>
        </w:tc>
        <w:tc>
          <w:tcPr>
            <w:tcW w:w="7560" w:type="dxa"/>
          </w:tcPr>
          <w:p w14:paraId="57DA3F3A">
            <w:pPr>
              <w:spacing w:line="360" w:lineRule="auto"/>
              <w:rPr>
                <w:rFonts w:ascii="宋体"/>
                <w:szCs w:val="21"/>
              </w:rPr>
            </w:pPr>
            <w:r>
              <w:rPr>
                <w:rFonts w:hint="eastAsia" w:hAnsi="宋体"/>
                <w:szCs w:val="21"/>
              </w:rPr>
              <w:t>评标结束后，招标方将在</w:t>
            </w:r>
            <w:r>
              <w:fldChar w:fldCharType="begin"/>
            </w:r>
            <w:r>
              <w:instrText xml:space="preserve"> HYPERLINK "http://www.sztc.com" </w:instrText>
            </w:r>
            <w:r>
              <w:fldChar w:fldCharType="separate"/>
            </w:r>
            <w:r>
              <w:rPr>
                <w:rStyle w:val="27"/>
                <w:rFonts w:ascii="宋体" w:hAnsi="宋体"/>
                <w:color w:val="auto"/>
                <w:szCs w:val="21"/>
                <w:highlight w:val="yellow"/>
              </w:rPr>
              <w:t>http://w</w:t>
            </w:r>
            <w:bookmarkStart w:id="173" w:name="_Hlt253560239"/>
            <w:r>
              <w:rPr>
                <w:rStyle w:val="27"/>
                <w:rFonts w:ascii="宋体" w:hAnsi="宋体"/>
                <w:color w:val="auto"/>
                <w:szCs w:val="21"/>
                <w:highlight w:val="yellow"/>
              </w:rPr>
              <w:t>w</w:t>
            </w:r>
            <w:bookmarkEnd w:id="173"/>
            <w:r>
              <w:rPr>
                <w:rStyle w:val="27"/>
                <w:rFonts w:ascii="宋体" w:hAnsi="宋体"/>
                <w:color w:val="auto"/>
                <w:szCs w:val="21"/>
                <w:highlight w:val="yellow"/>
              </w:rPr>
              <w:t>w.</w:t>
            </w:r>
            <w:bookmarkStart w:id="174" w:name="_Hlt253560237"/>
            <w:r>
              <w:rPr>
                <w:rStyle w:val="27"/>
                <w:rFonts w:ascii="宋体" w:hAnsi="宋体"/>
                <w:color w:val="auto"/>
                <w:szCs w:val="21"/>
                <w:highlight w:val="yellow"/>
              </w:rPr>
              <w:t>s</w:t>
            </w:r>
            <w:bookmarkEnd w:id="174"/>
            <w:r>
              <w:rPr>
                <w:rStyle w:val="27"/>
                <w:rFonts w:ascii="宋体" w:hAnsi="宋体"/>
                <w:color w:val="auto"/>
                <w:szCs w:val="21"/>
                <w:highlight w:val="yellow"/>
              </w:rPr>
              <w:t>z</w:t>
            </w:r>
            <w:bookmarkStart w:id="175" w:name="_Hlt253560233"/>
            <w:bookmarkStart w:id="176" w:name="_Hlt253560232"/>
            <w:r>
              <w:rPr>
                <w:rStyle w:val="27"/>
                <w:rFonts w:ascii="宋体" w:hAnsi="宋体"/>
                <w:color w:val="auto"/>
                <w:szCs w:val="21"/>
                <w:highlight w:val="yellow"/>
              </w:rPr>
              <w:t>hwts.</w:t>
            </w:r>
            <w:bookmarkEnd w:id="175"/>
            <w:bookmarkEnd w:id="176"/>
            <w:r>
              <w:rPr>
                <w:rStyle w:val="27"/>
                <w:rFonts w:ascii="宋体" w:hAnsi="宋体"/>
                <w:color w:val="auto"/>
                <w:szCs w:val="21"/>
                <w:highlight w:val="yellow"/>
              </w:rPr>
              <w:t>com</w:t>
            </w:r>
            <w:r>
              <w:rPr>
                <w:rStyle w:val="27"/>
                <w:rFonts w:ascii="宋体" w:hAnsi="宋体"/>
                <w:color w:val="auto"/>
                <w:szCs w:val="21"/>
                <w:highlight w:val="yellow"/>
              </w:rPr>
              <w:fldChar w:fldCharType="end"/>
            </w:r>
            <w:r>
              <w:rPr>
                <w:rFonts w:hint="eastAsia" w:ascii="宋体" w:hAnsi="宋体"/>
                <w:szCs w:val="21"/>
              </w:rPr>
              <w:t>（深圳市深环绿盾环保科技有限公司）公示评标结果，公示期为</w:t>
            </w:r>
            <w:r>
              <w:rPr>
                <w:rFonts w:ascii="宋体" w:hAnsi="宋体"/>
                <w:b/>
                <w:szCs w:val="21"/>
              </w:rPr>
              <w:t>3</w:t>
            </w:r>
            <w:r>
              <w:rPr>
                <w:rFonts w:hint="eastAsia" w:ascii="宋体" w:hAnsi="宋体"/>
                <w:szCs w:val="21"/>
              </w:rPr>
              <w:t>个工作日。若投标人对评标结果有异议，可在公示期内以投标人的名义向招标方提出书面质疑。</w:t>
            </w:r>
          </w:p>
        </w:tc>
      </w:tr>
      <w:tr w14:paraId="0A47516D">
        <w:tblPrEx>
          <w:tblCellMar>
            <w:top w:w="0" w:type="dxa"/>
            <w:left w:w="108" w:type="dxa"/>
            <w:bottom w:w="0" w:type="dxa"/>
            <w:right w:w="108" w:type="dxa"/>
          </w:tblCellMar>
        </w:tblPrEx>
        <w:tc>
          <w:tcPr>
            <w:tcW w:w="8388" w:type="dxa"/>
            <w:gridSpan w:val="2"/>
          </w:tcPr>
          <w:p w14:paraId="03F455BA">
            <w:pPr>
              <w:rPr>
                <w:szCs w:val="21"/>
              </w:rPr>
            </w:pPr>
            <w:bookmarkStart w:id="177" w:name="_Toc211243312"/>
            <w:bookmarkStart w:id="178" w:name="_Toc236803107"/>
            <w:bookmarkStart w:id="179" w:name="_Toc205623217"/>
            <w:r>
              <w:rPr>
                <w:rFonts w:ascii="宋体" w:hAnsi="宋体"/>
                <w:b/>
              </w:rPr>
              <w:t xml:space="preserve">28. </w:t>
            </w:r>
            <w:r>
              <w:rPr>
                <w:rFonts w:hint="eastAsia" w:ascii="宋体" w:hAnsi="宋体"/>
                <w:b/>
              </w:rPr>
              <w:t>接受和拒绝任何或所有投标的权利</w:t>
            </w:r>
            <w:bookmarkEnd w:id="177"/>
            <w:bookmarkEnd w:id="178"/>
            <w:bookmarkEnd w:id="179"/>
          </w:p>
        </w:tc>
      </w:tr>
      <w:tr w14:paraId="000E9E90">
        <w:tblPrEx>
          <w:tblCellMar>
            <w:top w:w="0" w:type="dxa"/>
            <w:left w:w="108" w:type="dxa"/>
            <w:bottom w:w="0" w:type="dxa"/>
            <w:right w:w="108" w:type="dxa"/>
          </w:tblCellMar>
        </w:tblPrEx>
        <w:tc>
          <w:tcPr>
            <w:tcW w:w="828" w:type="dxa"/>
          </w:tcPr>
          <w:p w14:paraId="31A7062D">
            <w:pPr>
              <w:spacing w:line="400" w:lineRule="exact"/>
              <w:ind w:right="-57"/>
              <w:rPr>
                <w:szCs w:val="21"/>
              </w:rPr>
            </w:pPr>
            <w:r>
              <w:rPr>
                <w:szCs w:val="21"/>
              </w:rPr>
              <w:t>28.1</w:t>
            </w:r>
          </w:p>
        </w:tc>
        <w:tc>
          <w:tcPr>
            <w:tcW w:w="7560" w:type="dxa"/>
          </w:tcPr>
          <w:p w14:paraId="06FB6DC4">
            <w:pPr>
              <w:spacing w:line="400" w:lineRule="exact"/>
              <w:rPr>
                <w:rFonts w:hAnsi="宋体"/>
                <w:bCs/>
              </w:rPr>
            </w:pPr>
            <w:r>
              <w:rPr>
                <w:rFonts w:hint="eastAsia" w:hAnsi="宋体"/>
                <w:bCs/>
              </w:rPr>
              <w:t>招标方保留在授标之前任何时候接受或拒绝任何投标，以及宣布招标程序无效或拒绝所有投标的权利，对受影响的投标方不承担任何责任。</w:t>
            </w:r>
          </w:p>
        </w:tc>
      </w:tr>
      <w:tr w14:paraId="27232814">
        <w:tblPrEx>
          <w:tblCellMar>
            <w:top w:w="0" w:type="dxa"/>
            <w:left w:w="108" w:type="dxa"/>
            <w:bottom w:w="0" w:type="dxa"/>
            <w:right w:w="108" w:type="dxa"/>
          </w:tblCellMar>
        </w:tblPrEx>
        <w:tc>
          <w:tcPr>
            <w:tcW w:w="8388" w:type="dxa"/>
            <w:gridSpan w:val="2"/>
          </w:tcPr>
          <w:p w14:paraId="417D039D">
            <w:pPr>
              <w:rPr>
                <w:szCs w:val="21"/>
              </w:rPr>
            </w:pPr>
            <w:r>
              <w:rPr>
                <w:rFonts w:ascii="宋体" w:hAnsi="宋体"/>
                <w:b/>
              </w:rPr>
              <w:t xml:space="preserve">29. </w:t>
            </w:r>
            <w:r>
              <w:rPr>
                <w:rFonts w:hint="eastAsia" w:ascii="宋体" w:hAnsi="宋体"/>
                <w:b/>
              </w:rPr>
              <w:t>中标结果公告</w:t>
            </w:r>
          </w:p>
        </w:tc>
      </w:tr>
      <w:tr w14:paraId="6380659A">
        <w:tblPrEx>
          <w:tblCellMar>
            <w:top w:w="0" w:type="dxa"/>
            <w:left w:w="108" w:type="dxa"/>
            <w:bottom w:w="0" w:type="dxa"/>
            <w:right w:w="108" w:type="dxa"/>
          </w:tblCellMar>
        </w:tblPrEx>
        <w:tc>
          <w:tcPr>
            <w:tcW w:w="828" w:type="dxa"/>
          </w:tcPr>
          <w:p w14:paraId="37ADD5EC">
            <w:pPr>
              <w:spacing w:line="400" w:lineRule="exact"/>
              <w:ind w:right="-57"/>
              <w:rPr>
                <w:szCs w:val="21"/>
              </w:rPr>
            </w:pPr>
            <w:r>
              <w:rPr>
                <w:szCs w:val="21"/>
              </w:rPr>
              <w:t>29.1</w:t>
            </w:r>
          </w:p>
        </w:tc>
        <w:tc>
          <w:tcPr>
            <w:tcW w:w="7560" w:type="dxa"/>
          </w:tcPr>
          <w:p w14:paraId="325FD41D">
            <w:pPr>
              <w:spacing w:line="400" w:lineRule="exact"/>
              <w:rPr>
                <w:rFonts w:ascii="黑体" w:eastAsia="黑体"/>
                <w:szCs w:val="21"/>
              </w:rPr>
            </w:pPr>
            <w:r>
              <w:rPr>
                <w:rFonts w:hint="eastAsia" w:hAnsi="宋体"/>
                <w:szCs w:val="21"/>
              </w:rPr>
              <w:t>评标结果公示期满，招标方、投标方、有关部门无质疑或质疑已处理完毕后，招标方将在</w:t>
            </w:r>
            <w:r>
              <w:rPr>
                <w:rFonts w:hint="eastAsia" w:ascii="宋体" w:hAnsi="宋体"/>
                <w:szCs w:val="21"/>
              </w:rPr>
              <w:t>深圳市深环绿盾环保科技有限公司网</w:t>
            </w:r>
            <w:r>
              <w:fldChar w:fldCharType="begin"/>
            </w:r>
            <w:r>
              <w:instrText xml:space="preserve"> HYPERLINK "http://www.sztc.com" </w:instrText>
            </w:r>
            <w:r>
              <w:fldChar w:fldCharType="separate"/>
            </w:r>
            <w:r>
              <w:rPr>
                <w:rStyle w:val="27"/>
                <w:rFonts w:ascii="宋体" w:hAnsi="宋体"/>
                <w:color w:val="auto"/>
                <w:szCs w:val="21"/>
                <w:highlight w:val="yellow"/>
              </w:rPr>
              <w:t>http://www.szhwts.com</w:t>
            </w:r>
            <w:r>
              <w:rPr>
                <w:rStyle w:val="27"/>
                <w:rFonts w:ascii="宋体" w:hAnsi="宋体"/>
                <w:color w:val="auto"/>
                <w:szCs w:val="21"/>
                <w:highlight w:val="yellow"/>
              </w:rPr>
              <w:fldChar w:fldCharType="end"/>
            </w:r>
            <w:r>
              <w:rPr>
                <w:rFonts w:hint="eastAsia" w:hAnsi="宋体"/>
                <w:szCs w:val="21"/>
              </w:rPr>
              <w:t>发布中标结果公告。</w:t>
            </w:r>
          </w:p>
        </w:tc>
      </w:tr>
      <w:tr w14:paraId="601F77C5">
        <w:tblPrEx>
          <w:tblCellMar>
            <w:top w:w="0" w:type="dxa"/>
            <w:left w:w="108" w:type="dxa"/>
            <w:bottom w:w="0" w:type="dxa"/>
            <w:right w:w="108" w:type="dxa"/>
          </w:tblCellMar>
        </w:tblPrEx>
        <w:tc>
          <w:tcPr>
            <w:tcW w:w="8388" w:type="dxa"/>
            <w:gridSpan w:val="2"/>
          </w:tcPr>
          <w:p w14:paraId="335136C2">
            <w:pPr>
              <w:rPr>
                <w:szCs w:val="21"/>
              </w:rPr>
            </w:pPr>
            <w:bookmarkStart w:id="180" w:name="_Toc205623209"/>
            <w:bookmarkStart w:id="181" w:name="_Toc205616057"/>
            <w:bookmarkStart w:id="182" w:name="_Toc211243304"/>
            <w:bookmarkStart w:id="183" w:name="_Toc236803103"/>
            <w:r>
              <w:rPr>
                <w:rFonts w:ascii="宋体" w:hAnsi="宋体"/>
                <w:b/>
              </w:rPr>
              <w:t xml:space="preserve">30. </w:t>
            </w:r>
            <w:r>
              <w:rPr>
                <w:rFonts w:hint="eastAsia" w:ascii="宋体" w:hAnsi="宋体"/>
                <w:b/>
              </w:rPr>
              <w:t>中标通知书</w:t>
            </w:r>
            <w:bookmarkEnd w:id="180"/>
            <w:bookmarkEnd w:id="181"/>
            <w:bookmarkEnd w:id="182"/>
            <w:bookmarkEnd w:id="183"/>
          </w:p>
        </w:tc>
      </w:tr>
      <w:tr w14:paraId="56EAE829">
        <w:tblPrEx>
          <w:tblCellMar>
            <w:top w:w="0" w:type="dxa"/>
            <w:left w:w="108" w:type="dxa"/>
            <w:bottom w:w="0" w:type="dxa"/>
            <w:right w:w="108" w:type="dxa"/>
          </w:tblCellMar>
        </w:tblPrEx>
        <w:tc>
          <w:tcPr>
            <w:tcW w:w="828" w:type="dxa"/>
          </w:tcPr>
          <w:p w14:paraId="5696EA70">
            <w:pPr>
              <w:spacing w:line="400" w:lineRule="exact"/>
              <w:ind w:right="-57"/>
              <w:rPr>
                <w:szCs w:val="21"/>
              </w:rPr>
            </w:pPr>
            <w:r>
              <w:rPr>
                <w:szCs w:val="21"/>
              </w:rPr>
              <w:t xml:space="preserve">30.1  </w:t>
            </w:r>
          </w:p>
        </w:tc>
        <w:tc>
          <w:tcPr>
            <w:tcW w:w="7560" w:type="dxa"/>
          </w:tcPr>
          <w:p w14:paraId="52179D43">
            <w:pPr>
              <w:spacing w:line="400" w:lineRule="exact"/>
              <w:rPr>
                <w:szCs w:val="21"/>
              </w:rPr>
            </w:pPr>
            <w:r>
              <w:rPr>
                <w:rFonts w:hint="eastAsia" w:hAnsi="宋体"/>
                <w:szCs w:val="21"/>
              </w:rPr>
              <w:t>中标方确定后，招标方将向中标方发出中标通知书。</w:t>
            </w:r>
          </w:p>
        </w:tc>
      </w:tr>
      <w:tr w14:paraId="77166AC5">
        <w:tblPrEx>
          <w:tblCellMar>
            <w:top w:w="0" w:type="dxa"/>
            <w:left w:w="108" w:type="dxa"/>
            <w:bottom w:w="0" w:type="dxa"/>
            <w:right w:w="108" w:type="dxa"/>
          </w:tblCellMar>
        </w:tblPrEx>
        <w:tc>
          <w:tcPr>
            <w:tcW w:w="828" w:type="dxa"/>
          </w:tcPr>
          <w:p w14:paraId="0F4988A4">
            <w:pPr>
              <w:spacing w:line="400" w:lineRule="exact"/>
              <w:ind w:right="-57"/>
              <w:rPr>
                <w:szCs w:val="21"/>
              </w:rPr>
            </w:pPr>
            <w:r>
              <w:rPr>
                <w:szCs w:val="21"/>
              </w:rPr>
              <w:t xml:space="preserve">30.2  </w:t>
            </w:r>
          </w:p>
        </w:tc>
        <w:tc>
          <w:tcPr>
            <w:tcW w:w="7560" w:type="dxa"/>
          </w:tcPr>
          <w:p w14:paraId="3618A2FB">
            <w:pPr>
              <w:spacing w:line="400" w:lineRule="exact"/>
              <w:rPr>
                <w:szCs w:val="21"/>
              </w:rPr>
            </w:pPr>
            <w:r>
              <w:rPr>
                <w:rFonts w:hint="eastAsia" w:hAnsi="宋体"/>
                <w:szCs w:val="21"/>
              </w:rPr>
              <w:t>中标通知书是合同的一个组成部分。</w:t>
            </w:r>
          </w:p>
        </w:tc>
      </w:tr>
      <w:tr w14:paraId="2805CEF7">
        <w:tblPrEx>
          <w:tblCellMar>
            <w:top w:w="0" w:type="dxa"/>
            <w:left w:w="108" w:type="dxa"/>
            <w:bottom w:w="0" w:type="dxa"/>
            <w:right w:w="108" w:type="dxa"/>
          </w:tblCellMar>
        </w:tblPrEx>
        <w:tc>
          <w:tcPr>
            <w:tcW w:w="8388" w:type="dxa"/>
            <w:gridSpan w:val="2"/>
          </w:tcPr>
          <w:p w14:paraId="4B53BF7E">
            <w:pPr>
              <w:rPr>
                <w:rFonts w:ascii="宋体"/>
                <w:b/>
              </w:rPr>
            </w:pPr>
            <w:bookmarkStart w:id="184" w:name="_Toc205623207"/>
            <w:bookmarkStart w:id="185" w:name="_Toc205616055"/>
            <w:bookmarkStart w:id="186" w:name="_Toc236803102"/>
            <w:bookmarkStart w:id="187" w:name="_Toc211243302"/>
            <w:r>
              <w:rPr>
                <w:rFonts w:ascii="宋体" w:hAnsi="宋体"/>
                <w:b/>
              </w:rPr>
              <w:t xml:space="preserve">31. </w:t>
            </w:r>
            <w:r>
              <w:rPr>
                <w:rFonts w:hint="eastAsia" w:ascii="宋体" w:hAnsi="宋体"/>
                <w:b/>
              </w:rPr>
              <w:t>授标时更改采购货物数量的权力</w:t>
            </w:r>
            <w:bookmarkEnd w:id="184"/>
            <w:bookmarkEnd w:id="185"/>
            <w:bookmarkEnd w:id="186"/>
            <w:bookmarkEnd w:id="187"/>
          </w:p>
        </w:tc>
      </w:tr>
      <w:tr w14:paraId="25D8B1F5">
        <w:tblPrEx>
          <w:tblCellMar>
            <w:top w:w="0" w:type="dxa"/>
            <w:left w:w="108" w:type="dxa"/>
            <w:bottom w:w="0" w:type="dxa"/>
            <w:right w:w="108" w:type="dxa"/>
          </w:tblCellMar>
        </w:tblPrEx>
        <w:tc>
          <w:tcPr>
            <w:tcW w:w="828" w:type="dxa"/>
          </w:tcPr>
          <w:p w14:paraId="7E7B1407">
            <w:pPr>
              <w:spacing w:line="400" w:lineRule="exact"/>
              <w:ind w:right="-57"/>
              <w:rPr>
                <w:rFonts w:ascii="宋体"/>
                <w:szCs w:val="21"/>
              </w:rPr>
            </w:pPr>
            <w:r>
              <w:rPr>
                <w:szCs w:val="21"/>
              </w:rPr>
              <w:t xml:space="preserve">31.1  </w:t>
            </w:r>
          </w:p>
        </w:tc>
        <w:tc>
          <w:tcPr>
            <w:tcW w:w="7560" w:type="dxa"/>
          </w:tcPr>
          <w:p w14:paraId="55DDCDBB">
            <w:pPr>
              <w:spacing w:line="400" w:lineRule="exact"/>
              <w:rPr>
                <w:szCs w:val="21"/>
              </w:rPr>
            </w:pPr>
            <w:r>
              <w:rPr>
                <w:rFonts w:hint="eastAsia" w:hAnsi="宋体"/>
                <w:szCs w:val="21"/>
              </w:rPr>
              <w:t>招标方在授予合同时有权在“商务要求”规定的幅度内对</w:t>
            </w:r>
            <w:r>
              <w:rPr>
                <w:rFonts w:hint="eastAsia" w:ascii="宋体" w:hAnsi="宋体"/>
                <w:szCs w:val="21"/>
              </w:rPr>
              <w:t>“招标文件”</w:t>
            </w:r>
            <w:r>
              <w:rPr>
                <w:rFonts w:hint="eastAsia" w:hAnsi="宋体"/>
                <w:szCs w:val="21"/>
              </w:rPr>
              <w:t>中规定的货物数量和服务予以增加或减少，但不得对单价或</w:t>
            </w:r>
            <w:r>
              <w:rPr>
                <w:rFonts w:hint="eastAsia" w:hAnsi="宋体"/>
                <w:szCs w:val="21"/>
                <w:lang w:eastAsia="zh-CN"/>
              </w:rPr>
              <w:t>其他</w:t>
            </w:r>
            <w:r>
              <w:rPr>
                <w:rFonts w:hint="eastAsia" w:hAnsi="宋体"/>
                <w:szCs w:val="21"/>
              </w:rPr>
              <w:t>的条款和条件做任何改变。</w:t>
            </w:r>
          </w:p>
        </w:tc>
      </w:tr>
      <w:tr w14:paraId="4C4EFA68">
        <w:tblPrEx>
          <w:tblCellMar>
            <w:top w:w="0" w:type="dxa"/>
            <w:left w:w="108" w:type="dxa"/>
            <w:bottom w:w="0" w:type="dxa"/>
            <w:right w:w="108" w:type="dxa"/>
          </w:tblCellMar>
        </w:tblPrEx>
        <w:tc>
          <w:tcPr>
            <w:tcW w:w="8388" w:type="dxa"/>
            <w:gridSpan w:val="2"/>
          </w:tcPr>
          <w:p w14:paraId="5D4A20FE">
            <w:pPr>
              <w:rPr>
                <w:szCs w:val="21"/>
              </w:rPr>
            </w:pPr>
            <w:bookmarkStart w:id="188" w:name="_Toc205623211"/>
            <w:bookmarkStart w:id="189" w:name="_Toc211243306"/>
            <w:bookmarkStart w:id="190" w:name="_Toc236803104"/>
            <w:bookmarkStart w:id="191" w:name="_Toc205616059"/>
            <w:r>
              <w:rPr>
                <w:rFonts w:ascii="宋体" w:hAnsi="宋体"/>
                <w:b/>
              </w:rPr>
              <w:t xml:space="preserve">32. </w:t>
            </w:r>
            <w:r>
              <w:rPr>
                <w:rFonts w:hint="eastAsia" w:ascii="宋体" w:hAnsi="宋体"/>
                <w:b/>
              </w:rPr>
              <w:t>签订合同</w:t>
            </w:r>
            <w:bookmarkEnd w:id="188"/>
            <w:bookmarkEnd w:id="189"/>
            <w:bookmarkEnd w:id="190"/>
            <w:bookmarkEnd w:id="191"/>
          </w:p>
        </w:tc>
      </w:tr>
      <w:tr w14:paraId="04225148">
        <w:tblPrEx>
          <w:tblCellMar>
            <w:top w:w="0" w:type="dxa"/>
            <w:left w:w="108" w:type="dxa"/>
            <w:bottom w:w="0" w:type="dxa"/>
            <w:right w:w="108" w:type="dxa"/>
          </w:tblCellMar>
        </w:tblPrEx>
        <w:tc>
          <w:tcPr>
            <w:tcW w:w="828" w:type="dxa"/>
          </w:tcPr>
          <w:p w14:paraId="3DC36695">
            <w:pPr>
              <w:spacing w:line="400" w:lineRule="exact"/>
              <w:ind w:right="-57"/>
              <w:rPr>
                <w:szCs w:val="21"/>
              </w:rPr>
            </w:pPr>
            <w:r>
              <w:rPr>
                <w:szCs w:val="21"/>
              </w:rPr>
              <w:t xml:space="preserve">32.1  </w:t>
            </w:r>
          </w:p>
        </w:tc>
        <w:tc>
          <w:tcPr>
            <w:tcW w:w="7560" w:type="dxa"/>
          </w:tcPr>
          <w:p w14:paraId="3C5C345C">
            <w:pPr>
              <w:spacing w:line="400" w:lineRule="atLeast"/>
              <w:rPr>
                <w:rFonts w:ascii="宋体"/>
                <w:bCs/>
              </w:rPr>
            </w:pPr>
            <w:r>
              <w:rPr>
                <w:rFonts w:hint="eastAsia" w:hAnsi="宋体"/>
                <w:szCs w:val="21"/>
              </w:rPr>
              <w:t>中标方应</w:t>
            </w:r>
            <w:r>
              <w:rPr>
                <w:rFonts w:hint="eastAsia"/>
                <w:szCs w:val="21"/>
              </w:rPr>
              <w:t>在收到《中标通知书》后</w:t>
            </w:r>
            <w:r>
              <w:rPr>
                <w:rFonts w:hint="eastAsia"/>
                <w:szCs w:val="21"/>
                <w:lang w:val="en-US" w:eastAsia="zh-CN"/>
              </w:rPr>
              <w:t>30</w:t>
            </w:r>
            <w:r>
              <w:rPr>
                <w:rFonts w:hint="eastAsia"/>
                <w:szCs w:val="21"/>
              </w:rPr>
              <w:t>个</w:t>
            </w:r>
            <w:r>
              <w:rPr>
                <w:rFonts w:hint="eastAsia"/>
                <w:szCs w:val="21"/>
                <w:lang w:val="en-US" w:eastAsia="zh-CN"/>
              </w:rPr>
              <w:t>日历日</w:t>
            </w:r>
            <w:r>
              <w:rPr>
                <w:rFonts w:hint="eastAsia"/>
                <w:szCs w:val="21"/>
              </w:rPr>
              <w:t>内，</w:t>
            </w:r>
            <w:r>
              <w:rPr>
                <w:rFonts w:hint="eastAsia" w:hAnsi="宋体"/>
                <w:szCs w:val="21"/>
              </w:rPr>
              <w:t>与买方签订合同。</w:t>
            </w:r>
            <w:r>
              <w:rPr>
                <w:rFonts w:hint="eastAsia" w:ascii="宋体" w:hAnsi="宋体"/>
                <w:bCs/>
              </w:rPr>
              <w:t>否则招标方有权取消中标方的中标资格。</w:t>
            </w:r>
          </w:p>
        </w:tc>
      </w:tr>
      <w:tr w14:paraId="5EFC0563">
        <w:tblPrEx>
          <w:tblCellMar>
            <w:top w:w="0" w:type="dxa"/>
            <w:left w:w="108" w:type="dxa"/>
            <w:bottom w:w="0" w:type="dxa"/>
            <w:right w:w="108" w:type="dxa"/>
          </w:tblCellMar>
        </w:tblPrEx>
        <w:tc>
          <w:tcPr>
            <w:tcW w:w="828" w:type="dxa"/>
          </w:tcPr>
          <w:p w14:paraId="7BB9255B">
            <w:pPr>
              <w:spacing w:line="400" w:lineRule="exact"/>
              <w:ind w:right="-57"/>
              <w:rPr>
                <w:szCs w:val="21"/>
              </w:rPr>
            </w:pPr>
            <w:r>
              <w:rPr>
                <w:szCs w:val="21"/>
              </w:rPr>
              <w:t xml:space="preserve">32.2  </w:t>
            </w:r>
          </w:p>
        </w:tc>
        <w:tc>
          <w:tcPr>
            <w:tcW w:w="7560" w:type="dxa"/>
          </w:tcPr>
          <w:p w14:paraId="2F0AE843">
            <w:pPr>
              <w:spacing w:line="400" w:lineRule="exact"/>
              <w:rPr>
                <w:rFonts w:ascii="宋体"/>
                <w:szCs w:val="21"/>
              </w:rPr>
            </w:pPr>
            <w:r>
              <w:rPr>
                <w:rFonts w:hint="eastAsia" w:ascii="宋体" w:hAnsi="宋体"/>
                <w:szCs w:val="21"/>
              </w:rPr>
              <w:t>“招标文件”、中标方的“投标文件”及其澄清文件等，均为签订经济合同的依据。中标方不得与招标方再订立背离合同实质性内容的其他协议。</w:t>
            </w:r>
          </w:p>
        </w:tc>
      </w:tr>
    </w:tbl>
    <w:p w14:paraId="04526060">
      <w:pPr>
        <w:sectPr>
          <w:headerReference r:id="rId4" w:type="first"/>
          <w:headerReference r:id="rId3" w:type="default"/>
          <w:footerReference r:id="rId5" w:type="default"/>
          <w:footerReference r:id="rId6" w:type="even"/>
          <w:pgSz w:w="11907" w:h="16840"/>
          <w:pgMar w:top="1440" w:right="1797" w:bottom="1440" w:left="1797" w:header="851" w:footer="992" w:gutter="0"/>
          <w:pgNumType w:start="0"/>
          <w:cols w:space="720" w:num="1"/>
          <w:titlePg/>
          <w:docGrid w:linePitch="462" w:charSpace="0"/>
        </w:sectPr>
      </w:pPr>
    </w:p>
    <w:p w14:paraId="3715DA3D">
      <w:pPr>
        <w:rPr>
          <w:sz w:val="10"/>
          <w:szCs w:val="10"/>
        </w:rPr>
      </w:pPr>
    </w:p>
    <w:p w14:paraId="61AFC1F1">
      <w:pPr>
        <w:pStyle w:val="19"/>
        <w:spacing w:before="0" w:after="0" w:line="60" w:lineRule="exact"/>
        <w:jc w:val="both"/>
        <w:rPr>
          <w:b w:val="0"/>
          <w:sz w:val="10"/>
          <w:szCs w:val="10"/>
        </w:rPr>
      </w:pPr>
      <w:bookmarkStart w:id="192" w:name="_Toc211243313"/>
    </w:p>
    <w:bookmarkEnd w:id="192"/>
    <w:p w14:paraId="38DA7512">
      <w:pPr>
        <w:pStyle w:val="7"/>
        <w:spacing w:line="360" w:lineRule="auto"/>
        <w:ind w:right="420"/>
        <w:jc w:val="center"/>
        <w:outlineLvl w:val="0"/>
        <w:rPr>
          <w:rFonts w:ascii="黑体" w:eastAsia="黑体"/>
          <w:sz w:val="32"/>
          <w:szCs w:val="32"/>
        </w:rPr>
      </w:pPr>
      <w:bookmarkStart w:id="193" w:name="_Toc7203"/>
      <w:bookmarkStart w:id="194" w:name="_Toc7630"/>
      <w:bookmarkStart w:id="195" w:name="_Toc14786"/>
      <w:bookmarkStart w:id="196" w:name="_Toc12346"/>
      <w:bookmarkStart w:id="197" w:name="_Toc5994"/>
      <w:bookmarkStart w:id="198" w:name="_Toc496002352"/>
      <w:r>
        <w:rPr>
          <w:rFonts w:hint="eastAsia" w:ascii="黑体" w:eastAsia="黑体"/>
          <w:sz w:val="32"/>
          <w:szCs w:val="32"/>
        </w:rPr>
        <w:t>第四章合同条款（范本仅供参考）</w:t>
      </w:r>
      <w:bookmarkEnd w:id="193"/>
    </w:p>
    <w:p w14:paraId="3D33B7D9">
      <w:pPr>
        <w:spacing w:line="440" w:lineRule="exact"/>
        <w:ind w:firstLine="420"/>
        <w:jc w:val="center"/>
        <w:rPr>
          <w:sz w:val="24"/>
          <w:szCs w:val="44"/>
        </w:rPr>
      </w:pPr>
      <w:r>
        <w:rPr>
          <w:b/>
          <w:sz w:val="32"/>
          <w:szCs w:val="32"/>
        </w:rPr>
        <w:t>采购</w:t>
      </w:r>
      <w:r>
        <w:rPr>
          <w:b/>
          <w:bCs/>
          <w:sz w:val="30"/>
          <w:szCs w:val="30"/>
        </w:rPr>
        <w:t>合同</w:t>
      </w:r>
    </w:p>
    <w:p w14:paraId="7C77BD2C">
      <w:pPr>
        <w:spacing w:line="440" w:lineRule="exact"/>
        <w:ind w:firstLine="480"/>
        <w:jc w:val="center"/>
        <w:rPr>
          <w:szCs w:val="21"/>
        </w:rPr>
      </w:pPr>
      <w:r>
        <w:rPr>
          <w:sz w:val="24"/>
          <w:szCs w:val="44"/>
        </w:rPr>
        <w:tab/>
      </w:r>
      <w:r>
        <w:rPr>
          <w:sz w:val="24"/>
          <w:szCs w:val="44"/>
        </w:rPr>
        <w:tab/>
      </w:r>
      <w:r>
        <w:rPr>
          <w:sz w:val="24"/>
          <w:szCs w:val="44"/>
        </w:rPr>
        <w:tab/>
      </w:r>
      <w:r>
        <w:rPr>
          <w:sz w:val="24"/>
          <w:szCs w:val="44"/>
        </w:rPr>
        <w:tab/>
      </w:r>
      <w:r>
        <w:rPr>
          <w:sz w:val="24"/>
          <w:szCs w:val="44"/>
        </w:rPr>
        <w:tab/>
      </w:r>
      <w:r>
        <w:rPr>
          <w:sz w:val="24"/>
          <w:szCs w:val="44"/>
        </w:rPr>
        <w:tab/>
      </w:r>
      <w:r>
        <w:rPr>
          <w:sz w:val="24"/>
          <w:szCs w:val="44"/>
        </w:rPr>
        <w:tab/>
      </w:r>
      <w:r>
        <w:rPr>
          <w:sz w:val="24"/>
          <w:szCs w:val="44"/>
        </w:rPr>
        <w:tab/>
      </w:r>
      <w:r>
        <w:rPr>
          <w:sz w:val="24"/>
          <w:szCs w:val="44"/>
        </w:rPr>
        <w:tab/>
      </w:r>
      <w:r>
        <w:rPr>
          <w:sz w:val="24"/>
          <w:szCs w:val="44"/>
        </w:rPr>
        <w:tab/>
      </w:r>
      <w:r>
        <w:rPr>
          <w:szCs w:val="21"/>
        </w:rPr>
        <w:t xml:space="preserve">签订日期： </w:t>
      </w:r>
      <w:r>
        <w:rPr>
          <w:szCs w:val="21"/>
          <w:highlight w:val="yellow"/>
        </w:rPr>
        <w:t>20</w:t>
      </w:r>
      <w:r>
        <w:rPr>
          <w:rFonts w:hint="eastAsia"/>
          <w:szCs w:val="21"/>
          <w:highlight w:val="yellow"/>
        </w:rPr>
        <w:t>26</w:t>
      </w:r>
      <w:r>
        <w:rPr>
          <w:szCs w:val="21"/>
          <w:highlight w:val="yellow"/>
        </w:rPr>
        <w:t>年</w:t>
      </w:r>
      <w:r>
        <w:rPr>
          <w:rFonts w:hint="eastAsia"/>
          <w:szCs w:val="21"/>
          <w:highlight w:val="yellow"/>
        </w:rPr>
        <w:t xml:space="preserve"> </w:t>
      </w:r>
      <w:r>
        <w:rPr>
          <w:szCs w:val="21"/>
          <w:highlight w:val="yellow"/>
        </w:rPr>
        <w:t>月</w:t>
      </w:r>
      <w:r>
        <w:rPr>
          <w:rFonts w:hint="eastAsia"/>
          <w:szCs w:val="21"/>
          <w:highlight w:val="yellow"/>
        </w:rPr>
        <w:t xml:space="preserve">  </w:t>
      </w:r>
      <w:r>
        <w:rPr>
          <w:szCs w:val="21"/>
          <w:highlight w:val="yellow"/>
        </w:rPr>
        <w:t>日</w:t>
      </w:r>
    </w:p>
    <w:bookmarkEnd w:id="194"/>
    <w:bookmarkEnd w:id="195"/>
    <w:bookmarkEnd w:id="196"/>
    <w:bookmarkEnd w:id="197"/>
    <w:bookmarkEnd w:id="198"/>
    <w:p w14:paraId="5FF26B3C">
      <w:pPr>
        <w:keepNext w:val="0"/>
        <w:keepLines w:val="0"/>
        <w:pageBreakBefore w:val="0"/>
        <w:widowControl w:val="0"/>
        <w:kinsoku/>
        <w:wordWrap/>
        <w:overflowPunct/>
        <w:topLinePunct w:val="0"/>
        <w:autoSpaceDE/>
        <w:autoSpaceDN/>
        <w:bidi w:val="0"/>
        <w:adjustRightInd/>
        <w:snapToGrid/>
        <w:spacing w:line="360" w:lineRule="auto"/>
        <w:ind w:firstLine="422"/>
        <w:textAlignment w:val="auto"/>
        <w:rPr>
          <w:sz w:val="24"/>
          <w:szCs w:val="24"/>
        </w:rPr>
      </w:pPr>
      <w:r>
        <w:rPr>
          <w:rFonts w:hint="eastAsia"/>
          <w:b/>
          <w:bCs/>
          <w:sz w:val="24"/>
          <w:szCs w:val="24"/>
        </w:rPr>
        <w:t>需</w:t>
      </w:r>
      <w:r>
        <w:rPr>
          <w:b/>
          <w:bCs/>
          <w:sz w:val="24"/>
          <w:szCs w:val="24"/>
        </w:rPr>
        <w:t>方</w:t>
      </w:r>
      <w:r>
        <w:rPr>
          <w:sz w:val="24"/>
          <w:szCs w:val="24"/>
        </w:rPr>
        <w:t>：深圳市</w:t>
      </w:r>
      <w:r>
        <w:rPr>
          <w:rFonts w:hint="eastAsia"/>
          <w:sz w:val="24"/>
          <w:szCs w:val="24"/>
          <w:lang w:val="en-US" w:eastAsia="zh-CN"/>
        </w:rPr>
        <w:t>深环绿盾环保科技</w:t>
      </w:r>
      <w:r>
        <w:rPr>
          <w:sz w:val="24"/>
          <w:szCs w:val="24"/>
        </w:rPr>
        <w:t>有限公司（以下简称</w:t>
      </w:r>
      <w:r>
        <w:rPr>
          <w:rFonts w:hint="eastAsia"/>
          <w:sz w:val="24"/>
          <w:szCs w:val="24"/>
        </w:rPr>
        <w:t>需</w:t>
      </w:r>
      <w:r>
        <w:rPr>
          <w:sz w:val="24"/>
          <w:szCs w:val="24"/>
        </w:rPr>
        <w:t>方）</w:t>
      </w:r>
    </w:p>
    <w:p w14:paraId="0EE9361E">
      <w:pPr>
        <w:keepNext w:val="0"/>
        <w:keepLines w:val="0"/>
        <w:pageBreakBefore w:val="0"/>
        <w:widowControl w:val="0"/>
        <w:kinsoku/>
        <w:wordWrap/>
        <w:overflowPunct/>
        <w:topLinePunct w:val="0"/>
        <w:autoSpaceDE/>
        <w:autoSpaceDN/>
        <w:bidi w:val="0"/>
        <w:adjustRightInd/>
        <w:snapToGrid/>
        <w:spacing w:line="360" w:lineRule="auto"/>
        <w:ind w:firstLine="422"/>
        <w:textAlignment w:val="auto"/>
        <w:rPr>
          <w:b/>
          <w:sz w:val="24"/>
          <w:szCs w:val="24"/>
        </w:rPr>
      </w:pPr>
      <w:r>
        <w:rPr>
          <w:rFonts w:hint="eastAsia"/>
          <w:b/>
          <w:bCs/>
          <w:sz w:val="24"/>
          <w:szCs w:val="24"/>
        </w:rPr>
        <w:t>供</w:t>
      </w:r>
      <w:r>
        <w:rPr>
          <w:b/>
          <w:bCs/>
          <w:sz w:val="24"/>
          <w:szCs w:val="24"/>
        </w:rPr>
        <w:t>方</w:t>
      </w:r>
      <w:r>
        <w:rPr>
          <w:sz w:val="24"/>
          <w:szCs w:val="24"/>
        </w:rPr>
        <w:t>：</w:t>
      </w:r>
      <w:r>
        <w:rPr>
          <w:rFonts w:hint="eastAsia"/>
          <w:sz w:val="24"/>
          <w:szCs w:val="24"/>
          <w:lang w:val="en-US" w:eastAsia="zh-CN"/>
        </w:rPr>
        <w:t xml:space="preserve"> </w:t>
      </w:r>
      <w:r>
        <w:rPr>
          <w:sz w:val="24"/>
          <w:szCs w:val="24"/>
        </w:rPr>
        <w:t>（以下简称</w:t>
      </w:r>
      <w:r>
        <w:rPr>
          <w:rFonts w:hint="eastAsia"/>
          <w:sz w:val="24"/>
          <w:szCs w:val="24"/>
        </w:rPr>
        <w:t>供</w:t>
      </w:r>
      <w:r>
        <w:rPr>
          <w:sz w:val="24"/>
          <w:szCs w:val="24"/>
        </w:rPr>
        <w:t>方）</w:t>
      </w:r>
    </w:p>
    <w:p w14:paraId="444AF6B4">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sz w:val="24"/>
          <w:szCs w:val="24"/>
        </w:rPr>
      </w:pPr>
    </w:p>
    <w:p w14:paraId="7B9E22FB">
      <w:pPr>
        <w:pStyle w:val="10"/>
        <w:keepNext w:val="0"/>
        <w:keepLines w:val="0"/>
        <w:pageBreakBefore w:val="0"/>
        <w:widowControl w:val="0"/>
        <w:kinsoku/>
        <w:wordWrap/>
        <w:overflowPunct/>
        <w:topLinePunct w:val="0"/>
        <w:autoSpaceDE/>
        <w:autoSpaceDN/>
        <w:bidi w:val="0"/>
        <w:adjustRightInd/>
        <w:snapToGrid/>
        <w:spacing w:beforeLines="50" w:line="360" w:lineRule="auto"/>
        <w:ind w:firstLine="720" w:firstLineChars="300"/>
        <w:textAlignment w:val="auto"/>
        <w:rPr>
          <w:rFonts w:ascii="Times New Roman" w:hAnsi="Times New Roman"/>
          <w:sz w:val="24"/>
          <w:szCs w:val="24"/>
        </w:rPr>
      </w:pPr>
      <w:r>
        <w:rPr>
          <w:rFonts w:ascii="Times New Roman" w:hAnsi="Times New Roman"/>
          <w:sz w:val="24"/>
          <w:szCs w:val="24"/>
        </w:rPr>
        <w:t>根据《中华人民共和国</w:t>
      </w:r>
      <w:r>
        <w:rPr>
          <w:rFonts w:hint="eastAsia" w:ascii="Times New Roman" w:hAnsi="Times New Roman"/>
          <w:sz w:val="24"/>
          <w:szCs w:val="24"/>
        </w:rPr>
        <w:t>民法典</w:t>
      </w:r>
      <w:r>
        <w:rPr>
          <w:rFonts w:ascii="Times New Roman" w:hAnsi="Times New Roman"/>
          <w:sz w:val="24"/>
          <w:szCs w:val="24"/>
        </w:rPr>
        <w:t>》，有限公司（以下简称供方）与</w:t>
      </w:r>
      <w:r>
        <w:rPr>
          <w:rFonts w:hint="eastAsia" w:ascii="Times New Roman" w:hAnsi="Times New Roman"/>
          <w:sz w:val="24"/>
          <w:szCs w:val="24"/>
        </w:rPr>
        <w:t>深圳市</w:t>
      </w:r>
      <w:r>
        <w:rPr>
          <w:rFonts w:hint="eastAsia" w:ascii="Times New Roman" w:hAnsi="Times New Roman" w:eastAsia="宋体"/>
          <w:sz w:val="24"/>
          <w:szCs w:val="24"/>
          <w:lang w:val="en-US" w:eastAsia="zh-CN"/>
        </w:rPr>
        <w:t>深环绿盾环保科技</w:t>
      </w:r>
      <w:r>
        <w:rPr>
          <w:rFonts w:hint="eastAsia" w:ascii="Times New Roman" w:hAnsi="Times New Roman"/>
          <w:sz w:val="24"/>
          <w:szCs w:val="24"/>
        </w:rPr>
        <w:t>有限公司</w:t>
      </w:r>
      <w:r>
        <w:rPr>
          <w:rFonts w:ascii="Times New Roman" w:hAnsi="Times New Roman"/>
          <w:sz w:val="24"/>
          <w:szCs w:val="24"/>
        </w:rPr>
        <w:t>（以下简称需方）在公平、平等、互惠互利、友好协商的基础上，为促进供、需双方更加融洽地合作，就需方购买供方，达成如下协议：</w:t>
      </w:r>
    </w:p>
    <w:p w14:paraId="5595110F">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sz w:val="24"/>
          <w:szCs w:val="24"/>
        </w:rPr>
      </w:pPr>
      <w:r>
        <w:rPr>
          <w:sz w:val="24"/>
          <w:szCs w:val="24"/>
        </w:rPr>
        <w:t>一、</w:t>
      </w:r>
      <w:r>
        <w:rPr>
          <w:b/>
          <w:bCs/>
          <w:sz w:val="24"/>
          <w:szCs w:val="24"/>
        </w:rPr>
        <w:t>产品名称、规格、数量、金额：</w:t>
      </w:r>
    </w:p>
    <w:p w14:paraId="539513B9">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sz w:val="24"/>
          <w:szCs w:val="24"/>
        </w:rPr>
      </w:pPr>
      <w:r>
        <w:rPr>
          <w:sz w:val="24"/>
          <w:szCs w:val="24"/>
        </w:rPr>
        <w:t>说明：</w:t>
      </w:r>
    </w:p>
    <w:p w14:paraId="4AE2BD30">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sz w:val="24"/>
          <w:szCs w:val="24"/>
        </w:rPr>
      </w:pPr>
      <w:r>
        <w:rPr>
          <w:rFonts w:hint="eastAsia"/>
          <w:sz w:val="24"/>
          <w:szCs w:val="24"/>
          <w:lang w:eastAsia="zh-CN"/>
        </w:rPr>
        <w:t>1.</w:t>
      </w:r>
      <w:r>
        <w:rPr>
          <w:sz w:val="24"/>
          <w:szCs w:val="24"/>
        </w:rPr>
        <w:t>产品名称：</w:t>
      </w:r>
    </w:p>
    <w:tbl>
      <w:tblPr>
        <w:tblStyle w:val="21"/>
        <w:tblpPr w:leftFromText="180" w:rightFromText="180" w:vertAnchor="text" w:horzAnchor="page" w:tblpX="1500" w:tblpY="1432"/>
        <w:tblOverlap w:val="never"/>
        <w:tblW w:w="86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9"/>
        <w:gridCol w:w="3730"/>
        <w:gridCol w:w="3648"/>
      </w:tblGrid>
      <w:tr w14:paraId="7C570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1259" w:type="dxa"/>
            <w:vAlign w:val="center"/>
          </w:tcPr>
          <w:p w14:paraId="3D3DF6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rPr>
                <w:rFonts w:hint="eastAsia" w:eastAsiaTheme="minorEastAsia"/>
                <w:kern w:val="0"/>
                <w:sz w:val="24"/>
                <w:szCs w:val="24"/>
                <w:lang w:eastAsia="zh-CN"/>
              </w:rPr>
            </w:pPr>
            <w:r>
              <w:rPr>
                <w:rFonts w:hint="eastAsia"/>
                <w:kern w:val="0"/>
                <w:sz w:val="24"/>
                <w:szCs w:val="24"/>
                <w:lang w:eastAsia="zh-CN"/>
              </w:rPr>
              <w:t>序号</w:t>
            </w:r>
          </w:p>
        </w:tc>
        <w:tc>
          <w:tcPr>
            <w:tcW w:w="3730" w:type="dxa"/>
            <w:vAlign w:val="center"/>
          </w:tcPr>
          <w:p w14:paraId="4F019E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rPr>
                <w:rFonts w:hint="default"/>
                <w:kern w:val="0"/>
                <w:sz w:val="24"/>
                <w:szCs w:val="24"/>
              </w:rPr>
            </w:pPr>
            <w:r>
              <w:rPr>
                <w:rFonts w:hint="default"/>
                <w:kern w:val="0"/>
                <w:sz w:val="24"/>
                <w:szCs w:val="24"/>
              </w:rPr>
              <w:t>型号参数</w:t>
            </w:r>
          </w:p>
        </w:tc>
        <w:tc>
          <w:tcPr>
            <w:tcW w:w="3648" w:type="dxa"/>
            <w:vAlign w:val="center"/>
          </w:tcPr>
          <w:p w14:paraId="1F71B4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kern w:val="0"/>
                <w:sz w:val="24"/>
                <w:szCs w:val="24"/>
              </w:rPr>
            </w:pPr>
            <w:r>
              <w:rPr>
                <w:rFonts w:hint="default"/>
                <w:kern w:val="0"/>
                <w:sz w:val="24"/>
                <w:szCs w:val="24"/>
              </w:rPr>
              <w:t>价格（元/</w:t>
            </w:r>
            <w:r>
              <w:rPr>
                <w:rFonts w:hint="eastAsia"/>
                <w:kern w:val="0"/>
                <w:sz w:val="24"/>
                <w:szCs w:val="24"/>
                <w:lang w:val="en-US" w:eastAsia="zh-CN"/>
              </w:rPr>
              <w:t>个</w:t>
            </w:r>
            <w:r>
              <w:rPr>
                <w:rFonts w:hint="default"/>
                <w:kern w:val="0"/>
                <w:sz w:val="24"/>
                <w:szCs w:val="24"/>
              </w:rPr>
              <w:t>）</w:t>
            </w:r>
          </w:p>
        </w:tc>
      </w:tr>
      <w:tr w14:paraId="17999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259" w:type="dxa"/>
            <w:vAlign w:val="center"/>
          </w:tcPr>
          <w:p w14:paraId="43D8EE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rPr>
                <w:rFonts w:hint="eastAsia" w:eastAsiaTheme="minorEastAsia"/>
                <w:bCs/>
                <w:sz w:val="24"/>
                <w:szCs w:val="24"/>
                <w:lang w:val="en-US" w:eastAsia="zh-CN"/>
              </w:rPr>
            </w:pPr>
            <w:r>
              <w:rPr>
                <w:rFonts w:hint="eastAsia"/>
                <w:bCs/>
                <w:sz w:val="24"/>
                <w:szCs w:val="24"/>
                <w:lang w:val="en-US" w:eastAsia="zh-CN"/>
              </w:rPr>
              <w:t>1</w:t>
            </w:r>
          </w:p>
        </w:tc>
        <w:tc>
          <w:tcPr>
            <w:tcW w:w="3730" w:type="dxa"/>
            <w:vAlign w:val="top"/>
          </w:tcPr>
          <w:p w14:paraId="15A6B10F">
            <w:pPr>
              <w:keepNext w:val="0"/>
              <w:keepLines w:val="0"/>
              <w:pageBreakBefore w:val="0"/>
              <w:widowControl w:val="0"/>
              <w:suppressLineNumbers w:val="0"/>
              <w:kinsoku/>
              <w:wordWrap/>
              <w:overflowPunct/>
              <w:topLinePunct w:val="0"/>
              <w:autoSpaceDE/>
              <w:autoSpaceDN/>
              <w:bidi w:val="0"/>
              <w:adjustRightInd/>
              <w:snapToGrid/>
              <w:spacing w:before="0" w:beforeAutospacing="0" w:after="80" w:afterAutospacing="0" w:line="360" w:lineRule="auto"/>
              <w:ind w:left="0" w:leftChars="0" w:right="0" w:rightChars="0"/>
              <w:jc w:val="center"/>
              <w:textAlignment w:val="auto"/>
              <w:rPr>
                <w:rFonts w:hint="default"/>
                <w:bCs/>
                <w:sz w:val="24"/>
                <w:szCs w:val="24"/>
              </w:rPr>
            </w:pPr>
            <w:r>
              <w:rPr>
                <w:rFonts w:ascii="宋体" w:hAnsi="宋体" w:eastAsia="宋体" w:cs="宋体"/>
                <w:kern w:val="0"/>
                <w:sz w:val="24"/>
                <w:szCs w:val="24"/>
                <w:lang w:val="en-US" w:eastAsia="zh-CN" w:bidi="ar"/>
              </w:rPr>
              <w:t>240L 医疗废物周转桶</w:t>
            </w:r>
          </w:p>
        </w:tc>
        <w:tc>
          <w:tcPr>
            <w:tcW w:w="3648" w:type="dxa"/>
            <w:vAlign w:val="center"/>
          </w:tcPr>
          <w:p w14:paraId="09D34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rPr>
                <w:rFonts w:hint="default"/>
                <w:kern w:val="0"/>
                <w:sz w:val="24"/>
                <w:szCs w:val="24"/>
              </w:rPr>
            </w:pPr>
          </w:p>
        </w:tc>
      </w:tr>
      <w:tr w14:paraId="573D6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8637" w:type="dxa"/>
            <w:gridSpan w:val="3"/>
            <w:vAlign w:val="center"/>
          </w:tcPr>
          <w:p w14:paraId="21A643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eastAsiaTheme="minorEastAsia"/>
                <w:kern w:val="0"/>
                <w:sz w:val="24"/>
                <w:szCs w:val="24"/>
                <w:lang w:eastAsia="zh-CN"/>
              </w:rPr>
            </w:pPr>
            <w:r>
              <w:rPr>
                <w:rFonts w:hint="eastAsia" w:ascii="宋体" w:hAnsi="宋体" w:eastAsia="宋体" w:cs="宋体"/>
                <w:color w:val="auto"/>
                <w:sz w:val="24"/>
                <w:szCs w:val="24"/>
                <w:lang w:val="en-US" w:eastAsia="zh-CN"/>
              </w:rPr>
              <w:t>总控制金额为人民币96万元（此金额含13%的增值税）。</w:t>
            </w:r>
          </w:p>
        </w:tc>
      </w:tr>
    </w:tbl>
    <w:p w14:paraId="5365F8BA">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sz w:val="24"/>
          <w:szCs w:val="24"/>
        </w:rPr>
      </w:pPr>
      <w:r>
        <w:rPr>
          <w:rFonts w:hint="eastAsia"/>
          <w:sz w:val="24"/>
          <w:szCs w:val="24"/>
          <w:lang w:eastAsia="zh-CN"/>
        </w:rPr>
        <w:t>2.</w:t>
      </w:r>
      <w:r>
        <w:rPr>
          <w:sz w:val="24"/>
          <w:szCs w:val="24"/>
        </w:rPr>
        <w:t>产品价格</w:t>
      </w:r>
      <w:r>
        <w:rPr>
          <w:rFonts w:hint="eastAsia"/>
          <w:sz w:val="24"/>
          <w:szCs w:val="24"/>
        </w:rPr>
        <w:t>：</w:t>
      </w:r>
      <w:r>
        <w:rPr>
          <w:sz w:val="24"/>
          <w:szCs w:val="24"/>
        </w:rPr>
        <w:t>价格，含</w:t>
      </w:r>
      <w:r>
        <w:rPr>
          <w:rFonts w:hint="eastAsia"/>
          <w:sz w:val="24"/>
          <w:szCs w:val="24"/>
        </w:rPr>
        <w:t>13</w:t>
      </w:r>
      <w:r>
        <w:rPr>
          <w:sz w:val="24"/>
          <w:szCs w:val="24"/>
        </w:rPr>
        <w:t>%增值税；邮编：518000</w:t>
      </w:r>
    </w:p>
    <w:p w14:paraId="343DAB46">
      <w:pPr>
        <w:keepNext w:val="0"/>
        <w:keepLines w:val="0"/>
        <w:pageBreakBefore w:val="0"/>
        <w:widowControl w:val="0"/>
        <w:kinsoku/>
        <w:wordWrap/>
        <w:overflowPunct/>
        <w:topLinePunct w:val="0"/>
        <w:autoSpaceDE/>
        <w:autoSpaceDN/>
        <w:bidi w:val="0"/>
        <w:adjustRightInd/>
        <w:snapToGrid/>
        <w:spacing w:line="360" w:lineRule="auto"/>
        <w:ind w:firstLine="422"/>
        <w:textAlignment w:val="auto"/>
        <w:rPr>
          <w:b/>
          <w:bCs/>
          <w:sz w:val="24"/>
          <w:szCs w:val="24"/>
        </w:rPr>
      </w:pPr>
      <w:r>
        <w:rPr>
          <w:b/>
          <w:bCs/>
          <w:sz w:val="24"/>
          <w:szCs w:val="24"/>
        </w:rPr>
        <w:t>二、质量要</w:t>
      </w:r>
      <w:r>
        <w:rPr>
          <w:rFonts w:hint="eastAsia"/>
          <w:b/>
          <w:bCs/>
          <w:sz w:val="24"/>
          <w:szCs w:val="24"/>
          <w:lang w:eastAsia="zh-CN"/>
        </w:rPr>
        <w:t>求和</w:t>
      </w:r>
      <w:r>
        <w:rPr>
          <w:b/>
          <w:bCs/>
          <w:sz w:val="24"/>
          <w:szCs w:val="24"/>
        </w:rPr>
        <w:t>技术标准，供方对质量负责的条件：</w:t>
      </w:r>
    </w:p>
    <w:p w14:paraId="5E6DC07D">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bCs/>
          <w:sz w:val="24"/>
          <w:szCs w:val="24"/>
        </w:rPr>
      </w:pPr>
      <w:r>
        <w:rPr>
          <w:bCs/>
          <w:sz w:val="24"/>
          <w:szCs w:val="24"/>
        </w:rPr>
        <w:t>供方按照行业标准、相关规范和招标文件内所含的技术需求明细等；</w:t>
      </w:r>
    </w:p>
    <w:p w14:paraId="7A4F0478">
      <w:pPr>
        <w:pStyle w:val="20"/>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pPr>
    </w:p>
    <w:p w14:paraId="224E1BEF">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b/>
          <w:sz w:val="24"/>
          <w:szCs w:val="24"/>
        </w:rPr>
      </w:pPr>
    </w:p>
    <w:p w14:paraId="66D63414">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sz w:val="24"/>
          <w:szCs w:val="24"/>
        </w:rPr>
      </w:pPr>
      <w:r>
        <w:rPr>
          <w:b/>
          <w:sz w:val="24"/>
          <w:szCs w:val="24"/>
        </w:rPr>
        <w:t>三、</w:t>
      </w:r>
      <w:r>
        <w:rPr>
          <w:b/>
          <w:bCs/>
          <w:sz w:val="24"/>
          <w:szCs w:val="24"/>
        </w:rPr>
        <w:t>交货时间</w:t>
      </w:r>
      <w:r>
        <w:rPr>
          <w:sz w:val="24"/>
          <w:szCs w:val="24"/>
        </w:rPr>
        <w:t>：</w:t>
      </w:r>
    </w:p>
    <w:p w14:paraId="1789A914">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rFonts w:hint="eastAsia" w:hAnsi="宋体"/>
          <w:sz w:val="24"/>
          <w:szCs w:val="24"/>
        </w:rPr>
      </w:pPr>
      <w:r>
        <w:rPr>
          <w:rFonts w:hint="eastAsia" w:hAnsi="宋体"/>
          <w:sz w:val="24"/>
          <w:szCs w:val="24"/>
        </w:rPr>
        <w:t>合同签订后</w:t>
      </w:r>
      <w:r>
        <w:rPr>
          <w:rFonts w:hint="eastAsia" w:hAnsi="宋体"/>
          <w:sz w:val="24"/>
          <w:szCs w:val="24"/>
          <w:lang w:eastAsia="zh-CN"/>
        </w:rPr>
        <w:t>，交</w:t>
      </w:r>
      <w:r>
        <w:rPr>
          <w:rFonts w:hint="eastAsia" w:hAnsi="宋体"/>
          <w:sz w:val="24"/>
          <w:szCs w:val="24"/>
          <w:lang w:val="en-US" w:eastAsia="zh-CN"/>
        </w:rPr>
        <w:t>货</w:t>
      </w:r>
      <w:r>
        <w:rPr>
          <w:rFonts w:hint="eastAsia" w:hAnsi="宋体"/>
          <w:sz w:val="24"/>
          <w:szCs w:val="24"/>
          <w:lang w:eastAsia="zh-CN"/>
        </w:rPr>
        <w:t>期</w:t>
      </w:r>
      <w:r>
        <w:rPr>
          <w:rFonts w:hint="eastAsia" w:hAnsi="宋体"/>
          <w:sz w:val="24"/>
          <w:szCs w:val="24"/>
          <w:lang w:val="en-US" w:eastAsia="zh-CN"/>
        </w:rPr>
        <w:t>为15</w:t>
      </w:r>
      <w:r>
        <w:rPr>
          <w:rFonts w:hint="eastAsia" w:hAnsi="宋体"/>
          <w:sz w:val="24"/>
          <w:szCs w:val="24"/>
          <w:lang w:eastAsia="zh-CN"/>
        </w:rPr>
        <w:t>个</w:t>
      </w:r>
      <w:r>
        <w:rPr>
          <w:rFonts w:hint="eastAsia" w:hAnsi="宋体"/>
          <w:sz w:val="24"/>
          <w:szCs w:val="24"/>
          <w:lang w:val="en-US" w:eastAsia="zh-CN"/>
        </w:rPr>
        <w:t>日历日</w:t>
      </w:r>
      <w:r>
        <w:rPr>
          <w:rFonts w:hint="eastAsia" w:hAnsi="宋体"/>
          <w:sz w:val="24"/>
          <w:szCs w:val="24"/>
          <w:lang w:eastAsia="zh-CN"/>
        </w:rPr>
        <w:t>，由招标方通知</w:t>
      </w:r>
      <w:r>
        <w:rPr>
          <w:rFonts w:hint="eastAsia" w:hAnsi="宋体"/>
          <w:sz w:val="24"/>
          <w:szCs w:val="24"/>
          <w:lang w:val="en-US" w:eastAsia="zh-CN"/>
        </w:rPr>
        <w:t>中标方</w:t>
      </w:r>
      <w:r>
        <w:rPr>
          <w:rFonts w:hint="eastAsia" w:hAnsi="宋体"/>
          <w:sz w:val="24"/>
          <w:szCs w:val="24"/>
          <w:lang w:eastAsia="zh-CN"/>
        </w:rPr>
        <w:t>具体</w:t>
      </w:r>
      <w:r>
        <w:rPr>
          <w:rFonts w:hint="eastAsia" w:hAnsi="宋体"/>
          <w:sz w:val="24"/>
          <w:szCs w:val="24"/>
          <w:lang w:val="en-US" w:eastAsia="zh-CN"/>
        </w:rPr>
        <w:t>送货</w:t>
      </w:r>
      <w:r>
        <w:rPr>
          <w:rFonts w:hint="eastAsia" w:hAnsi="宋体"/>
          <w:sz w:val="24"/>
          <w:szCs w:val="24"/>
          <w:lang w:eastAsia="zh-CN"/>
        </w:rPr>
        <w:t>时间，接到通知后，</w:t>
      </w:r>
      <w:r>
        <w:rPr>
          <w:rFonts w:hint="eastAsia" w:hAnsi="宋体"/>
          <w:sz w:val="24"/>
          <w:szCs w:val="24"/>
          <w:lang w:val="en-US" w:eastAsia="zh-CN"/>
        </w:rPr>
        <w:t>按招标方计划</w:t>
      </w:r>
      <w:r>
        <w:rPr>
          <w:rFonts w:hint="eastAsia" w:hAnsi="宋体"/>
          <w:sz w:val="24"/>
          <w:szCs w:val="24"/>
        </w:rPr>
        <w:t>内交货并安装完毕。</w:t>
      </w:r>
    </w:p>
    <w:p w14:paraId="2C336EC1">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bCs/>
          <w:sz w:val="24"/>
          <w:szCs w:val="24"/>
        </w:rPr>
      </w:pPr>
      <w:r>
        <w:rPr>
          <w:b/>
          <w:bCs/>
          <w:sz w:val="24"/>
          <w:szCs w:val="24"/>
        </w:rPr>
        <w:t>四、交货地点、运输保险</w:t>
      </w:r>
      <w:r>
        <w:rPr>
          <w:bCs/>
          <w:sz w:val="24"/>
          <w:szCs w:val="24"/>
        </w:rPr>
        <w:t>：</w:t>
      </w:r>
    </w:p>
    <w:p w14:paraId="6CD7A890">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sz w:val="24"/>
          <w:szCs w:val="24"/>
        </w:rPr>
      </w:pPr>
      <w:r>
        <w:rPr>
          <w:rFonts w:hint="eastAsia"/>
          <w:sz w:val="24"/>
          <w:szCs w:val="24"/>
          <w:lang w:eastAsia="zh-CN"/>
        </w:rPr>
        <w:t>1.</w:t>
      </w:r>
      <w:r>
        <w:rPr>
          <w:sz w:val="24"/>
          <w:szCs w:val="24"/>
        </w:rPr>
        <w:t>交货地点：需方工厂（地址：</w:t>
      </w:r>
      <w:r>
        <w:rPr>
          <w:bCs/>
          <w:sz w:val="24"/>
          <w:szCs w:val="24"/>
        </w:rPr>
        <w:t>深圳市龙岗区龙岗街道新生社区龙岭南路厂</w:t>
      </w:r>
      <w:r>
        <w:rPr>
          <w:rFonts w:hint="eastAsia"/>
          <w:bCs/>
          <w:sz w:val="24"/>
          <w:szCs w:val="24"/>
          <w:lang w:val="en-US" w:eastAsia="zh-CN"/>
        </w:rPr>
        <w:t>和</w:t>
      </w:r>
      <w:r>
        <w:rPr>
          <w:rFonts w:hint="eastAsia"/>
          <w:sz w:val="24"/>
          <w:szCs w:val="24"/>
          <w:lang w:val="en-US" w:eastAsia="zh-CN"/>
        </w:rPr>
        <w:t>深圳市福田区梅观路福田生产基地</w:t>
      </w:r>
      <w:r>
        <w:rPr>
          <w:sz w:val="24"/>
          <w:szCs w:val="24"/>
        </w:rPr>
        <w:t>。邮编：518000）</w:t>
      </w:r>
    </w:p>
    <w:p w14:paraId="0C518A17">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sz w:val="24"/>
          <w:szCs w:val="24"/>
        </w:rPr>
      </w:pPr>
      <w:r>
        <w:rPr>
          <w:rFonts w:hint="eastAsia"/>
          <w:sz w:val="24"/>
          <w:szCs w:val="24"/>
          <w:lang w:eastAsia="zh-CN"/>
        </w:rPr>
        <w:t>2.</w:t>
      </w:r>
      <w:r>
        <w:rPr>
          <w:sz w:val="24"/>
          <w:szCs w:val="24"/>
        </w:rPr>
        <w:t>运输保险：由供方负责。</w:t>
      </w:r>
    </w:p>
    <w:p w14:paraId="3C5CB497">
      <w:pPr>
        <w:keepNext w:val="0"/>
        <w:keepLines w:val="0"/>
        <w:pageBreakBefore w:val="0"/>
        <w:widowControl w:val="0"/>
        <w:kinsoku/>
        <w:wordWrap/>
        <w:overflowPunct/>
        <w:topLinePunct w:val="0"/>
        <w:autoSpaceDE/>
        <w:autoSpaceDN/>
        <w:bidi w:val="0"/>
        <w:adjustRightInd/>
        <w:snapToGrid/>
        <w:spacing w:beforeLines="50" w:line="360" w:lineRule="auto"/>
        <w:ind w:left="240" w:firstLine="420"/>
        <w:textAlignment w:val="auto"/>
        <w:rPr>
          <w:sz w:val="24"/>
          <w:szCs w:val="24"/>
        </w:rPr>
      </w:pPr>
      <w:r>
        <w:rPr>
          <w:sz w:val="24"/>
          <w:szCs w:val="24"/>
        </w:rPr>
        <w:t>A</w:t>
      </w:r>
      <w:r>
        <w:rPr>
          <w:rFonts w:hint="eastAsia"/>
          <w:sz w:val="24"/>
          <w:szCs w:val="24"/>
          <w:lang w:eastAsia="zh-CN"/>
        </w:rPr>
        <w:t>.</w:t>
      </w:r>
      <w:r>
        <w:rPr>
          <w:sz w:val="24"/>
          <w:szCs w:val="24"/>
        </w:rPr>
        <w:t>与本合同有关的运输、保险费用由供方承担。</w:t>
      </w:r>
    </w:p>
    <w:p w14:paraId="7E420724">
      <w:pPr>
        <w:keepNext w:val="0"/>
        <w:keepLines w:val="0"/>
        <w:pageBreakBefore w:val="0"/>
        <w:widowControl w:val="0"/>
        <w:kinsoku/>
        <w:wordWrap/>
        <w:overflowPunct/>
        <w:topLinePunct w:val="0"/>
        <w:autoSpaceDE/>
        <w:autoSpaceDN/>
        <w:bidi w:val="0"/>
        <w:adjustRightInd/>
        <w:snapToGrid/>
        <w:spacing w:beforeLines="50" w:line="360" w:lineRule="auto"/>
        <w:ind w:left="240" w:firstLine="420"/>
        <w:textAlignment w:val="auto"/>
        <w:rPr>
          <w:sz w:val="24"/>
          <w:szCs w:val="24"/>
        </w:rPr>
      </w:pPr>
      <w:r>
        <w:rPr>
          <w:sz w:val="24"/>
          <w:szCs w:val="24"/>
        </w:rPr>
        <w:t>B</w:t>
      </w:r>
      <w:r>
        <w:rPr>
          <w:rFonts w:hint="eastAsia"/>
          <w:sz w:val="24"/>
          <w:szCs w:val="24"/>
          <w:lang w:eastAsia="zh-CN"/>
        </w:rPr>
        <w:t>.</w:t>
      </w:r>
      <w:r>
        <w:rPr>
          <w:sz w:val="24"/>
          <w:szCs w:val="24"/>
        </w:rPr>
        <w:t>货物在运输途中毁损或灭失的风险（包括但不限于不可抗力）由供方承担。</w:t>
      </w:r>
    </w:p>
    <w:p w14:paraId="3B5804ED">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b/>
          <w:bCs/>
          <w:sz w:val="24"/>
          <w:szCs w:val="24"/>
        </w:rPr>
      </w:pPr>
      <w:r>
        <w:rPr>
          <w:b/>
          <w:sz w:val="24"/>
          <w:szCs w:val="24"/>
        </w:rPr>
        <w:t>五、</w:t>
      </w:r>
      <w:r>
        <w:rPr>
          <w:b/>
          <w:bCs/>
          <w:sz w:val="24"/>
          <w:szCs w:val="24"/>
        </w:rPr>
        <w:t>验收标准、方法及提出异议期限：</w:t>
      </w:r>
    </w:p>
    <w:p w14:paraId="6523B319">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bCs/>
          <w:sz w:val="24"/>
          <w:szCs w:val="24"/>
        </w:rPr>
      </w:pPr>
      <w:r>
        <w:rPr>
          <w:rFonts w:hint="eastAsia"/>
          <w:bCs/>
          <w:sz w:val="24"/>
          <w:szCs w:val="24"/>
          <w:lang w:eastAsia="zh-CN"/>
        </w:rPr>
        <w:t>1.</w:t>
      </w:r>
      <w:r>
        <w:rPr>
          <w:rFonts w:hint="eastAsia"/>
          <w:bCs/>
          <w:sz w:val="24"/>
          <w:szCs w:val="24"/>
        </w:rPr>
        <w:t>货物到货现场验收：货物运至现场后，供需双方共同对所供货物的外观、型号规格、数量等进行共同验收。供方供货时须提供但不限于以下文件：（1）装箱清单；（2）合格证。货物经使用人验收签字后（指货物是否按招标文件要求和技术要求所提出的数量方面的验收，不属于产品的运行验收），并不能免除供方对货物应承担的责任。若货物验收时有关技术参数不能满足招标文件技术要求，需方有权要求更换并同时有权要求索赔，货物送到需方指定地点后</w:t>
      </w:r>
      <w:r>
        <w:rPr>
          <w:rFonts w:hint="eastAsia"/>
          <w:bCs/>
          <w:sz w:val="24"/>
          <w:szCs w:val="24"/>
          <w:lang w:val="en-US" w:eastAsia="zh-CN"/>
        </w:rPr>
        <w:t>30</w:t>
      </w:r>
      <w:r>
        <w:rPr>
          <w:rFonts w:hint="eastAsia"/>
          <w:bCs/>
          <w:sz w:val="24"/>
          <w:szCs w:val="24"/>
        </w:rPr>
        <w:t>日内为验收期间，需方在此期间提出异议有效。</w:t>
      </w:r>
    </w:p>
    <w:p w14:paraId="08E1D8D7">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bCs/>
          <w:sz w:val="24"/>
          <w:szCs w:val="24"/>
        </w:rPr>
      </w:pPr>
      <w:r>
        <w:rPr>
          <w:rFonts w:hint="eastAsia"/>
          <w:bCs/>
          <w:sz w:val="24"/>
          <w:szCs w:val="24"/>
          <w:lang w:eastAsia="zh-CN"/>
        </w:rPr>
        <w:t>2.</w:t>
      </w:r>
      <w:r>
        <w:rPr>
          <w:rFonts w:hint="eastAsia"/>
          <w:bCs/>
          <w:sz w:val="24"/>
          <w:szCs w:val="24"/>
        </w:rPr>
        <w:t>产品的运行验收：</w:t>
      </w:r>
      <w:r>
        <w:rPr>
          <w:rFonts w:hint="eastAsia"/>
          <w:bCs/>
          <w:sz w:val="24"/>
          <w:szCs w:val="24"/>
          <w:lang w:val="en-US" w:eastAsia="zh-CN"/>
        </w:rPr>
        <w:t>到货卸货</w:t>
      </w:r>
      <w:r>
        <w:rPr>
          <w:rFonts w:hint="eastAsia"/>
          <w:bCs/>
          <w:sz w:val="24"/>
          <w:szCs w:val="24"/>
        </w:rPr>
        <w:t>后，</w:t>
      </w:r>
      <w:r>
        <w:rPr>
          <w:rFonts w:hint="eastAsia" w:hAnsi="宋体"/>
          <w:sz w:val="24"/>
          <w:szCs w:val="24"/>
          <w:lang w:val="en-US" w:eastAsia="zh-CN"/>
        </w:rPr>
        <w:t>并试运一个月为验收期。</w:t>
      </w:r>
      <w:r>
        <w:rPr>
          <w:rFonts w:hint="eastAsia"/>
          <w:bCs/>
          <w:sz w:val="24"/>
          <w:szCs w:val="24"/>
        </w:rPr>
        <w:t>需方按所提技术要求和国际、国家标准及制造商标准进行质量验收。供方应向需方提供详细的验收标准、验收手册。</w:t>
      </w:r>
    </w:p>
    <w:p w14:paraId="678B3ADB">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bCs/>
          <w:sz w:val="24"/>
          <w:szCs w:val="24"/>
        </w:rPr>
      </w:pPr>
      <w:r>
        <w:rPr>
          <w:b/>
          <w:bCs/>
          <w:sz w:val="24"/>
          <w:szCs w:val="24"/>
        </w:rPr>
        <w:t>六、结算方式及期限：</w:t>
      </w:r>
    </w:p>
    <w:p w14:paraId="142A0985">
      <w:pPr>
        <w:keepNext w:val="0"/>
        <w:keepLines w:val="0"/>
        <w:pageBreakBefore w:val="0"/>
        <w:widowControl w:val="0"/>
        <w:kinsoku/>
        <w:wordWrap/>
        <w:overflowPunct/>
        <w:topLinePunct w:val="0"/>
        <w:autoSpaceDE/>
        <w:autoSpaceDN/>
        <w:bidi w:val="0"/>
        <w:adjustRightInd/>
        <w:snapToGrid/>
        <w:spacing w:beforeLines="50" w:line="360" w:lineRule="auto"/>
        <w:ind w:firstLine="360" w:firstLineChars="150"/>
        <w:textAlignment w:val="auto"/>
        <w:rPr>
          <w:rFonts w:hint="eastAsia"/>
          <w:sz w:val="24"/>
          <w:szCs w:val="24"/>
          <w:lang w:eastAsia="zh-CN"/>
        </w:rPr>
      </w:pPr>
      <w:r>
        <w:rPr>
          <w:rFonts w:hint="eastAsia"/>
          <w:sz w:val="24"/>
          <w:szCs w:val="24"/>
          <w:lang w:eastAsia="zh-CN"/>
        </w:rPr>
        <w:t>1、合同签订后30个工作日内，招标方向中标方支付项目总金额的20%作为预付款。</w:t>
      </w:r>
    </w:p>
    <w:p w14:paraId="66973358">
      <w:pPr>
        <w:keepNext w:val="0"/>
        <w:keepLines w:val="0"/>
        <w:pageBreakBefore w:val="0"/>
        <w:widowControl w:val="0"/>
        <w:kinsoku/>
        <w:wordWrap/>
        <w:overflowPunct/>
        <w:topLinePunct w:val="0"/>
        <w:autoSpaceDE/>
        <w:autoSpaceDN/>
        <w:bidi w:val="0"/>
        <w:adjustRightInd/>
        <w:snapToGrid/>
        <w:spacing w:beforeLines="50" w:line="360" w:lineRule="auto"/>
        <w:ind w:firstLine="360" w:firstLineChars="150"/>
        <w:textAlignment w:val="auto"/>
        <w:rPr>
          <w:rFonts w:hint="eastAsia"/>
          <w:sz w:val="24"/>
          <w:szCs w:val="24"/>
          <w:lang w:eastAsia="zh-CN"/>
        </w:rPr>
      </w:pPr>
      <w:r>
        <w:rPr>
          <w:rFonts w:hint="eastAsia"/>
          <w:sz w:val="24"/>
          <w:szCs w:val="24"/>
          <w:lang w:eastAsia="zh-CN"/>
        </w:rPr>
        <w:t>2、</w:t>
      </w:r>
      <w:r>
        <w:rPr>
          <w:rFonts w:hint="eastAsia"/>
          <w:sz w:val="24"/>
          <w:szCs w:val="24"/>
          <w:lang w:val="en-US" w:eastAsia="zh-CN"/>
        </w:rPr>
        <w:t>医疗废物周转桶安装</w:t>
      </w:r>
      <w:r>
        <w:rPr>
          <w:rFonts w:hint="eastAsia"/>
          <w:sz w:val="24"/>
          <w:szCs w:val="24"/>
          <w:lang w:eastAsia="zh-CN"/>
        </w:rPr>
        <w:t>完毕</w:t>
      </w:r>
      <w:r>
        <w:rPr>
          <w:rFonts w:hint="eastAsia"/>
          <w:sz w:val="24"/>
          <w:szCs w:val="24"/>
          <w:lang w:val="en-US" w:eastAsia="zh-CN"/>
        </w:rPr>
        <w:t>后</w:t>
      </w:r>
      <w:r>
        <w:rPr>
          <w:rFonts w:hint="eastAsia"/>
          <w:sz w:val="24"/>
          <w:szCs w:val="24"/>
          <w:lang w:eastAsia="zh-CN"/>
        </w:rPr>
        <w:t>由中标方负责货物</w:t>
      </w:r>
      <w:r>
        <w:rPr>
          <w:rFonts w:hint="eastAsia"/>
          <w:sz w:val="24"/>
          <w:szCs w:val="24"/>
          <w:lang w:val="en-US" w:eastAsia="zh-CN"/>
        </w:rPr>
        <w:t>的</w:t>
      </w:r>
      <w:r>
        <w:rPr>
          <w:rFonts w:hint="eastAsia"/>
          <w:sz w:val="24"/>
          <w:szCs w:val="24"/>
          <w:lang w:eastAsia="zh-CN"/>
        </w:rPr>
        <w:t>试运行，经招标方验收合格后，中标方按实际所需货物结算金额全额开具13%增值税专用发票，招标方在收到发票后30个工作日内支付实际结算金额的9</w:t>
      </w:r>
      <w:r>
        <w:rPr>
          <w:rFonts w:hint="eastAsia"/>
          <w:sz w:val="24"/>
          <w:szCs w:val="24"/>
          <w:lang w:val="en-US" w:eastAsia="zh-CN"/>
        </w:rPr>
        <w:t>5</w:t>
      </w:r>
      <w:r>
        <w:rPr>
          <w:rFonts w:hint="eastAsia"/>
          <w:sz w:val="24"/>
          <w:szCs w:val="24"/>
          <w:lang w:eastAsia="zh-CN"/>
        </w:rPr>
        <w:t>%。</w:t>
      </w:r>
    </w:p>
    <w:p w14:paraId="7003F146">
      <w:pPr>
        <w:keepNext w:val="0"/>
        <w:keepLines w:val="0"/>
        <w:pageBreakBefore w:val="0"/>
        <w:widowControl w:val="0"/>
        <w:kinsoku/>
        <w:wordWrap/>
        <w:overflowPunct/>
        <w:topLinePunct w:val="0"/>
        <w:autoSpaceDE/>
        <w:autoSpaceDN/>
        <w:bidi w:val="0"/>
        <w:adjustRightInd/>
        <w:snapToGrid/>
        <w:spacing w:beforeLines="50" w:line="360" w:lineRule="auto"/>
        <w:ind w:firstLine="360" w:firstLineChars="150"/>
        <w:textAlignment w:val="auto"/>
        <w:rPr>
          <w:rFonts w:hint="eastAsia"/>
          <w:sz w:val="24"/>
          <w:szCs w:val="24"/>
          <w:lang w:eastAsia="zh-CN"/>
        </w:rPr>
      </w:pPr>
      <w:r>
        <w:rPr>
          <w:rFonts w:hint="eastAsia"/>
          <w:sz w:val="24"/>
          <w:szCs w:val="24"/>
          <w:lang w:eastAsia="zh-CN"/>
        </w:rPr>
        <w:t>3、剩余结算金额的</w:t>
      </w:r>
      <w:r>
        <w:rPr>
          <w:rFonts w:hint="eastAsia"/>
          <w:sz w:val="24"/>
          <w:szCs w:val="24"/>
          <w:lang w:val="en-US" w:eastAsia="zh-CN"/>
        </w:rPr>
        <w:t>5</w:t>
      </w:r>
      <w:r>
        <w:rPr>
          <w:rFonts w:hint="eastAsia"/>
          <w:sz w:val="24"/>
          <w:szCs w:val="24"/>
          <w:lang w:eastAsia="zh-CN"/>
        </w:rPr>
        <w:t>%作为质保金，在供方无质量、权利瑕疵及其他违约情况下，招标人在质保期满后无息支付。</w:t>
      </w:r>
    </w:p>
    <w:p w14:paraId="01574932">
      <w:pPr>
        <w:pStyle w:val="20"/>
        <w:ind w:left="0" w:leftChars="0" w:firstLine="480" w:firstLineChars="200"/>
        <w:rPr>
          <w:rFonts w:hint="default"/>
          <w:lang w:val="en-US" w:eastAsia="zh-CN"/>
        </w:rPr>
      </w:pPr>
      <w:r>
        <w:rPr>
          <w:rFonts w:hint="eastAsia"/>
          <w:sz w:val="24"/>
          <w:szCs w:val="24"/>
          <w:lang w:val="en-US" w:eastAsia="zh-CN"/>
        </w:rPr>
        <w:t>4、货款金额优先抵扣预付款，如合同期内货款少于预付款投标方应向招标方退还相应差额</w:t>
      </w:r>
    </w:p>
    <w:p w14:paraId="4AD5B944">
      <w:pPr>
        <w:keepNext w:val="0"/>
        <w:keepLines w:val="0"/>
        <w:pageBreakBefore w:val="0"/>
        <w:widowControl w:val="0"/>
        <w:kinsoku/>
        <w:wordWrap/>
        <w:overflowPunct/>
        <w:topLinePunct w:val="0"/>
        <w:autoSpaceDE/>
        <w:autoSpaceDN/>
        <w:bidi w:val="0"/>
        <w:adjustRightInd/>
        <w:snapToGrid/>
        <w:spacing w:beforeLines="50" w:line="360" w:lineRule="auto"/>
        <w:ind w:firstLine="361" w:firstLineChars="150"/>
        <w:textAlignment w:val="auto"/>
        <w:rPr>
          <w:b/>
          <w:bCs/>
          <w:sz w:val="24"/>
          <w:szCs w:val="24"/>
        </w:rPr>
      </w:pPr>
    </w:p>
    <w:p w14:paraId="096191A7">
      <w:pPr>
        <w:keepNext w:val="0"/>
        <w:keepLines w:val="0"/>
        <w:pageBreakBefore w:val="0"/>
        <w:widowControl w:val="0"/>
        <w:kinsoku/>
        <w:wordWrap/>
        <w:overflowPunct/>
        <w:topLinePunct w:val="0"/>
        <w:autoSpaceDE/>
        <w:autoSpaceDN/>
        <w:bidi w:val="0"/>
        <w:adjustRightInd/>
        <w:snapToGrid/>
        <w:spacing w:beforeLines="50" w:line="360" w:lineRule="auto"/>
        <w:ind w:firstLine="361" w:firstLineChars="150"/>
        <w:textAlignment w:val="auto"/>
        <w:rPr>
          <w:b/>
          <w:bCs/>
          <w:sz w:val="24"/>
          <w:szCs w:val="24"/>
        </w:rPr>
      </w:pPr>
      <w:r>
        <w:rPr>
          <w:b/>
          <w:bCs/>
          <w:sz w:val="24"/>
          <w:szCs w:val="24"/>
        </w:rPr>
        <w:t>七、保质期限：</w:t>
      </w:r>
    </w:p>
    <w:p w14:paraId="65919608">
      <w:pPr>
        <w:keepNext w:val="0"/>
        <w:keepLines w:val="0"/>
        <w:pageBreakBefore w:val="0"/>
        <w:widowControl w:val="0"/>
        <w:kinsoku/>
        <w:wordWrap/>
        <w:overflowPunct/>
        <w:topLinePunct w:val="0"/>
        <w:autoSpaceDE/>
        <w:autoSpaceDN/>
        <w:bidi w:val="0"/>
        <w:adjustRightInd/>
        <w:snapToGrid/>
        <w:spacing w:beforeLines="50" w:line="360" w:lineRule="auto"/>
        <w:ind w:firstLine="420"/>
        <w:textAlignment w:val="auto"/>
        <w:rPr>
          <w:bCs/>
          <w:sz w:val="24"/>
          <w:szCs w:val="24"/>
        </w:rPr>
      </w:pPr>
      <w:r>
        <w:rPr>
          <w:rFonts w:hint="eastAsia"/>
          <w:bCs/>
          <w:sz w:val="24"/>
          <w:szCs w:val="24"/>
          <w:lang w:eastAsia="zh-CN"/>
        </w:rPr>
        <w:t>1.</w:t>
      </w:r>
      <w:r>
        <w:rPr>
          <w:bCs/>
          <w:sz w:val="24"/>
          <w:szCs w:val="24"/>
        </w:rPr>
        <w:t>产品通过合格验收之日起</w:t>
      </w:r>
      <w:r>
        <w:rPr>
          <w:rFonts w:hint="eastAsia"/>
          <w:bCs/>
          <w:sz w:val="24"/>
          <w:szCs w:val="24"/>
          <w:lang w:eastAsia="zh-CN"/>
        </w:rPr>
        <w:t>享有</w:t>
      </w:r>
      <w:r>
        <w:rPr>
          <w:rFonts w:hint="eastAsia"/>
          <w:bCs/>
          <w:sz w:val="24"/>
          <w:szCs w:val="24"/>
        </w:rPr>
        <w:t>一</w:t>
      </w:r>
      <w:r>
        <w:rPr>
          <w:bCs/>
          <w:sz w:val="24"/>
          <w:szCs w:val="24"/>
        </w:rPr>
        <w:t>年质保，质保期内产品出现质量问题，供方应负责免费维修</w:t>
      </w:r>
      <w:r>
        <w:rPr>
          <w:rFonts w:hint="eastAsia"/>
          <w:bCs/>
          <w:sz w:val="24"/>
          <w:szCs w:val="24"/>
          <w:lang w:val="en-US" w:eastAsia="zh-CN"/>
        </w:rPr>
        <w:t>或更换</w:t>
      </w:r>
      <w:r>
        <w:rPr>
          <w:bCs/>
          <w:sz w:val="24"/>
          <w:szCs w:val="24"/>
        </w:rPr>
        <w:t>。</w:t>
      </w:r>
    </w:p>
    <w:p w14:paraId="6FC87164">
      <w:pPr>
        <w:keepNext w:val="0"/>
        <w:keepLines w:val="0"/>
        <w:pageBreakBefore w:val="0"/>
        <w:widowControl w:val="0"/>
        <w:suppressLineNumbers w:val="0"/>
        <w:kinsoku/>
        <w:wordWrap/>
        <w:overflowPunct/>
        <w:topLinePunct w:val="0"/>
        <w:autoSpaceDE/>
        <w:autoSpaceDN/>
        <w:bidi w:val="0"/>
        <w:adjustRightInd/>
        <w:snapToGrid/>
        <w:spacing w:before="0" w:beforeLines="50" w:beforeAutospacing="0" w:after="0" w:afterAutospacing="0" w:line="360" w:lineRule="auto"/>
        <w:ind w:left="0" w:right="0" w:firstLine="480" w:firstLineChars="200"/>
        <w:textAlignment w:val="auto"/>
        <w:rPr>
          <w:rFonts w:hint="default"/>
          <w:bCs/>
          <w:sz w:val="24"/>
          <w:szCs w:val="24"/>
          <w:highlight w:val="none"/>
        </w:rPr>
      </w:pPr>
      <w:r>
        <w:rPr>
          <w:rFonts w:hint="eastAsia"/>
          <w:bCs/>
          <w:sz w:val="24"/>
          <w:szCs w:val="24"/>
          <w:lang w:eastAsia="zh-CN"/>
        </w:rPr>
        <w:t>2.</w:t>
      </w:r>
      <w:r>
        <w:rPr>
          <w:rFonts w:hint="eastAsia"/>
          <w:bCs/>
          <w:sz w:val="24"/>
          <w:szCs w:val="24"/>
          <w:highlight w:val="none"/>
        </w:rPr>
        <w:t>服务响应时间：在</w:t>
      </w:r>
      <w:r>
        <w:rPr>
          <w:rFonts w:hint="default"/>
          <w:bCs/>
          <w:sz w:val="24"/>
          <w:szCs w:val="24"/>
          <w:highlight w:val="none"/>
        </w:rPr>
        <w:t>质保期内，</w:t>
      </w:r>
      <w:r>
        <w:rPr>
          <w:rFonts w:hint="eastAsia"/>
          <w:bCs/>
          <w:sz w:val="24"/>
          <w:szCs w:val="24"/>
          <w:highlight w:val="none"/>
        </w:rPr>
        <w:t>供应商应在接到</w:t>
      </w:r>
      <w:r>
        <w:rPr>
          <w:rFonts w:hint="eastAsia" w:hAnsi="宋体"/>
          <w:sz w:val="24"/>
          <w:szCs w:val="24"/>
          <w:highlight w:val="none"/>
        </w:rPr>
        <w:t>招标人故障信息后4小时内响应，48小时内须赶到维修现场并提供解决方案和技术支持。</w:t>
      </w:r>
      <w:r>
        <w:rPr>
          <w:rFonts w:hint="default"/>
          <w:bCs/>
          <w:sz w:val="24"/>
          <w:szCs w:val="24"/>
          <w:highlight w:val="none"/>
        </w:rPr>
        <w:t>现场维修</w:t>
      </w:r>
      <w:r>
        <w:rPr>
          <w:rFonts w:hint="eastAsia"/>
          <w:bCs/>
          <w:sz w:val="24"/>
          <w:szCs w:val="24"/>
          <w:highlight w:val="none"/>
          <w:lang w:val="en-US" w:eastAsia="zh-CN"/>
        </w:rPr>
        <w:t>或更换</w:t>
      </w:r>
      <w:r>
        <w:rPr>
          <w:rFonts w:hint="default"/>
          <w:bCs/>
          <w:sz w:val="24"/>
          <w:szCs w:val="24"/>
          <w:highlight w:val="none"/>
        </w:rPr>
        <w:t>，备品备件费，人工费以及差旅费由供方负责。</w:t>
      </w:r>
    </w:p>
    <w:p w14:paraId="01BFD53A">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textAlignment w:val="auto"/>
        <w:rPr>
          <w:rFonts w:hint="default"/>
          <w:bCs/>
          <w:sz w:val="24"/>
          <w:szCs w:val="24"/>
          <w:highlight w:val="none"/>
        </w:rPr>
      </w:pPr>
      <w:r>
        <w:rPr>
          <w:rFonts w:hint="eastAsia"/>
          <w:bCs/>
          <w:sz w:val="24"/>
          <w:szCs w:val="24"/>
          <w:lang w:val="en-US" w:eastAsia="zh-CN"/>
        </w:rPr>
        <w:t>3.</w:t>
      </w:r>
      <w:r>
        <w:rPr>
          <w:rFonts w:hint="eastAsia"/>
          <w:bCs/>
          <w:sz w:val="24"/>
          <w:szCs w:val="24"/>
          <w:highlight w:val="none"/>
          <w:lang w:val="en-US" w:eastAsia="zh-CN"/>
        </w:rPr>
        <w:t>供方</w:t>
      </w:r>
      <w:r>
        <w:rPr>
          <w:rFonts w:hint="eastAsia"/>
          <w:bCs/>
          <w:sz w:val="24"/>
          <w:szCs w:val="24"/>
          <w:highlight w:val="none"/>
        </w:rPr>
        <w:t>应在投标文件中提供储备充足的</w:t>
      </w:r>
      <w:r>
        <w:rPr>
          <w:rFonts w:hint="eastAsia"/>
          <w:bCs/>
          <w:sz w:val="24"/>
          <w:szCs w:val="24"/>
          <w:highlight w:val="none"/>
          <w:lang w:val="en-US" w:eastAsia="zh-CN"/>
        </w:rPr>
        <w:t>周转桶的</w:t>
      </w:r>
      <w:r>
        <w:rPr>
          <w:rFonts w:hint="eastAsia"/>
          <w:lang w:val="en-US" w:eastAsia="zh-CN"/>
        </w:rPr>
        <w:t>相关</w:t>
      </w:r>
      <w:r>
        <w:rPr>
          <w:rFonts w:hint="eastAsia"/>
          <w:bCs/>
          <w:sz w:val="24"/>
          <w:szCs w:val="24"/>
          <w:highlight w:val="none"/>
        </w:rPr>
        <w:t>配件，以备用户不时之需，并提供送件上门服务。</w:t>
      </w:r>
    </w:p>
    <w:p w14:paraId="5CD56E28">
      <w:pPr>
        <w:pStyle w:val="43"/>
        <w:keepNext w:val="0"/>
        <w:keepLines w:val="0"/>
        <w:pageBreakBefore w:val="0"/>
        <w:widowControl w:val="0"/>
        <w:numPr>
          <w:ilvl w:val="0"/>
          <w:numId w:val="0"/>
        </w:numPr>
        <w:kinsoku/>
        <w:wordWrap/>
        <w:overflowPunct/>
        <w:topLinePunct w:val="0"/>
        <w:autoSpaceDE/>
        <w:autoSpaceDN/>
        <w:bidi w:val="0"/>
        <w:adjustRightInd/>
        <w:snapToGrid/>
        <w:spacing w:beforeLines="50" w:line="360" w:lineRule="auto"/>
        <w:ind w:firstLine="480" w:firstLineChars="200"/>
        <w:textAlignment w:val="auto"/>
        <w:rPr>
          <w:bCs/>
          <w:sz w:val="24"/>
          <w:szCs w:val="24"/>
        </w:rPr>
      </w:pPr>
      <w:r>
        <w:rPr>
          <w:rFonts w:hint="eastAsia"/>
          <w:bCs/>
          <w:sz w:val="24"/>
          <w:szCs w:val="24"/>
          <w:lang w:val="en-US" w:eastAsia="zh-CN"/>
        </w:rPr>
        <w:t>4.</w:t>
      </w:r>
      <w:r>
        <w:rPr>
          <w:bCs/>
          <w:sz w:val="24"/>
          <w:szCs w:val="24"/>
        </w:rPr>
        <w:t>质保期满，产品出现质量问题，供方应负责维修，只收取成本费。</w:t>
      </w:r>
    </w:p>
    <w:p w14:paraId="1BA6654A">
      <w:pPr>
        <w:keepNext w:val="0"/>
        <w:keepLines w:val="0"/>
        <w:pageBreakBefore w:val="0"/>
        <w:widowControl w:val="0"/>
        <w:kinsoku/>
        <w:wordWrap/>
        <w:overflowPunct/>
        <w:topLinePunct w:val="0"/>
        <w:autoSpaceDE/>
        <w:autoSpaceDN/>
        <w:bidi w:val="0"/>
        <w:adjustRightInd/>
        <w:snapToGrid/>
        <w:spacing w:beforeLines="50" w:line="360" w:lineRule="auto"/>
        <w:ind w:left="420"/>
        <w:textAlignment w:val="auto"/>
        <w:rPr>
          <w:b/>
          <w:bCs/>
          <w:sz w:val="24"/>
          <w:szCs w:val="24"/>
        </w:rPr>
      </w:pPr>
      <w:r>
        <w:rPr>
          <w:rFonts w:hint="eastAsia"/>
          <w:b/>
          <w:bCs/>
          <w:sz w:val="24"/>
          <w:szCs w:val="24"/>
        </w:rPr>
        <w:t>八、违约条款：</w:t>
      </w:r>
    </w:p>
    <w:p w14:paraId="6B79C3CA">
      <w:pPr>
        <w:keepNext w:val="0"/>
        <w:keepLines w:val="0"/>
        <w:pageBreakBefore w:val="0"/>
        <w:widowControl w:val="0"/>
        <w:tabs>
          <w:tab w:val="left" w:pos="420"/>
        </w:tabs>
        <w:kinsoku/>
        <w:wordWrap/>
        <w:overflowPunct/>
        <w:topLinePunct w:val="0"/>
        <w:autoSpaceDE/>
        <w:autoSpaceDN/>
        <w:bidi w:val="0"/>
        <w:adjustRightInd/>
        <w:snapToGrid/>
        <w:spacing w:line="360" w:lineRule="auto"/>
        <w:ind w:firstLine="480" w:firstLineChars="200"/>
        <w:textAlignment w:val="auto"/>
        <w:rPr>
          <w:rFonts w:hAnsi="宋体"/>
          <w:sz w:val="24"/>
          <w:szCs w:val="24"/>
        </w:rPr>
      </w:pPr>
      <w:r>
        <w:rPr>
          <w:rFonts w:hint="eastAsia" w:hAnsi="宋体"/>
          <w:sz w:val="24"/>
          <w:szCs w:val="24"/>
          <w:lang w:eastAsia="zh-CN"/>
        </w:rPr>
        <w:t>1.</w:t>
      </w:r>
      <w:r>
        <w:rPr>
          <w:rFonts w:hint="eastAsia" w:hAnsi="宋体"/>
          <w:sz w:val="24"/>
          <w:szCs w:val="24"/>
        </w:rPr>
        <w:t>供方不能按时供货</w:t>
      </w:r>
      <w:r>
        <w:rPr>
          <w:rFonts w:hint="eastAsia" w:hAnsi="宋体"/>
          <w:sz w:val="24"/>
          <w:szCs w:val="24"/>
          <w:lang w:val="en-US" w:eastAsia="zh-CN"/>
        </w:rPr>
        <w:t>和更换</w:t>
      </w:r>
      <w:r>
        <w:rPr>
          <w:rFonts w:hint="eastAsia" w:hAnsi="宋体"/>
          <w:sz w:val="24"/>
          <w:szCs w:val="24"/>
        </w:rPr>
        <w:t>的，每延迟一日，应向需方支付合同总价款1‰的违约金，若给需方造成其他损失的，应负责赔偿；若延迟时间达到10日</w:t>
      </w:r>
      <w:r>
        <w:rPr>
          <w:rFonts w:hint="eastAsia" w:hAnsi="宋体"/>
          <w:sz w:val="24"/>
          <w:szCs w:val="24"/>
          <w:lang w:eastAsia="zh-CN"/>
        </w:rPr>
        <w:t>（</w:t>
      </w:r>
      <w:r>
        <w:rPr>
          <w:rFonts w:hint="eastAsia" w:hAnsi="宋体"/>
          <w:sz w:val="24"/>
          <w:szCs w:val="24"/>
        </w:rPr>
        <w:t>含10日</w:t>
      </w:r>
      <w:r>
        <w:rPr>
          <w:rFonts w:hint="eastAsia" w:hAnsi="宋体"/>
          <w:sz w:val="24"/>
          <w:szCs w:val="24"/>
          <w:lang w:eastAsia="zh-CN"/>
        </w:rPr>
        <w:t>）</w:t>
      </w:r>
      <w:r>
        <w:rPr>
          <w:rFonts w:hint="eastAsia" w:hAnsi="宋体"/>
          <w:sz w:val="24"/>
          <w:szCs w:val="24"/>
        </w:rPr>
        <w:t>以上，视为供方根本违约，需方有权解除合同，供方应退还需方所付全部款项，并应向需方支付合同总价款10％的违约金。</w:t>
      </w:r>
    </w:p>
    <w:p w14:paraId="7F141FB4">
      <w:pPr>
        <w:keepNext w:val="0"/>
        <w:keepLines w:val="0"/>
        <w:pageBreakBefore w:val="0"/>
        <w:widowControl w:val="0"/>
        <w:tabs>
          <w:tab w:val="left" w:pos="420"/>
        </w:tabs>
        <w:kinsoku/>
        <w:wordWrap/>
        <w:overflowPunct/>
        <w:topLinePunct w:val="0"/>
        <w:autoSpaceDE/>
        <w:autoSpaceDN/>
        <w:bidi w:val="0"/>
        <w:adjustRightInd/>
        <w:snapToGrid/>
        <w:spacing w:line="360" w:lineRule="auto"/>
        <w:ind w:firstLine="480" w:firstLineChars="200"/>
        <w:textAlignment w:val="auto"/>
        <w:rPr>
          <w:rFonts w:hAnsi="宋体"/>
          <w:sz w:val="24"/>
          <w:szCs w:val="24"/>
        </w:rPr>
      </w:pPr>
      <w:r>
        <w:rPr>
          <w:rFonts w:hint="eastAsia" w:hAnsi="宋体"/>
          <w:sz w:val="24"/>
          <w:szCs w:val="24"/>
          <w:lang w:eastAsia="zh-CN"/>
        </w:rPr>
        <w:t>2.</w:t>
      </w:r>
      <w:r>
        <w:rPr>
          <w:rFonts w:hint="eastAsia" w:hAnsi="宋体"/>
          <w:sz w:val="24"/>
          <w:szCs w:val="24"/>
        </w:rPr>
        <w:t>若供方的产品质量</w:t>
      </w:r>
      <w:r>
        <w:rPr>
          <w:rFonts w:hint="eastAsia" w:hAnsi="宋体"/>
          <w:sz w:val="24"/>
          <w:szCs w:val="24"/>
          <w:lang w:val="en-US" w:eastAsia="zh-CN"/>
        </w:rPr>
        <w:t>和更换</w:t>
      </w:r>
      <w:r>
        <w:rPr>
          <w:rFonts w:hint="eastAsia" w:hAnsi="宋体"/>
          <w:sz w:val="24"/>
          <w:szCs w:val="24"/>
        </w:rPr>
        <w:t>不合格，供方应在10日内负责更换，并按本条第1款的约定向需方支付延期交货的违约金；若不及时更换或更换后仍不合格，需方有权解除合同，供方应退还需方所付全部款项，并应向需方支付合同总价款10％的违约金。</w:t>
      </w:r>
    </w:p>
    <w:p w14:paraId="41994851">
      <w:pPr>
        <w:keepNext w:val="0"/>
        <w:keepLines w:val="0"/>
        <w:pageBreakBefore w:val="0"/>
        <w:widowControl w:val="0"/>
        <w:tabs>
          <w:tab w:val="left" w:pos="420"/>
        </w:tabs>
        <w:kinsoku/>
        <w:wordWrap/>
        <w:overflowPunct/>
        <w:topLinePunct w:val="0"/>
        <w:autoSpaceDE/>
        <w:autoSpaceDN/>
        <w:bidi w:val="0"/>
        <w:adjustRightInd/>
        <w:snapToGrid/>
        <w:spacing w:line="360" w:lineRule="auto"/>
        <w:ind w:firstLine="480" w:firstLineChars="200"/>
        <w:textAlignment w:val="auto"/>
        <w:rPr>
          <w:rFonts w:hAnsi="宋体"/>
          <w:sz w:val="24"/>
          <w:szCs w:val="24"/>
        </w:rPr>
      </w:pPr>
      <w:r>
        <w:rPr>
          <w:rFonts w:hint="eastAsia" w:hAnsi="宋体"/>
          <w:sz w:val="24"/>
          <w:szCs w:val="24"/>
          <w:lang w:eastAsia="zh-CN"/>
        </w:rPr>
        <w:t>3.</w:t>
      </w:r>
      <w:r>
        <w:rPr>
          <w:rFonts w:hint="eastAsia" w:hAnsi="宋体"/>
          <w:sz w:val="24"/>
          <w:szCs w:val="24"/>
        </w:rPr>
        <w:t>在质保期内，若产品出现质量问题，需方有权扣留质保金，供方应负责维修，费用由供方承担；若维修后仍存在质量问题，供方应在10日内负责更换，若不及时更换或更换后仍不合格</w:t>
      </w:r>
      <w:r>
        <w:rPr>
          <w:rFonts w:hint="eastAsia" w:hAnsi="宋体"/>
          <w:sz w:val="24"/>
          <w:szCs w:val="24"/>
          <w:lang w:eastAsia="zh-CN"/>
        </w:rPr>
        <w:t>，</w:t>
      </w:r>
      <w:r>
        <w:rPr>
          <w:rFonts w:hint="eastAsia" w:hAnsi="宋体"/>
          <w:sz w:val="24"/>
          <w:szCs w:val="24"/>
        </w:rPr>
        <w:t>需方有权解除合同，供方应退还需方所付全部款项，且应向需方支付合同总价款10％的违约金。</w:t>
      </w:r>
    </w:p>
    <w:p w14:paraId="68F9FA03">
      <w:pPr>
        <w:keepNext w:val="0"/>
        <w:keepLines w:val="0"/>
        <w:pageBreakBefore w:val="0"/>
        <w:widowControl w:val="0"/>
        <w:tabs>
          <w:tab w:val="left" w:pos="420"/>
        </w:tabs>
        <w:kinsoku/>
        <w:wordWrap/>
        <w:overflowPunct/>
        <w:topLinePunct w:val="0"/>
        <w:autoSpaceDE/>
        <w:autoSpaceDN/>
        <w:bidi w:val="0"/>
        <w:adjustRightInd/>
        <w:snapToGrid/>
        <w:spacing w:line="360" w:lineRule="auto"/>
        <w:ind w:firstLine="480" w:firstLineChars="200"/>
        <w:textAlignment w:val="auto"/>
        <w:rPr>
          <w:sz w:val="24"/>
          <w:szCs w:val="24"/>
        </w:rPr>
      </w:pPr>
      <w:r>
        <w:rPr>
          <w:rFonts w:hint="eastAsia" w:hAnsi="宋体"/>
          <w:sz w:val="24"/>
          <w:szCs w:val="24"/>
          <w:lang w:eastAsia="zh-CN"/>
        </w:rPr>
        <w:t>4.</w:t>
      </w:r>
      <w:r>
        <w:rPr>
          <w:rFonts w:hint="eastAsia" w:hAnsi="宋体"/>
          <w:sz w:val="24"/>
          <w:szCs w:val="24"/>
        </w:rPr>
        <w:t>合同签订后，供方擅自解除或变更合同的，应向需方支付合同总价款10％的违约金；若供方收到预付款后解除或变更合同的，除向需方支付合同总价款10％的违约金外，还应退还需方所付全部款项。</w:t>
      </w:r>
    </w:p>
    <w:p w14:paraId="4F80B31D">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sz w:val="24"/>
          <w:szCs w:val="24"/>
        </w:rPr>
      </w:pPr>
      <w:r>
        <w:rPr>
          <w:rFonts w:hint="eastAsia" w:hAnsi="宋体"/>
          <w:sz w:val="24"/>
          <w:szCs w:val="24"/>
          <w:lang w:eastAsia="zh-CN"/>
        </w:rPr>
        <w:t>5.</w:t>
      </w:r>
      <w:r>
        <w:rPr>
          <w:rFonts w:hint="eastAsia" w:hAnsi="宋体"/>
          <w:sz w:val="24"/>
          <w:szCs w:val="24"/>
        </w:rPr>
        <w:t>如供方送货时掺杂、掺假、以次充好或者以不合格产品冒充合格产品，供方应负责更换或退货，并向需方支付该批货款1倍的违约金。</w:t>
      </w:r>
    </w:p>
    <w:p w14:paraId="6EFE207B">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rFonts w:hint="eastAsia"/>
          <w:b/>
          <w:bCs/>
          <w:sz w:val="24"/>
          <w:szCs w:val="24"/>
        </w:rPr>
      </w:pPr>
    </w:p>
    <w:p w14:paraId="25F62BBA">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sz w:val="24"/>
          <w:szCs w:val="24"/>
        </w:rPr>
      </w:pPr>
      <w:r>
        <w:rPr>
          <w:rFonts w:hint="eastAsia"/>
          <w:b/>
          <w:bCs/>
          <w:sz w:val="24"/>
          <w:szCs w:val="24"/>
        </w:rPr>
        <w:t>九</w:t>
      </w:r>
      <w:r>
        <w:rPr>
          <w:b/>
          <w:bCs/>
          <w:sz w:val="24"/>
          <w:szCs w:val="24"/>
        </w:rPr>
        <w:t>、解决合同纠纷的方式：</w:t>
      </w:r>
    </w:p>
    <w:p w14:paraId="48C97D86">
      <w:pPr>
        <w:keepNext w:val="0"/>
        <w:keepLines w:val="0"/>
        <w:pageBreakBefore w:val="0"/>
        <w:widowControl w:val="0"/>
        <w:kinsoku/>
        <w:wordWrap/>
        <w:overflowPunct/>
        <w:topLinePunct w:val="0"/>
        <w:autoSpaceDE/>
        <w:autoSpaceDN/>
        <w:bidi w:val="0"/>
        <w:adjustRightInd/>
        <w:snapToGrid/>
        <w:spacing w:beforeLines="50" w:line="360" w:lineRule="auto"/>
        <w:ind w:firstLine="240" w:firstLineChars="100"/>
        <w:textAlignment w:val="auto"/>
        <w:rPr>
          <w:bCs/>
          <w:sz w:val="24"/>
          <w:szCs w:val="24"/>
        </w:rPr>
      </w:pPr>
      <w:r>
        <w:rPr>
          <w:bCs/>
          <w:sz w:val="24"/>
          <w:szCs w:val="24"/>
        </w:rPr>
        <w:t>因履行合同发生争执，由当事人协商解决，协商不成，依法向需方住所地人民法院起诉。</w:t>
      </w:r>
    </w:p>
    <w:p w14:paraId="5B6DA423">
      <w:pPr>
        <w:keepNext w:val="0"/>
        <w:keepLines w:val="0"/>
        <w:pageBreakBefore w:val="0"/>
        <w:widowControl w:val="0"/>
        <w:kinsoku/>
        <w:wordWrap/>
        <w:overflowPunct/>
        <w:topLinePunct w:val="0"/>
        <w:autoSpaceDE/>
        <w:autoSpaceDN/>
        <w:bidi w:val="0"/>
        <w:adjustRightInd/>
        <w:snapToGrid/>
        <w:spacing w:beforeLines="50" w:line="360" w:lineRule="auto"/>
        <w:ind w:firstLine="422"/>
        <w:textAlignment w:val="auto"/>
        <w:rPr>
          <w:sz w:val="24"/>
          <w:szCs w:val="24"/>
        </w:rPr>
      </w:pPr>
      <w:r>
        <w:rPr>
          <w:b/>
          <w:bCs/>
          <w:sz w:val="24"/>
          <w:szCs w:val="24"/>
        </w:rPr>
        <w:t>十、</w:t>
      </w:r>
      <w:r>
        <w:rPr>
          <w:rFonts w:hint="eastAsia"/>
          <w:b/>
          <w:bCs/>
          <w:sz w:val="24"/>
          <w:szCs w:val="24"/>
          <w:lang w:eastAsia="zh-CN"/>
        </w:rPr>
        <w:t>其他</w:t>
      </w:r>
      <w:r>
        <w:rPr>
          <w:sz w:val="24"/>
          <w:szCs w:val="24"/>
        </w:rPr>
        <w:t>：</w:t>
      </w:r>
    </w:p>
    <w:p w14:paraId="24A098D7">
      <w:pPr>
        <w:keepNext w:val="0"/>
        <w:keepLines w:val="0"/>
        <w:pageBreakBefore w:val="0"/>
        <w:widowControl w:val="0"/>
        <w:kinsoku/>
        <w:wordWrap/>
        <w:overflowPunct/>
        <w:topLinePunct w:val="0"/>
        <w:autoSpaceDE/>
        <w:autoSpaceDN/>
        <w:bidi w:val="0"/>
        <w:adjustRightInd/>
        <w:snapToGrid/>
        <w:spacing w:beforeLines="50" w:line="360" w:lineRule="auto"/>
        <w:ind w:left="210" w:leftChars="100" w:firstLine="420"/>
        <w:textAlignment w:val="auto"/>
        <w:rPr>
          <w:kern w:val="0"/>
          <w:sz w:val="24"/>
          <w:szCs w:val="24"/>
        </w:rPr>
      </w:pPr>
      <w:r>
        <w:rPr>
          <w:rFonts w:hint="eastAsia"/>
          <w:kern w:val="0"/>
          <w:sz w:val="24"/>
          <w:szCs w:val="24"/>
          <w:lang w:eastAsia="zh-CN"/>
        </w:rPr>
        <w:t>1.</w:t>
      </w:r>
      <w:r>
        <w:rPr>
          <w:kern w:val="0"/>
          <w:sz w:val="24"/>
          <w:szCs w:val="24"/>
        </w:rPr>
        <w:t>根据现场需要，供需双方确认的补充协议，与本合同</w:t>
      </w:r>
      <w:r>
        <w:rPr>
          <w:rFonts w:hint="eastAsia"/>
          <w:kern w:val="0"/>
          <w:sz w:val="24"/>
          <w:szCs w:val="24"/>
          <w:lang w:eastAsia="zh-CN"/>
        </w:rPr>
        <w:t>具有</w:t>
      </w:r>
      <w:r>
        <w:rPr>
          <w:kern w:val="0"/>
          <w:sz w:val="24"/>
          <w:szCs w:val="24"/>
        </w:rPr>
        <w:t>同等法律效力。</w:t>
      </w:r>
    </w:p>
    <w:p w14:paraId="7C2152E2">
      <w:pPr>
        <w:keepNext w:val="0"/>
        <w:keepLines w:val="0"/>
        <w:pageBreakBefore w:val="0"/>
        <w:widowControl w:val="0"/>
        <w:kinsoku/>
        <w:wordWrap/>
        <w:overflowPunct/>
        <w:topLinePunct w:val="0"/>
        <w:autoSpaceDE/>
        <w:autoSpaceDN/>
        <w:bidi w:val="0"/>
        <w:adjustRightInd/>
        <w:snapToGrid/>
        <w:spacing w:beforeLines="50" w:line="360" w:lineRule="auto"/>
        <w:ind w:left="210" w:leftChars="100" w:firstLine="420"/>
        <w:textAlignment w:val="auto"/>
        <w:rPr>
          <w:kern w:val="0"/>
          <w:sz w:val="24"/>
          <w:szCs w:val="24"/>
        </w:rPr>
      </w:pPr>
      <w:r>
        <w:rPr>
          <w:rFonts w:hint="eastAsia"/>
          <w:kern w:val="0"/>
          <w:sz w:val="24"/>
          <w:szCs w:val="24"/>
          <w:lang w:eastAsia="zh-CN"/>
        </w:rPr>
        <w:t>2.</w:t>
      </w:r>
      <w:r>
        <w:rPr>
          <w:kern w:val="0"/>
          <w:sz w:val="24"/>
          <w:szCs w:val="24"/>
        </w:rPr>
        <w:t>本合同一式</w:t>
      </w:r>
      <w:r>
        <w:rPr>
          <w:rFonts w:hint="eastAsia"/>
          <w:kern w:val="0"/>
          <w:sz w:val="24"/>
          <w:szCs w:val="24"/>
        </w:rPr>
        <w:t>两</w:t>
      </w:r>
      <w:r>
        <w:rPr>
          <w:kern w:val="0"/>
          <w:sz w:val="24"/>
          <w:szCs w:val="24"/>
        </w:rPr>
        <w:t>份，双方各执</w:t>
      </w:r>
      <w:r>
        <w:rPr>
          <w:rFonts w:hint="eastAsia"/>
          <w:kern w:val="0"/>
          <w:sz w:val="24"/>
          <w:szCs w:val="24"/>
        </w:rPr>
        <w:t>一</w:t>
      </w:r>
      <w:r>
        <w:rPr>
          <w:kern w:val="0"/>
          <w:sz w:val="24"/>
          <w:szCs w:val="24"/>
        </w:rPr>
        <w:t>份，合同文字以正式打印为准，双方签字盖章后即生效。</w:t>
      </w:r>
    </w:p>
    <w:p w14:paraId="7E63E3B9">
      <w:pPr>
        <w:pStyle w:val="12"/>
        <w:rPr>
          <w:kern w:val="0"/>
          <w:szCs w:val="21"/>
        </w:rPr>
      </w:pPr>
    </w:p>
    <w:p w14:paraId="114A9A9B">
      <w:pPr>
        <w:pStyle w:val="12"/>
        <w:rPr>
          <w:kern w:val="0"/>
          <w:szCs w:val="21"/>
        </w:rPr>
      </w:pPr>
    </w:p>
    <w:p w14:paraId="59BBF2DD">
      <w:pPr>
        <w:pStyle w:val="12"/>
        <w:rPr>
          <w:kern w:val="0"/>
          <w:szCs w:val="21"/>
        </w:rPr>
      </w:pPr>
    </w:p>
    <w:p w14:paraId="7AA36CA8">
      <w:pPr>
        <w:pStyle w:val="12"/>
        <w:ind w:left="0" w:leftChars="0" w:firstLine="0" w:firstLineChars="0"/>
        <w:rPr>
          <w:kern w:val="0"/>
          <w:szCs w:val="21"/>
        </w:rPr>
      </w:pPr>
    </w:p>
    <w:p w14:paraId="207F3C21">
      <w:pPr>
        <w:rPr>
          <w:b/>
          <w:bCs/>
          <w:szCs w:val="21"/>
        </w:rPr>
      </w:pPr>
    </w:p>
    <w:tbl>
      <w:tblPr>
        <w:tblStyle w:val="22"/>
        <w:tblW w:w="8412" w:type="dxa"/>
        <w:tblInd w:w="-15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1"/>
        <w:gridCol w:w="2979"/>
        <w:gridCol w:w="1561"/>
        <w:gridCol w:w="2751"/>
      </w:tblGrid>
      <w:tr w14:paraId="647664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690B2C65">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需方（章）：</w:t>
            </w:r>
          </w:p>
        </w:tc>
        <w:tc>
          <w:tcPr>
            <w:tcW w:w="2979" w:type="dxa"/>
          </w:tcPr>
          <w:p w14:paraId="3D06BF82">
            <w:pPr>
              <w:keepNext w:val="0"/>
              <w:keepLines w:val="0"/>
              <w:suppressLineNumbers w:val="0"/>
              <w:spacing w:before="0" w:beforeLines="50" w:beforeAutospacing="0" w:after="0" w:afterAutospacing="0"/>
              <w:ind w:left="0" w:right="0"/>
              <w:rPr>
                <w:rFonts w:hint="default"/>
                <w:kern w:val="0"/>
                <w:szCs w:val="21"/>
              </w:rPr>
            </w:pPr>
            <w:r>
              <w:rPr>
                <w:sz w:val="24"/>
                <w:szCs w:val="24"/>
              </w:rPr>
              <w:t>深圳市</w:t>
            </w:r>
            <w:r>
              <w:rPr>
                <w:rFonts w:hint="eastAsia"/>
                <w:sz w:val="24"/>
                <w:szCs w:val="24"/>
                <w:lang w:val="en-US" w:eastAsia="zh-CN"/>
              </w:rPr>
              <w:t>深环绿盾环保科技</w:t>
            </w:r>
            <w:r>
              <w:rPr>
                <w:sz w:val="24"/>
                <w:szCs w:val="24"/>
              </w:rPr>
              <w:t>有限公司</w:t>
            </w:r>
          </w:p>
        </w:tc>
        <w:tc>
          <w:tcPr>
            <w:tcW w:w="1561" w:type="dxa"/>
            <w:vAlign w:val="center"/>
          </w:tcPr>
          <w:p w14:paraId="4156613A">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供方（章）</w:t>
            </w:r>
          </w:p>
        </w:tc>
        <w:tc>
          <w:tcPr>
            <w:tcW w:w="2751" w:type="dxa"/>
          </w:tcPr>
          <w:p w14:paraId="3572F718">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229DC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367757B3">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地址：</w:t>
            </w:r>
          </w:p>
        </w:tc>
        <w:tc>
          <w:tcPr>
            <w:tcW w:w="2979" w:type="dxa"/>
          </w:tcPr>
          <w:p w14:paraId="10408848">
            <w:pPr>
              <w:keepNext w:val="0"/>
              <w:keepLines w:val="0"/>
              <w:suppressLineNumbers w:val="0"/>
              <w:spacing w:before="0" w:beforeLines="50" w:beforeAutospacing="0" w:after="0" w:afterAutospacing="0"/>
              <w:ind w:left="0" w:right="0"/>
              <w:rPr>
                <w:rFonts w:hint="default"/>
                <w:kern w:val="0"/>
                <w:szCs w:val="21"/>
              </w:rPr>
            </w:pPr>
          </w:p>
        </w:tc>
        <w:tc>
          <w:tcPr>
            <w:tcW w:w="1561" w:type="dxa"/>
            <w:vAlign w:val="center"/>
          </w:tcPr>
          <w:p w14:paraId="079EE339">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地址：</w:t>
            </w:r>
          </w:p>
        </w:tc>
        <w:tc>
          <w:tcPr>
            <w:tcW w:w="2751" w:type="dxa"/>
          </w:tcPr>
          <w:p w14:paraId="28F3E70B">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0C968D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74DACA83">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委托代理人：</w:t>
            </w:r>
          </w:p>
        </w:tc>
        <w:tc>
          <w:tcPr>
            <w:tcW w:w="2979" w:type="dxa"/>
          </w:tcPr>
          <w:p w14:paraId="6A534933">
            <w:pPr>
              <w:keepNext w:val="0"/>
              <w:keepLines w:val="0"/>
              <w:suppressLineNumbers w:val="0"/>
              <w:spacing w:before="0" w:beforeLines="50" w:beforeAutospacing="0" w:after="0" w:afterAutospacing="0"/>
              <w:ind w:left="210" w:leftChars="100" w:right="0" w:firstLine="420"/>
              <w:rPr>
                <w:rFonts w:hint="default"/>
                <w:kern w:val="0"/>
                <w:szCs w:val="21"/>
              </w:rPr>
            </w:pPr>
          </w:p>
        </w:tc>
        <w:tc>
          <w:tcPr>
            <w:tcW w:w="1561" w:type="dxa"/>
            <w:vAlign w:val="center"/>
          </w:tcPr>
          <w:p w14:paraId="70BECCC3">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委托代理人：</w:t>
            </w:r>
          </w:p>
        </w:tc>
        <w:tc>
          <w:tcPr>
            <w:tcW w:w="2751" w:type="dxa"/>
          </w:tcPr>
          <w:p w14:paraId="0C53BA34">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3EEB68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432974DA">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电话：</w:t>
            </w:r>
          </w:p>
        </w:tc>
        <w:tc>
          <w:tcPr>
            <w:tcW w:w="2979" w:type="dxa"/>
          </w:tcPr>
          <w:p w14:paraId="390378EF">
            <w:pPr>
              <w:keepNext w:val="0"/>
              <w:keepLines w:val="0"/>
              <w:suppressLineNumbers w:val="0"/>
              <w:spacing w:before="0" w:beforeLines="50" w:beforeAutospacing="0" w:after="0" w:afterAutospacing="0"/>
              <w:ind w:left="0" w:right="0"/>
              <w:rPr>
                <w:rFonts w:hint="default"/>
                <w:kern w:val="0"/>
                <w:szCs w:val="21"/>
              </w:rPr>
            </w:pPr>
          </w:p>
        </w:tc>
        <w:tc>
          <w:tcPr>
            <w:tcW w:w="1561" w:type="dxa"/>
            <w:vAlign w:val="center"/>
          </w:tcPr>
          <w:p w14:paraId="3A8E0AA5">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电话：</w:t>
            </w:r>
          </w:p>
        </w:tc>
        <w:tc>
          <w:tcPr>
            <w:tcW w:w="2751" w:type="dxa"/>
          </w:tcPr>
          <w:p w14:paraId="7F4E8F90">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49833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6BACA00E">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开户银行：</w:t>
            </w:r>
          </w:p>
        </w:tc>
        <w:tc>
          <w:tcPr>
            <w:tcW w:w="2979" w:type="dxa"/>
          </w:tcPr>
          <w:p w14:paraId="3DA4FDFD">
            <w:pPr>
              <w:keepNext w:val="0"/>
              <w:keepLines w:val="0"/>
              <w:suppressLineNumbers w:val="0"/>
              <w:spacing w:before="0" w:beforeLines="50" w:beforeAutospacing="0" w:after="0" w:afterAutospacing="0"/>
              <w:ind w:left="0" w:right="0"/>
              <w:rPr>
                <w:rFonts w:hint="default"/>
                <w:kern w:val="0"/>
                <w:szCs w:val="21"/>
              </w:rPr>
            </w:pPr>
          </w:p>
        </w:tc>
        <w:tc>
          <w:tcPr>
            <w:tcW w:w="1561" w:type="dxa"/>
            <w:vAlign w:val="center"/>
          </w:tcPr>
          <w:p w14:paraId="45E6F4BF">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开户银行：</w:t>
            </w:r>
          </w:p>
        </w:tc>
        <w:tc>
          <w:tcPr>
            <w:tcW w:w="2751" w:type="dxa"/>
          </w:tcPr>
          <w:p w14:paraId="372F1205">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007BB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67A8F0B2">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lang w:eastAsia="zh-CN"/>
              </w:rPr>
              <w:t>账号</w:t>
            </w:r>
            <w:r>
              <w:rPr>
                <w:rFonts w:hint="eastAsia"/>
                <w:kern w:val="0"/>
                <w:szCs w:val="21"/>
              </w:rPr>
              <w:t>：</w:t>
            </w:r>
          </w:p>
        </w:tc>
        <w:tc>
          <w:tcPr>
            <w:tcW w:w="2979" w:type="dxa"/>
          </w:tcPr>
          <w:p w14:paraId="39DBF2B2">
            <w:pPr>
              <w:keepNext w:val="0"/>
              <w:keepLines w:val="0"/>
              <w:suppressLineNumbers w:val="0"/>
              <w:spacing w:before="0" w:beforeLines="50" w:beforeAutospacing="0" w:after="0" w:afterAutospacing="0"/>
              <w:ind w:left="0" w:right="0"/>
              <w:rPr>
                <w:rFonts w:hint="default"/>
                <w:kern w:val="0"/>
                <w:szCs w:val="21"/>
              </w:rPr>
            </w:pPr>
          </w:p>
        </w:tc>
        <w:tc>
          <w:tcPr>
            <w:tcW w:w="1561" w:type="dxa"/>
            <w:vAlign w:val="center"/>
          </w:tcPr>
          <w:p w14:paraId="1A4C18D4">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lang w:eastAsia="zh-CN"/>
              </w:rPr>
              <w:t>账号</w:t>
            </w:r>
            <w:r>
              <w:rPr>
                <w:rFonts w:hint="eastAsia"/>
                <w:kern w:val="0"/>
                <w:szCs w:val="21"/>
              </w:rPr>
              <w:t>：</w:t>
            </w:r>
          </w:p>
        </w:tc>
        <w:tc>
          <w:tcPr>
            <w:tcW w:w="2751" w:type="dxa"/>
          </w:tcPr>
          <w:p w14:paraId="28E325C8">
            <w:pPr>
              <w:keepNext w:val="0"/>
              <w:keepLines w:val="0"/>
              <w:suppressLineNumbers w:val="0"/>
              <w:spacing w:before="0" w:beforeLines="50" w:beforeAutospacing="0" w:after="0" w:afterAutospacing="0"/>
              <w:ind w:left="210" w:leftChars="100" w:right="0" w:firstLine="420"/>
              <w:rPr>
                <w:rFonts w:hint="default"/>
                <w:kern w:val="0"/>
                <w:szCs w:val="21"/>
              </w:rPr>
            </w:pPr>
          </w:p>
        </w:tc>
      </w:tr>
      <w:tr w14:paraId="6D8B22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1" w:type="dxa"/>
            <w:vAlign w:val="center"/>
          </w:tcPr>
          <w:p w14:paraId="26279816">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邮政编码：</w:t>
            </w:r>
          </w:p>
        </w:tc>
        <w:tc>
          <w:tcPr>
            <w:tcW w:w="2979" w:type="dxa"/>
          </w:tcPr>
          <w:p w14:paraId="24ADE2D6">
            <w:pPr>
              <w:keepNext w:val="0"/>
              <w:keepLines w:val="0"/>
              <w:suppressLineNumbers w:val="0"/>
              <w:spacing w:before="0" w:beforeLines="50" w:beforeAutospacing="0" w:after="0" w:afterAutospacing="0"/>
              <w:ind w:left="0" w:right="0"/>
              <w:rPr>
                <w:rFonts w:hint="default"/>
                <w:kern w:val="0"/>
                <w:szCs w:val="21"/>
              </w:rPr>
            </w:pPr>
          </w:p>
        </w:tc>
        <w:tc>
          <w:tcPr>
            <w:tcW w:w="1561" w:type="dxa"/>
            <w:vAlign w:val="center"/>
          </w:tcPr>
          <w:p w14:paraId="1C188397">
            <w:pPr>
              <w:keepNext w:val="0"/>
              <w:keepLines w:val="0"/>
              <w:suppressLineNumbers w:val="0"/>
              <w:spacing w:before="0" w:beforeLines="50" w:beforeAutospacing="0" w:after="0" w:afterAutospacing="0"/>
              <w:ind w:left="0" w:right="0"/>
              <w:jc w:val="center"/>
              <w:rPr>
                <w:rFonts w:hint="default"/>
                <w:kern w:val="0"/>
                <w:szCs w:val="21"/>
              </w:rPr>
            </w:pPr>
            <w:r>
              <w:rPr>
                <w:rFonts w:hint="eastAsia"/>
                <w:kern w:val="0"/>
                <w:szCs w:val="21"/>
              </w:rPr>
              <w:t>邮政编码：</w:t>
            </w:r>
          </w:p>
        </w:tc>
        <w:tc>
          <w:tcPr>
            <w:tcW w:w="2751" w:type="dxa"/>
          </w:tcPr>
          <w:p w14:paraId="54ED3928">
            <w:pPr>
              <w:keepNext w:val="0"/>
              <w:keepLines w:val="0"/>
              <w:suppressLineNumbers w:val="0"/>
              <w:spacing w:before="0" w:beforeLines="50" w:beforeAutospacing="0" w:after="0" w:afterAutospacing="0"/>
              <w:ind w:left="210" w:leftChars="100" w:right="0" w:firstLine="420"/>
              <w:rPr>
                <w:rFonts w:hint="default"/>
                <w:kern w:val="0"/>
                <w:szCs w:val="21"/>
              </w:rPr>
            </w:pPr>
          </w:p>
        </w:tc>
      </w:tr>
    </w:tbl>
    <w:p w14:paraId="3E5DB5DA"/>
    <w:p w14:paraId="376F4955"/>
    <w:p w14:paraId="2195D976"/>
    <w:p w14:paraId="6390025B"/>
    <w:p w14:paraId="76C53506">
      <w:pPr>
        <w:pStyle w:val="7"/>
        <w:spacing w:line="360" w:lineRule="auto"/>
        <w:ind w:right="420"/>
        <w:jc w:val="center"/>
        <w:outlineLvl w:val="0"/>
        <w:rPr>
          <w:rFonts w:ascii="黑体" w:eastAsia="黑体"/>
          <w:sz w:val="32"/>
          <w:szCs w:val="32"/>
        </w:rPr>
      </w:pPr>
      <w:bookmarkStart w:id="199" w:name="_Toc236803109"/>
      <w:bookmarkStart w:id="200" w:name="_Toc26584"/>
      <w:bookmarkStart w:id="201" w:name="_Toc16401"/>
      <w:bookmarkStart w:id="202" w:name="_Toc13676"/>
      <w:bookmarkStart w:id="203" w:name="_Toc4761"/>
      <w:bookmarkStart w:id="204" w:name="_Toc211243314"/>
    </w:p>
    <w:p w14:paraId="44E82DD4">
      <w:pPr>
        <w:pStyle w:val="7"/>
        <w:spacing w:line="360" w:lineRule="auto"/>
        <w:ind w:right="420"/>
        <w:jc w:val="center"/>
        <w:outlineLvl w:val="0"/>
        <w:rPr>
          <w:rFonts w:ascii="黑体" w:eastAsia="黑体"/>
          <w:sz w:val="32"/>
          <w:szCs w:val="32"/>
        </w:rPr>
      </w:pPr>
    </w:p>
    <w:p w14:paraId="7DAF84EC">
      <w:pPr>
        <w:pStyle w:val="7"/>
        <w:spacing w:line="360" w:lineRule="auto"/>
        <w:ind w:right="420"/>
        <w:jc w:val="both"/>
        <w:outlineLvl w:val="0"/>
        <w:rPr>
          <w:rFonts w:ascii="黑体" w:eastAsia="黑体"/>
          <w:sz w:val="32"/>
          <w:szCs w:val="32"/>
        </w:rPr>
      </w:pPr>
    </w:p>
    <w:p w14:paraId="52A403AA">
      <w:pPr>
        <w:pStyle w:val="8"/>
      </w:pPr>
    </w:p>
    <w:p w14:paraId="3314D47C">
      <w:pPr>
        <w:pStyle w:val="7"/>
        <w:spacing w:line="360" w:lineRule="auto"/>
        <w:ind w:right="420"/>
        <w:jc w:val="both"/>
        <w:outlineLvl w:val="0"/>
        <w:rPr>
          <w:rFonts w:ascii="黑体" w:eastAsia="黑体"/>
          <w:sz w:val="32"/>
          <w:szCs w:val="32"/>
        </w:rPr>
      </w:pPr>
    </w:p>
    <w:p w14:paraId="5B9F9393">
      <w:pPr>
        <w:pStyle w:val="7"/>
        <w:spacing w:line="360" w:lineRule="auto"/>
        <w:ind w:right="420"/>
        <w:jc w:val="center"/>
        <w:outlineLvl w:val="0"/>
        <w:rPr>
          <w:rFonts w:ascii="黑体" w:eastAsia="黑体"/>
          <w:sz w:val="32"/>
          <w:szCs w:val="32"/>
        </w:rPr>
      </w:pPr>
      <w:bookmarkStart w:id="205" w:name="_Toc11737"/>
      <w:r>
        <w:rPr>
          <w:rFonts w:hint="eastAsia" w:ascii="黑体" w:eastAsia="黑体"/>
          <w:sz w:val="32"/>
          <w:szCs w:val="32"/>
        </w:rPr>
        <w:t>第五章投标文件格式</w:t>
      </w:r>
      <w:bookmarkEnd w:id="199"/>
      <w:bookmarkEnd w:id="200"/>
      <w:bookmarkEnd w:id="201"/>
      <w:bookmarkEnd w:id="202"/>
      <w:bookmarkEnd w:id="203"/>
      <w:bookmarkEnd w:id="204"/>
      <w:bookmarkEnd w:id="205"/>
    </w:p>
    <w:p w14:paraId="37CDA6D4">
      <w:pPr>
        <w:pStyle w:val="3"/>
        <w:ind w:left="420"/>
        <w:rPr>
          <w:rFonts w:eastAsia="楷体_GB2312"/>
          <w:b w:val="0"/>
          <w:sz w:val="21"/>
          <w:szCs w:val="21"/>
        </w:rPr>
      </w:pPr>
      <w:bookmarkStart w:id="206" w:name="_Toc211243315"/>
      <w:bookmarkStart w:id="207" w:name="_Toc29740"/>
      <w:bookmarkStart w:id="208" w:name="_Toc28399"/>
      <w:bookmarkStart w:id="209" w:name="_Toc2118"/>
      <w:bookmarkStart w:id="210" w:name="_Toc17146"/>
      <w:bookmarkStart w:id="211" w:name="_Toc496002353"/>
      <w:bookmarkStart w:id="212" w:name="_Toc13052"/>
      <w:bookmarkStart w:id="213" w:name="_Toc236803110"/>
      <w:r>
        <w:rPr>
          <w:rFonts w:hint="eastAsia" w:ascii="楷体_GB2312" w:hAnsi="宋体" w:eastAsia="楷体_GB2312"/>
          <w:b w:val="0"/>
          <w:sz w:val="21"/>
          <w:szCs w:val="21"/>
        </w:rPr>
        <w:t>格式</w:t>
      </w:r>
      <w:r>
        <w:rPr>
          <w:rFonts w:eastAsia="楷体_GB2312"/>
          <w:b w:val="0"/>
          <w:sz w:val="21"/>
          <w:szCs w:val="21"/>
        </w:rPr>
        <w:t>1.</w:t>
      </w:r>
      <w:bookmarkEnd w:id="206"/>
      <w:r>
        <w:rPr>
          <w:rFonts w:hint="eastAsia" w:eastAsia="楷体_GB2312"/>
          <w:b w:val="0"/>
          <w:sz w:val="21"/>
          <w:szCs w:val="21"/>
        </w:rPr>
        <w:t>投标书</w:t>
      </w:r>
      <w:bookmarkEnd w:id="207"/>
      <w:bookmarkEnd w:id="208"/>
      <w:bookmarkEnd w:id="209"/>
      <w:bookmarkEnd w:id="210"/>
      <w:bookmarkEnd w:id="211"/>
      <w:bookmarkEnd w:id="212"/>
      <w:bookmarkEnd w:id="213"/>
    </w:p>
    <w:p w14:paraId="53F95567">
      <w:pPr>
        <w:spacing w:before="120" w:after="240"/>
        <w:ind w:firstLine="482"/>
        <w:jc w:val="center"/>
        <w:rPr>
          <w:rFonts w:ascii="黑体" w:eastAsia="黑体"/>
          <w:sz w:val="30"/>
          <w:szCs w:val="30"/>
        </w:rPr>
      </w:pPr>
      <w:bookmarkStart w:id="214" w:name="_Toc211248410"/>
      <w:bookmarkStart w:id="215" w:name="_Toc8855"/>
      <w:r>
        <w:rPr>
          <w:rFonts w:hint="eastAsia" w:ascii="黑体" w:hAnsi="宋体" w:eastAsia="黑体"/>
          <w:sz w:val="30"/>
          <w:szCs w:val="30"/>
        </w:rPr>
        <w:t>投标书</w:t>
      </w:r>
      <w:bookmarkEnd w:id="214"/>
      <w:bookmarkEnd w:id="215"/>
    </w:p>
    <w:p w14:paraId="77B4D063">
      <w:pPr>
        <w:spacing w:line="400" w:lineRule="exact"/>
        <w:rPr>
          <w:szCs w:val="21"/>
          <w:u w:val="single"/>
        </w:rPr>
      </w:pPr>
      <w:r>
        <w:rPr>
          <w:rFonts w:hint="eastAsia" w:hAnsi="宋体"/>
          <w:szCs w:val="21"/>
        </w:rPr>
        <w:t>致：</w:t>
      </w:r>
      <w:r>
        <w:rPr>
          <w:rFonts w:hint="eastAsia" w:hAnsi="宋体"/>
          <w:b/>
          <w:szCs w:val="21"/>
          <w:u w:val="single"/>
        </w:rPr>
        <w:t>（）</w:t>
      </w:r>
    </w:p>
    <w:p w14:paraId="7D6BB4EE">
      <w:pPr>
        <w:spacing w:line="400" w:lineRule="exact"/>
        <w:ind w:firstLine="560"/>
        <w:rPr>
          <w:szCs w:val="21"/>
        </w:rPr>
      </w:pPr>
      <w:r>
        <w:rPr>
          <w:rFonts w:hint="eastAsia" w:hAnsi="宋体"/>
          <w:szCs w:val="21"/>
        </w:rPr>
        <w:t>根据贵方为</w:t>
      </w:r>
      <w:r>
        <w:rPr>
          <w:rFonts w:hint="eastAsia" w:hAnsi="宋体"/>
          <w:b/>
          <w:szCs w:val="21"/>
          <w:u w:val="single"/>
        </w:rPr>
        <w:t>（）</w:t>
      </w:r>
      <w:r>
        <w:rPr>
          <w:rFonts w:hint="eastAsia" w:hAnsi="宋体"/>
          <w:szCs w:val="21"/>
        </w:rPr>
        <w:t>项目招标采购货物及服务的投标邀请</w:t>
      </w:r>
      <w:r>
        <w:rPr>
          <w:rFonts w:hint="eastAsia" w:hAnsi="宋体"/>
          <w:b/>
          <w:szCs w:val="21"/>
          <w:u w:val="single"/>
        </w:rPr>
        <w:t>（）</w:t>
      </w:r>
      <w:r>
        <w:rPr>
          <w:rFonts w:hint="eastAsia" w:hAnsi="宋体"/>
          <w:szCs w:val="21"/>
        </w:rPr>
        <w:t>，签字代表</w:t>
      </w:r>
      <w:r>
        <w:rPr>
          <w:rFonts w:hint="eastAsia" w:hAnsi="宋体"/>
          <w:i/>
          <w:szCs w:val="21"/>
          <w:u w:val="single"/>
        </w:rPr>
        <w:t>（姓名、职务）</w:t>
      </w:r>
      <w:r>
        <w:rPr>
          <w:rFonts w:hint="eastAsia" w:hAnsi="宋体"/>
          <w:szCs w:val="21"/>
        </w:rPr>
        <w:t>经正式授权并代表投标方</w:t>
      </w:r>
      <w:r>
        <w:rPr>
          <w:rFonts w:hint="eastAsia" w:hAnsi="宋体"/>
          <w:i/>
          <w:szCs w:val="21"/>
          <w:u w:val="single"/>
        </w:rPr>
        <w:t>（投标方名称、地址）</w:t>
      </w:r>
      <w:r>
        <w:rPr>
          <w:rFonts w:hint="eastAsia" w:hAnsi="宋体"/>
          <w:szCs w:val="21"/>
        </w:rPr>
        <w:t>提交：</w:t>
      </w:r>
    </w:p>
    <w:p w14:paraId="15D2A924">
      <w:pPr>
        <w:spacing w:line="400" w:lineRule="exact"/>
        <w:rPr>
          <w:b/>
          <w:szCs w:val="21"/>
        </w:rPr>
      </w:pPr>
      <w:bookmarkStart w:id="216" w:name="_Toc14853"/>
      <w:r>
        <w:rPr>
          <w:rFonts w:hint="eastAsia" w:hAnsi="宋体"/>
          <w:b/>
          <w:szCs w:val="21"/>
        </w:rPr>
        <w:t>一、投标文件</w:t>
      </w:r>
      <w:r>
        <w:rPr>
          <w:rFonts w:hint="eastAsia" w:hAnsi="宋体"/>
          <w:szCs w:val="21"/>
        </w:rPr>
        <w:t>（正本一份及副本份）：</w:t>
      </w:r>
      <w:bookmarkEnd w:id="216"/>
    </w:p>
    <w:p w14:paraId="1A70FF6B">
      <w:pPr>
        <w:spacing w:line="400" w:lineRule="exact"/>
        <w:ind w:firstLine="560"/>
        <w:rPr>
          <w:szCs w:val="21"/>
        </w:rPr>
      </w:pPr>
      <w:r>
        <w:rPr>
          <w:rFonts w:hint="eastAsia" w:hAnsi="宋体"/>
          <w:szCs w:val="21"/>
        </w:rPr>
        <w:t>应至少包括以下文件：</w:t>
      </w:r>
    </w:p>
    <w:p w14:paraId="4E10B857">
      <w:pPr>
        <w:adjustRightInd w:val="0"/>
        <w:snapToGrid w:val="0"/>
        <w:spacing w:line="400" w:lineRule="exact"/>
        <w:ind w:left="539"/>
        <w:rPr>
          <w:szCs w:val="21"/>
        </w:rPr>
      </w:pPr>
      <w:r>
        <w:rPr>
          <w:szCs w:val="21"/>
        </w:rPr>
        <w:t>1</w:t>
      </w:r>
      <w:r>
        <w:rPr>
          <w:rFonts w:hint="eastAsia"/>
          <w:szCs w:val="21"/>
        </w:rPr>
        <w:t>）</w:t>
      </w:r>
      <w:r>
        <w:rPr>
          <w:rFonts w:hint="eastAsia" w:hAnsi="宋体"/>
          <w:szCs w:val="21"/>
        </w:rPr>
        <w:t>投标书；</w:t>
      </w:r>
    </w:p>
    <w:p w14:paraId="70C22850">
      <w:pPr>
        <w:adjustRightInd w:val="0"/>
        <w:snapToGrid w:val="0"/>
        <w:spacing w:line="400" w:lineRule="exact"/>
        <w:ind w:left="539"/>
        <w:rPr>
          <w:szCs w:val="21"/>
        </w:rPr>
      </w:pPr>
      <w:r>
        <w:rPr>
          <w:szCs w:val="21"/>
        </w:rPr>
        <w:t>2</w:t>
      </w:r>
      <w:r>
        <w:rPr>
          <w:rFonts w:hint="eastAsia"/>
          <w:szCs w:val="21"/>
        </w:rPr>
        <w:t>）</w:t>
      </w:r>
      <w:r>
        <w:rPr>
          <w:rFonts w:hint="eastAsia" w:hAnsi="宋体"/>
          <w:szCs w:val="21"/>
        </w:rPr>
        <w:t>投标一览表；</w:t>
      </w:r>
    </w:p>
    <w:p w14:paraId="70B1A74B">
      <w:pPr>
        <w:adjustRightInd w:val="0"/>
        <w:snapToGrid w:val="0"/>
        <w:spacing w:line="400" w:lineRule="exact"/>
        <w:ind w:left="539"/>
        <w:rPr>
          <w:szCs w:val="21"/>
        </w:rPr>
      </w:pPr>
      <w:r>
        <w:rPr>
          <w:szCs w:val="21"/>
        </w:rPr>
        <w:t>3</w:t>
      </w:r>
      <w:r>
        <w:rPr>
          <w:rFonts w:hint="eastAsia"/>
          <w:szCs w:val="21"/>
        </w:rPr>
        <w:t>）</w:t>
      </w:r>
      <w:r>
        <w:rPr>
          <w:rFonts w:hint="eastAsia" w:hAnsi="宋体"/>
          <w:szCs w:val="21"/>
        </w:rPr>
        <w:t>投标分项报价表；</w:t>
      </w:r>
    </w:p>
    <w:p w14:paraId="7195E858">
      <w:pPr>
        <w:adjustRightInd w:val="0"/>
        <w:snapToGrid w:val="0"/>
        <w:spacing w:line="400" w:lineRule="exact"/>
        <w:ind w:left="539"/>
        <w:rPr>
          <w:rFonts w:hAnsi="宋体"/>
          <w:szCs w:val="21"/>
        </w:rPr>
      </w:pPr>
      <w:r>
        <w:rPr>
          <w:szCs w:val="21"/>
        </w:rPr>
        <w:t>4</w:t>
      </w:r>
      <w:r>
        <w:rPr>
          <w:rFonts w:hint="eastAsia"/>
          <w:szCs w:val="21"/>
        </w:rPr>
        <w:t>）</w:t>
      </w:r>
      <w:r>
        <w:rPr>
          <w:rFonts w:hint="eastAsia" w:hAnsi="宋体"/>
          <w:szCs w:val="21"/>
        </w:rPr>
        <w:t>货物说明一览表；</w:t>
      </w:r>
    </w:p>
    <w:p w14:paraId="2DD90983">
      <w:pPr>
        <w:adjustRightInd w:val="0"/>
        <w:snapToGrid w:val="0"/>
        <w:spacing w:line="400" w:lineRule="exact"/>
        <w:ind w:left="539"/>
        <w:rPr>
          <w:szCs w:val="21"/>
        </w:rPr>
      </w:pPr>
      <w:r>
        <w:rPr>
          <w:szCs w:val="28"/>
        </w:rPr>
        <w:t>5</w:t>
      </w:r>
      <w:r>
        <w:rPr>
          <w:rFonts w:hint="eastAsia"/>
          <w:szCs w:val="28"/>
        </w:rPr>
        <w:t>）技术性能参数的详细描述；</w:t>
      </w:r>
    </w:p>
    <w:p w14:paraId="3EEF7AC9">
      <w:pPr>
        <w:adjustRightInd w:val="0"/>
        <w:snapToGrid w:val="0"/>
        <w:spacing w:line="400" w:lineRule="exact"/>
        <w:ind w:left="539"/>
        <w:rPr>
          <w:szCs w:val="21"/>
        </w:rPr>
      </w:pPr>
      <w:r>
        <w:rPr>
          <w:szCs w:val="21"/>
        </w:rPr>
        <w:t>6</w:t>
      </w:r>
      <w:r>
        <w:rPr>
          <w:rFonts w:hint="eastAsia"/>
          <w:szCs w:val="21"/>
        </w:rPr>
        <w:t>）</w:t>
      </w:r>
      <w:r>
        <w:rPr>
          <w:rFonts w:hint="eastAsia" w:hAnsi="宋体"/>
          <w:szCs w:val="21"/>
        </w:rPr>
        <w:t>技术规格响应</w:t>
      </w:r>
      <w:r>
        <w:rPr>
          <w:rFonts w:hAnsi="宋体"/>
          <w:szCs w:val="21"/>
        </w:rPr>
        <w:t>/</w:t>
      </w:r>
      <w:r>
        <w:rPr>
          <w:rFonts w:hint="eastAsia" w:hAnsi="宋体"/>
          <w:szCs w:val="21"/>
        </w:rPr>
        <w:t>偏离表；</w:t>
      </w:r>
    </w:p>
    <w:p w14:paraId="57FE814E">
      <w:pPr>
        <w:adjustRightInd w:val="0"/>
        <w:snapToGrid w:val="0"/>
        <w:spacing w:line="400" w:lineRule="exact"/>
        <w:ind w:left="539"/>
        <w:rPr>
          <w:rFonts w:hAnsi="宋体"/>
          <w:szCs w:val="21"/>
        </w:rPr>
      </w:pPr>
      <w:r>
        <w:rPr>
          <w:szCs w:val="21"/>
        </w:rPr>
        <w:t>7</w:t>
      </w:r>
      <w:r>
        <w:rPr>
          <w:rFonts w:hint="eastAsia"/>
          <w:szCs w:val="21"/>
        </w:rPr>
        <w:t>）</w:t>
      </w:r>
      <w:r>
        <w:rPr>
          <w:rFonts w:hint="eastAsia" w:hAnsi="宋体"/>
          <w:szCs w:val="21"/>
        </w:rPr>
        <w:t>商务条款响应</w:t>
      </w:r>
      <w:r>
        <w:rPr>
          <w:rFonts w:hAnsi="宋体"/>
          <w:szCs w:val="21"/>
        </w:rPr>
        <w:t>/</w:t>
      </w:r>
      <w:r>
        <w:rPr>
          <w:rFonts w:hint="eastAsia" w:hAnsi="宋体"/>
          <w:szCs w:val="21"/>
        </w:rPr>
        <w:t>偏离表；</w:t>
      </w:r>
    </w:p>
    <w:p w14:paraId="65920EA0">
      <w:pPr>
        <w:adjustRightInd w:val="0"/>
        <w:snapToGrid w:val="0"/>
        <w:spacing w:line="400" w:lineRule="exact"/>
        <w:ind w:left="539"/>
        <w:rPr>
          <w:szCs w:val="28"/>
        </w:rPr>
      </w:pPr>
      <w:r>
        <w:rPr>
          <w:szCs w:val="21"/>
        </w:rPr>
        <w:t>8</w:t>
      </w:r>
      <w:r>
        <w:rPr>
          <w:rFonts w:hint="eastAsia"/>
          <w:szCs w:val="21"/>
        </w:rPr>
        <w:t>）</w:t>
      </w:r>
      <w:r>
        <w:rPr>
          <w:rFonts w:hint="eastAsia"/>
          <w:szCs w:val="28"/>
        </w:rPr>
        <w:t>公司情况介绍；</w:t>
      </w:r>
    </w:p>
    <w:p w14:paraId="6122C962">
      <w:pPr>
        <w:adjustRightInd w:val="0"/>
        <w:snapToGrid w:val="0"/>
        <w:spacing w:line="400" w:lineRule="exact"/>
        <w:ind w:left="539"/>
        <w:rPr>
          <w:rFonts w:hAnsi="宋体"/>
          <w:szCs w:val="21"/>
        </w:rPr>
      </w:pPr>
      <w:r>
        <w:rPr>
          <w:szCs w:val="21"/>
        </w:rPr>
        <w:t>9</w:t>
      </w:r>
      <w:r>
        <w:rPr>
          <w:rFonts w:hint="eastAsia"/>
          <w:szCs w:val="21"/>
        </w:rPr>
        <w:t>）</w:t>
      </w:r>
      <w:r>
        <w:rPr>
          <w:rFonts w:hint="eastAsia" w:hAnsi="宋体"/>
          <w:szCs w:val="21"/>
        </w:rPr>
        <w:t>售后服务计划；</w:t>
      </w:r>
    </w:p>
    <w:p w14:paraId="7F937B75">
      <w:pPr>
        <w:adjustRightInd w:val="0"/>
        <w:snapToGrid w:val="0"/>
        <w:spacing w:line="400" w:lineRule="exact"/>
        <w:ind w:left="539"/>
        <w:rPr>
          <w:rFonts w:hAnsi="宋体"/>
          <w:szCs w:val="21"/>
        </w:rPr>
      </w:pPr>
      <w:r>
        <w:rPr>
          <w:rFonts w:hAnsi="宋体"/>
          <w:szCs w:val="21"/>
        </w:rPr>
        <w:t>10</w:t>
      </w:r>
      <w:r>
        <w:rPr>
          <w:rFonts w:hint="eastAsia" w:hAnsi="宋体"/>
          <w:szCs w:val="21"/>
        </w:rPr>
        <w:t>）法定代表人证明书；</w:t>
      </w:r>
    </w:p>
    <w:p w14:paraId="7221D28D">
      <w:pPr>
        <w:adjustRightInd w:val="0"/>
        <w:snapToGrid w:val="0"/>
        <w:spacing w:line="400" w:lineRule="exact"/>
        <w:ind w:left="539"/>
        <w:rPr>
          <w:szCs w:val="21"/>
        </w:rPr>
      </w:pPr>
      <w:r>
        <w:rPr>
          <w:szCs w:val="21"/>
        </w:rPr>
        <w:t>11</w:t>
      </w:r>
      <w:r>
        <w:rPr>
          <w:rFonts w:hint="eastAsia"/>
          <w:szCs w:val="21"/>
        </w:rPr>
        <w:t>）法定代表人授权书；</w:t>
      </w:r>
    </w:p>
    <w:p w14:paraId="00F9882A">
      <w:pPr>
        <w:adjustRightInd w:val="0"/>
        <w:snapToGrid w:val="0"/>
        <w:spacing w:line="400" w:lineRule="exact"/>
        <w:ind w:left="539"/>
        <w:rPr>
          <w:szCs w:val="21"/>
        </w:rPr>
      </w:pPr>
      <w:r>
        <w:rPr>
          <w:rFonts w:hint="eastAsia"/>
          <w:szCs w:val="21"/>
          <w:lang w:eastAsia="zh-CN"/>
        </w:rPr>
        <w:t>12）</w:t>
      </w:r>
      <w:r>
        <w:rPr>
          <w:szCs w:val="21"/>
        </w:rPr>
        <w:t xml:space="preserve"> </w:t>
      </w:r>
      <w:r>
        <w:rPr>
          <w:rFonts w:hint="eastAsia" w:hAnsi="宋体"/>
          <w:szCs w:val="21"/>
        </w:rPr>
        <w:t>资格证明文件；</w:t>
      </w:r>
    </w:p>
    <w:p w14:paraId="360E4AEF">
      <w:pPr>
        <w:adjustRightInd w:val="0"/>
        <w:snapToGrid w:val="0"/>
        <w:spacing w:line="400" w:lineRule="exact"/>
        <w:rPr>
          <w:b/>
          <w:szCs w:val="21"/>
        </w:rPr>
      </w:pPr>
      <w:bookmarkStart w:id="217" w:name="_Toc17143"/>
      <w:r>
        <w:rPr>
          <w:rFonts w:hint="eastAsia" w:hAnsi="宋体"/>
          <w:b/>
          <w:szCs w:val="21"/>
        </w:rPr>
        <w:t>二、投标文件附件（一份）</w:t>
      </w:r>
      <w:bookmarkEnd w:id="217"/>
    </w:p>
    <w:p w14:paraId="4459042C">
      <w:pPr>
        <w:adjustRightInd w:val="0"/>
        <w:snapToGrid w:val="0"/>
        <w:spacing w:line="400" w:lineRule="exact"/>
        <w:ind w:left="539"/>
        <w:rPr>
          <w:szCs w:val="21"/>
        </w:rPr>
      </w:pPr>
      <w:r>
        <w:rPr>
          <w:rFonts w:hint="eastAsia"/>
          <w:szCs w:val="21"/>
          <w:lang w:eastAsia="zh-CN"/>
        </w:rPr>
        <w:t>1）</w:t>
      </w:r>
      <w:r>
        <w:rPr>
          <w:szCs w:val="21"/>
        </w:rPr>
        <w:t xml:space="preserve"> </w:t>
      </w:r>
      <w:r>
        <w:rPr>
          <w:rFonts w:hint="eastAsia" w:hAnsi="宋体"/>
          <w:szCs w:val="21"/>
        </w:rPr>
        <w:t>投标一览表、投标文件电子文档（只读U盘）；</w:t>
      </w:r>
    </w:p>
    <w:p w14:paraId="63A22BEB">
      <w:pPr>
        <w:adjustRightInd w:val="0"/>
        <w:snapToGrid w:val="0"/>
        <w:spacing w:line="400" w:lineRule="exact"/>
        <w:rPr>
          <w:b/>
          <w:szCs w:val="21"/>
        </w:rPr>
      </w:pPr>
      <w:bookmarkStart w:id="218" w:name="_Toc18207"/>
      <w:r>
        <w:rPr>
          <w:rFonts w:hint="eastAsia" w:hAnsi="宋体"/>
          <w:b/>
          <w:szCs w:val="21"/>
        </w:rPr>
        <w:t>三、招标文件有要求或投标方认为有必要提供的下述资料：</w:t>
      </w:r>
      <w:bookmarkEnd w:id="218"/>
    </w:p>
    <w:p w14:paraId="40E48EE1">
      <w:pPr>
        <w:adjustRightInd w:val="0"/>
        <w:snapToGrid w:val="0"/>
        <w:spacing w:line="400" w:lineRule="exact"/>
        <w:ind w:left="420"/>
        <w:rPr>
          <w:szCs w:val="21"/>
        </w:rPr>
      </w:pPr>
      <w:r>
        <w:rPr>
          <w:rFonts w:hint="eastAsia"/>
          <w:szCs w:val="21"/>
        </w:rPr>
        <w:t>按招标文件投标方须知和技术规格要求提供</w:t>
      </w:r>
      <w:r>
        <w:rPr>
          <w:rFonts w:hint="eastAsia"/>
          <w:szCs w:val="21"/>
          <w:lang w:eastAsia="zh-CN"/>
        </w:rPr>
        <w:t>的其他有关</w:t>
      </w:r>
      <w:r>
        <w:rPr>
          <w:rFonts w:hint="eastAsia"/>
          <w:szCs w:val="21"/>
        </w:rPr>
        <w:t>文件</w:t>
      </w:r>
      <w:r>
        <w:rPr>
          <w:rFonts w:hint="eastAsia" w:hAnsi="宋体"/>
          <w:szCs w:val="21"/>
        </w:rPr>
        <w:t>和证明资料，如制造商出具的产品中文说明书和样本等。</w:t>
      </w:r>
    </w:p>
    <w:p w14:paraId="134062E1">
      <w:pPr>
        <w:spacing w:line="400" w:lineRule="exact"/>
        <w:ind w:firstLine="420"/>
        <w:rPr>
          <w:szCs w:val="21"/>
        </w:rPr>
      </w:pPr>
      <w:r>
        <w:rPr>
          <w:rFonts w:hint="eastAsia" w:hAnsi="宋体"/>
          <w:szCs w:val="21"/>
        </w:rPr>
        <w:t>据此函，签字代表宣布同意如下：</w:t>
      </w:r>
    </w:p>
    <w:p w14:paraId="34670311">
      <w:pPr>
        <w:spacing w:line="400" w:lineRule="exact"/>
        <w:ind w:firstLine="525"/>
        <w:rPr>
          <w:i/>
          <w:szCs w:val="21"/>
        </w:rPr>
      </w:pPr>
      <w:r>
        <w:rPr>
          <w:rFonts w:hAnsi="宋体"/>
          <w:szCs w:val="21"/>
        </w:rPr>
        <w:t xml:space="preserve">1. </w:t>
      </w:r>
      <w:r>
        <w:rPr>
          <w:rFonts w:hint="eastAsia" w:hAnsi="宋体"/>
          <w:szCs w:val="21"/>
        </w:rPr>
        <w:t>所附投标分项报价表中规定的应提交和交付的货物投标总价为</w:t>
      </w:r>
      <w:r>
        <w:rPr>
          <w:rFonts w:hint="eastAsia" w:hAnsi="宋体"/>
          <w:i/>
          <w:szCs w:val="21"/>
          <w:u w:val="single"/>
        </w:rPr>
        <w:t>（注明币种，并用</w:t>
      </w:r>
    </w:p>
    <w:p w14:paraId="36C52BF9">
      <w:pPr>
        <w:spacing w:line="400" w:lineRule="exact"/>
        <w:ind w:firstLine="840"/>
        <w:rPr>
          <w:i/>
          <w:szCs w:val="21"/>
        </w:rPr>
      </w:pPr>
      <w:r>
        <w:rPr>
          <w:rFonts w:hint="eastAsia" w:hAnsi="宋体"/>
          <w:i/>
          <w:szCs w:val="21"/>
          <w:u w:val="single"/>
        </w:rPr>
        <w:t>文字和数字表示的投标总价）</w:t>
      </w:r>
      <w:r>
        <w:rPr>
          <w:rFonts w:hint="eastAsia" w:hAnsi="宋体"/>
          <w:i/>
          <w:szCs w:val="21"/>
        </w:rPr>
        <w:t>。</w:t>
      </w:r>
    </w:p>
    <w:p w14:paraId="501D7BD4">
      <w:pPr>
        <w:spacing w:line="400" w:lineRule="exact"/>
        <w:ind w:firstLine="525"/>
        <w:rPr>
          <w:szCs w:val="21"/>
        </w:rPr>
      </w:pPr>
      <w:r>
        <w:rPr>
          <w:rFonts w:hAnsi="宋体"/>
          <w:szCs w:val="21"/>
        </w:rPr>
        <w:t xml:space="preserve">2. </w:t>
      </w:r>
      <w:r>
        <w:rPr>
          <w:rFonts w:hint="eastAsia" w:hAnsi="宋体"/>
          <w:szCs w:val="21"/>
        </w:rPr>
        <w:t>投标方将按招标文件的规定履行合同责任和义务。</w:t>
      </w:r>
    </w:p>
    <w:p w14:paraId="1160BC52">
      <w:pPr>
        <w:spacing w:line="400" w:lineRule="exact"/>
        <w:ind w:firstLine="525"/>
        <w:rPr>
          <w:szCs w:val="21"/>
        </w:rPr>
      </w:pPr>
      <w:r>
        <w:rPr>
          <w:rFonts w:hAnsi="宋体"/>
          <w:szCs w:val="21"/>
        </w:rPr>
        <w:t xml:space="preserve">3. </w:t>
      </w:r>
      <w:r>
        <w:rPr>
          <w:rFonts w:hint="eastAsia" w:hAnsi="宋体"/>
          <w:szCs w:val="21"/>
        </w:rPr>
        <w:t>投标方已详细审查全部招标文件，包括第</w:t>
      </w:r>
      <w:r>
        <w:rPr>
          <w:rFonts w:hint="eastAsia" w:hAnsi="宋体"/>
          <w:i/>
          <w:szCs w:val="21"/>
          <w:u w:val="single"/>
        </w:rPr>
        <w:t>（编号、补遗书）（如果有的话）</w:t>
      </w:r>
      <w:r>
        <w:rPr>
          <w:rFonts w:hint="eastAsia" w:hAnsi="宋体"/>
          <w:szCs w:val="21"/>
        </w:rPr>
        <w:t>。我们</w:t>
      </w:r>
    </w:p>
    <w:p w14:paraId="02C6EE15">
      <w:pPr>
        <w:spacing w:line="400" w:lineRule="exact"/>
        <w:ind w:firstLine="805"/>
        <w:rPr>
          <w:szCs w:val="21"/>
        </w:rPr>
      </w:pPr>
      <w:r>
        <w:rPr>
          <w:rFonts w:hint="eastAsia" w:hAnsi="宋体"/>
          <w:szCs w:val="21"/>
        </w:rPr>
        <w:t>完全理解并同意放弃对这方面有不明及误解的权力。</w:t>
      </w:r>
    </w:p>
    <w:p w14:paraId="404A79B8">
      <w:pPr>
        <w:spacing w:line="400" w:lineRule="exact"/>
        <w:ind w:firstLine="525"/>
        <w:rPr>
          <w:szCs w:val="21"/>
        </w:rPr>
      </w:pPr>
      <w:r>
        <w:rPr>
          <w:rFonts w:hAnsi="宋体"/>
          <w:szCs w:val="21"/>
        </w:rPr>
        <w:t xml:space="preserve">4. </w:t>
      </w:r>
      <w:r>
        <w:rPr>
          <w:rFonts w:hint="eastAsia" w:hAnsi="宋体"/>
          <w:szCs w:val="21"/>
        </w:rPr>
        <w:t>本投标有效期为自开标日起九十个日历日。</w:t>
      </w:r>
    </w:p>
    <w:p w14:paraId="3F6484F0">
      <w:pPr>
        <w:spacing w:line="400" w:lineRule="exact"/>
        <w:ind w:left="811" w:hanging="284"/>
        <w:rPr>
          <w:rFonts w:ascii="宋体"/>
          <w:spacing w:val="2"/>
        </w:rPr>
      </w:pPr>
      <w:r>
        <w:rPr>
          <w:rFonts w:hAnsi="宋体"/>
          <w:szCs w:val="21"/>
        </w:rPr>
        <w:t xml:space="preserve">5. </w:t>
      </w:r>
      <w:r>
        <w:rPr>
          <w:rFonts w:hint="eastAsia" w:hAnsi="宋体"/>
          <w:szCs w:val="21"/>
        </w:rPr>
        <w:t>投标方同意提供贵方可能要求的与其投标有关的一切数据或资料。</w:t>
      </w:r>
      <w:r>
        <w:rPr>
          <w:rFonts w:hint="eastAsia" w:ascii="宋体" w:hAnsi="宋体"/>
          <w:spacing w:val="2"/>
        </w:rPr>
        <w:t>投标方完全理解贵方不一定接受最低价的投标或收到的任何投标。</w:t>
      </w:r>
    </w:p>
    <w:p w14:paraId="32CC5D4F">
      <w:pPr>
        <w:spacing w:line="400" w:lineRule="exact"/>
        <w:ind w:firstLine="525"/>
        <w:rPr>
          <w:szCs w:val="21"/>
        </w:rPr>
      </w:pPr>
      <w:r>
        <w:rPr>
          <w:szCs w:val="21"/>
        </w:rPr>
        <w:t xml:space="preserve">6. </w:t>
      </w:r>
      <w:r>
        <w:rPr>
          <w:rFonts w:hint="eastAsia" w:hAnsi="宋体"/>
          <w:szCs w:val="21"/>
        </w:rPr>
        <w:t>与本投标有关的一切正式信函请寄：</w:t>
      </w:r>
    </w:p>
    <w:p w14:paraId="6B4C8E11">
      <w:pPr>
        <w:spacing w:line="400" w:lineRule="exact"/>
        <w:ind w:firstLine="840"/>
        <w:rPr>
          <w:szCs w:val="21"/>
        </w:rPr>
      </w:pPr>
      <w:r>
        <w:rPr>
          <w:rFonts w:hint="eastAsia" w:hAnsi="宋体"/>
          <w:szCs w:val="21"/>
        </w:rPr>
        <w:t>地址：</w:t>
      </w:r>
    </w:p>
    <w:p w14:paraId="1AAE9B1E">
      <w:pPr>
        <w:spacing w:line="400" w:lineRule="exact"/>
        <w:ind w:firstLine="840"/>
        <w:rPr>
          <w:szCs w:val="21"/>
        </w:rPr>
      </w:pPr>
      <w:r>
        <w:rPr>
          <w:rFonts w:hint="eastAsia" w:hAnsi="宋体"/>
          <w:szCs w:val="21"/>
        </w:rPr>
        <w:t>电话：                                传真：</w:t>
      </w:r>
    </w:p>
    <w:p w14:paraId="4A4ED094">
      <w:pPr>
        <w:spacing w:line="400" w:lineRule="exact"/>
        <w:ind w:firstLine="840"/>
        <w:rPr>
          <w:szCs w:val="21"/>
        </w:rPr>
      </w:pPr>
      <w:r>
        <w:rPr>
          <w:rFonts w:hint="eastAsia" w:hAnsi="宋体"/>
          <w:szCs w:val="21"/>
        </w:rPr>
        <w:t>电子邮件：</w:t>
      </w:r>
    </w:p>
    <w:p w14:paraId="4D6D9855">
      <w:pPr>
        <w:spacing w:line="400" w:lineRule="exact"/>
        <w:ind w:firstLine="560"/>
        <w:rPr>
          <w:szCs w:val="21"/>
        </w:rPr>
      </w:pPr>
    </w:p>
    <w:p w14:paraId="3E54E644">
      <w:pPr>
        <w:spacing w:line="400" w:lineRule="exact"/>
        <w:ind w:firstLine="630"/>
        <w:rPr>
          <w:szCs w:val="21"/>
        </w:rPr>
      </w:pPr>
      <w:r>
        <w:rPr>
          <w:rFonts w:hint="eastAsia" w:hAnsi="宋体"/>
          <w:szCs w:val="21"/>
        </w:rPr>
        <w:t>投标方代表签字：</w:t>
      </w:r>
    </w:p>
    <w:p w14:paraId="0FD4309D">
      <w:pPr>
        <w:spacing w:line="400" w:lineRule="exact"/>
        <w:ind w:firstLine="630"/>
        <w:rPr>
          <w:rFonts w:hAnsi="宋体"/>
          <w:szCs w:val="21"/>
        </w:rPr>
      </w:pPr>
    </w:p>
    <w:p w14:paraId="61A6A818">
      <w:pPr>
        <w:spacing w:line="400" w:lineRule="exact"/>
        <w:ind w:firstLine="630"/>
        <w:rPr>
          <w:szCs w:val="21"/>
        </w:rPr>
      </w:pPr>
      <w:r>
        <w:rPr>
          <w:rFonts w:hint="eastAsia" w:hAnsi="宋体"/>
          <w:szCs w:val="21"/>
        </w:rPr>
        <w:t>投标方名称：</w:t>
      </w:r>
    </w:p>
    <w:p w14:paraId="6AE020C8">
      <w:pPr>
        <w:spacing w:line="400" w:lineRule="exact"/>
        <w:ind w:firstLine="630"/>
        <w:rPr>
          <w:rFonts w:hAnsi="宋体"/>
          <w:szCs w:val="21"/>
        </w:rPr>
      </w:pPr>
    </w:p>
    <w:p w14:paraId="51290426">
      <w:pPr>
        <w:spacing w:line="400" w:lineRule="exact"/>
        <w:ind w:firstLine="630"/>
        <w:rPr>
          <w:szCs w:val="21"/>
        </w:rPr>
      </w:pPr>
      <w:r>
        <w:rPr>
          <w:rFonts w:hint="eastAsia" w:hAnsi="宋体"/>
          <w:szCs w:val="21"/>
        </w:rPr>
        <w:t>公章：</w:t>
      </w:r>
    </w:p>
    <w:p w14:paraId="74903817">
      <w:pPr>
        <w:spacing w:line="400" w:lineRule="exact"/>
        <w:ind w:firstLine="630"/>
        <w:rPr>
          <w:rFonts w:hAnsi="宋体"/>
          <w:szCs w:val="21"/>
        </w:rPr>
      </w:pPr>
    </w:p>
    <w:p w14:paraId="617A15ED">
      <w:pPr>
        <w:spacing w:line="400" w:lineRule="exact"/>
        <w:ind w:firstLine="630"/>
        <w:rPr>
          <w:szCs w:val="21"/>
        </w:rPr>
      </w:pPr>
      <w:r>
        <w:rPr>
          <w:rFonts w:hint="eastAsia" w:hAnsi="宋体"/>
          <w:szCs w:val="21"/>
        </w:rPr>
        <w:t>日期：</w:t>
      </w:r>
    </w:p>
    <w:p w14:paraId="2C8866C7">
      <w:pPr>
        <w:spacing w:line="360" w:lineRule="auto"/>
        <w:rPr>
          <w:szCs w:val="21"/>
        </w:rPr>
      </w:pPr>
    </w:p>
    <w:p w14:paraId="6DE09D6A">
      <w:pPr>
        <w:spacing w:line="360" w:lineRule="auto"/>
        <w:ind w:firstLine="560"/>
        <w:jc w:val="center"/>
        <w:rPr>
          <w:b/>
          <w:bCs/>
        </w:rPr>
        <w:sectPr>
          <w:headerReference r:id="rId7" w:type="default"/>
          <w:pgSz w:w="11907" w:h="16840"/>
          <w:pgMar w:top="1440" w:right="1797" w:bottom="1440" w:left="1797" w:header="851" w:footer="992" w:gutter="0"/>
          <w:cols w:space="720" w:num="1"/>
          <w:docGrid w:linePitch="462" w:charSpace="0"/>
        </w:sectPr>
      </w:pPr>
    </w:p>
    <w:p w14:paraId="37472C30">
      <w:pPr>
        <w:spacing w:before="120" w:after="240"/>
        <w:jc w:val="center"/>
        <w:rPr>
          <w:rFonts w:ascii="黑体" w:hAnsi="宋体" w:eastAsia="黑体"/>
          <w:sz w:val="30"/>
          <w:szCs w:val="30"/>
        </w:rPr>
      </w:pPr>
      <w:bookmarkStart w:id="219" w:name="_Toc211248412"/>
      <w:bookmarkStart w:id="220" w:name="_Toc8559"/>
      <w:bookmarkStart w:id="221" w:name="_Toc496002355"/>
      <w:bookmarkStart w:id="222" w:name="_Toc211243317"/>
      <w:bookmarkStart w:id="223" w:name="_Toc23430"/>
      <w:bookmarkStart w:id="224" w:name="_Toc15764"/>
      <w:bookmarkStart w:id="225" w:name="_Toc31362"/>
      <w:bookmarkStart w:id="226" w:name="_Toc2919"/>
      <w:r>
        <w:rPr>
          <w:rFonts w:hint="eastAsia" w:ascii="黑体" w:hAnsi="宋体" w:eastAsia="黑体"/>
          <w:sz w:val="30"/>
          <w:szCs w:val="30"/>
        </w:rPr>
        <w:t>投标一览表</w:t>
      </w:r>
      <w:bookmarkEnd w:id="219"/>
      <w:bookmarkEnd w:id="220"/>
    </w:p>
    <w:p w14:paraId="5CC88A13"/>
    <w:p w14:paraId="383DF028">
      <w:pPr>
        <w:tabs>
          <w:tab w:val="left" w:pos="654"/>
          <w:tab w:val="left" w:pos="1734"/>
          <w:tab w:val="left" w:pos="2814"/>
          <w:tab w:val="left" w:pos="3894"/>
          <w:tab w:val="left" w:pos="5334"/>
          <w:tab w:val="left" w:pos="6414"/>
          <w:tab w:val="left" w:pos="7254"/>
          <w:tab w:val="left" w:pos="8574"/>
          <w:tab w:val="left" w:pos="9654"/>
        </w:tabs>
        <w:spacing w:line="360" w:lineRule="auto"/>
        <w:rPr>
          <w:rFonts w:ascii="宋体" w:hAnsi="宋体"/>
          <w:color w:val="000000"/>
          <w:szCs w:val="21"/>
        </w:rPr>
      </w:pPr>
      <w:r>
        <w:rPr>
          <w:rFonts w:hint="eastAsia" w:hAnsi="宋体"/>
          <w:szCs w:val="21"/>
        </w:rPr>
        <w:t>项目名称：</w:t>
      </w:r>
      <w:r>
        <w:rPr>
          <w:rFonts w:hint="eastAsia" w:ascii="宋体" w:hAnsi="宋体" w:eastAsia="宋体" w:cs="宋体"/>
          <w:color w:val="auto"/>
          <w:sz w:val="21"/>
          <w:szCs w:val="21"/>
          <w:lang w:val="en-US" w:eastAsia="zh-CN"/>
        </w:rPr>
        <w:t>2026年度医疗废物周转桶采购项目</w:t>
      </w:r>
      <w:r>
        <w:rPr>
          <w:rFonts w:hint="eastAsia" w:ascii="宋体" w:hAnsi="宋体"/>
          <w:color w:val="000000"/>
          <w:szCs w:val="21"/>
        </w:rPr>
        <w:t xml:space="preserve">                         </w:t>
      </w:r>
    </w:p>
    <w:p w14:paraId="74C8CDF3">
      <w:pPr>
        <w:tabs>
          <w:tab w:val="left" w:pos="654"/>
          <w:tab w:val="left" w:pos="1734"/>
          <w:tab w:val="left" w:pos="2814"/>
          <w:tab w:val="left" w:pos="3894"/>
          <w:tab w:val="left" w:pos="5334"/>
          <w:tab w:val="left" w:pos="6414"/>
          <w:tab w:val="left" w:pos="7254"/>
          <w:tab w:val="left" w:pos="8574"/>
          <w:tab w:val="left" w:pos="9654"/>
        </w:tabs>
        <w:spacing w:line="360" w:lineRule="auto"/>
        <w:rPr>
          <w:rFonts w:hint="eastAsia" w:eastAsiaTheme="minorEastAsia"/>
          <w:szCs w:val="21"/>
          <w:lang w:eastAsia="zh-CN"/>
        </w:rPr>
      </w:pPr>
      <w:r>
        <w:rPr>
          <w:rFonts w:hint="eastAsia" w:ascii="宋体" w:hAnsi="宋体"/>
          <w:color w:val="000000"/>
          <w:szCs w:val="21"/>
        </w:rPr>
        <w:t>招标编号：</w:t>
      </w:r>
    </w:p>
    <w:tbl>
      <w:tblPr>
        <w:tblStyle w:val="21"/>
        <w:tblpPr w:leftFromText="180" w:rightFromText="180" w:vertAnchor="text" w:horzAnchor="page" w:tblpX="1130" w:tblpY="202"/>
        <w:tblOverlap w:val="never"/>
        <w:tblW w:w="10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690"/>
        <w:gridCol w:w="2307"/>
        <w:gridCol w:w="2160"/>
        <w:gridCol w:w="2982"/>
      </w:tblGrid>
      <w:tr w14:paraId="43A63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91" w:hRule="atLeast"/>
        </w:trPr>
        <w:tc>
          <w:tcPr>
            <w:tcW w:w="1298" w:type="dxa"/>
            <w:tcBorders>
              <w:top w:val="single" w:color="348C5D" w:sz="4" w:space="0"/>
              <w:left w:val="single" w:color="348C5D" w:sz="4" w:space="0"/>
              <w:bottom w:val="single" w:color="348C5D" w:sz="4" w:space="0"/>
              <w:right w:val="dotted" w:color="auto" w:sz="4" w:space="0"/>
            </w:tcBorders>
            <w:shd w:val="clear" w:color="auto" w:fill="6CBF95"/>
            <w:vAlign w:val="center"/>
          </w:tcPr>
          <w:p w14:paraId="2DA124E1">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rPr>
            </w:pPr>
            <w:r>
              <w:rPr>
                <w:rFonts w:hint="eastAsia" w:ascii="宋体" w:hAnsi="宋体"/>
                <w:color w:val="auto"/>
                <w:szCs w:val="21"/>
                <w:lang w:val="en-US" w:eastAsia="zh-CN"/>
              </w:rPr>
              <w:t>项目编</w:t>
            </w:r>
            <w:r>
              <w:rPr>
                <w:rFonts w:hint="eastAsia" w:ascii="宋体" w:hAnsi="宋体"/>
                <w:color w:val="auto"/>
                <w:szCs w:val="21"/>
              </w:rPr>
              <w:t>号</w:t>
            </w:r>
          </w:p>
        </w:tc>
        <w:tc>
          <w:tcPr>
            <w:tcW w:w="1690" w:type="dxa"/>
            <w:tcBorders>
              <w:top w:val="single" w:color="348C5D" w:sz="4" w:space="0"/>
              <w:left w:val="dotted" w:color="auto" w:sz="4" w:space="0"/>
              <w:bottom w:val="single" w:color="348C5D" w:sz="4" w:space="0"/>
              <w:right w:val="dotted" w:color="auto" w:sz="4" w:space="0"/>
            </w:tcBorders>
            <w:shd w:val="clear" w:color="auto" w:fill="6CBF95"/>
            <w:vAlign w:val="center"/>
          </w:tcPr>
          <w:p w14:paraId="6EEE8917">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rPr>
            </w:pPr>
            <w:r>
              <w:rPr>
                <w:rFonts w:hint="eastAsia" w:ascii="宋体" w:hAnsi="宋体"/>
                <w:color w:val="auto"/>
                <w:szCs w:val="21"/>
                <w:lang w:val="en-US" w:eastAsia="zh-CN"/>
              </w:rPr>
              <w:t>项目</w:t>
            </w:r>
            <w:r>
              <w:rPr>
                <w:rFonts w:hint="eastAsia" w:ascii="宋体" w:hAnsi="宋体"/>
                <w:color w:val="auto"/>
                <w:szCs w:val="21"/>
              </w:rPr>
              <w:t>名称</w:t>
            </w:r>
          </w:p>
        </w:tc>
        <w:tc>
          <w:tcPr>
            <w:tcW w:w="2307" w:type="dxa"/>
            <w:tcBorders>
              <w:top w:val="single" w:color="348C5D" w:sz="4" w:space="0"/>
              <w:left w:val="dotted" w:color="auto" w:sz="4" w:space="0"/>
              <w:bottom w:val="single" w:color="348C5D" w:sz="4" w:space="0"/>
              <w:right w:val="dotted" w:color="auto" w:sz="4" w:space="0"/>
            </w:tcBorders>
            <w:shd w:val="clear" w:color="auto" w:fill="6CBF95"/>
            <w:vAlign w:val="center"/>
          </w:tcPr>
          <w:p w14:paraId="613E4A83">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rPr>
            </w:pPr>
            <w:r>
              <w:rPr>
                <w:rFonts w:hint="eastAsia" w:ascii="宋体" w:hAnsi="宋体"/>
                <w:color w:val="auto"/>
                <w:szCs w:val="21"/>
              </w:rPr>
              <w:t>投标价</w:t>
            </w:r>
          </w:p>
          <w:p w14:paraId="3D10E25A">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lang w:eastAsia="zh-CN"/>
              </w:rPr>
            </w:pPr>
            <w:r>
              <w:rPr>
                <w:rFonts w:hint="eastAsia" w:ascii="宋体" w:hAnsi="宋体"/>
                <w:color w:val="auto"/>
                <w:szCs w:val="21"/>
                <w:lang w:eastAsia="zh-CN"/>
              </w:rPr>
              <w:t>（按</w:t>
            </w:r>
            <w:r>
              <w:rPr>
                <w:rFonts w:hint="eastAsia" w:ascii="宋体" w:hAnsi="宋体"/>
                <w:color w:val="auto"/>
                <w:szCs w:val="21"/>
              </w:rPr>
              <w:t>在项目基准价（固定单价）的基础上，按</w:t>
            </w:r>
            <w:r>
              <w:rPr>
                <w:rFonts w:hint="eastAsia" w:ascii="宋体" w:hAnsi="宋体"/>
                <w:color w:val="auto"/>
                <w:szCs w:val="21"/>
                <w:lang w:eastAsia="zh-CN"/>
              </w:rPr>
              <w:t>整体下浮比例</w:t>
            </w:r>
            <w:r>
              <w:rPr>
                <w:rFonts w:hint="eastAsia" w:ascii="宋体" w:hAnsi="宋体"/>
                <w:color w:val="auto"/>
                <w:szCs w:val="21"/>
                <w:lang w:val="en-US" w:eastAsia="zh-CN"/>
              </w:rPr>
              <w:t xml:space="preserve"> %</w:t>
            </w:r>
            <w:r>
              <w:rPr>
                <w:rFonts w:hint="eastAsia" w:ascii="宋体" w:hAnsi="宋体"/>
                <w:color w:val="auto"/>
                <w:szCs w:val="21"/>
              </w:rPr>
              <w:t>的方式进行报价</w:t>
            </w:r>
            <w:r>
              <w:rPr>
                <w:rFonts w:hint="eastAsia" w:ascii="宋体" w:hAnsi="宋体"/>
                <w:color w:val="auto"/>
                <w:szCs w:val="21"/>
                <w:lang w:eastAsia="zh-CN"/>
              </w:rPr>
              <w:t>）</w:t>
            </w:r>
          </w:p>
        </w:tc>
        <w:tc>
          <w:tcPr>
            <w:tcW w:w="2160" w:type="dxa"/>
            <w:tcBorders>
              <w:top w:val="single" w:color="348C5D" w:sz="4" w:space="0"/>
              <w:left w:val="dotted" w:color="auto" w:sz="4" w:space="0"/>
              <w:bottom w:val="single" w:color="348C5D" w:sz="4" w:space="0"/>
              <w:right w:val="dotted" w:color="auto" w:sz="4" w:space="0"/>
            </w:tcBorders>
            <w:shd w:val="clear" w:color="auto" w:fill="6CBF95"/>
            <w:vAlign w:val="center"/>
          </w:tcPr>
          <w:p w14:paraId="2657E820">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default" w:ascii="宋体" w:hAnsi="宋体" w:eastAsiaTheme="minorEastAsia"/>
                <w:color w:val="auto"/>
                <w:szCs w:val="21"/>
                <w:lang w:val="en-US" w:eastAsia="zh-CN"/>
              </w:rPr>
            </w:pPr>
            <w:r>
              <w:rPr>
                <w:rFonts w:hint="eastAsia" w:ascii="宋体" w:hAnsi="宋体"/>
                <w:color w:val="auto"/>
                <w:szCs w:val="21"/>
                <w:lang w:val="en-US" w:eastAsia="zh-CN"/>
              </w:rPr>
              <w:t>质保期</w:t>
            </w:r>
          </w:p>
        </w:tc>
        <w:tc>
          <w:tcPr>
            <w:tcW w:w="2982" w:type="dxa"/>
            <w:tcBorders>
              <w:top w:val="single" w:color="348C5D" w:sz="4" w:space="0"/>
              <w:left w:val="dotted" w:color="auto" w:sz="4" w:space="0"/>
              <w:bottom w:val="single" w:color="348C5D" w:sz="4" w:space="0"/>
              <w:right w:val="single" w:color="348C5D" w:sz="4" w:space="0"/>
            </w:tcBorders>
            <w:shd w:val="clear" w:color="auto" w:fill="6CBF95"/>
            <w:vAlign w:val="center"/>
          </w:tcPr>
          <w:p w14:paraId="058F0D56">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rPr>
            </w:pPr>
            <w:r>
              <w:rPr>
                <w:rFonts w:hint="eastAsia" w:ascii="宋体" w:hAnsi="宋体"/>
                <w:color w:val="auto"/>
                <w:szCs w:val="21"/>
              </w:rPr>
              <w:t>备注</w:t>
            </w:r>
          </w:p>
        </w:tc>
      </w:tr>
      <w:tr w14:paraId="705D6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52" w:hRule="atLeast"/>
        </w:trPr>
        <w:tc>
          <w:tcPr>
            <w:tcW w:w="1298" w:type="dxa"/>
            <w:tcBorders>
              <w:top w:val="single" w:color="348C5D" w:sz="4" w:space="0"/>
              <w:left w:val="single" w:color="348C5D" w:sz="4" w:space="0"/>
              <w:right w:val="dotted" w:color="auto" w:sz="4" w:space="0"/>
            </w:tcBorders>
            <w:shd w:val="clear" w:color="auto" w:fill="6CBF95"/>
          </w:tcPr>
          <w:p w14:paraId="4F4DF5A7">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default" w:ascii="宋体" w:hAnsi="宋体"/>
                <w:color w:val="auto"/>
                <w:szCs w:val="21"/>
                <w:lang w:val="en-US" w:eastAsia="zh-CN"/>
              </w:rPr>
            </w:pPr>
          </w:p>
        </w:tc>
        <w:tc>
          <w:tcPr>
            <w:tcW w:w="1690" w:type="dxa"/>
            <w:tcBorders>
              <w:top w:val="single" w:color="348C5D" w:sz="4" w:space="0"/>
              <w:left w:val="dotted" w:color="auto" w:sz="4" w:space="0"/>
              <w:right w:val="dotted" w:color="auto" w:sz="4" w:space="0"/>
            </w:tcBorders>
            <w:shd w:val="clear" w:color="auto" w:fill="D4EDE0"/>
          </w:tcPr>
          <w:p w14:paraId="26D21117">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default" w:ascii="宋体" w:hAnsi="宋体"/>
                <w:color w:val="auto"/>
                <w:szCs w:val="21"/>
                <w:lang w:val="en-US"/>
              </w:rPr>
            </w:pPr>
            <w:r>
              <w:rPr>
                <w:rFonts w:hint="eastAsia" w:ascii="宋体" w:hAnsi="宋体" w:eastAsia="宋体" w:cs="宋体"/>
                <w:color w:val="auto"/>
                <w:sz w:val="21"/>
                <w:szCs w:val="21"/>
                <w:lang w:val="en-US" w:eastAsia="zh-CN"/>
              </w:rPr>
              <w:t>2026年度医疗废物周转桶采购项目</w:t>
            </w:r>
          </w:p>
        </w:tc>
        <w:tc>
          <w:tcPr>
            <w:tcW w:w="2307" w:type="dxa"/>
            <w:tcBorders>
              <w:top w:val="single" w:color="348C5D" w:sz="4" w:space="0"/>
              <w:left w:val="dotted" w:color="auto" w:sz="4" w:space="0"/>
              <w:right w:val="dotted" w:color="auto" w:sz="4" w:space="0"/>
            </w:tcBorders>
            <w:shd w:val="clear" w:color="auto" w:fill="EDF8F2"/>
          </w:tcPr>
          <w:p w14:paraId="5A58D372">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FF0000"/>
                <w:szCs w:val="21"/>
                <w:lang w:val="en-US" w:eastAsia="zh-CN"/>
              </w:rPr>
            </w:pPr>
          </w:p>
          <w:p w14:paraId="7F5AF63F">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default" w:ascii="宋体" w:hAnsi="宋体"/>
                <w:color w:val="FF0000"/>
                <w:szCs w:val="21"/>
                <w:lang w:val="en-US" w:eastAsia="zh-CN"/>
              </w:rPr>
            </w:pPr>
            <w:r>
              <w:rPr>
                <w:rFonts w:hint="eastAsia" w:ascii="宋体" w:hAnsi="宋体"/>
                <w:color w:val="FF0000"/>
                <w:szCs w:val="21"/>
                <w:lang w:val="en-US" w:eastAsia="zh-CN"/>
              </w:rPr>
              <w:t>整体下浮比例为   %。</w:t>
            </w:r>
          </w:p>
        </w:tc>
        <w:tc>
          <w:tcPr>
            <w:tcW w:w="2160" w:type="dxa"/>
            <w:tcBorders>
              <w:top w:val="single" w:color="348C5D" w:sz="4" w:space="0"/>
              <w:left w:val="dotted" w:color="auto" w:sz="4" w:space="0"/>
              <w:bottom w:val="single" w:color="348C5D" w:sz="4" w:space="0"/>
              <w:right w:val="dotted" w:color="auto" w:sz="4" w:space="0"/>
            </w:tcBorders>
            <w:shd w:val="clear" w:color="auto" w:fill="D4EDE0"/>
          </w:tcPr>
          <w:p w14:paraId="0BDD15E4">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FF0000"/>
                <w:szCs w:val="21"/>
              </w:rPr>
            </w:pPr>
          </w:p>
        </w:tc>
        <w:tc>
          <w:tcPr>
            <w:tcW w:w="2982" w:type="dxa"/>
            <w:tcBorders>
              <w:top w:val="single" w:color="348C5D" w:sz="4" w:space="0"/>
              <w:left w:val="dotted" w:color="auto" w:sz="4" w:space="0"/>
              <w:right w:val="single" w:color="348C5D" w:sz="4" w:space="0"/>
            </w:tcBorders>
            <w:shd w:val="clear" w:color="auto" w:fill="EDF8F2"/>
          </w:tcPr>
          <w:p w14:paraId="0CBF255B">
            <w:pPr>
              <w:keepNext w:val="0"/>
              <w:keepLines w:val="0"/>
              <w:suppressLineNumbers w:val="0"/>
              <w:tabs>
                <w:tab w:val="left" w:pos="654"/>
                <w:tab w:val="left" w:pos="1734"/>
                <w:tab w:val="left" w:pos="2814"/>
                <w:tab w:val="left" w:pos="3894"/>
                <w:tab w:val="left" w:pos="5334"/>
                <w:tab w:val="left" w:pos="6414"/>
                <w:tab w:val="left" w:pos="7254"/>
                <w:tab w:val="left" w:pos="8574"/>
                <w:tab w:val="left" w:pos="9654"/>
              </w:tabs>
              <w:spacing w:before="0" w:beforeAutospacing="0" w:after="0" w:afterAutospacing="0" w:line="360" w:lineRule="auto"/>
              <w:ind w:left="0" w:right="0"/>
              <w:jc w:val="center"/>
              <w:rPr>
                <w:rFonts w:hint="eastAsia" w:ascii="宋体" w:hAnsi="宋体"/>
                <w:color w:val="auto"/>
                <w:szCs w:val="21"/>
              </w:rPr>
            </w:pPr>
          </w:p>
        </w:tc>
      </w:tr>
    </w:tbl>
    <w:p w14:paraId="02F78905">
      <w:pPr>
        <w:tabs>
          <w:tab w:val="left" w:pos="654"/>
          <w:tab w:val="left" w:pos="1734"/>
          <w:tab w:val="left" w:pos="2814"/>
          <w:tab w:val="left" w:pos="3894"/>
          <w:tab w:val="left" w:pos="5334"/>
          <w:tab w:val="left" w:pos="6414"/>
          <w:tab w:val="left" w:pos="7254"/>
          <w:tab w:val="left" w:pos="8574"/>
          <w:tab w:val="left" w:pos="9654"/>
        </w:tabs>
        <w:spacing w:line="360" w:lineRule="auto"/>
        <w:rPr>
          <w:szCs w:val="21"/>
        </w:rPr>
      </w:pPr>
    </w:p>
    <w:p w14:paraId="58DEE205">
      <w:pPr>
        <w:tabs>
          <w:tab w:val="left" w:pos="654"/>
          <w:tab w:val="left" w:pos="1734"/>
          <w:tab w:val="left" w:pos="2814"/>
          <w:tab w:val="left" w:pos="3894"/>
          <w:tab w:val="left" w:pos="5334"/>
          <w:tab w:val="left" w:pos="6414"/>
          <w:tab w:val="left" w:pos="7254"/>
          <w:tab w:val="left" w:pos="8574"/>
          <w:tab w:val="left" w:pos="9654"/>
        </w:tabs>
        <w:spacing w:line="360" w:lineRule="auto"/>
        <w:rPr>
          <w:rFonts w:ascii="宋体"/>
          <w:szCs w:val="21"/>
        </w:rPr>
      </w:pPr>
    </w:p>
    <w:p w14:paraId="310A6606">
      <w:pPr>
        <w:tabs>
          <w:tab w:val="left" w:pos="654"/>
          <w:tab w:val="left" w:pos="1734"/>
          <w:tab w:val="left" w:pos="2814"/>
          <w:tab w:val="left" w:pos="3894"/>
          <w:tab w:val="left" w:pos="5334"/>
          <w:tab w:val="left" w:pos="6414"/>
          <w:tab w:val="left" w:pos="7254"/>
          <w:tab w:val="left" w:pos="8574"/>
          <w:tab w:val="left" w:pos="9654"/>
        </w:tabs>
        <w:spacing w:line="360" w:lineRule="auto"/>
        <w:rPr>
          <w:szCs w:val="21"/>
          <w:u w:val="single"/>
        </w:rPr>
      </w:pPr>
      <w:r>
        <w:rPr>
          <w:rFonts w:hint="eastAsia" w:hAnsi="宋体"/>
          <w:szCs w:val="21"/>
        </w:rPr>
        <w:t>单位盖章：</w:t>
      </w:r>
      <w:bookmarkStart w:id="321" w:name="_GoBack"/>
      <w:bookmarkEnd w:id="321"/>
    </w:p>
    <w:p w14:paraId="176DD99B">
      <w:pPr>
        <w:tabs>
          <w:tab w:val="left" w:pos="654"/>
          <w:tab w:val="left" w:pos="1734"/>
          <w:tab w:val="left" w:pos="2814"/>
          <w:tab w:val="left" w:pos="3894"/>
          <w:tab w:val="left" w:pos="5334"/>
          <w:tab w:val="left" w:pos="6414"/>
          <w:tab w:val="left" w:pos="7254"/>
          <w:tab w:val="left" w:pos="8574"/>
          <w:tab w:val="left" w:pos="9654"/>
        </w:tabs>
        <w:spacing w:line="360" w:lineRule="auto"/>
        <w:rPr>
          <w:szCs w:val="21"/>
          <w:u w:val="single"/>
        </w:rPr>
      </w:pPr>
    </w:p>
    <w:p w14:paraId="74A6B12D">
      <w:pPr>
        <w:tabs>
          <w:tab w:val="left" w:pos="654"/>
          <w:tab w:val="left" w:pos="1734"/>
          <w:tab w:val="left" w:pos="2814"/>
          <w:tab w:val="left" w:pos="3894"/>
          <w:tab w:val="left" w:pos="5334"/>
          <w:tab w:val="left" w:pos="6414"/>
          <w:tab w:val="left" w:pos="7254"/>
          <w:tab w:val="left" w:pos="8574"/>
          <w:tab w:val="left" w:pos="9654"/>
        </w:tabs>
        <w:spacing w:line="360" w:lineRule="auto"/>
      </w:pPr>
    </w:p>
    <w:p w14:paraId="579E0A41">
      <w:pPr>
        <w:tabs>
          <w:tab w:val="left" w:pos="654"/>
          <w:tab w:val="left" w:pos="1734"/>
          <w:tab w:val="left" w:pos="2814"/>
          <w:tab w:val="left" w:pos="3894"/>
          <w:tab w:val="left" w:pos="5334"/>
          <w:tab w:val="left" w:pos="6414"/>
          <w:tab w:val="left" w:pos="7254"/>
          <w:tab w:val="left" w:pos="8574"/>
          <w:tab w:val="left" w:pos="9654"/>
        </w:tabs>
        <w:spacing w:line="360" w:lineRule="auto"/>
      </w:pPr>
      <w:r>
        <w:rPr>
          <w:rFonts w:hint="eastAsia"/>
        </w:rPr>
        <w:t>注：此表应按</w:t>
      </w:r>
      <w:r>
        <w:t>“</w:t>
      </w:r>
      <w:r>
        <w:rPr>
          <w:rFonts w:hint="eastAsia"/>
        </w:rPr>
        <w:t>投标方须知</w:t>
      </w:r>
      <w:r>
        <w:t>”</w:t>
      </w:r>
      <w:r>
        <w:rPr>
          <w:rFonts w:hint="eastAsia"/>
        </w:rPr>
        <w:t>的规定密封标记并密封单独提交。</w:t>
      </w:r>
    </w:p>
    <w:p w14:paraId="4F33F02A">
      <w:pPr>
        <w:pStyle w:val="3"/>
        <w:rPr>
          <w:rFonts w:ascii="楷体_GB2312" w:hAnsi="宋体" w:eastAsia="楷体_GB2312"/>
          <w:b w:val="0"/>
          <w:sz w:val="21"/>
          <w:szCs w:val="21"/>
        </w:rPr>
      </w:pPr>
    </w:p>
    <w:bookmarkEnd w:id="221"/>
    <w:bookmarkEnd w:id="222"/>
    <w:bookmarkEnd w:id="223"/>
    <w:bookmarkEnd w:id="224"/>
    <w:bookmarkEnd w:id="225"/>
    <w:bookmarkEnd w:id="226"/>
    <w:p w14:paraId="48DA4047">
      <w:pPr>
        <w:pStyle w:val="20"/>
        <w:rPr>
          <w:rFonts w:hint="eastAsia" w:hAnsi="宋体"/>
          <w:szCs w:val="21"/>
        </w:rPr>
      </w:pPr>
      <w:bookmarkStart w:id="227" w:name="_Toc496002356"/>
      <w:bookmarkStart w:id="228" w:name="_Toc211243318"/>
      <w:bookmarkStart w:id="229" w:name="_Toc4836"/>
      <w:bookmarkStart w:id="230" w:name="_Toc7208"/>
      <w:bookmarkStart w:id="231" w:name="_Toc7132"/>
      <w:bookmarkStart w:id="232" w:name="_Toc12581"/>
      <w:bookmarkStart w:id="233" w:name="_Toc236803112"/>
    </w:p>
    <w:p w14:paraId="6ADEDE09">
      <w:pPr>
        <w:pStyle w:val="20"/>
        <w:rPr>
          <w:rFonts w:hint="eastAsia" w:hAnsi="宋体"/>
          <w:szCs w:val="21"/>
        </w:rPr>
      </w:pPr>
    </w:p>
    <w:p w14:paraId="2563720B">
      <w:pPr>
        <w:pStyle w:val="20"/>
        <w:rPr>
          <w:rFonts w:hint="eastAsia" w:hAnsi="宋体"/>
          <w:szCs w:val="21"/>
        </w:rPr>
      </w:pPr>
    </w:p>
    <w:p w14:paraId="4F39DB1E">
      <w:pPr>
        <w:pStyle w:val="20"/>
        <w:rPr>
          <w:rFonts w:hint="eastAsia" w:hAnsi="宋体"/>
          <w:szCs w:val="21"/>
        </w:rPr>
      </w:pPr>
    </w:p>
    <w:p w14:paraId="18C78978">
      <w:pPr>
        <w:pStyle w:val="20"/>
        <w:rPr>
          <w:rFonts w:hint="eastAsia" w:hAnsi="宋体"/>
          <w:szCs w:val="21"/>
        </w:rPr>
      </w:pPr>
    </w:p>
    <w:p w14:paraId="07DAB360">
      <w:pPr>
        <w:pStyle w:val="20"/>
        <w:rPr>
          <w:rFonts w:hint="eastAsia" w:hAnsi="宋体"/>
          <w:szCs w:val="21"/>
        </w:rPr>
      </w:pPr>
    </w:p>
    <w:p w14:paraId="3B8BB94E">
      <w:pPr>
        <w:pStyle w:val="20"/>
        <w:rPr>
          <w:rFonts w:hint="eastAsia" w:hAnsi="宋体"/>
          <w:szCs w:val="21"/>
        </w:rPr>
      </w:pPr>
    </w:p>
    <w:p w14:paraId="3C51F7B6">
      <w:pPr>
        <w:pStyle w:val="20"/>
        <w:rPr>
          <w:rFonts w:hint="eastAsia" w:hAnsi="宋体"/>
          <w:szCs w:val="21"/>
        </w:rPr>
      </w:pPr>
    </w:p>
    <w:p w14:paraId="69CE73E3">
      <w:pPr>
        <w:pStyle w:val="20"/>
        <w:rPr>
          <w:rFonts w:hint="eastAsia" w:hAnsi="宋体"/>
          <w:szCs w:val="21"/>
        </w:rPr>
      </w:pPr>
    </w:p>
    <w:p w14:paraId="31D9ED54">
      <w:pPr>
        <w:pStyle w:val="20"/>
        <w:ind w:left="0" w:leftChars="0" w:firstLine="0" w:firstLineChars="0"/>
        <w:rPr>
          <w:rFonts w:hint="eastAsia" w:hAnsi="宋体"/>
          <w:szCs w:val="21"/>
        </w:rPr>
      </w:pPr>
    </w:p>
    <w:bookmarkEnd w:id="227"/>
    <w:bookmarkEnd w:id="228"/>
    <w:bookmarkEnd w:id="229"/>
    <w:bookmarkEnd w:id="230"/>
    <w:bookmarkEnd w:id="231"/>
    <w:bookmarkEnd w:id="232"/>
    <w:bookmarkEnd w:id="233"/>
    <w:p w14:paraId="0ADBBE6D">
      <w:pPr>
        <w:pStyle w:val="3"/>
        <w:ind w:left="420"/>
        <w:rPr>
          <w:rFonts w:ascii="楷体_GB2312" w:hAnsi="宋体" w:eastAsia="楷体_GB2312"/>
          <w:b w:val="0"/>
          <w:sz w:val="21"/>
          <w:szCs w:val="21"/>
        </w:rPr>
      </w:pPr>
      <w:bookmarkStart w:id="234" w:name="_Toc17119"/>
      <w:bookmarkStart w:id="235" w:name="_Toc7249"/>
      <w:bookmarkStart w:id="236" w:name="_Toc496002357"/>
      <w:bookmarkStart w:id="237" w:name="_Toc27656"/>
      <w:bookmarkStart w:id="238" w:name="_Toc2062"/>
      <w:bookmarkStart w:id="239" w:name="_Toc20987"/>
      <w:bookmarkStart w:id="240" w:name="_Toc211243319"/>
      <w:bookmarkStart w:id="241" w:name="_Toc236803113"/>
      <w:r>
        <w:rPr>
          <w:rFonts w:hint="eastAsia" w:ascii="楷体_GB2312" w:hAnsi="宋体" w:eastAsia="楷体_GB2312"/>
          <w:b w:val="0"/>
          <w:sz w:val="21"/>
          <w:szCs w:val="21"/>
        </w:rPr>
        <w:t>格式</w:t>
      </w:r>
      <w:r>
        <w:rPr>
          <w:rFonts w:hint="eastAsia" w:ascii="楷体_GB2312" w:hAnsi="宋体" w:eastAsia="楷体_GB2312"/>
          <w:b w:val="0"/>
          <w:sz w:val="21"/>
          <w:szCs w:val="21"/>
          <w:lang w:val="en-US" w:eastAsia="zh-CN"/>
        </w:rPr>
        <w:t>4</w:t>
      </w:r>
      <w:r>
        <w:rPr>
          <w:rFonts w:ascii="楷体_GB2312" w:hAnsi="宋体" w:eastAsia="楷体_GB2312"/>
          <w:b w:val="0"/>
          <w:sz w:val="21"/>
          <w:szCs w:val="21"/>
        </w:rPr>
        <w:t xml:space="preserve">. </w:t>
      </w:r>
      <w:r>
        <w:rPr>
          <w:rFonts w:hint="eastAsia" w:ascii="楷体_GB2312" w:hAnsi="宋体" w:eastAsia="楷体_GB2312"/>
          <w:b w:val="0"/>
          <w:sz w:val="21"/>
          <w:szCs w:val="21"/>
        </w:rPr>
        <w:t>技术性能参数的详细描述</w:t>
      </w:r>
      <w:bookmarkEnd w:id="234"/>
      <w:bookmarkEnd w:id="235"/>
      <w:bookmarkEnd w:id="236"/>
      <w:bookmarkEnd w:id="237"/>
      <w:bookmarkEnd w:id="238"/>
      <w:bookmarkEnd w:id="239"/>
    </w:p>
    <w:p w14:paraId="28E8D00E">
      <w:pPr>
        <w:spacing w:before="360"/>
        <w:jc w:val="center"/>
        <w:rPr>
          <w:rFonts w:ascii="黑体" w:eastAsia="黑体"/>
          <w:sz w:val="30"/>
          <w:szCs w:val="30"/>
        </w:rPr>
      </w:pPr>
      <w:bookmarkStart w:id="242" w:name="_Toc11547"/>
      <w:r>
        <w:rPr>
          <w:rFonts w:hint="eastAsia" w:ascii="黑体" w:eastAsia="黑体"/>
          <w:sz w:val="30"/>
          <w:szCs w:val="30"/>
        </w:rPr>
        <w:t>技术性能参数的详细描述</w:t>
      </w:r>
      <w:bookmarkEnd w:id="242"/>
    </w:p>
    <w:p w14:paraId="6573B94C">
      <w:pPr>
        <w:spacing w:beforeLines="50" w:after="240"/>
        <w:jc w:val="center"/>
        <w:rPr>
          <w:rFonts w:ascii="黑体" w:hAnsi="宋体" w:eastAsia="黑体"/>
          <w:sz w:val="24"/>
        </w:rPr>
      </w:pPr>
      <w:r>
        <w:rPr>
          <w:rFonts w:hint="eastAsia" w:ascii="宋体" w:hAnsi="宋体"/>
          <w:sz w:val="24"/>
        </w:rPr>
        <w:t>（格式自拟）</w:t>
      </w:r>
    </w:p>
    <w:p w14:paraId="1DF0C092">
      <w:pPr>
        <w:spacing w:line="360" w:lineRule="auto"/>
        <w:rPr>
          <w:szCs w:val="21"/>
        </w:rPr>
      </w:pPr>
    </w:p>
    <w:p w14:paraId="53CB32C4">
      <w:pPr>
        <w:spacing w:line="360" w:lineRule="auto"/>
        <w:rPr>
          <w:szCs w:val="21"/>
        </w:rPr>
      </w:pPr>
    </w:p>
    <w:p w14:paraId="23F57D54">
      <w:pPr>
        <w:spacing w:line="360" w:lineRule="auto"/>
        <w:rPr>
          <w:szCs w:val="21"/>
          <w:u w:val="single"/>
        </w:rPr>
      </w:pPr>
      <w:r>
        <w:rPr>
          <w:rFonts w:hint="eastAsia" w:hAnsi="宋体"/>
          <w:szCs w:val="21"/>
        </w:rPr>
        <w:t>投标方代表签字</w:t>
      </w:r>
      <w:r>
        <w:rPr>
          <w:rFonts w:hint="eastAsia" w:hAnsi="宋体"/>
          <w:szCs w:val="21"/>
          <w:lang w:eastAsia="zh-CN"/>
        </w:rPr>
        <w:t>：</w:t>
      </w:r>
    </w:p>
    <w:p w14:paraId="183B2EE4">
      <w:pPr>
        <w:spacing w:line="360" w:lineRule="auto"/>
        <w:rPr>
          <w:szCs w:val="21"/>
        </w:rPr>
      </w:pPr>
    </w:p>
    <w:p w14:paraId="1ED1F883">
      <w:pPr>
        <w:spacing w:line="400" w:lineRule="exact"/>
        <w:rPr>
          <w:szCs w:val="21"/>
        </w:rPr>
      </w:pPr>
      <w:r>
        <w:rPr>
          <w:rFonts w:hint="eastAsia" w:hAnsi="宋体"/>
        </w:rPr>
        <w:t>单位盖章：</w:t>
      </w:r>
      <w:bookmarkStart w:id="243" w:name="_Toc458731658"/>
      <w:bookmarkEnd w:id="243"/>
    </w:p>
    <w:p w14:paraId="65917BD3">
      <w:pPr>
        <w:pStyle w:val="3"/>
        <w:ind w:left="420"/>
        <w:rPr>
          <w:rFonts w:ascii="楷体_GB2312" w:hAnsi="宋体" w:eastAsia="楷体_GB2312"/>
          <w:b w:val="0"/>
          <w:sz w:val="21"/>
          <w:szCs w:val="21"/>
        </w:rPr>
      </w:pPr>
      <w:r>
        <w:rPr>
          <w:rFonts w:ascii="楷体_GB2312" w:hAnsi="宋体" w:eastAsia="楷体_GB2312"/>
          <w:b w:val="0"/>
          <w:sz w:val="21"/>
          <w:szCs w:val="21"/>
        </w:rPr>
        <w:br w:type="page"/>
      </w:r>
      <w:bookmarkStart w:id="244" w:name="_Toc496002358"/>
      <w:bookmarkStart w:id="245" w:name="_Toc22092"/>
      <w:bookmarkStart w:id="246" w:name="_Toc13710"/>
      <w:bookmarkStart w:id="247" w:name="_Toc11048"/>
      <w:bookmarkStart w:id="248" w:name="_Toc24736"/>
      <w:bookmarkStart w:id="249" w:name="_Toc21081"/>
      <w:r>
        <w:rPr>
          <w:rFonts w:hint="eastAsia" w:ascii="楷体_GB2312" w:hAnsi="宋体" w:eastAsia="楷体_GB2312"/>
          <w:b w:val="0"/>
          <w:sz w:val="21"/>
          <w:szCs w:val="21"/>
        </w:rPr>
        <w:t>格式</w:t>
      </w:r>
      <w:r>
        <w:rPr>
          <w:rFonts w:hint="eastAsia" w:ascii="楷体_GB2312" w:hAnsi="宋体" w:eastAsia="楷体_GB2312"/>
          <w:b w:val="0"/>
          <w:sz w:val="21"/>
          <w:szCs w:val="21"/>
          <w:lang w:val="en-US" w:eastAsia="zh-CN"/>
        </w:rPr>
        <w:t>5</w:t>
      </w:r>
      <w:r>
        <w:rPr>
          <w:rFonts w:ascii="楷体_GB2312" w:hAnsi="宋体" w:eastAsia="楷体_GB2312"/>
          <w:b w:val="0"/>
          <w:sz w:val="21"/>
          <w:szCs w:val="21"/>
        </w:rPr>
        <w:t>.</w:t>
      </w:r>
      <w:bookmarkEnd w:id="240"/>
      <w:r>
        <w:rPr>
          <w:rFonts w:hint="eastAsia" w:ascii="楷体_GB2312" w:hAnsi="宋体" w:eastAsia="楷体_GB2312"/>
          <w:b w:val="0"/>
          <w:sz w:val="21"/>
          <w:szCs w:val="21"/>
        </w:rPr>
        <w:t>技术规格响应</w:t>
      </w:r>
      <w:r>
        <w:rPr>
          <w:rFonts w:ascii="楷体_GB2312" w:hAnsi="宋体" w:eastAsia="楷体_GB2312"/>
          <w:b w:val="0"/>
          <w:sz w:val="21"/>
          <w:szCs w:val="21"/>
        </w:rPr>
        <w:t>/</w:t>
      </w:r>
      <w:r>
        <w:rPr>
          <w:rFonts w:hint="eastAsia" w:ascii="楷体_GB2312" w:hAnsi="宋体" w:eastAsia="楷体_GB2312"/>
          <w:b w:val="0"/>
          <w:sz w:val="21"/>
          <w:szCs w:val="21"/>
        </w:rPr>
        <w:t>偏离表</w:t>
      </w:r>
      <w:bookmarkEnd w:id="241"/>
      <w:bookmarkEnd w:id="244"/>
      <w:bookmarkEnd w:id="245"/>
      <w:bookmarkEnd w:id="246"/>
      <w:bookmarkEnd w:id="247"/>
      <w:bookmarkEnd w:id="248"/>
      <w:bookmarkEnd w:id="249"/>
    </w:p>
    <w:p w14:paraId="55D183B6">
      <w:pPr>
        <w:spacing w:before="240" w:after="240"/>
        <w:jc w:val="center"/>
        <w:rPr>
          <w:rFonts w:ascii="黑体" w:hAnsi="宋体" w:eastAsia="黑体"/>
          <w:sz w:val="30"/>
          <w:szCs w:val="30"/>
        </w:rPr>
      </w:pPr>
      <w:bookmarkStart w:id="250" w:name="_Toc29113"/>
      <w:bookmarkStart w:id="251" w:name="_Toc211248418"/>
      <w:r>
        <w:rPr>
          <w:rFonts w:hint="eastAsia" w:ascii="黑体" w:hAnsi="宋体" w:eastAsia="黑体"/>
          <w:sz w:val="30"/>
          <w:szCs w:val="30"/>
        </w:rPr>
        <w:t>技术规格响应</w:t>
      </w:r>
      <w:r>
        <w:rPr>
          <w:rFonts w:ascii="黑体" w:hAnsi="宋体" w:eastAsia="黑体"/>
          <w:sz w:val="30"/>
          <w:szCs w:val="30"/>
        </w:rPr>
        <w:t>/</w:t>
      </w:r>
      <w:r>
        <w:rPr>
          <w:rFonts w:hint="eastAsia" w:ascii="黑体" w:hAnsi="宋体" w:eastAsia="黑体"/>
          <w:sz w:val="30"/>
          <w:szCs w:val="30"/>
        </w:rPr>
        <w:t>偏离表</w:t>
      </w:r>
      <w:bookmarkEnd w:id="250"/>
      <w:bookmarkEnd w:id="251"/>
    </w:p>
    <w:p w14:paraId="04AA95EF">
      <w:pPr>
        <w:spacing w:line="360" w:lineRule="auto"/>
        <w:rPr>
          <w:rFonts w:hAnsi="宋体"/>
          <w:szCs w:val="21"/>
        </w:rPr>
      </w:pPr>
      <w:r>
        <w:rPr>
          <w:rFonts w:hint="eastAsia" w:hAnsi="宋体"/>
          <w:szCs w:val="21"/>
        </w:rPr>
        <w:t>投标方名称：</w:t>
      </w:r>
    </w:p>
    <w:p w14:paraId="4D5DF4A9">
      <w:pPr>
        <w:spacing w:line="360" w:lineRule="auto"/>
        <w:rPr>
          <w:szCs w:val="21"/>
          <w:u w:val="single"/>
        </w:rPr>
      </w:pPr>
      <w:r>
        <w:rPr>
          <w:rFonts w:hint="eastAsia" w:hAnsi="宋体"/>
          <w:szCs w:val="21"/>
        </w:rPr>
        <w:t>招标编号：</w:t>
      </w:r>
    </w:p>
    <w:tbl>
      <w:tblPr>
        <w:tblStyle w:val="21"/>
        <w:tblW w:w="89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6" w:type="dxa"/>
          <w:bottom w:w="0" w:type="dxa"/>
          <w:right w:w="56" w:type="dxa"/>
        </w:tblCellMar>
      </w:tblPr>
      <w:tblGrid>
        <w:gridCol w:w="609"/>
        <w:gridCol w:w="951"/>
        <w:gridCol w:w="5120"/>
        <w:gridCol w:w="998"/>
        <w:gridCol w:w="641"/>
        <w:gridCol w:w="600"/>
      </w:tblGrid>
      <w:tr w14:paraId="661763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cantSplit/>
          <w:trHeight w:val="541" w:hRule="atLeast"/>
          <w:tblHeader/>
          <w:jc w:val="center"/>
        </w:trPr>
        <w:tc>
          <w:tcPr>
            <w:tcW w:w="609" w:type="dxa"/>
            <w:vMerge w:val="restart"/>
            <w:tcBorders>
              <w:top w:val="single" w:color="auto" w:sz="8" w:space="0"/>
            </w:tcBorders>
            <w:vAlign w:val="center"/>
          </w:tcPr>
          <w:p w14:paraId="0312339D">
            <w:pPr>
              <w:spacing w:line="240" w:lineRule="atLeast"/>
              <w:jc w:val="center"/>
            </w:pPr>
            <w:r>
              <w:rPr>
                <w:rFonts w:hint="eastAsia"/>
              </w:rPr>
              <w:t>序号</w:t>
            </w:r>
          </w:p>
        </w:tc>
        <w:tc>
          <w:tcPr>
            <w:tcW w:w="6071" w:type="dxa"/>
            <w:gridSpan w:val="2"/>
            <w:tcBorders>
              <w:top w:val="single" w:color="auto" w:sz="8" w:space="0"/>
            </w:tcBorders>
            <w:vAlign w:val="center"/>
          </w:tcPr>
          <w:p w14:paraId="30748BA4">
            <w:pPr>
              <w:spacing w:line="240" w:lineRule="atLeast"/>
              <w:jc w:val="center"/>
            </w:pPr>
            <w:r>
              <w:rPr>
                <w:rFonts w:hint="eastAsia"/>
              </w:rPr>
              <w:t>招标文件技术规格</w:t>
            </w:r>
          </w:p>
        </w:tc>
        <w:tc>
          <w:tcPr>
            <w:tcW w:w="2239" w:type="dxa"/>
            <w:gridSpan w:val="3"/>
            <w:tcBorders>
              <w:top w:val="single" w:color="auto" w:sz="8" w:space="0"/>
            </w:tcBorders>
            <w:vAlign w:val="center"/>
          </w:tcPr>
          <w:p w14:paraId="60E2BF5D">
            <w:pPr>
              <w:spacing w:line="240" w:lineRule="atLeast"/>
              <w:jc w:val="center"/>
            </w:pPr>
            <w:r>
              <w:rPr>
                <w:rFonts w:hint="eastAsia" w:hAnsi="宋体"/>
              </w:rPr>
              <w:t>投标方响应</w:t>
            </w:r>
          </w:p>
        </w:tc>
      </w:tr>
      <w:tr w14:paraId="602A4A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cantSplit/>
          <w:trHeight w:val="270" w:hRule="atLeast"/>
          <w:tblHeader/>
          <w:jc w:val="center"/>
        </w:trPr>
        <w:tc>
          <w:tcPr>
            <w:tcW w:w="609" w:type="dxa"/>
            <w:vMerge w:val="continue"/>
            <w:vAlign w:val="center"/>
          </w:tcPr>
          <w:p w14:paraId="499C8D05">
            <w:pPr>
              <w:spacing w:line="240" w:lineRule="atLeast"/>
              <w:jc w:val="center"/>
            </w:pPr>
          </w:p>
        </w:tc>
        <w:tc>
          <w:tcPr>
            <w:tcW w:w="951" w:type="dxa"/>
            <w:vAlign w:val="center"/>
          </w:tcPr>
          <w:p w14:paraId="2929EEE9">
            <w:pPr>
              <w:spacing w:line="240" w:lineRule="atLeast"/>
              <w:ind w:left="-105" w:leftChars="-50" w:right="-105" w:rightChars="-50"/>
              <w:jc w:val="center"/>
            </w:pPr>
            <w:r>
              <w:rPr>
                <w:rFonts w:hint="eastAsia"/>
              </w:rPr>
              <w:t>条目号</w:t>
            </w:r>
          </w:p>
        </w:tc>
        <w:tc>
          <w:tcPr>
            <w:tcW w:w="5120" w:type="dxa"/>
            <w:vAlign w:val="center"/>
          </w:tcPr>
          <w:p w14:paraId="354AE910">
            <w:pPr>
              <w:spacing w:line="240" w:lineRule="atLeast"/>
              <w:ind w:leftChars="-183" w:hanging="384" w:hangingChars="183"/>
              <w:jc w:val="center"/>
            </w:pPr>
            <w:r>
              <w:rPr>
                <w:rFonts w:hint="eastAsia"/>
              </w:rPr>
              <w:t>技术规格明细</w:t>
            </w:r>
          </w:p>
        </w:tc>
        <w:tc>
          <w:tcPr>
            <w:tcW w:w="998" w:type="dxa"/>
            <w:vAlign w:val="center"/>
          </w:tcPr>
          <w:p w14:paraId="2BDE145D">
            <w:pPr>
              <w:spacing w:line="240" w:lineRule="atLeast"/>
              <w:jc w:val="center"/>
            </w:pPr>
            <w:r>
              <w:rPr>
                <w:rFonts w:hint="eastAsia"/>
              </w:rPr>
              <w:t>响应内容</w:t>
            </w:r>
          </w:p>
        </w:tc>
        <w:tc>
          <w:tcPr>
            <w:tcW w:w="641" w:type="dxa"/>
            <w:vAlign w:val="center"/>
          </w:tcPr>
          <w:p w14:paraId="714862A2">
            <w:pPr>
              <w:spacing w:line="240" w:lineRule="atLeast"/>
              <w:ind w:left="-113" w:right="-113"/>
              <w:jc w:val="center"/>
            </w:pPr>
            <w:r>
              <w:rPr>
                <w:rFonts w:hint="eastAsia"/>
              </w:rPr>
              <w:t>有</w:t>
            </w:r>
            <w:r>
              <w:t>/</w:t>
            </w:r>
            <w:r>
              <w:rPr>
                <w:rFonts w:hint="eastAsia"/>
              </w:rPr>
              <w:t>无</w:t>
            </w:r>
          </w:p>
          <w:p w14:paraId="365A9730">
            <w:pPr>
              <w:spacing w:line="240" w:lineRule="atLeast"/>
              <w:ind w:left="-113" w:right="-113"/>
              <w:jc w:val="center"/>
            </w:pPr>
            <w:r>
              <w:rPr>
                <w:rFonts w:hint="eastAsia"/>
              </w:rPr>
              <w:t>偏离</w:t>
            </w:r>
          </w:p>
        </w:tc>
        <w:tc>
          <w:tcPr>
            <w:tcW w:w="600" w:type="dxa"/>
            <w:vAlign w:val="center"/>
          </w:tcPr>
          <w:p w14:paraId="426063B2">
            <w:pPr>
              <w:spacing w:line="240" w:lineRule="atLeast"/>
              <w:jc w:val="center"/>
            </w:pPr>
            <w:r>
              <w:rPr>
                <w:rFonts w:hint="eastAsia"/>
              </w:rPr>
              <w:t>说明</w:t>
            </w:r>
          </w:p>
        </w:tc>
      </w:tr>
      <w:tr w14:paraId="7AD803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12781560">
            <w:pPr>
              <w:spacing w:line="240" w:lineRule="atLeast"/>
              <w:ind w:left="284"/>
              <w:jc w:val="center"/>
            </w:pPr>
          </w:p>
        </w:tc>
        <w:tc>
          <w:tcPr>
            <w:tcW w:w="951" w:type="dxa"/>
          </w:tcPr>
          <w:p w14:paraId="4AC95CA5">
            <w:pPr>
              <w:spacing w:line="400" w:lineRule="exact"/>
              <w:ind w:left="170"/>
            </w:pPr>
          </w:p>
        </w:tc>
        <w:tc>
          <w:tcPr>
            <w:tcW w:w="5120" w:type="dxa"/>
          </w:tcPr>
          <w:p w14:paraId="0E7B80C1">
            <w:pPr>
              <w:spacing w:line="400" w:lineRule="exact"/>
              <w:rPr>
                <w:szCs w:val="21"/>
              </w:rPr>
            </w:pPr>
          </w:p>
        </w:tc>
        <w:tc>
          <w:tcPr>
            <w:tcW w:w="998" w:type="dxa"/>
            <w:vAlign w:val="center"/>
          </w:tcPr>
          <w:p w14:paraId="7D98F258">
            <w:pPr>
              <w:spacing w:line="240" w:lineRule="atLeast"/>
              <w:jc w:val="center"/>
            </w:pPr>
          </w:p>
        </w:tc>
        <w:tc>
          <w:tcPr>
            <w:tcW w:w="641" w:type="dxa"/>
            <w:vAlign w:val="center"/>
          </w:tcPr>
          <w:p w14:paraId="59A13E2E">
            <w:pPr>
              <w:spacing w:line="240" w:lineRule="atLeast"/>
              <w:jc w:val="center"/>
            </w:pPr>
          </w:p>
        </w:tc>
        <w:tc>
          <w:tcPr>
            <w:tcW w:w="600" w:type="dxa"/>
            <w:vAlign w:val="center"/>
          </w:tcPr>
          <w:p w14:paraId="4C4306EC">
            <w:pPr>
              <w:spacing w:line="240" w:lineRule="atLeast"/>
              <w:jc w:val="center"/>
            </w:pPr>
          </w:p>
        </w:tc>
      </w:tr>
      <w:tr w14:paraId="6B1527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6A52F896">
            <w:pPr>
              <w:spacing w:line="240" w:lineRule="atLeast"/>
              <w:ind w:left="284"/>
              <w:jc w:val="center"/>
            </w:pPr>
          </w:p>
        </w:tc>
        <w:tc>
          <w:tcPr>
            <w:tcW w:w="951" w:type="dxa"/>
          </w:tcPr>
          <w:p w14:paraId="40DFDEEB">
            <w:pPr>
              <w:spacing w:line="400" w:lineRule="exact"/>
              <w:ind w:left="170"/>
            </w:pPr>
          </w:p>
        </w:tc>
        <w:tc>
          <w:tcPr>
            <w:tcW w:w="5120" w:type="dxa"/>
          </w:tcPr>
          <w:p w14:paraId="1B22D5C6">
            <w:pPr>
              <w:spacing w:line="400" w:lineRule="exact"/>
            </w:pPr>
          </w:p>
        </w:tc>
        <w:tc>
          <w:tcPr>
            <w:tcW w:w="998" w:type="dxa"/>
            <w:vAlign w:val="center"/>
          </w:tcPr>
          <w:p w14:paraId="7DC1DAE8">
            <w:pPr>
              <w:spacing w:line="240" w:lineRule="atLeast"/>
              <w:jc w:val="center"/>
            </w:pPr>
          </w:p>
        </w:tc>
        <w:tc>
          <w:tcPr>
            <w:tcW w:w="641" w:type="dxa"/>
            <w:vAlign w:val="center"/>
          </w:tcPr>
          <w:p w14:paraId="329B0F20">
            <w:pPr>
              <w:spacing w:line="240" w:lineRule="atLeast"/>
              <w:jc w:val="center"/>
            </w:pPr>
          </w:p>
        </w:tc>
        <w:tc>
          <w:tcPr>
            <w:tcW w:w="600" w:type="dxa"/>
            <w:vAlign w:val="center"/>
          </w:tcPr>
          <w:p w14:paraId="400495CC">
            <w:pPr>
              <w:spacing w:line="240" w:lineRule="atLeast"/>
              <w:jc w:val="center"/>
            </w:pPr>
          </w:p>
        </w:tc>
      </w:tr>
      <w:tr w14:paraId="458391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26C110A1">
            <w:pPr>
              <w:spacing w:line="240" w:lineRule="atLeast"/>
              <w:ind w:left="284"/>
              <w:jc w:val="center"/>
            </w:pPr>
          </w:p>
        </w:tc>
        <w:tc>
          <w:tcPr>
            <w:tcW w:w="951" w:type="dxa"/>
          </w:tcPr>
          <w:p w14:paraId="707A4BA5">
            <w:pPr>
              <w:spacing w:line="400" w:lineRule="exact"/>
              <w:ind w:left="170"/>
            </w:pPr>
          </w:p>
        </w:tc>
        <w:tc>
          <w:tcPr>
            <w:tcW w:w="5120" w:type="dxa"/>
          </w:tcPr>
          <w:p w14:paraId="050F6333">
            <w:pPr>
              <w:spacing w:line="400" w:lineRule="exact"/>
              <w:rPr>
                <w:rFonts w:hAnsi="宋体"/>
                <w:szCs w:val="21"/>
              </w:rPr>
            </w:pPr>
          </w:p>
        </w:tc>
        <w:tc>
          <w:tcPr>
            <w:tcW w:w="998" w:type="dxa"/>
            <w:vAlign w:val="center"/>
          </w:tcPr>
          <w:p w14:paraId="74055895">
            <w:pPr>
              <w:spacing w:line="240" w:lineRule="atLeast"/>
              <w:jc w:val="center"/>
            </w:pPr>
          </w:p>
        </w:tc>
        <w:tc>
          <w:tcPr>
            <w:tcW w:w="641" w:type="dxa"/>
            <w:vAlign w:val="center"/>
          </w:tcPr>
          <w:p w14:paraId="1F6CDA4E">
            <w:pPr>
              <w:spacing w:line="240" w:lineRule="atLeast"/>
              <w:jc w:val="center"/>
            </w:pPr>
          </w:p>
        </w:tc>
        <w:tc>
          <w:tcPr>
            <w:tcW w:w="600" w:type="dxa"/>
            <w:vAlign w:val="center"/>
          </w:tcPr>
          <w:p w14:paraId="127F0000">
            <w:pPr>
              <w:spacing w:line="240" w:lineRule="atLeast"/>
              <w:jc w:val="center"/>
            </w:pPr>
          </w:p>
        </w:tc>
      </w:tr>
      <w:tr w14:paraId="74B72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3E2C4C50">
            <w:pPr>
              <w:spacing w:line="240" w:lineRule="atLeast"/>
              <w:ind w:left="284"/>
              <w:jc w:val="center"/>
            </w:pPr>
          </w:p>
        </w:tc>
        <w:tc>
          <w:tcPr>
            <w:tcW w:w="951" w:type="dxa"/>
          </w:tcPr>
          <w:p w14:paraId="1F74DBF9">
            <w:pPr>
              <w:spacing w:line="400" w:lineRule="exact"/>
              <w:ind w:left="170"/>
            </w:pPr>
          </w:p>
        </w:tc>
        <w:tc>
          <w:tcPr>
            <w:tcW w:w="5120" w:type="dxa"/>
            <w:vAlign w:val="center"/>
          </w:tcPr>
          <w:p w14:paraId="4DBB15A2">
            <w:pPr>
              <w:spacing w:line="400" w:lineRule="exact"/>
              <w:rPr>
                <w:rFonts w:hAnsi="宋体"/>
              </w:rPr>
            </w:pPr>
          </w:p>
        </w:tc>
        <w:tc>
          <w:tcPr>
            <w:tcW w:w="998" w:type="dxa"/>
            <w:vAlign w:val="center"/>
          </w:tcPr>
          <w:p w14:paraId="1E6BDDB3">
            <w:pPr>
              <w:spacing w:line="240" w:lineRule="atLeast"/>
              <w:jc w:val="center"/>
            </w:pPr>
          </w:p>
        </w:tc>
        <w:tc>
          <w:tcPr>
            <w:tcW w:w="641" w:type="dxa"/>
            <w:vAlign w:val="center"/>
          </w:tcPr>
          <w:p w14:paraId="55FC73C0">
            <w:pPr>
              <w:spacing w:line="240" w:lineRule="atLeast"/>
              <w:jc w:val="center"/>
            </w:pPr>
          </w:p>
        </w:tc>
        <w:tc>
          <w:tcPr>
            <w:tcW w:w="600" w:type="dxa"/>
            <w:vAlign w:val="center"/>
          </w:tcPr>
          <w:p w14:paraId="22D30F65">
            <w:pPr>
              <w:spacing w:line="240" w:lineRule="atLeast"/>
              <w:jc w:val="center"/>
            </w:pPr>
          </w:p>
        </w:tc>
      </w:tr>
      <w:tr w14:paraId="02FB20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312AD0E8">
            <w:pPr>
              <w:spacing w:line="240" w:lineRule="atLeast"/>
              <w:ind w:left="284"/>
              <w:jc w:val="center"/>
            </w:pPr>
          </w:p>
        </w:tc>
        <w:tc>
          <w:tcPr>
            <w:tcW w:w="951" w:type="dxa"/>
          </w:tcPr>
          <w:p w14:paraId="56C3D8DA">
            <w:pPr>
              <w:spacing w:line="400" w:lineRule="exact"/>
              <w:ind w:left="170"/>
            </w:pPr>
          </w:p>
        </w:tc>
        <w:tc>
          <w:tcPr>
            <w:tcW w:w="5120" w:type="dxa"/>
            <w:vAlign w:val="center"/>
          </w:tcPr>
          <w:p w14:paraId="32D886FE">
            <w:pPr>
              <w:spacing w:line="400" w:lineRule="exact"/>
              <w:rPr>
                <w:rFonts w:hAnsi="宋体"/>
              </w:rPr>
            </w:pPr>
          </w:p>
        </w:tc>
        <w:tc>
          <w:tcPr>
            <w:tcW w:w="998" w:type="dxa"/>
            <w:vAlign w:val="center"/>
          </w:tcPr>
          <w:p w14:paraId="2124982A">
            <w:pPr>
              <w:spacing w:line="240" w:lineRule="atLeast"/>
              <w:jc w:val="center"/>
            </w:pPr>
          </w:p>
        </w:tc>
        <w:tc>
          <w:tcPr>
            <w:tcW w:w="641" w:type="dxa"/>
            <w:vAlign w:val="center"/>
          </w:tcPr>
          <w:p w14:paraId="169CACBE">
            <w:pPr>
              <w:spacing w:line="240" w:lineRule="atLeast"/>
              <w:jc w:val="center"/>
            </w:pPr>
          </w:p>
        </w:tc>
        <w:tc>
          <w:tcPr>
            <w:tcW w:w="600" w:type="dxa"/>
            <w:vAlign w:val="center"/>
          </w:tcPr>
          <w:p w14:paraId="2C65BB2D">
            <w:pPr>
              <w:spacing w:line="240" w:lineRule="atLeast"/>
              <w:jc w:val="center"/>
            </w:pPr>
          </w:p>
        </w:tc>
      </w:tr>
      <w:tr w14:paraId="521F1C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4B5EA2DD">
            <w:pPr>
              <w:spacing w:line="240" w:lineRule="atLeast"/>
              <w:ind w:left="284"/>
              <w:jc w:val="center"/>
            </w:pPr>
          </w:p>
        </w:tc>
        <w:tc>
          <w:tcPr>
            <w:tcW w:w="951" w:type="dxa"/>
          </w:tcPr>
          <w:p w14:paraId="4B59142B">
            <w:pPr>
              <w:spacing w:line="400" w:lineRule="exact"/>
              <w:ind w:left="170"/>
            </w:pPr>
          </w:p>
        </w:tc>
        <w:tc>
          <w:tcPr>
            <w:tcW w:w="5120" w:type="dxa"/>
            <w:vAlign w:val="center"/>
          </w:tcPr>
          <w:p w14:paraId="3A7A81BA">
            <w:pPr>
              <w:spacing w:line="400" w:lineRule="exact"/>
              <w:rPr>
                <w:rFonts w:hAnsi="宋体"/>
              </w:rPr>
            </w:pPr>
          </w:p>
        </w:tc>
        <w:tc>
          <w:tcPr>
            <w:tcW w:w="998" w:type="dxa"/>
            <w:vAlign w:val="center"/>
          </w:tcPr>
          <w:p w14:paraId="3995DCCE">
            <w:pPr>
              <w:spacing w:line="240" w:lineRule="atLeast"/>
              <w:jc w:val="center"/>
            </w:pPr>
          </w:p>
        </w:tc>
        <w:tc>
          <w:tcPr>
            <w:tcW w:w="641" w:type="dxa"/>
            <w:vAlign w:val="center"/>
          </w:tcPr>
          <w:p w14:paraId="2001AFE0">
            <w:pPr>
              <w:spacing w:line="240" w:lineRule="atLeast"/>
              <w:jc w:val="center"/>
            </w:pPr>
          </w:p>
        </w:tc>
        <w:tc>
          <w:tcPr>
            <w:tcW w:w="600" w:type="dxa"/>
            <w:vAlign w:val="center"/>
          </w:tcPr>
          <w:p w14:paraId="4D8CF2DD">
            <w:pPr>
              <w:spacing w:line="240" w:lineRule="atLeast"/>
              <w:jc w:val="center"/>
            </w:pPr>
          </w:p>
        </w:tc>
      </w:tr>
      <w:tr w14:paraId="3F66A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0D93DCA8">
            <w:pPr>
              <w:spacing w:line="240" w:lineRule="atLeast"/>
              <w:ind w:left="284"/>
              <w:jc w:val="center"/>
            </w:pPr>
          </w:p>
        </w:tc>
        <w:tc>
          <w:tcPr>
            <w:tcW w:w="951" w:type="dxa"/>
          </w:tcPr>
          <w:p w14:paraId="6D61F523">
            <w:pPr>
              <w:spacing w:line="400" w:lineRule="exact"/>
              <w:ind w:left="170"/>
            </w:pPr>
          </w:p>
        </w:tc>
        <w:tc>
          <w:tcPr>
            <w:tcW w:w="5120" w:type="dxa"/>
            <w:vAlign w:val="center"/>
          </w:tcPr>
          <w:p w14:paraId="79BEF7A9">
            <w:pPr>
              <w:spacing w:line="400" w:lineRule="exact"/>
              <w:rPr>
                <w:rFonts w:hAnsi="宋体"/>
              </w:rPr>
            </w:pPr>
          </w:p>
        </w:tc>
        <w:tc>
          <w:tcPr>
            <w:tcW w:w="998" w:type="dxa"/>
            <w:vAlign w:val="center"/>
          </w:tcPr>
          <w:p w14:paraId="339B28D9">
            <w:pPr>
              <w:spacing w:line="240" w:lineRule="atLeast"/>
              <w:jc w:val="center"/>
            </w:pPr>
          </w:p>
        </w:tc>
        <w:tc>
          <w:tcPr>
            <w:tcW w:w="641" w:type="dxa"/>
            <w:vAlign w:val="center"/>
          </w:tcPr>
          <w:p w14:paraId="59B3042C">
            <w:pPr>
              <w:spacing w:line="240" w:lineRule="atLeast"/>
              <w:jc w:val="center"/>
            </w:pPr>
          </w:p>
        </w:tc>
        <w:tc>
          <w:tcPr>
            <w:tcW w:w="600" w:type="dxa"/>
            <w:vAlign w:val="center"/>
          </w:tcPr>
          <w:p w14:paraId="6E4FF0E5">
            <w:pPr>
              <w:spacing w:line="240" w:lineRule="atLeast"/>
              <w:jc w:val="center"/>
            </w:pPr>
          </w:p>
        </w:tc>
      </w:tr>
      <w:tr w14:paraId="02558D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3BB45821">
            <w:pPr>
              <w:spacing w:line="240" w:lineRule="atLeast"/>
              <w:ind w:left="284"/>
              <w:jc w:val="center"/>
            </w:pPr>
          </w:p>
        </w:tc>
        <w:tc>
          <w:tcPr>
            <w:tcW w:w="951" w:type="dxa"/>
          </w:tcPr>
          <w:p w14:paraId="43E47C0B">
            <w:pPr>
              <w:spacing w:line="400" w:lineRule="exact"/>
              <w:ind w:left="170"/>
            </w:pPr>
          </w:p>
        </w:tc>
        <w:tc>
          <w:tcPr>
            <w:tcW w:w="5120" w:type="dxa"/>
            <w:vAlign w:val="center"/>
          </w:tcPr>
          <w:p w14:paraId="58489305">
            <w:pPr>
              <w:spacing w:line="400" w:lineRule="exact"/>
              <w:rPr>
                <w:rFonts w:hAnsi="宋体"/>
              </w:rPr>
            </w:pPr>
          </w:p>
        </w:tc>
        <w:tc>
          <w:tcPr>
            <w:tcW w:w="998" w:type="dxa"/>
            <w:vAlign w:val="center"/>
          </w:tcPr>
          <w:p w14:paraId="70D3A51B">
            <w:pPr>
              <w:spacing w:line="240" w:lineRule="atLeast"/>
              <w:jc w:val="center"/>
            </w:pPr>
          </w:p>
        </w:tc>
        <w:tc>
          <w:tcPr>
            <w:tcW w:w="641" w:type="dxa"/>
            <w:vAlign w:val="center"/>
          </w:tcPr>
          <w:p w14:paraId="5828FBB8">
            <w:pPr>
              <w:spacing w:line="240" w:lineRule="atLeast"/>
              <w:jc w:val="center"/>
            </w:pPr>
          </w:p>
        </w:tc>
        <w:tc>
          <w:tcPr>
            <w:tcW w:w="600" w:type="dxa"/>
            <w:vAlign w:val="center"/>
          </w:tcPr>
          <w:p w14:paraId="5D6A026A">
            <w:pPr>
              <w:spacing w:line="240" w:lineRule="atLeast"/>
              <w:jc w:val="center"/>
            </w:pPr>
          </w:p>
        </w:tc>
      </w:tr>
      <w:tr w14:paraId="327CA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288777C6">
            <w:pPr>
              <w:spacing w:line="240" w:lineRule="atLeast"/>
              <w:ind w:left="284"/>
              <w:jc w:val="center"/>
            </w:pPr>
          </w:p>
        </w:tc>
        <w:tc>
          <w:tcPr>
            <w:tcW w:w="951" w:type="dxa"/>
          </w:tcPr>
          <w:p w14:paraId="4A0546DA">
            <w:pPr>
              <w:spacing w:line="400" w:lineRule="exact"/>
              <w:ind w:left="170"/>
            </w:pPr>
          </w:p>
        </w:tc>
        <w:tc>
          <w:tcPr>
            <w:tcW w:w="5120" w:type="dxa"/>
            <w:vAlign w:val="center"/>
          </w:tcPr>
          <w:p w14:paraId="344FF63E">
            <w:pPr>
              <w:spacing w:line="400" w:lineRule="exact"/>
              <w:rPr>
                <w:rFonts w:hAnsi="宋体"/>
              </w:rPr>
            </w:pPr>
          </w:p>
        </w:tc>
        <w:tc>
          <w:tcPr>
            <w:tcW w:w="998" w:type="dxa"/>
            <w:vAlign w:val="center"/>
          </w:tcPr>
          <w:p w14:paraId="06F4ABEA">
            <w:pPr>
              <w:spacing w:line="240" w:lineRule="atLeast"/>
              <w:jc w:val="center"/>
            </w:pPr>
          </w:p>
        </w:tc>
        <w:tc>
          <w:tcPr>
            <w:tcW w:w="641" w:type="dxa"/>
            <w:vAlign w:val="center"/>
          </w:tcPr>
          <w:p w14:paraId="2757ECE3">
            <w:pPr>
              <w:spacing w:line="240" w:lineRule="atLeast"/>
              <w:jc w:val="center"/>
            </w:pPr>
          </w:p>
        </w:tc>
        <w:tc>
          <w:tcPr>
            <w:tcW w:w="600" w:type="dxa"/>
            <w:vAlign w:val="center"/>
          </w:tcPr>
          <w:p w14:paraId="53AFAE20">
            <w:pPr>
              <w:spacing w:line="240" w:lineRule="atLeast"/>
              <w:jc w:val="center"/>
            </w:pPr>
          </w:p>
        </w:tc>
      </w:tr>
      <w:tr w14:paraId="51042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4F88AAAB">
            <w:pPr>
              <w:spacing w:line="240" w:lineRule="atLeast"/>
              <w:ind w:left="284"/>
              <w:jc w:val="center"/>
            </w:pPr>
          </w:p>
        </w:tc>
        <w:tc>
          <w:tcPr>
            <w:tcW w:w="951" w:type="dxa"/>
          </w:tcPr>
          <w:p w14:paraId="77A654E8">
            <w:pPr>
              <w:spacing w:line="400" w:lineRule="exact"/>
              <w:ind w:left="170"/>
            </w:pPr>
          </w:p>
        </w:tc>
        <w:tc>
          <w:tcPr>
            <w:tcW w:w="5120" w:type="dxa"/>
            <w:vAlign w:val="center"/>
          </w:tcPr>
          <w:p w14:paraId="5609F19A">
            <w:pPr>
              <w:spacing w:line="400" w:lineRule="exact"/>
              <w:rPr>
                <w:rFonts w:hAnsi="宋体"/>
              </w:rPr>
            </w:pPr>
          </w:p>
        </w:tc>
        <w:tc>
          <w:tcPr>
            <w:tcW w:w="998" w:type="dxa"/>
            <w:vAlign w:val="center"/>
          </w:tcPr>
          <w:p w14:paraId="2ECCCCAD">
            <w:pPr>
              <w:spacing w:line="240" w:lineRule="atLeast"/>
              <w:jc w:val="center"/>
            </w:pPr>
          </w:p>
        </w:tc>
        <w:tc>
          <w:tcPr>
            <w:tcW w:w="641" w:type="dxa"/>
            <w:vAlign w:val="center"/>
          </w:tcPr>
          <w:p w14:paraId="2F519A7C">
            <w:pPr>
              <w:spacing w:line="240" w:lineRule="atLeast"/>
              <w:jc w:val="center"/>
            </w:pPr>
          </w:p>
        </w:tc>
        <w:tc>
          <w:tcPr>
            <w:tcW w:w="600" w:type="dxa"/>
            <w:vAlign w:val="center"/>
          </w:tcPr>
          <w:p w14:paraId="0C33FD35">
            <w:pPr>
              <w:spacing w:line="240" w:lineRule="atLeast"/>
              <w:jc w:val="center"/>
            </w:pPr>
          </w:p>
        </w:tc>
      </w:tr>
      <w:tr w14:paraId="2A5F5D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1124E3D6">
            <w:pPr>
              <w:spacing w:line="240" w:lineRule="atLeast"/>
              <w:ind w:left="284"/>
              <w:jc w:val="center"/>
            </w:pPr>
          </w:p>
        </w:tc>
        <w:tc>
          <w:tcPr>
            <w:tcW w:w="951" w:type="dxa"/>
          </w:tcPr>
          <w:p w14:paraId="559213CC">
            <w:pPr>
              <w:spacing w:line="400" w:lineRule="exact"/>
              <w:ind w:left="170"/>
            </w:pPr>
          </w:p>
        </w:tc>
        <w:tc>
          <w:tcPr>
            <w:tcW w:w="5120" w:type="dxa"/>
            <w:vAlign w:val="center"/>
          </w:tcPr>
          <w:p w14:paraId="64296A6C">
            <w:pPr>
              <w:spacing w:line="400" w:lineRule="exact"/>
              <w:rPr>
                <w:rFonts w:hAnsi="宋体"/>
              </w:rPr>
            </w:pPr>
          </w:p>
        </w:tc>
        <w:tc>
          <w:tcPr>
            <w:tcW w:w="998" w:type="dxa"/>
            <w:vAlign w:val="center"/>
          </w:tcPr>
          <w:p w14:paraId="4BD9C23F">
            <w:pPr>
              <w:spacing w:line="240" w:lineRule="atLeast"/>
              <w:jc w:val="center"/>
            </w:pPr>
          </w:p>
        </w:tc>
        <w:tc>
          <w:tcPr>
            <w:tcW w:w="641" w:type="dxa"/>
            <w:vAlign w:val="center"/>
          </w:tcPr>
          <w:p w14:paraId="13EF86B4">
            <w:pPr>
              <w:spacing w:line="240" w:lineRule="atLeast"/>
              <w:jc w:val="center"/>
            </w:pPr>
          </w:p>
        </w:tc>
        <w:tc>
          <w:tcPr>
            <w:tcW w:w="600" w:type="dxa"/>
            <w:vAlign w:val="center"/>
          </w:tcPr>
          <w:p w14:paraId="35749843">
            <w:pPr>
              <w:spacing w:line="240" w:lineRule="atLeast"/>
              <w:jc w:val="center"/>
            </w:pPr>
          </w:p>
        </w:tc>
      </w:tr>
      <w:tr w14:paraId="6BE0F4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71C06D10">
            <w:pPr>
              <w:spacing w:line="240" w:lineRule="atLeast"/>
            </w:pPr>
          </w:p>
        </w:tc>
        <w:tc>
          <w:tcPr>
            <w:tcW w:w="951" w:type="dxa"/>
          </w:tcPr>
          <w:p w14:paraId="29B2F03D">
            <w:pPr>
              <w:spacing w:line="400" w:lineRule="exact"/>
              <w:ind w:left="170"/>
            </w:pPr>
          </w:p>
        </w:tc>
        <w:tc>
          <w:tcPr>
            <w:tcW w:w="5120" w:type="dxa"/>
            <w:vAlign w:val="center"/>
          </w:tcPr>
          <w:p w14:paraId="1C7AF0CD">
            <w:pPr>
              <w:spacing w:line="400" w:lineRule="exact"/>
              <w:rPr>
                <w:rFonts w:hAnsi="宋体"/>
              </w:rPr>
            </w:pPr>
          </w:p>
        </w:tc>
        <w:tc>
          <w:tcPr>
            <w:tcW w:w="998" w:type="dxa"/>
            <w:vAlign w:val="center"/>
          </w:tcPr>
          <w:p w14:paraId="3BDED1EF">
            <w:pPr>
              <w:spacing w:line="240" w:lineRule="atLeast"/>
              <w:jc w:val="center"/>
            </w:pPr>
          </w:p>
        </w:tc>
        <w:tc>
          <w:tcPr>
            <w:tcW w:w="641" w:type="dxa"/>
            <w:vAlign w:val="center"/>
          </w:tcPr>
          <w:p w14:paraId="51E1D8CF">
            <w:pPr>
              <w:spacing w:line="240" w:lineRule="atLeast"/>
              <w:jc w:val="center"/>
            </w:pPr>
          </w:p>
        </w:tc>
        <w:tc>
          <w:tcPr>
            <w:tcW w:w="600" w:type="dxa"/>
            <w:vAlign w:val="center"/>
          </w:tcPr>
          <w:p w14:paraId="571FCA0C">
            <w:pPr>
              <w:spacing w:line="240" w:lineRule="atLeast"/>
              <w:jc w:val="center"/>
            </w:pPr>
          </w:p>
        </w:tc>
      </w:tr>
      <w:tr w14:paraId="0C0E1B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5E9367AE">
            <w:pPr>
              <w:spacing w:line="240" w:lineRule="atLeast"/>
              <w:ind w:left="284"/>
              <w:jc w:val="center"/>
            </w:pPr>
          </w:p>
        </w:tc>
        <w:tc>
          <w:tcPr>
            <w:tcW w:w="951" w:type="dxa"/>
          </w:tcPr>
          <w:p w14:paraId="7FD122E0">
            <w:pPr>
              <w:spacing w:line="400" w:lineRule="exact"/>
              <w:ind w:left="170"/>
            </w:pPr>
          </w:p>
        </w:tc>
        <w:tc>
          <w:tcPr>
            <w:tcW w:w="5120" w:type="dxa"/>
            <w:vAlign w:val="center"/>
          </w:tcPr>
          <w:p w14:paraId="1D1DA176">
            <w:pPr>
              <w:spacing w:line="400" w:lineRule="exact"/>
              <w:rPr>
                <w:rFonts w:hAnsi="宋体"/>
              </w:rPr>
            </w:pPr>
          </w:p>
        </w:tc>
        <w:tc>
          <w:tcPr>
            <w:tcW w:w="998" w:type="dxa"/>
            <w:vAlign w:val="center"/>
          </w:tcPr>
          <w:p w14:paraId="7505D38D">
            <w:pPr>
              <w:spacing w:line="240" w:lineRule="atLeast"/>
              <w:jc w:val="center"/>
            </w:pPr>
          </w:p>
        </w:tc>
        <w:tc>
          <w:tcPr>
            <w:tcW w:w="641" w:type="dxa"/>
            <w:vAlign w:val="center"/>
          </w:tcPr>
          <w:p w14:paraId="52730A2E">
            <w:pPr>
              <w:spacing w:line="240" w:lineRule="atLeast"/>
              <w:jc w:val="center"/>
            </w:pPr>
          </w:p>
        </w:tc>
        <w:tc>
          <w:tcPr>
            <w:tcW w:w="600" w:type="dxa"/>
            <w:vAlign w:val="center"/>
          </w:tcPr>
          <w:p w14:paraId="572AD6C9">
            <w:pPr>
              <w:spacing w:line="240" w:lineRule="atLeast"/>
              <w:jc w:val="center"/>
            </w:pPr>
          </w:p>
        </w:tc>
      </w:tr>
      <w:tr w14:paraId="0B1ECB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tcBorders>
              <w:bottom w:val="single" w:color="auto" w:sz="8" w:space="0"/>
            </w:tcBorders>
            <w:vAlign w:val="center"/>
          </w:tcPr>
          <w:p w14:paraId="4FA1CAFB">
            <w:pPr>
              <w:spacing w:line="240" w:lineRule="atLeast"/>
              <w:ind w:left="284"/>
              <w:jc w:val="center"/>
            </w:pPr>
          </w:p>
        </w:tc>
        <w:tc>
          <w:tcPr>
            <w:tcW w:w="951" w:type="dxa"/>
            <w:tcBorders>
              <w:bottom w:val="single" w:color="auto" w:sz="8" w:space="0"/>
            </w:tcBorders>
          </w:tcPr>
          <w:p w14:paraId="460F2DC7">
            <w:pPr>
              <w:spacing w:line="400" w:lineRule="exact"/>
              <w:ind w:left="170"/>
            </w:pPr>
          </w:p>
        </w:tc>
        <w:tc>
          <w:tcPr>
            <w:tcW w:w="5120" w:type="dxa"/>
            <w:tcBorders>
              <w:bottom w:val="single" w:color="auto" w:sz="8" w:space="0"/>
            </w:tcBorders>
            <w:vAlign w:val="center"/>
          </w:tcPr>
          <w:p w14:paraId="029D6053">
            <w:pPr>
              <w:spacing w:line="400" w:lineRule="exact"/>
              <w:rPr>
                <w:rFonts w:hAnsi="宋体"/>
              </w:rPr>
            </w:pPr>
          </w:p>
        </w:tc>
        <w:tc>
          <w:tcPr>
            <w:tcW w:w="998" w:type="dxa"/>
            <w:tcBorders>
              <w:bottom w:val="single" w:color="auto" w:sz="8" w:space="0"/>
            </w:tcBorders>
            <w:vAlign w:val="center"/>
          </w:tcPr>
          <w:p w14:paraId="55071E54">
            <w:pPr>
              <w:spacing w:line="240" w:lineRule="atLeast"/>
              <w:jc w:val="center"/>
            </w:pPr>
          </w:p>
        </w:tc>
        <w:tc>
          <w:tcPr>
            <w:tcW w:w="641" w:type="dxa"/>
            <w:tcBorders>
              <w:bottom w:val="single" w:color="auto" w:sz="8" w:space="0"/>
            </w:tcBorders>
            <w:vAlign w:val="center"/>
          </w:tcPr>
          <w:p w14:paraId="449AF791">
            <w:pPr>
              <w:spacing w:line="240" w:lineRule="atLeast"/>
              <w:jc w:val="center"/>
            </w:pPr>
          </w:p>
        </w:tc>
        <w:tc>
          <w:tcPr>
            <w:tcW w:w="600" w:type="dxa"/>
            <w:tcBorders>
              <w:bottom w:val="single" w:color="auto" w:sz="8" w:space="0"/>
            </w:tcBorders>
            <w:vAlign w:val="center"/>
          </w:tcPr>
          <w:p w14:paraId="125C4E31">
            <w:pPr>
              <w:spacing w:line="240" w:lineRule="atLeast"/>
              <w:jc w:val="center"/>
            </w:pPr>
          </w:p>
        </w:tc>
      </w:tr>
    </w:tbl>
    <w:p w14:paraId="36D8A72E">
      <w:pPr>
        <w:spacing w:line="360" w:lineRule="exact"/>
        <w:rPr>
          <w:bCs/>
          <w:szCs w:val="21"/>
        </w:rPr>
      </w:pPr>
    </w:p>
    <w:p w14:paraId="222F8B33">
      <w:pPr>
        <w:spacing w:line="320" w:lineRule="exact"/>
        <w:rPr>
          <w:sz w:val="18"/>
        </w:rPr>
      </w:pPr>
      <w:r>
        <w:rPr>
          <w:rFonts w:hint="eastAsia" w:hAnsi="宋体"/>
          <w:sz w:val="18"/>
        </w:rPr>
        <w:t>填报说明：</w:t>
      </w:r>
    </w:p>
    <w:p w14:paraId="1D66EE81">
      <w:pPr>
        <w:spacing w:line="320" w:lineRule="exact"/>
        <w:ind w:left="510" w:hanging="90"/>
        <w:rPr>
          <w:sz w:val="18"/>
        </w:rPr>
      </w:pPr>
      <w:r>
        <w:rPr>
          <w:sz w:val="18"/>
        </w:rPr>
        <w:t>1.</w:t>
      </w:r>
      <w:r>
        <w:rPr>
          <w:rFonts w:hint="eastAsia" w:hAnsi="宋体"/>
          <w:sz w:val="18"/>
        </w:rPr>
        <w:t>本表中的《招标文件技术规格》</w:t>
      </w:r>
      <w:r>
        <w:rPr>
          <w:rFonts w:hint="eastAsia" w:hAnsi="宋体"/>
          <w:sz w:val="18"/>
          <w:lang w:eastAsia="zh-CN"/>
        </w:rPr>
        <w:t>来自</w:t>
      </w:r>
      <w:r>
        <w:rPr>
          <w:rFonts w:hint="eastAsia" w:hAnsi="宋体"/>
          <w:sz w:val="18"/>
        </w:rPr>
        <w:t>招标文件第二章第二节“</w:t>
      </w:r>
      <w:r>
        <w:rPr>
          <w:rFonts w:hint="eastAsia" w:ascii="宋体" w:hAnsi="宋体" w:cs="黑体"/>
          <w:bCs/>
          <w:kern w:val="0"/>
          <w:sz w:val="18"/>
          <w:szCs w:val="18"/>
          <w:lang w:val="zh-CN"/>
        </w:rPr>
        <w:t>技术要求</w:t>
      </w:r>
      <w:r>
        <w:rPr>
          <w:rFonts w:hint="eastAsia" w:hAnsi="宋体"/>
          <w:sz w:val="18"/>
          <w:szCs w:val="18"/>
        </w:rPr>
        <w:t>”</w:t>
      </w:r>
      <w:r>
        <w:rPr>
          <w:rFonts w:hint="eastAsia" w:hAnsi="宋体"/>
          <w:sz w:val="18"/>
        </w:rPr>
        <w:t>，投标方须逐条填写在本表中，并对《投标方响应》下的三栏要求作出响应。</w:t>
      </w:r>
    </w:p>
    <w:p w14:paraId="2722EDC5">
      <w:pPr>
        <w:spacing w:line="320" w:lineRule="exact"/>
        <w:ind w:left="420"/>
        <w:rPr>
          <w:rFonts w:hAnsi="宋体"/>
          <w:sz w:val="18"/>
        </w:rPr>
      </w:pPr>
      <w:r>
        <w:rPr>
          <w:rFonts w:hint="eastAsia"/>
          <w:sz w:val="18"/>
        </w:rPr>
        <w:t>2</w:t>
      </w:r>
      <w:r>
        <w:rPr>
          <w:sz w:val="18"/>
        </w:rPr>
        <w:t>.</w:t>
      </w:r>
      <w:r>
        <w:rPr>
          <w:rFonts w:hint="eastAsia" w:hAnsi="宋体"/>
          <w:sz w:val="18"/>
        </w:rPr>
        <w:t>《有</w:t>
      </w:r>
      <w:r>
        <w:rPr>
          <w:rFonts w:hAnsi="宋体"/>
          <w:sz w:val="18"/>
        </w:rPr>
        <w:t>/</w:t>
      </w:r>
      <w:r>
        <w:rPr>
          <w:rFonts w:hint="eastAsia" w:hAnsi="宋体"/>
          <w:sz w:val="18"/>
        </w:rPr>
        <w:t>无偏离》栏只需填“有”或“无”，填“有”的可以在其后《说明》栏中作出说明。</w:t>
      </w:r>
    </w:p>
    <w:p w14:paraId="6C538F8B">
      <w:pPr>
        <w:spacing w:line="320" w:lineRule="exact"/>
        <w:ind w:left="420"/>
        <w:rPr>
          <w:sz w:val="18"/>
          <w:szCs w:val="21"/>
        </w:rPr>
      </w:pPr>
    </w:p>
    <w:p w14:paraId="541DAED3">
      <w:pPr>
        <w:spacing w:line="360" w:lineRule="auto"/>
        <w:rPr>
          <w:szCs w:val="21"/>
        </w:rPr>
      </w:pPr>
      <w:r>
        <w:rPr>
          <w:rFonts w:hint="eastAsia" w:hAnsi="宋体"/>
          <w:szCs w:val="21"/>
        </w:rPr>
        <w:t>投标方代表签字</w:t>
      </w:r>
      <w:r>
        <w:rPr>
          <w:rFonts w:hint="eastAsia" w:hAnsi="宋体"/>
          <w:szCs w:val="21"/>
          <w:lang w:eastAsia="zh-CN"/>
        </w:rPr>
        <w:t>：</w:t>
      </w:r>
    </w:p>
    <w:p w14:paraId="64DC354F">
      <w:pPr>
        <w:spacing w:line="360" w:lineRule="auto"/>
        <w:rPr>
          <w:rFonts w:hAnsi="宋体"/>
        </w:rPr>
      </w:pPr>
    </w:p>
    <w:p w14:paraId="3564BD77">
      <w:pPr>
        <w:spacing w:line="360" w:lineRule="auto"/>
        <w:rPr>
          <w:u w:val="single"/>
        </w:rPr>
      </w:pPr>
      <w:r>
        <w:rPr>
          <w:rFonts w:hint="eastAsia" w:hAnsi="宋体"/>
        </w:rPr>
        <w:t>单位盖章：</w:t>
      </w:r>
      <w:bookmarkStart w:id="252" w:name="_Toc211243320"/>
    </w:p>
    <w:p w14:paraId="44EE6677">
      <w:pPr>
        <w:pStyle w:val="3"/>
        <w:ind w:left="420"/>
        <w:rPr>
          <w:rFonts w:ascii="楷体_GB2312" w:hAnsi="宋体" w:eastAsia="楷体_GB2312"/>
          <w:b w:val="0"/>
          <w:sz w:val="21"/>
          <w:szCs w:val="21"/>
        </w:rPr>
      </w:pPr>
      <w:bookmarkStart w:id="253" w:name="_Toc236803114"/>
      <w:r>
        <w:rPr>
          <w:rFonts w:ascii="楷体_GB2312" w:hAnsi="宋体" w:eastAsia="楷体_GB2312"/>
          <w:b w:val="0"/>
          <w:sz w:val="21"/>
          <w:szCs w:val="21"/>
        </w:rPr>
        <w:br w:type="page"/>
      </w:r>
      <w:bookmarkStart w:id="254" w:name="_Toc18872"/>
      <w:bookmarkStart w:id="255" w:name="_Toc13683"/>
      <w:bookmarkStart w:id="256" w:name="_Toc19665"/>
      <w:bookmarkStart w:id="257" w:name="_Toc25347"/>
      <w:bookmarkStart w:id="258" w:name="_Toc30075"/>
      <w:bookmarkStart w:id="259" w:name="_Toc496002359"/>
      <w:r>
        <w:rPr>
          <w:rFonts w:hint="eastAsia" w:ascii="楷体_GB2312" w:hAnsi="宋体" w:eastAsia="楷体_GB2312"/>
          <w:b w:val="0"/>
          <w:sz w:val="21"/>
          <w:szCs w:val="21"/>
        </w:rPr>
        <w:t>格式</w:t>
      </w:r>
      <w:bookmarkEnd w:id="252"/>
      <w:r>
        <w:rPr>
          <w:rFonts w:hint="eastAsia" w:ascii="楷体_GB2312" w:hAnsi="宋体" w:eastAsia="楷体_GB2312"/>
          <w:b w:val="0"/>
          <w:sz w:val="21"/>
          <w:szCs w:val="21"/>
          <w:lang w:val="en-US" w:eastAsia="zh-CN"/>
        </w:rPr>
        <w:t>6</w:t>
      </w:r>
      <w:r>
        <w:rPr>
          <w:rFonts w:ascii="楷体_GB2312" w:hAnsi="宋体" w:eastAsia="楷体_GB2312"/>
          <w:b w:val="0"/>
          <w:sz w:val="21"/>
          <w:szCs w:val="21"/>
        </w:rPr>
        <w:t xml:space="preserve">. </w:t>
      </w:r>
      <w:r>
        <w:rPr>
          <w:rFonts w:hint="eastAsia" w:ascii="楷体_GB2312" w:hAnsi="宋体" w:eastAsia="楷体_GB2312"/>
          <w:b w:val="0"/>
          <w:sz w:val="21"/>
          <w:szCs w:val="21"/>
        </w:rPr>
        <w:t>商务条款响应</w:t>
      </w:r>
      <w:r>
        <w:rPr>
          <w:rFonts w:ascii="楷体_GB2312" w:hAnsi="宋体" w:eastAsia="楷体_GB2312"/>
          <w:b w:val="0"/>
          <w:sz w:val="21"/>
          <w:szCs w:val="21"/>
        </w:rPr>
        <w:t>/</w:t>
      </w:r>
      <w:r>
        <w:rPr>
          <w:rFonts w:hint="eastAsia" w:ascii="楷体_GB2312" w:hAnsi="宋体" w:eastAsia="楷体_GB2312"/>
          <w:b w:val="0"/>
          <w:sz w:val="21"/>
          <w:szCs w:val="21"/>
        </w:rPr>
        <w:t>偏离表</w:t>
      </w:r>
      <w:bookmarkEnd w:id="253"/>
      <w:bookmarkEnd w:id="254"/>
      <w:bookmarkEnd w:id="255"/>
      <w:bookmarkEnd w:id="256"/>
      <w:bookmarkEnd w:id="257"/>
      <w:bookmarkEnd w:id="258"/>
      <w:bookmarkEnd w:id="259"/>
    </w:p>
    <w:p w14:paraId="6E3E8BAF">
      <w:pPr>
        <w:spacing w:before="240" w:after="240"/>
        <w:jc w:val="center"/>
        <w:rPr>
          <w:rFonts w:ascii="黑体" w:hAnsi="宋体" w:eastAsia="黑体"/>
          <w:sz w:val="30"/>
          <w:szCs w:val="30"/>
        </w:rPr>
      </w:pPr>
      <w:bookmarkStart w:id="260" w:name="_Toc211248420"/>
      <w:bookmarkStart w:id="261" w:name="_Toc22272"/>
      <w:r>
        <w:rPr>
          <w:rFonts w:hint="eastAsia" w:ascii="黑体" w:hAnsi="宋体" w:eastAsia="黑体"/>
          <w:sz w:val="30"/>
          <w:szCs w:val="30"/>
        </w:rPr>
        <w:t>商务条款响应</w:t>
      </w:r>
      <w:r>
        <w:rPr>
          <w:rFonts w:ascii="黑体" w:hAnsi="宋体" w:eastAsia="黑体"/>
          <w:sz w:val="30"/>
          <w:szCs w:val="30"/>
        </w:rPr>
        <w:t>/</w:t>
      </w:r>
      <w:r>
        <w:rPr>
          <w:rFonts w:hint="eastAsia" w:ascii="黑体" w:hAnsi="宋体" w:eastAsia="黑体"/>
          <w:sz w:val="30"/>
          <w:szCs w:val="30"/>
        </w:rPr>
        <w:t>偏离表</w:t>
      </w:r>
      <w:bookmarkEnd w:id="260"/>
      <w:bookmarkEnd w:id="261"/>
    </w:p>
    <w:p w14:paraId="56DD6B85">
      <w:pPr>
        <w:spacing w:line="360" w:lineRule="auto"/>
        <w:rPr>
          <w:rFonts w:hAnsi="宋体"/>
          <w:szCs w:val="21"/>
        </w:rPr>
      </w:pPr>
      <w:r>
        <w:rPr>
          <w:rFonts w:hint="eastAsia" w:hAnsi="宋体"/>
          <w:szCs w:val="21"/>
        </w:rPr>
        <w:t>投标方名称：</w:t>
      </w:r>
    </w:p>
    <w:p w14:paraId="348605BF">
      <w:pPr>
        <w:spacing w:line="360" w:lineRule="auto"/>
        <w:rPr>
          <w:szCs w:val="21"/>
          <w:u w:val="single"/>
        </w:rPr>
      </w:pPr>
      <w:r>
        <w:rPr>
          <w:rFonts w:hint="eastAsia" w:hAnsi="宋体"/>
          <w:szCs w:val="21"/>
        </w:rPr>
        <w:t>招标编号：</w:t>
      </w:r>
    </w:p>
    <w:tbl>
      <w:tblPr>
        <w:tblStyle w:val="21"/>
        <w:tblW w:w="862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6" w:type="dxa"/>
          <w:bottom w:w="0" w:type="dxa"/>
          <w:right w:w="56" w:type="dxa"/>
        </w:tblCellMar>
      </w:tblPr>
      <w:tblGrid>
        <w:gridCol w:w="609"/>
        <w:gridCol w:w="957"/>
        <w:gridCol w:w="4821"/>
        <w:gridCol w:w="998"/>
        <w:gridCol w:w="641"/>
        <w:gridCol w:w="600"/>
      </w:tblGrid>
      <w:tr w14:paraId="368685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cantSplit/>
          <w:trHeight w:val="541" w:hRule="atLeast"/>
          <w:tblHeader/>
          <w:jc w:val="center"/>
        </w:trPr>
        <w:tc>
          <w:tcPr>
            <w:tcW w:w="609" w:type="dxa"/>
            <w:vMerge w:val="restart"/>
            <w:tcBorders>
              <w:top w:val="single" w:color="auto" w:sz="8" w:space="0"/>
            </w:tcBorders>
            <w:vAlign w:val="center"/>
          </w:tcPr>
          <w:p w14:paraId="4C0038BF">
            <w:pPr>
              <w:spacing w:line="240" w:lineRule="atLeast"/>
              <w:jc w:val="center"/>
            </w:pPr>
            <w:r>
              <w:rPr>
                <w:rFonts w:hint="eastAsia"/>
              </w:rPr>
              <w:t>序号</w:t>
            </w:r>
          </w:p>
        </w:tc>
        <w:tc>
          <w:tcPr>
            <w:tcW w:w="5778" w:type="dxa"/>
            <w:gridSpan w:val="2"/>
            <w:tcBorders>
              <w:top w:val="single" w:color="auto" w:sz="8" w:space="0"/>
            </w:tcBorders>
            <w:vAlign w:val="center"/>
          </w:tcPr>
          <w:p w14:paraId="17261ECE">
            <w:pPr>
              <w:spacing w:line="240" w:lineRule="atLeast"/>
              <w:jc w:val="center"/>
            </w:pPr>
            <w:r>
              <w:rPr>
                <w:rFonts w:hint="eastAsia"/>
              </w:rPr>
              <w:t>招标文件商务要求</w:t>
            </w:r>
          </w:p>
        </w:tc>
        <w:tc>
          <w:tcPr>
            <w:tcW w:w="2239" w:type="dxa"/>
            <w:gridSpan w:val="3"/>
            <w:tcBorders>
              <w:top w:val="single" w:color="auto" w:sz="8" w:space="0"/>
            </w:tcBorders>
            <w:vAlign w:val="center"/>
          </w:tcPr>
          <w:p w14:paraId="47A93A35">
            <w:pPr>
              <w:spacing w:line="240" w:lineRule="atLeast"/>
              <w:jc w:val="center"/>
            </w:pPr>
            <w:r>
              <w:rPr>
                <w:rFonts w:hint="eastAsia" w:hAnsi="宋体"/>
              </w:rPr>
              <w:t>投标方响应</w:t>
            </w:r>
          </w:p>
        </w:tc>
      </w:tr>
      <w:tr w14:paraId="38068A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cantSplit/>
          <w:trHeight w:val="270" w:hRule="atLeast"/>
          <w:tblHeader/>
          <w:jc w:val="center"/>
        </w:trPr>
        <w:tc>
          <w:tcPr>
            <w:tcW w:w="609" w:type="dxa"/>
            <w:vMerge w:val="continue"/>
            <w:vAlign w:val="center"/>
          </w:tcPr>
          <w:p w14:paraId="18F8A150">
            <w:pPr>
              <w:spacing w:line="240" w:lineRule="atLeast"/>
              <w:jc w:val="center"/>
            </w:pPr>
          </w:p>
        </w:tc>
        <w:tc>
          <w:tcPr>
            <w:tcW w:w="957" w:type="dxa"/>
            <w:vAlign w:val="center"/>
          </w:tcPr>
          <w:p w14:paraId="45403AA3">
            <w:pPr>
              <w:spacing w:line="240" w:lineRule="atLeast"/>
              <w:ind w:left="-105" w:leftChars="-50" w:right="-105" w:rightChars="-50"/>
              <w:jc w:val="center"/>
            </w:pPr>
            <w:r>
              <w:rPr>
                <w:rFonts w:hint="eastAsia"/>
              </w:rPr>
              <w:t>条目号</w:t>
            </w:r>
          </w:p>
        </w:tc>
        <w:tc>
          <w:tcPr>
            <w:tcW w:w="4821" w:type="dxa"/>
            <w:vAlign w:val="center"/>
          </w:tcPr>
          <w:p w14:paraId="3030E3D4">
            <w:pPr>
              <w:spacing w:line="240" w:lineRule="atLeast"/>
              <w:jc w:val="center"/>
            </w:pPr>
            <w:r>
              <w:rPr>
                <w:rFonts w:hint="eastAsia"/>
              </w:rPr>
              <w:t>商务要求明细</w:t>
            </w:r>
          </w:p>
        </w:tc>
        <w:tc>
          <w:tcPr>
            <w:tcW w:w="998" w:type="dxa"/>
            <w:vAlign w:val="center"/>
          </w:tcPr>
          <w:p w14:paraId="52056AB4">
            <w:pPr>
              <w:spacing w:line="240" w:lineRule="atLeast"/>
              <w:jc w:val="center"/>
            </w:pPr>
            <w:r>
              <w:rPr>
                <w:rFonts w:hint="eastAsia"/>
              </w:rPr>
              <w:t>响应内容</w:t>
            </w:r>
          </w:p>
        </w:tc>
        <w:tc>
          <w:tcPr>
            <w:tcW w:w="641" w:type="dxa"/>
            <w:vAlign w:val="center"/>
          </w:tcPr>
          <w:p w14:paraId="7B076FC8">
            <w:pPr>
              <w:spacing w:line="240" w:lineRule="atLeast"/>
              <w:ind w:left="-113" w:right="-113"/>
              <w:jc w:val="center"/>
            </w:pPr>
            <w:r>
              <w:rPr>
                <w:rFonts w:hint="eastAsia"/>
              </w:rPr>
              <w:t>有</w:t>
            </w:r>
            <w:r>
              <w:t>/</w:t>
            </w:r>
            <w:r>
              <w:rPr>
                <w:rFonts w:hint="eastAsia"/>
              </w:rPr>
              <w:t>无</w:t>
            </w:r>
          </w:p>
          <w:p w14:paraId="472C4927">
            <w:pPr>
              <w:spacing w:line="240" w:lineRule="atLeast"/>
              <w:ind w:left="-113" w:right="-113"/>
              <w:jc w:val="center"/>
            </w:pPr>
            <w:r>
              <w:rPr>
                <w:rFonts w:hint="eastAsia"/>
              </w:rPr>
              <w:t>偏离</w:t>
            </w:r>
          </w:p>
        </w:tc>
        <w:tc>
          <w:tcPr>
            <w:tcW w:w="600" w:type="dxa"/>
            <w:vAlign w:val="center"/>
          </w:tcPr>
          <w:p w14:paraId="6736DDA2">
            <w:pPr>
              <w:spacing w:line="240" w:lineRule="atLeast"/>
              <w:jc w:val="center"/>
            </w:pPr>
            <w:r>
              <w:rPr>
                <w:rFonts w:hint="eastAsia"/>
              </w:rPr>
              <w:t>说明</w:t>
            </w:r>
          </w:p>
        </w:tc>
      </w:tr>
      <w:tr w14:paraId="781269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5630E85F">
            <w:pPr>
              <w:spacing w:line="240" w:lineRule="atLeast"/>
              <w:ind w:left="284"/>
              <w:jc w:val="center"/>
            </w:pPr>
          </w:p>
        </w:tc>
        <w:tc>
          <w:tcPr>
            <w:tcW w:w="957" w:type="dxa"/>
          </w:tcPr>
          <w:p w14:paraId="2C46A40D">
            <w:pPr>
              <w:spacing w:line="400" w:lineRule="exact"/>
              <w:ind w:left="170"/>
            </w:pPr>
          </w:p>
        </w:tc>
        <w:tc>
          <w:tcPr>
            <w:tcW w:w="4821" w:type="dxa"/>
          </w:tcPr>
          <w:p w14:paraId="2D3A6B03">
            <w:pPr>
              <w:spacing w:line="400" w:lineRule="exact"/>
            </w:pPr>
          </w:p>
        </w:tc>
        <w:tc>
          <w:tcPr>
            <w:tcW w:w="998" w:type="dxa"/>
            <w:vAlign w:val="center"/>
          </w:tcPr>
          <w:p w14:paraId="5FCB71FD">
            <w:pPr>
              <w:spacing w:line="240" w:lineRule="atLeast"/>
              <w:jc w:val="center"/>
            </w:pPr>
          </w:p>
        </w:tc>
        <w:tc>
          <w:tcPr>
            <w:tcW w:w="641" w:type="dxa"/>
            <w:vAlign w:val="center"/>
          </w:tcPr>
          <w:p w14:paraId="6E250D94">
            <w:pPr>
              <w:spacing w:line="240" w:lineRule="atLeast"/>
              <w:jc w:val="center"/>
            </w:pPr>
          </w:p>
        </w:tc>
        <w:tc>
          <w:tcPr>
            <w:tcW w:w="600" w:type="dxa"/>
            <w:vAlign w:val="center"/>
          </w:tcPr>
          <w:p w14:paraId="0A4E2A2B">
            <w:pPr>
              <w:spacing w:line="240" w:lineRule="atLeast"/>
              <w:jc w:val="center"/>
            </w:pPr>
          </w:p>
        </w:tc>
      </w:tr>
      <w:tr w14:paraId="6170A2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4C1F3B77">
            <w:pPr>
              <w:spacing w:line="240" w:lineRule="atLeast"/>
              <w:ind w:left="284"/>
              <w:jc w:val="center"/>
            </w:pPr>
          </w:p>
        </w:tc>
        <w:tc>
          <w:tcPr>
            <w:tcW w:w="957" w:type="dxa"/>
          </w:tcPr>
          <w:p w14:paraId="08A18257">
            <w:pPr>
              <w:spacing w:line="400" w:lineRule="exact"/>
              <w:ind w:left="170"/>
            </w:pPr>
          </w:p>
        </w:tc>
        <w:tc>
          <w:tcPr>
            <w:tcW w:w="4821" w:type="dxa"/>
          </w:tcPr>
          <w:p w14:paraId="2ED40506">
            <w:pPr>
              <w:spacing w:line="400" w:lineRule="exact"/>
            </w:pPr>
          </w:p>
        </w:tc>
        <w:tc>
          <w:tcPr>
            <w:tcW w:w="998" w:type="dxa"/>
            <w:vAlign w:val="center"/>
          </w:tcPr>
          <w:p w14:paraId="52557D36">
            <w:pPr>
              <w:spacing w:line="240" w:lineRule="atLeast"/>
              <w:jc w:val="center"/>
            </w:pPr>
          </w:p>
        </w:tc>
        <w:tc>
          <w:tcPr>
            <w:tcW w:w="641" w:type="dxa"/>
            <w:vAlign w:val="center"/>
          </w:tcPr>
          <w:p w14:paraId="5CD2E2A4">
            <w:pPr>
              <w:spacing w:line="240" w:lineRule="atLeast"/>
              <w:jc w:val="center"/>
            </w:pPr>
          </w:p>
        </w:tc>
        <w:tc>
          <w:tcPr>
            <w:tcW w:w="600" w:type="dxa"/>
            <w:vAlign w:val="center"/>
          </w:tcPr>
          <w:p w14:paraId="6EA65362">
            <w:pPr>
              <w:spacing w:line="240" w:lineRule="atLeast"/>
              <w:jc w:val="center"/>
            </w:pPr>
          </w:p>
        </w:tc>
      </w:tr>
      <w:tr w14:paraId="6F5CC8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112B4902">
            <w:pPr>
              <w:spacing w:line="240" w:lineRule="atLeast"/>
              <w:ind w:left="284"/>
              <w:jc w:val="center"/>
            </w:pPr>
          </w:p>
        </w:tc>
        <w:tc>
          <w:tcPr>
            <w:tcW w:w="957" w:type="dxa"/>
          </w:tcPr>
          <w:p w14:paraId="72359DF4">
            <w:pPr>
              <w:spacing w:line="400" w:lineRule="exact"/>
              <w:ind w:left="170"/>
            </w:pPr>
          </w:p>
        </w:tc>
        <w:tc>
          <w:tcPr>
            <w:tcW w:w="4821" w:type="dxa"/>
          </w:tcPr>
          <w:p w14:paraId="21C0D3A9">
            <w:pPr>
              <w:spacing w:line="400" w:lineRule="exact"/>
            </w:pPr>
          </w:p>
        </w:tc>
        <w:tc>
          <w:tcPr>
            <w:tcW w:w="998" w:type="dxa"/>
            <w:vAlign w:val="center"/>
          </w:tcPr>
          <w:p w14:paraId="5F3F14D7">
            <w:pPr>
              <w:spacing w:line="240" w:lineRule="atLeast"/>
              <w:jc w:val="center"/>
            </w:pPr>
          </w:p>
        </w:tc>
        <w:tc>
          <w:tcPr>
            <w:tcW w:w="641" w:type="dxa"/>
            <w:vAlign w:val="center"/>
          </w:tcPr>
          <w:p w14:paraId="719C874E">
            <w:pPr>
              <w:spacing w:line="240" w:lineRule="atLeast"/>
              <w:jc w:val="center"/>
            </w:pPr>
          </w:p>
        </w:tc>
        <w:tc>
          <w:tcPr>
            <w:tcW w:w="600" w:type="dxa"/>
            <w:vAlign w:val="center"/>
          </w:tcPr>
          <w:p w14:paraId="0E548408">
            <w:pPr>
              <w:spacing w:line="240" w:lineRule="atLeast"/>
              <w:jc w:val="center"/>
            </w:pPr>
          </w:p>
        </w:tc>
      </w:tr>
      <w:tr w14:paraId="1BF596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316FE415">
            <w:pPr>
              <w:spacing w:line="240" w:lineRule="atLeast"/>
              <w:ind w:left="284"/>
              <w:jc w:val="center"/>
            </w:pPr>
          </w:p>
        </w:tc>
        <w:tc>
          <w:tcPr>
            <w:tcW w:w="957" w:type="dxa"/>
          </w:tcPr>
          <w:p w14:paraId="5A3BA86B">
            <w:pPr>
              <w:spacing w:line="400" w:lineRule="exact"/>
              <w:ind w:left="170"/>
            </w:pPr>
          </w:p>
        </w:tc>
        <w:tc>
          <w:tcPr>
            <w:tcW w:w="4821" w:type="dxa"/>
          </w:tcPr>
          <w:p w14:paraId="5359D7FF">
            <w:pPr>
              <w:spacing w:line="400" w:lineRule="exact"/>
            </w:pPr>
          </w:p>
        </w:tc>
        <w:tc>
          <w:tcPr>
            <w:tcW w:w="998" w:type="dxa"/>
            <w:vAlign w:val="center"/>
          </w:tcPr>
          <w:p w14:paraId="1E69B9C8">
            <w:pPr>
              <w:spacing w:line="240" w:lineRule="atLeast"/>
              <w:jc w:val="center"/>
            </w:pPr>
          </w:p>
        </w:tc>
        <w:tc>
          <w:tcPr>
            <w:tcW w:w="641" w:type="dxa"/>
            <w:vAlign w:val="center"/>
          </w:tcPr>
          <w:p w14:paraId="29C10DB6">
            <w:pPr>
              <w:spacing w:line="240" w:lineRule="atLeast"/>
              <w:jc w:val="center"/>
            </w:pPr>
          </w:p>
        </w:tc>
        <w:tc>
          <w:tcPr>
            <w:tcW w:w="600" w:type="dxa"/>
            <w:vAlign w:val="center"/>
          </w:tcPr>
          <w:p w14:paraId="6620B08A">
            <w:pPr>
              <w:spacing w:line="240" w:lineRule="atLeast"/>
              <w:jc w:val="center"/>
            </w:pPr>
          </w:p>
        </w:tc>
      </w:tr>
      <w:tr w14:paraId="7705B4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3108B479">
            <w:pPr>
              <w:spacing w:line="240" w:lineRule="atLeast"/>
              <w:ind w:left="284"/>
              <w:jc w:val="center"/>
            </w:pPr>
          </w:p>
        </w:tc>
        <w:tc>
          <w:tcPr>
            <w:tcW w:w="957" w:type="dxa"/>
          </w:tcPr>
          <w:p w14:paraId="2E2CD57D">
            <w:pPr>
              <w:spacing w:line="400" w:lineRule="exact"/>
              <w:ind w:left="170"/>
            </w:pPr>
          </w:p>
        </w:tc>
        <w:tc>
          <w:tcPr>
            <w:tcW w:w="4821" w:type="dxa"/>
          </w:tcPr>
          <w:p w14:paraId="1381B7AA">
            <w:pPr>
              <w:spacing w:line="400" w:lineRule="exact"/>
            </w:pPr>
          </w:p>
        </w:tc>
        <w:tc>
          <w:tcPr>
            <w:tcW w:w="998" w:type="dxa"/>
            <w:vAlign w:val="center"/>
          </w:tcPr>
          <w:p w14:paraId="7F018B46">
            <w:pPr>
              <w:spacing w:line="240" w:lineRule="atLeast"/>
              <w:jc w:val="center"/>
            </w:pPr>
          </w:p>
        </w:tc>
        <w:tc>
          <w:tcPr>
            <w:tcW w:w="641" w:type="dxa"/>
            <w:vAlign w:val="center"/>
          </w:tcPr>
          <w:p w14:paraId="0922CC9C">
            <w:pPr>
              <w:spacing w:line="240" w:lineRule="atLeast"/>
              <w:jc w:val="center"/>
            </w:pPr>
          </w:p>
        </w:tc>
        <w:tc>
          <w:tcPr>
            <w:tcW w:w="600" w:type="dxa"/>
            <w:vAlign w:val="center"/>
          </w:tcPr>
          <w:p w14:paraId="120DC7DC">
            <w:pPr>
              <w:spacing w:line="240" w:lineRule="atLeast"/>
              <w:jc w:val="center"/>
            </w:pPr>
          </w:p>
        </w:tc>
      </w:tr>
      <w:tr w14:paraId="2D00D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7CCDAD85">
            <w:pPr>
              <w:spacing w:line="240" w:lineRule="atLeast"/>
              <w:ind w:left="284"/>
              <w:jc w:val="center"/>
            </w:pPr>
          </w:p>
        </w:tc>
        <w:tc>
          <w:tcPr>
            <w:tcW w:w="957" w:type="dxa"/>
          </w:tcPr>
          <w:p w14:paraId="624302F4">
            <w:pPr>
              <w:spacing w:line="400" w:lineRule="exact"/>
              <w:ind w:left="170"/>
            </w:pPr>
          </w:p>
        </w:tc>
        <w:tc>
          <w:tcPr>
            <w:tcW w:w="4821" w:type="dxa"/>
          </w:tcPr>
          <w:p w14:paraId="717A221F">
            <w:pPr>
              <w:spacing w:line="400" w:lineRule="exact"/>
            </w:pPr>
          </w:p>
        </w:tc>
        <w:tc>
          <w:tcPr>
            <w:tcW w:w="998" w:type="dxa"/>
            <w:vAlign w:val="center"/>
          </w:tcPr>
          <w:p w14:paraId="671FEAE6">
            <w:pPr>
              <w:spacing w:line="240" w:lineRule="atLeast"/>
              <w:jc w:val="center"/>
            </w:pPr>
          </w:p>
        </w:tc>
        <w:tc>
          <w:tcPr>
            <w:tcW w:w="641" w:type="dxa"/>
            <w:vAlign w:val="center"/>
          </w:tcPr>
          <w:p w14:paraId="6468B547">
            <w:pPr>
              <w:spacing w:line="240" w:lineRule="atLeast"/>
              <w:jc w:val="center"/>
            </w:pPr>
          </w:p>
        </w:tc>
        <w:tc>
          <w:tcPr>
            <w:tcW w:w="600" w:type="dxa"/>
            <w:vAlign w:val="center"/>
          </w:tcPr>
          <w:p w14:paraId="5EF0782D">
            <w:pPr>
              <w:spacing w:line="240" w:lineRule="atLeast"/>
              <w:jc w:val="center"/>
            </w:pPr>
          </w:p>
        </w:tc>
      </w:tr>
      <w:tr w14:paraId="7EBDE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2CCBD8FD">
            <w:pPr>
              <w:spacing w:line="240" w:lineRule="atLeast"/>
              <w:ind w:left="284"/>
              <w:jc w:val="center"/>
            </w:pPr>
          </w:p>
        </w:tc>
        <w:tc>
          <w:tcPr>
            <w:tcW w:w="957" w:type="dxa"/>
          </w:tcPr>
          <w:p w14:paraId="78C0887C">
            <w:pPr>
              <w:spacing w:line="400" w:lineRule="exact"/>
              <w:ind w:left="170"/>
            </w:pPr>
          </w:p>
        </w:tc>
        <w:tc>
          <w:tcPr>
            <w:tcW w:w="4821" w:type="dxa"/>
          </w:tcPr>
          <w:p w14:paraId="600511C6">
            <w:pPr>
              <w:spacing w:line="400" w:lineRule="exact"/>
            </w:pPr>
          </w:p>
        </w:tc>
        <w:tc>
          <w:tcPr>
            <w:tcW w:w="998" w:type="dxa"/>
            <w:vAlign w:val="center"/>
          </w:tcPr>
          <w:p w14:paraId="5ECCD965">
            <w:pPr>
              <w:spacing w:line="240" w:lineRule="atLeast"/>
              <w:jc w:val="center"/>
            </w:pPr>
          </w:p>
        </w:tc>
        <w:tc>
          <w:tcPr>
            <w:tcW w:w="641" w:type="dxa"/>
            <w:vAlign w:val="center"/>
          </w:tcPr>
          <w:p w14:paraId="11B5B66F">
            <w:pPr>
              <w:spacing w:line="240" w:lineRule="atLeast"/>
              <w:jc w:val="center"/>
            </w:pPr>
          </w:p>
        </w:tc>
        <w:tc>
          <w:tcPr>
            <w:tcW w:w="600" w:type="dxa"/>
            <w:vAlign w:val="center"/>
          </w:tcPr>
          <w:p w14:paraId="38B2D94D">
            <w:pPr>
              <w:spacing w:line="240" w:lineRule="atLeast"/>
              <w:jc w:val="center"/>
            </w:pPr>
          </w:p>
        </w:tc>
      </w:tr>
      <w:tr w14:paraId="6536B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6A6E3594">
            <w:pPr>
              <w:spacing w:line="240" w:lineRule="atLeast"/>
              <w:ind w:left="284"/>
              <w:jc w:val="center"/>
            </w:pPr>
          </w:p>
        </w:tc>
        <w:tc>
          <w:tcPr>
            <w:tcW w:w="957" w:type="dxa"/>
          </w:tcPr>
          <w:p w14:paraId="2DE2FEE9">
            <w:pPr>
              <w:spacing w:line="400" w:lineRule="exact"/>
              <w:ind w:left="170"/>
            </w:pPr>
          </w:p>
        </w:tc>
        <w:tc>
          <w:tcPr>
            <w:tcW w:w="4821" w:type="dxa"/>
          </w:tcPr>
          <w:p w14:paraId="4B11AF08">
            <w:pPr>
              <w:spacing w:line="400" w:lineRule="exact"/>
            </w:pPr>
          </w:p>
        </w:tc>
        <w:tc>
          <w:tcPr>
            <w:tcW w:w="998" w:type="dxa"/>
            <w:vAlign w:val="center"/>
          </w:tcPr>
          <w:p w14:paraId="08C238C5">
            <w:pPr>
              <w:spacing w:line="240" w:lineRule="atLeast"/>
              <w:jc w:val="center"/>
            </w:pPr>
          </w:p>
        </w:tc>
        <w:tc>
          <w:tcPr>
            <w:tcW w:w="641" w:type="dxa"/>
            <w:vAlign w:val="center"/>
          </w:tcPr>
          <w:p w14:paraId="153B3DE2">
            <w:pPr>
              <w:spacing w:line="240" w:lineRule="atLeast"/>
              <w:jc w:val="center"/>
            </w:pPr>
          </w:p>
        </w:tc>
        <w:tc>
          <w:tcPr>
            <w:tcW w:w="600" w:type="dxa"/>
            <w:vAlign w:val="center"/>
          </w:tcPr>
          <w:p w14:paraId="122BE519">
            <w:pPr>
              <w:spacing w:line="240" w:lineRule="atLeast"/>
              <w:jc w:val="center"/>
            </w:pPr>
          </w:p>
        </w:tc>
      </w:tr>
      <w:tr w14:paraId="7F7BB5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vAlign w:val="center"/>
          </w:tcPr>
          <w:p w14:paraId="00A22D41">
            <w:pPr>
              <w:spacing w:line="240" w:lineRule="atLeast"/>
              <w:ind w:left="284"/>
              <w:jc w:val="center"/>
            </w:pPr>
          </w:p>
        </w:tc>
        <w:tc>
          <w:tcPr>
            <w:tcW w:w="957" w:type="dxa"/>
          </w:tcPr>
          <w:p w14:paraId="0F4037D0">
            <w:pPr>
              <w:spacing w:line="400" w:lineRule="exact"/>
              <w:ind w:left="170"/>
            </w:pPr>
          </w:p>
        </w:tc>
        <w:tc>
          <w:tcPr>
            <w:tcW w:w="4821" w:type="dxa"/>
          </w:tcPr>
          <w:p w14:paraId="728850A9">
            <w:pPr>
              <w:spacing w:line="400" w:lineRule="exact"/>
            </w:pPr>
          </w:p>
        </w:tc>
        <w:tc>
          <w:tcPr>
            <w:tcW w:w="998" w:type="dxa"/>
            <w:vAlign w:val="center"/>
          </w:tcPr>
          <w:p w14:paraId="1C36EDBC">
            <w:pPr>
              <w:spacing w:line="240" w:lineRule="atLeast"/>
              <w:jc w:val="center"/>
            </w:pPr>
          </w:p>
        </w:tc>
        <w:tc>
          <w:tcPr>
            <w:tcW w:w="641" w:type="dxa"/>
            <w:vAlign w:val="center"/>
          </w:tcPr>
          <w:p w14:paraId="2C90B861">
            <w:pPr>
              <w:spacing w:line="240" w:lineRule="atLeast"/>
              <w:jc w:val="center"/>
            </w:pPr>
          </w:p>
        </w:tc>
        <w:tc>
          <w:tcPr>
            <w:tcW w:w="600" w:type="dxa"/>
            <w:vAlign w:val="center"/>
          </w:tcPr>
          <w:p w14:paraId="00BC8BA4">
            <w:pPr>
              <w:spacing w:line="240" w:lineRule="atLeast"/>
              <w:jc w:val="center"/>
            </w:pPr>
          </w:p>
        </w:tc>
      </w:tr>
      <w:tr w14:paraId="0AA465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6" w:type="dxa"/>
            <w:bottom w:w="0" w:type="dxa"/>
            <w:right w:w="56" w:type="dxa"/>
          </w:tblCellMar>
        </w:tblPrEx>
        <w:trPr>
          <w:jc w:val="center"/>
        </w:trPr>
        <w:tc>
          <w:tcPr>
            <w:tcW w:w="609" w:type="dxa"/>
            <w:tcBorders>
              <w:bottom w:val="single" w:color="auto" w:sz="8" w:space="0"/>
            </w:tcBorders>
            <w:vAlign w:val="center"/>
          </w:tcPr>
          <w:p w14:paraId="523A6E38">
            <w:pPr>
              <w:spacing w:line="240" w:lineRule="atLeast"/>
              <w:ind w:left="284"/>
              <w:jc w:val="center"/>
            </w:pPr>
          </w:p>
        </w:tc>
        <w:tc>
          <w:tcPr>
            <w:tcW w:w="957" w:type="dxa"/>
            <w:tcBorders>
              <w:bottom w:val="single" w:color="auto" w:sz="8" w:space="0"/>
            </w:tcBorders>
          </w:tcPr>
          <w:p w14:paraId="64AC286A">
            <w:pPr>
              <w:spacing w:line="400" w:lineRule="exact"/>
              <w:ind w:left="170"/>
            </w:pPr>
          </w:p>
        </w:tc>
        <w:tc>
          <w:tcPr>
            <w:tcW w:w="4821" w:type="dxa"/>
            <w:tcBorders>
              <w:bottom w:val="single" w:color="auto" w:sz="8" w:space="0"/>
            </w:tcBorders>
          </w:tcPr>
          <w:p w14:paraId="1D9C7A2C">
            <w:pPr>
              <w:spacing w:line="400" w:lineRule="exact"/>
            </w:pPr>
          </w:p>
        </w:tc>
        <w:tc>
          <w:tcPr>
            <w:tcW w:w="998" w:type="dxa"/>
            <w:tcBorders>
              <w:bottom w:val="single" w:color="auto" w:sz="8" w:space="0"/>
            </w:tcBorders>
            <w:vAlign w:val="center"/>
          </w:tcPr>
          <w:p w14:paraId="6792FB07">
            <w:pPr>
              <w:spacing w:line="240" w:lineRule="atLeast"/>
              <w:jc w:val="center"/>
            </w:pPr>
          </w:p>
        </w:tc>
        <w:tc>
          <w:tcPr>
            <w:tcW w:w="641" w:type="dxa"/>
            <w:tcBorders>
              <w:bottom w:val="single" w:color="auto" w:sz="8" w:space="0"/>
            </w:tcBorders>
            <w:vAlign w:val="center"/>
          </w:tcPr>
          <w:p w14:paraId="5FABB8FF">
            <w:pPr>
              <w:spacing w:line="240" w:lineRule="atLeast"/>
              <w:jc w:val="center"/>
            </w:pPr>
          </w:p>
        </w:tc>
        <w:tc>
          <w:tcPr>
            <w:tcW w:w="600" w:type="dxa"/>
            <w:tcBorders>
              <w:bottom w:val="single" w:color="auto" w:sz="8" w:space="0"/>
            </w:tcBorders>
            <w:vAlign w:val="center"/>
          </w:tcPr>
          <w:p w14:paraId="6D08B805">
            <w:pPr>
              <w:spacing w:line="240" w:lineRule="atLeast"/>
              <w:jc w:val="center"/>
            </w:pPr>
          </w:p>
        </w:tc>
      </w:tr>
    </w:tbl>
    <w:p w14:paraId="610FB592">
      <w:pPr>
        <w:spacing w:line="360" w:lineRule="auto"/>
        <w:rPr>
          <w:bCs/>
          <w:szCs w:val="21"/>
        </w:rPr>
      </w:pPr>
    </w:p>
    <w:p w14:paraId="787467EC">
      <w:pPr>
        <w:spacing w:line="320" w:lineRule="exact"/>
        <w:rPr>
          <w:sz w:val="18"/>
        </w:rPr>
      </w:pPr>
      <w:r>
        <w:rPr>
          <w:rFonts w:hint="eastAsia" w:hAnsi="宋体"/>
          <w:sz w:val="18"/>
        </w:rPr>
        <w:t>填报说明：</w:t>
      </w:r>
    </w:p>
    <w:p w14:paraId="681E0956">
      <w:pPr>
        <w:spacing w:line="320" w:lineRule="exact"/>
        <w:ind w:left="510" w:hanging="90"/>
        <w:rPr>
          <w:sz w:val="18"/>
        </w:rPr>
      </w:pPr>
      <w:r>
        <w:rPr>
          <w:sz w:val="18"/>
        </w:rPr>
        <w:t>1.</w:t>
      </w:r>
      <w:r>
        <w:rPr>
          <w:rFonts w:hint="eastAsia" w:hAnsi="宋体"/>
          <w:sz w:val="18"/>
        </w:rPr>
        <w:t>本表中的《招标文件商务要求》</w:t>
      </w:r>
      <w:r>
        <w:rPr>
          <w:rFonts w:hint="eastAsia" w:hAnsi="宋体"/>
          <w:sz w:val="18"/>
          <w:lang w:eastAsia="zh-CN"/>
        </w:rPr>
        <w:t>来自</w:t>
      </w:r>
      <w:r>
        <w:rPr>
          <w:rFonts w:hint="eastAsia" w:hAnsi="宋体"/>
          <w:sz w:val="18"/>
        </w:rPr>
        <w:t>招标文件第二章第一节“商务要求”，投标方须逐条填写在本表中，并对《投标方响应》下的三栏要求作出响应。</w:t>
      </w:r>
    </w:p>
    <w:p w14:paraId="37537A91">
      <w:pPr>
        <w:spacing w:line="320" w:lineRule="exact"/>
        <w:ind w:firstLine="420"/>
        <w:rPr>
          <w:b/>
          <w:sz w:val="18"/>
          <w:szCs w:val="21"/>
        </w:rPr>
      </w:pPr>
      <w:r>
        <w:rPr>
          <w:rFonts w:hint="eastAsia"/>
          <w:sz w:val="18"/>
        </w:rPr>
        <w:t>2</w:t>
      </w:r>
      <w:r>
        <w:rPr>
          <w:sz w:val="18"/>
        </w:rPr>
        <w:t>.</w:t>
      </w:r>
      <w:r>
        <w:rPr>
          <w:rFonts w:hint="eastAsia" w:hAnsi="宋体"/>
          <w:sz w:val="18"/>
        </w:rPr>
        <w:t>《有</w:t>
      </w:r>
      <w:r>
        <w:rPr>
          <w:rFonts w:hAnsi="宋体"/>
          <w:sz w:val="18"/>
        </w:rPr>
        <w:t>/</w:t>
      </w:r>
      <w:r>
        <w:rPr>
          <w:rFonts w:hint="eastAsia" w:hAnsi="宋体"/>
          <w:sz w:val="18"/>
        </w:rPr>
        <w:t>无偏离》栏只需填“有”或“无”，填“有”的可以在其后《说明》栏中作出说明。</w:t>
      </w:r>
    </w:p>
    <w:p w14:paraId="483EFC75">
      <w:pPr>
        <w:spacing w:line="320" w:lineRule="exact"/>
        <w:rPr>
          <w:szCs w:val="21"/>
        </w:rPr>
      </w:pPr>
    </w:p>
    <w:p w14:paraId="19A1440E">
      <w:pPr>
        <w:spacing w:line="360" w:lineRule="auto"/>
        <w:rPr>
          <w:szCs w:val="21"/>
          <w:u w:val="single"/>
        </w:rPr>
      </w:pPr>
      <w:r>
        <w:rPr>
          <w:rFonts w:hint="eastAsia" w:hAnsi="宋体"/>
          <w:szCs w:val="21"/>
        </w:rPr>
        <w:t>投标方代表签字</w:t>
      </w:r>
      <w:r>
        <w:rPr>
          <w:rFonts w:hint="eastAsia" w:hAnsi="宋体"/>
          <w:szCs w:val="21"/>
          <w:lang w:eastAsia="zh-CN"/>
        </w:rPr>
        <w:t>：</w:t>
      </w:r>
    </w:p>
    <w:p w14:paraId="122DABFF">
      <w:pPr>
        <w:spacing w:line="360" w:lineRule="auto"/>
        <w:rPr>
          <w:szCs w:val="21"/>
        </w:rPr>
      </w:pPr>
    </w:p>
    <w:p w14:paraId="30791E9D">
      <w:pPr>
        <w:spacing w:line="360" w:lineRule="auto"/>
        <w:rPr>
          <w:szCs w:val="21"/>
          <w:u w:val="single"/>
        </w:rPr>
      </w:pPr>
      <w:r>
        <w:rPr>
          <w:rFonts w:hint="eastAsia" w:hAnsi="宋体"/>
          <w:szCs w:val="21"/>
        </w:rPr>
        <w:t>单位盖章：</w:t>
      </w:r>
    </w:p>
    <w:p w14:paraId="3E2C87A1">
      <w:pPr>
        <w:pStyle w:val="3"/>
        <w:ind w:left="420"/>
        <w:rPr>
          <w:rFonts w:ascii="楷体_GB2312" w:hAnsi="宋体" w:eastAsia="楷体_GB2312"/>
          <w:b w:val="0"/>
          <w:sz w:val="21"/>
          <w:szCs w:val="21"/>
        </w:rPr>
      </w:pPr>
      <w:bookmarkStart w:id="262" w:name="_Toc236803115"/>
      <w:bookmarkStart w:id="263" w:name="_Toc211243321"/>
      <w:r>
        <w:rPr>
          <w:rFonts w:ascii="楷体_GB2312" w:hAnsi="宋体" w:eastAsia="楷体_GB2312"/>
          <w:b w:val="0"/>
          <w:sz w:val="21"/>
          <w:szCs w:val="21"/>
        </w:rPr>
        <w:br w:type="page"/>
      </w:r>
      <w:bookmarkStart w:id="264" w:name="_Toc11339"/>
      <w:bookmarkStart w:id="265" w:name="_Toc21722"/>
      <w:bookmarkStart w:id="266" w:name="_Toc496002360"/>
      <w:bookmarkStart w:id="267" w:name="_Toc29891"/>
      <w:bookmarkStart w:id="268" w:name="_Toc16623"/>
      <w:bookmarkStart w:id="269" w:name="_Toc20944"/>
      <w:r>
        <w:rPr>
          <w:rFonts w:hint="eastAsia" w:ascii="楷体_GB2312" w:hAnsi="宋体" w:eastAsia="楷体_GB2312"/>
          <w:b w:val="0"/>
          <w:sz w:val="21"/>
          <w:szCs w:val="21"/>
        </w:rPr>
        <w:t>格式</w:t>
      </w:r>
      <w:r>
        <w:rPr>
          <w:rFonts w:hint="eastAsia" w:ascii="楷体_GB2312" w:hAnsi="宋体" w:eastAsia="楷体_GB2312"/>
          <w:b w:val="0"/>
          <w:sz w:val="21"/>
          <w:szCs w:val="21"/>
          <w:lang w:val="en-US" w:eastAsia="zh-CN"/>
        </w:rPr>
        <w:t>7</w:t>
      </w:r>
      <w:r>
        <w:rPr>
          <w:rFonts w:ascii="楷体_GB2312" w:hAnsi="宋体" w:eastAsia="楷体_GB2312"/>
          <w:b w:val="0"/>
          <w:sz w:val="21"/>
          <w:szCs w:val="21"/>
        </w:rPr>
        <w:t>.</w:t>
      </w:r>
      <w:bookmarkEnd w:id="262"/>
      <w:bookmarkEnd w:id="263"/>
      <w:r>
        <w:rPr>
          <w:rFonts w:hint="eastAsia" w:ascii="楷体_GB2312" w:hAnsi="宋体" w:eastAsia="楷体_GB2312"/>
          <w:b w:val="0"/>
          <w:sz w:val="21"/>
          <w:szCs w:val="21"/>
        </w:rPr>
        <w:t>公司情况介绍</w:t>
      </w:r>
      <w:bookmarkEnd w:id="264"/>
      <w:bookmarkEnd w:id="265"/>
      <w:bookmarkEnd w:id="266"/>
      <w:bookmarkEnd w:id="267"/>
      <w:bookmarkEnd w:id="268"/>
      <w:bookmarkEnd w:id="269"/>
    </w:p>
    <w:p w14:paraId="3EE5CA67">
      <w:pPr>
        <w:spacing w:before="360" w:after="240"/>
        <w:jc w:val="center"/>
        <w:rPr>
          <w:rFonts w:ascii="黑体" w:hAnsi="宋体" w:eastAsia="黑体"/>
          <w:sz w:val="30"/>
          <w:szCs w:val="30"/>
        </w:rPr>
      </w:pPr>
      <w:bookmarkStart w:id="270" w:name="_Toc31351"/>
      <w:r>
        <w:rPr>
          <w:rFonts w:hint="eastAsia" w:ascii="黑体" w:hAnsi="宋体" w:eastAsia="黑体"/>
          <w:sz w:val="30"/>
          <w:szCs w:val="30"/>
        </w:rPr>
        <w:t>公司情况介绍</w:t>
      </w:r>
      <w:bookmarkEnd w:id="270"/>
    </w:p>
    <w:p w14:paraId="654DE903">
      <w:pPr>
        <w:spacing w:line="360" w:lineRule="auto"/>
        <w:rPr>
          <w:szCs w:val="21"/>
        </w:rPr>
      </w:pPr>
    </w:p>
    <w:p w14:paraId="7BE6E102">
      <w:pPr>
        <w:spacing w:line="360" w:lineRule="auto"/>
        <w:rPr>
          <w:szCs w:val="21"/>
        </w:rPr>
      </w:pPr>
      <w:r>
        <w:rPr>
          <w:rFonts w:hint="eastAsia" w:hAnsi="宋体"/>
          <w:szCs w:val="21"/>
        </w:rPr>
        <w:t>至少应包括以下内容：</w:t>
      </w:r>
    </w:p>
    <w:p w14:paraId="1475EEBE">
      <w:pPr>
        <w:spacing w:before="240" w:line="360" w:lineRule="auto"/>
        <w:rPr>
          <w:szCs w:val="21"/>
        </w:rPr>
      </w:pPr>
      <w:bookmarkStart w:id="271" w:name="_Toc6801"/>
      <w:r>
        <w:rPr>
          <w:rFonts w:hAnsi="宋体"/>
          <w:szCs w:val="21"/>
        </w:rPr>
        <w:t>1.</w:t>
      </w:r>
      <w:r>
        <w:rPr>
          <w:rFonts w:hint="eastAsia"/>
        </w:rPr>
        <w:t>公司成立时间、生产历史</w:t>
      </w:r>
      <w:r>
        <w:rPr>
          <w:rFonts w:hint="eastAsia" w:hAnsi="宋体"/>
          <w:szCs w:val="21"/>
        </w:rPr>
        <w:t>；</w:t>
      </w:r>
      <w:bookmarkEnd w:id="271"/>
    </w:p>
    <w:p w14:paraId="671F37AB">
      <w:pPr>
        <w:spacing w:before="240" w:line="360" w:lineRule="auto"/>
        <w:rPr>
          <w:szCs w:val="21"/>
        </w:rPr>
      </w:pPr>
      <w:bookmarkStart w:id="272" w:name="_Toc31760"/>
      <w:r>
        <w:rPr>
          <w:rFonts w:hAnsi="宋体"/>
          <w:szCs w:val="21"/>
        </w:rPr>
        <w:t>2.</w:t>
      </w:r>
      <w:r>
        <w:rPr>
          <w:rFonts w:hint="eastAsia"/>
        </w:rPr>
        <w:t>公司规模</w:t>
      </w:r>
      <w:r>
        <w:rPr>
          <w:rFonts w:hint="eastAsia" w:hAnsi="宋体"/>
          <w:szCs w:val="21"/>
        </w:rPr>
        <w:t>；</w:t>
      </w:r>
      <w:bookmarkEnd w:id="272"/>
    </w:p>
    <w:p w14:paraId="48A5DE15">
      <w:pPr>
        <w:spacing w:before="240" w:line="360" w:lineRule="auto"/>
        <w:rPr>
          <w:szCs w:val="21"/>
        </w:rPr>
      </w:pPr>
      <w:bookmarkStart w:id="273" w:name="_Toc20959"/>
      <w:r>
        <w:rPr>
          <w:rFonts w:hAnsi="宋体"/>
          <w:szCs w:val="21"/>
        </w:rPr>
        <w:t>3.</w:t>
      </w:r>
      <w:r>
        <w:rPr>
          <w:rFonts w:hint="eastAsia"/>
        </w:rPr>
        <w:t>公司人员简介</w:t>
      </w:r>
      <w:r>
        <w:rPr>
          <w:rFonts w:hint="eastAsia" w:hAnsi="宋体"/>
          <w:szCs w:val="21"/>
        </w:rPr>
        <w:t>；</w:t>
      </w:r>
      <w:bookmarkEnd w:id="273"/>
    </w:p>
    <w:p w14:paraId="587C9D3C">
      <w:pPr>
        <w:spacing w:before="240" w:line="360" w:lineRule="auto"/>
        <w:rPr>
          <w:szCs w:val="21"/>
        </w:rPr>
      </w:pPr>
      <w:bookmarkStart w:id="274" w:name="_Toc25215"/>
      <w:r>
        <w:rPr>
          <w:rFonts w:hAnsi="宋体"/>
          <w:szCs w:val="21"/>
        </w:rPr>
        <w:t>4.</w:t>
      </w:r>
      <w:r>
        <w:rPr>
          <w:rFonts w:hint="eastAsia"/>
        </w:rPr>
        <w:t>生产货物详细介绍</w:t>
      </w:r>
      <w:r>
        <w:rPr>
          <w:rFonts w:hint="eastAsia" w:hAnsi="宋体"/>
          <w:szCs w:val="21"/>
        </w:rPr>
        <w:t>；</w:t>
      </w:r>
      <w:bookmarkEnd w:id="274"/>
    </w:p>
    <w:p w14:paraId="0BDCD2C1">
      <w:pPr>
        <w:spacing w:line="360" w:lineRule="auto"/>
        <w:rPr>
          <w:szCs w:val="21"/>
        </w:rPr>
      </w:pPr>
    </w:p>
    <w:p w14:paraId="7AEA4ACF">
      <w:pPr>
        <w:spacing w:line="360" w:lineRule="auto"/>
        <w:rPr>
          <w:szCs w:val="21"/>
          <w:u w:val="single"/>
        </w:rPr>
      </w:pPr>
      <w:r>
        <w:rPr>
          <w:rFonts w:hint="eastAsia" w:hAnsi="宋体"/>
          <w:szCs w:val="21"/>
        </w:rPr>
        <w:t>投标方代表签字</w:t>
      </w:r>
      <w:r>
        <w:rPr>
          <w:rFonts w:hint="eastAsia" w:hAnsi="宋体"/>
          <w:szCs w:val="21"/>
          <w:lang w:eastAsia="zh-CN"/>
        </w:rPr>
        <w:t>：</w:t>
      </w:r>
    </w:p>
    <w:p w14:paraId="4C54F98F">
      <w:pPr>
        <w:spacing w:line="360" w:lineRule="auto"/>
        <w:rPr>
          <w:szCs w:val="21"/>
        </w:rPr>
      </w:pPr>
    </w:p>
    <w:p w14:paraId="4C24AD0E">
      <w:pPr>
        <w:spacing w:line="400" w:lineRule="exact"/>
        <w:rPr>
          <w:szCs w:val="21"/>
        </w:rPr>
      </w:pPr>
      <w:r>
        <w:rPr>
          <w:rFonts w:hint="eastAsia" w:hAnsi="宋体"/>
          <w:szCs w:val="21"/>
        </w:rPr>
        <w:t>单位盖章：</w:t>
      </w:r>
    </w:p>
    <w:p w14:paraId="530EA0FA">
      <w:pPr>
        <w:pStyle w:val="3"/>
        <w:ind w:left="420"/>
        <w:rPr>
          <w:rFonts w:ascii="楷体_GB2312" w:hAnsi="宋体" w:eastAsia="楷体_GB2312"/>
          <w:b w:val="0"/>
          <w:sz w:val="21"/>
          <w:szCs w:val="21"/>
        </w:rPr>
      </w:pPr>
      <w:bookmarkStart w:id="275" w:name="_Toc211243322"/>
      <w:bookmarkStart w:id="276" w:name="_Toc236803116"/>
      <w:r>
        <w:rPr>
          <w:rFonts w:ascii="楷体_GB2312" w:hAnsi="宋体" w:eastAsia="楷体_GB2312"/>
          <w:b w:val="0"/>
          <w:sz w:val="21"/>
          <w:szCs w:val="21"/>
        </w:rPr>
        <w:br w:type="page"/>
      </w:r>
      <w:bookmarkStart w:id="277" w:name="_Toc18672"/>
      <w:bookmarkStart w:id="278" w:name="_Toc11089"/>
      <w:bookmarkStart w:id="279" w:name="_Toc14010"/>
      <w:bookmarkStart w:id="280" w:name="_Toc496002361"/>
      <w:bookmarkStart w:id="281" w:name="_Toc14246"/>
      <w:bookmarkStart w:id="282" w:name="_Toc18567"/>
      <w:r>
        <w:rPr>
          <w:rFonts w:hint="eastAsia" w:ascii="楷体_GB2312" w:hAnsi="宋体" w:eastAsia="楷体_GB2312"/>
          <w:b w:val="0"/>
          <w:sz w:val="21"/>
          <w:szCs w:val="21"/>
        </w:rPr>
        <w:t>格式</w:t>
      </w:r>
      <w:r>
        <w:rPr>
          <w:rFonts w:hint="eastAsia" w:ascii="楷体_GB2312" w:hAnsi="宋体" w:eastAsia="楷体_GB2312"/>
          <w:b w:val="0"/>
          <w:sz w:val="21"/>
          <w:szCs w:val="21"/>
          <w:lang w:val="en-US" w:eastAsia="zh-CN"/>
        </w:rPr>
        <w:t>8</w:t>
      </w:r>
      <w:r>
        <w:rPr>
          <w:rFonts w:ascii="楷体_GB2312" w:hAnsi="宋体" w:eastAsia="楷体_GB2312"/>
          <w:b w:val="0"/>
          <w:sz w:val="21"/>
          <w:szCs w:val="21"/>
        </w:rPr>
        <w:t xml:space="preserve">. </w:t>
      </w:r>
      <w:r>
        <w:rPr>
          <w:rFonts w:hint="eastAsia" w:ascii="楷体_GB2312" w:hAnsi="宋体" w:eastAsia="楷体_GB2312"/>
          <w:b w:val="0"/>
          <w:sz w:val="21"/>
          <w:szCs w:val="21"/>
        </w:rPr>
        <w:t>售后服务计划</w:t>
      </w:r>
      <w:bookmarkEnd w:id="277"/>
      <w:bookmarkEnd w:id="278"/>
      <w:bookmarkEnd w:id="279"/>
      <w:bookmarkEnd w:id="280"/>
      <w:bookmarkEnd w:id="281"/>
      <w:bookmarkEnd w:id="282"/>
    </w:p>
    <w:p w14:paraId="23082818">
      <w:pPr>
        <w:spacing w:before="360" w:after="240"/>
        <w:jc w:val="center"/>
        <w:rPr>
          <w:rFonts w:ascii="黑体" w:hAnsi="宋体" w:eastAsia="黑体"/>
          <w:sz w:val="30"/>
          <w:szCs w:val="30"/>
        </w:rPr>
      </w:pPr>
      <w:bookmarkStart w:id="283" w:name="_Toc11146"/>
      <w:r>
        <w:rPr>
          <w:rFonts w:hint="eastAsia" w:ascii="黑体" w:hAnsi="宋体" w:eastAsia="黑体"/>
          <w:sz w:val="30"/>
          <w:szCs w:val="30"/>
        </w:rPr>
        <w:t>售后服务计划</w:t>
      </w:r>
      <w:bookmarkEnd w:id="283"/>
    </w:p>
    <w:p w14:paraId="345212E6">
      <w:pPr>
        <w:spacing w:line="360" w:lineRule="auto"/>
        <w:rPr>
          <w:szCs w:val="21"/>
        </w:rPr>
      </w:pPr>
    </w:p>
    <w:p w14:paraId="082EDB2C">
      <w:pPr>
        <w:spacing w:line="360" w:lineRule="auto"/>
        <w:rPr>
          <w:szCs w:val="21"/>
        </w:rPr>
      </w:pPr>
      <w:r>
        <w:rPr>
          <w:rFonts w:hint="eastAsia" w:hAnsi="宋体"/>
          <w:szCs w:val="21"/>
        </w:rPr>
        <w:t>主要内容应包括：</w:t>
      </w:r>
    </w:p>
    <w:p w14:paraId="180DA3E7">
      <w:pPr>
        <w:numPr>
          <w:ilvl w:val="0"/>
          <w:numId w:val="4"/>
        </w:numPr>
        <w:spacing w:before="240" w:line="360" w:lineRule="auto"/>
        <w:rPr>
          <w:szCs w:val="21"/>
        </w:rPr>
      </w:pPr>
      <w:bookmarkStart w:id="284" w:name="_Toc7297"/>
      <w:r>
        <w:rPr>
          <w:rFonts w:hint="eastAsia" w:ascii="宋体" w:hAnsi="宋体"/>
          <w:szCs w:val="21"/>
        </w:rPr>
        <w:t>售后服务单位简介</w:t>
      </w:r>
      <w:r>
        <w:rPr>
          <w:rFonts w:hint="eastAsia" w:hAnsi="宋体"/>
          <w:szCs w:val="21"/>
        </w:rPr>
        <w:t>；</w:t>
      </w:r>
      <w:bookmarkEnd w:id="284"/>
    </w:p>
    <w:p w14:paraId="49EFBB46">
      <w:pPr>
        <w:numPr>
          <w:ilvl w:val="0"/>
          <w:numId w:val="4"/>
        </w:numPr>
        <w:spacing w:before="240" w:line="360" w:lineRule="auto"/>
        <w:rPr>
          <w:szCs w:val="21"/>
        </w:rPr>
      </w:pPr>
      <w:bookmarkStart w:id="285" w:name="_Toc12199"/>
      <w:r>
        <w:rPr>
          <w:rFonts w:hint="eastAsia" w:hAnsi="宋体"/>
          <w:szCs w:val="21"/>
        </w:rPr>
        <w:t>维修技术人员情况；</w:t>
      </w:r>
      <w:bookmarkEnd w:id="285"/>
    </w:p>
    <w:p w14:paraId="29ACF0D0">
      <w:pPr>
        <w:numPr>
          <w:ilvl w:val="0"/>
          <w:numId w:val="4"/>
        </w:numPr>
        <w:spacing w:before="240" w:line="360" w:lineRule="auto"/>
        <w:rPr>
          <w:szCs w:val="21"/>
        </w:rPr>
      </w:pPr>
      <w:bookmarkStart w:id="286" w:name="_Toc8265"/>
      <w:r>
        <w:rPr>
          <w:rFonts w:hint="eastAsia" w:hAnsi="宋体"/>
          <w:szCs w:val="21"/>
        </w:rPr>
        <w:t>应急维修时间安排；</w:t>
      </w:r>
      <w:bookmarkEnd w:id="286"/>
    </w:p>
    <w:p w14:paraId="5F38908B">
      <w:pPr>
        <w:numPr>
          <w:ilvl w:val="0"/>
          <w:numId w:val="4"/>
        </w:numPr>
        <w:spacing w:before="240" w:line="360" w:lineRule="auto"/>
        <w:rPr>
          <w:szCs w:val="21"/>
        </w:rPr>
      </w:pPr>
      <w:bookmarkStart w:id="287" w:name="_Toc31637"/>
      <w:r>
        <w:rPr>
          <w:rFonts w:hint="eastAsia" w:hAnsi="宋体"/>
          <w:szCs w:val="21"/>
        </w:rPr>
        <w:t>维修服务收费标准；</w:t>
      </w:r>
      <w:bookmarkEnd w:id="287"/>
    </w:p>
    <w:p w14:paraId="0009470A">
      <w:pPr>
        <w:numPr>
          <w:ilvl w:val="0"/>
          <w:numId w:val="4"/>
        </w:numPr>
        <w:spacing w:before="240" w:line="360" w:lineRule="auto"/>
        <w:rPr>
          <w:szCs w:val="21"/>
        </w:rPr>
      </w:pPr>
      <w:bookmarkStart w:id="288" w:name="_Toc8134"/>
      <w:r>
        <w:rPr>
          <w:rFonts w:hint="eastAsia" w:hAnsi="宋体"/>
          <w:szCs w:val="21"/>
        </w:rPr>
        <w:t>主要零配件价格；</w:t>
      </w:r>
      <w:bookmarkEnd w:id="288"/>
    </w:p>
    <w:p w14:paraId="618DDD56">
      <w:pPr>
        <w:numPr>
          <w:ilvl w:val="0"/>
          <w:numId w:val="4"/>
        </w:numPr>
        <w:spacing w:before="240" w:line="360" w:lineRule="auto"/>
        <w:rPr>
          <w:szCs w:val="21"/>
        </w:rPr>
      </w:pPr>
      <w:bookmarkStart w:id="289" w:name="_Toc6117"/>
      <w:r>
        <w:rPr>
          <w:rFonts w:hint="eastAsia" w:hAnsi="宋体"/>
          <w:szCs w:val="21"/>
          <w:lang w:eastAsia="zh-CN"/>
        </w:rPr>
        <w:t>其他</w:t>
      </w:r>
      <w:r>
        <w:rPr>
          <w:rFonts w:hint="eastAsia" w:hAnsi="宋体"/>
          <w:szCs w:val="21"/>
        </w:rPr>
        <w:t>服务承诺。</w:t>
      </w:r>
      <w:bookmarkEnd w:id="289"/>
    </w:p>
    <w:p w14:paraId="6294F3CE">
      <w:pPr>
        <w:spacing w:line="360" w:lineRule="auto"/>
        <w:rPr>
          <w:szCs w:val="21"/>
        </w:rPr>
      </w:pPr>
    </w:p>
    <w:p w14:paraId="7C06710C">
      <w:pPr>
        <w:spacing w:line="360" w:lineRule="auto"/>
        <w:rPr>
          <w:szCs w:val="21"/>
          <w:u w:val="single"/>
        </w:rPr>
      </w:pPr>
      <w:r>
        <w:rPr>
          <w:rFonts w:hint="eastAsia" w:hAnsi="宋体"/>
          <w:szCs w:val="21"/>
        </w:rPr>
        <w:t>投标方代表签字</w:t>
      </w:r>
      <w:r>
        <w:rPr>
          <w:rFonts w:hint="eastAsia" w:hAnsi="宋体"/>
          <w:szCs w:val="21"/>
          <w:lang w:eastAsia="zh-CN"/>
        </w:rPr>
        <w:t>：</w:t>
      </w:r>
    </w:p>
    <w:p w14:paraId="707AC676">
      <w:pPr>
        <w:spacing w:line="360" w:lineRule="auto"/>
        <w:rPr>
          <w:szCs w:val="21"/>
        </w:rPr>
      </w:pPr>
    </w:p>
    <w:p w14:paraId="64A2FA6E">
      <w:pPr>
        <w:spacing w:line="400" w:lineRule="exact"/>
        <w:rPr>
          <w:szCs w:val="21"/>
        </w:rPr>
      </w:pPr>
      <w:r>
        <w:rPr>
          <w:rFonts w:hint="eastAsia" w:hAnsi="宋体"/>
          <w:szCs w:val="21"/>
        </w:rPr>
        <w:t>单位盖章：</w:t>
      </w:r>
    </w:p>
    <w:p w14:paraId="6C8A43AE">
      <w:pPr>
        <w:pStyle w:val="4"/>
        <w:keepNext w:val="0"/>
        <w:keepLines w:val="0"/>
        <w:spacing w:before="0" w:after="0" w:line="240" w:lineRule="auto"/>
        <w:rPr>
          <w:rFonts w:eastAsia="楷体_GB2312"/>
          <w:b w:val="0"/>
          <w:sz w:val="21"/>
          <w:szCs w:val="21"/>
        </w:rPr>
      </w:pPr>
      <w:bookmarkStart w:id="290" w:name="_Toc458731663"/>
      <w:bookmarkEnd w:id="290"/>
    </w:p>
    <w:p w14:paraId="6D1AE98A">
      <w:pPr>
        <w:pStyle w:val="3"/>
        <w:ind w:left="420"/>
        <w:rPr>
          <w:rFonts w:ascii="楷体_GB2312" w:hAnsi="宋体" w:eastAsia="楷体_GB2312"/>
          <w:b w:val="0"/>
          <w:sz w:val="21"/>
          <w:szCs w:val="21"/>
        </w:rPr>
      </w:pPr>
      <w:r>
        <w:rPr>
          <w:rFonts w:ascii="楷体_GB2312" w:hAnsi="宋体" w:eastAsia="楷体_GB2312"/>
          <w:b w:val="0"/>
          <w:sz w:val="21"/>
          <w:szCs w:val="21"/>
        </w:rPr>
        <w:br w:type="page"/>
      </w:r>
      <w:bookmarkStart w:id="291" w:name="_Toc13657"/>
      <w:bookmarkStart w:id="292" w:name="_Toc28210"/>
      <w:bookmarkStart w:id="293" w:name="_Toc1684"/>
      <w:bookmarkStart w:id="294" w:name="_Toc496002362"/>
      <w:bookmarkStart w:id="295" w:name="_Toc20952"/>
      <w:bookmarkStart w:id="296" w:name="_Toc11428"/>
      <w:r>
        <w:rPr>
          <w:rFonts w:hint="eastAsia" w:ascii="楷体_GB2312" w:hAnsi="宋体" w:eastAsia="楷体_GB2312"/>
          <w:b w:val="0"/>
          <w:sz w:val="21"/>
          <w:szCs w:val="21"/>
        </w:rPr>
        <w:t>格式</w:t>
      </w:r>
      <w:r>
        <w:rPr>
          <w:rFonts w:hint="eastAsia" w:ascii="楷体_GB2312" w:hAnsi="宋体" w:eastAsia="楷体_GB2312"/>
          <w:b w:val="0"/>
          <w:sz w:val="21"/>
          <w:szCs w:val="21"/>
          <w:lang w:val="en-US" w:eastAsia="zh-CN"/>
        </w:rPr>
        <w:t>9</w:t>
      </w:r>
      <w:r>
        <w:rPr>
          <w:rFonts w:ascii="楷体_GB2312" w:hAnsi="宋体" w:eastAsia="楷体_GB2312"/>
          <w:b w:val="0"/>
          <w:sz w:val="21"/>
          <w:szCs w:val="21"/>
        </w:rPr>
        <w:t>.</w:t>
      </w:r>
      <w:bookmarkEnd w:id="275"/>
      <w:r>
        <w:rPr>
          <w:rFonts w:hint="eastAsia" w:ascii="楷体_GB2312" w:hAnsi="宋体" w:eastAsia="楷体_GB2312"/>
          <w:b w:val="0"/>
          <w:sz w:val="21"/>
          <w:szCs w:val="21"/>
        </w:rPr>
        <w:t>法定代表人证明书</w:t>
      </w:r>
      <w:bookmarkEnd w:id="276"/>
      <w:bookmarkEnd w:id="291"/>
      <w:bookmarkEnd w:id="292"/>
      <w:bookmarkEnd w:id="293"/>
      <w:bookmarkEnd w:id="294"/>
      <w:bookmarkEnd w:id="295"/>
      <w:bookmarkEnd w:id="296"/>
    </w:p>
    <w:p w14:paraId="56C4455D">
      <w:pPr>
        <w:spacing w:line="400" w:lineRule="exact"/>
        <w:jc w:val="center"/>
        <w:rPr>
          <w:rFonts w:ascii="黑体" w:hAnsi="宋体" w:eastAsia="黑体"/>
          <w:bCs/>
          <w:sz w:val="30"/>
          <w:szCs w:val="30"/>
        </w:rPr>
      </w:pPr>
    </w:p>
    <w:p w14:paraId="52007EE6">
      <w:pPr>
        <w:spacing w:before="120" w:after="240"/>
        <w:jc w:val="center"/>
        <w:rPr>
          <w:rFonts w:ascii="黑体" w:eastAsia="黑体"/>
          <w:bCs/>
          <w:sz w:val="30"/>
          <w:szCs w:val="30"/>
        </w:rPr>
      </w:pPr>
      <w:bookmarkStart w:id="297" w:name="_Toc13698"/>
      <w:bookmarkStart w:id="298" w:name="_Toc211248424"/>
      <w:r>
        <w:rPr>
          <w:rFonts w:hint="eastAsia" w:ascii="黑体" w:hAnsi="宋体" w:eastAsia="黑体"/>
          <w:sz w:val="30"/>
          <w:szCs w:val="30"/>
        </w:rPr>
        <w:t>法定代表人证明书</w:t>
      </w:r>
      <w:bookmarkEnd w:id="297"/>
      <w:bookmarkEnd w:id="298"/>
    </w:p>
    <w:p w14:paraId="1AF0EEAD">
      <w:pPr>
        <w:spacing w:line="360" w:lineRule="auto"/>
        <w:rPr>
          <w:u w:val="single"/>
        </w:rPr>
      </w:pPr>
    </w:p>
    <w:p w14:paraId="5BE24583">
      <w:pPr>
        <w:spacing w:line="560" w:lineRule="exact"/>
        <w:ind w:firstLine="105"/>
        <w:rPr>
          <w:u w:val="single"/>
          <w:bdr w:val="single" w:color="auto" w:sz="4" w:space="0"/>
        </w:rPr>
      </w:pPr>
      <w:r>
        <w:rPr>
          <w:rFonts w:hint="eastAsia" w:hAnsi="宋体"/>
        </w:rPr>
        <w:t>同志，现任我单位职务，为法定代表人，特此</w:t>
      </w:r>
      <w:r>
        <w:rPr>
          <w:rFonts w:hint="eastAsia" w:hAnsi="宋体"/>
          <w:lang w:eastAsia="zh-CN"/>
        </w:rPr>
        <w:t>声明</w:t>
      </w:r>
      <w:r>
        <w:rPr>
          <w:rFonts w:hint="eastAsia" w:hAnsi="宋体"/>
        </w:rPr>
        <w:t>。</w:t>
      </w:r>
    </w:p>
    <w:p w14:paraId="27F97419">
      <w:pPr>
        <w:spacing w:line="560" w:lineRule="exact"/>
      </w:pPr>
      <w:r>
        <w:rPr>
          <w:rFonts w:hint="eastAsia" w:hAnsi="宋体"/>
        </w:rPr>
        <w:t>有效日期：                                   签发日期：</w:t>
      </w:r>
    </w:p>
    <w:p w14:paraId="6ECD26C5">
      <w:pPr>
        <w:spacing w:line="560" w:lineRule="exact"/>
        <w:ind w:firstLine="5250"/>
        <w:rPr>
          <w:rFonts w:hAnsi="宋体"/>
        </w:rPr>
      </w:pPr>
    </w:p>
    <w:p w14:paraId="6855ACDE">
      <w:pPr>
        <w:spacing w:line="560" w:lineRule="exact"/>
        <w:ind w:firstLine="5250"/>
      </w:pPr>
      <w:r>
        <w:rPr>
          <w:rFonts w:hint="eastAsia" w:hAnsi="宋体"/>
        </w:rPr>
        <w:t>单位：</w:t>
      </w:r>
      <w:r>
        <w:rPr>
          <w:rFonts w:hint="eastAsia" w:hAnsi="宋体"/>
          <w:u w:val="single"/>
        </w:rPr>
        <w:t>（盖章）</w:t>
      </w:r>
    </w:p>
    <w:p w14:paraId="1E7A8C20">
      <w:pPr>
        <w:spacing w:line="560" w:lineRule="exact"/>
        <w:rPr>
          <w:rFonts w:hAnsi="宋体"/>
        </w:rPr>
      </w:pPr>
    </w:p>
    <w:p w14:paraId="47596277">
      <w:pPr>
        <w:spacing w:line="560" w:lineRule="exact"/>
      </w:pPr>
      <w:r>
        <w:rPr>
          <w:rFonts w:hint="eastAsia" w:hAnsi="宋体"/>
        </w:rPr>
        <w:t>附：代表人性别：   年龄：      身份证号码：</w:t>
      </w:r>
    </w:p>
    <w:p w14:paraId="7691CDB3">
      <w:pPr>
        <w:spacing w:line="560" w:lineRule="exact"/>
      </w:pPr>
      <w:r>
        <w:rPr>
          <w:rFonts w:hint="eastAsia" w:hAnsi="宋体"/>
        </w:rPr>
        <w:t>营业执照号码：经济性质：</w:t>
      </w:r>
    </w:p>
    <w:p w14:paraId="5BD2DB22">
      <w:pPr>
        <w:spacing w:line="560" w:lineRule="exact"/>
      </w:pPr>
      <w:r>
        <w:rPr>
          <w:rFonts w:hint="eastAsia" w:hAnsi="宋体"/>
        </w:rPr>
        <w:t>主营（产）：</w:t>
      </w:r>
    </w:p>
    <w:p w14:paraId="262EAD64">
      <w:pPr>
        <w:spacing w:line="560" w:lineRule="exact"/>
        <w:rPr>
          <w:u w:val="single"/>
        </w:rPr>
      </w:pPr>
      <w:r>
        <w:rPr>
          <w:rFonts w:hint="eastAsia" w:hAnsi="宋体"/>
        </w:rPr>
        <w:t>兼营（产）：</w:t>
      </w:r>
    </w:p>
    <w:p w14:paraId="3F9285D7">
      <w:pPr>
        <w:spacing w:line="560" w:lineRule="exact"/>
        <w:rPr>
          <w:u w:val="single"/>
        </w:rPr>
      </w:pPr>
      <w:r>
        <w:rPr>
          <w:rFonts w:hint="eastAsia" w:hAnsi="宋体"/>
        </w:rPr>
        <w:t>进口物品经营许可证号码：</w:t>
      </w:r>
    </w:p>
    <w:p w14:paraId="20DD8B65">
      <w:pPr>
        <w:spacing w:line="560" w:lineRule="exact"/>
        <w:rPr>
          <w:u w:val="single"/>
        </w:rPr>
      </w:pPr>
      <w:r>
        <w:rPr>
          <w:rFonts w:hint="eastAsia" w:hAnsi="宋体"/>
        </w:rPr>
        <w:t>主营（产）：</w:t>
      </w:r>
    </w:p>
    <w:p w14:paraId="5358694A">
      <w:pPr>
        <w:spacing w:line="560" w:lineRule="exact"/>
        <w:rPr>
          <w:u w:val="single"/>
        </w:rPr>
      </w:pPr>
      <w:r>
        <w:rPr>
          <w:rFonts w:hint="eastAsia" w:hAnsi="宋体"/>
        </w:rPr>
        <w:t>兼营（产）：</w:t>
      </w:r>
    </w:p>
    <w:p w14:paraId="30408CB1">
      <w:pPr>
        <w:spacing w:line="560" w:lineRule="exact"/>
        <w:ind w:left="-358" w:leftChars="-171" w:hanging="1"/>
      </w:pPr>
      <w:r>
        <w:rPr>
          <w:rFonts w:hint="eastAsia" w:hAnsi="宋体"/>
        </w:rPr>
        <w:t>说明：</w:t>
      </w:r>
      <w:r>
        <w:t>1.</w:t>
      </w:r>
      <w:r>
        <w:rPr>
          <w:rFonts w:hint="eastAsia" w:hAnsi="宋体"/>
        </w:rPr>
        <w:t>法定代表人为企业事业单位、国家机关、社会团体的主要行政负责人。</w:t>
      </w:r>
    </w:p>
    <w:p w14:paraId="4919A327">
      <w:pPr>
        <w:spacing w:line="560" w:lineRule="exact"/>
        <w:ind w:left="-358" w:leftChars="-171" w:hanging="1"/>
      </w:pPr>
      <w:r>
        <w:t xml:space="preserve">      2.</w:t>
      </w:r>
      <w:r>
        <w:rPr>
          <w:rFonts w:hint="eastAsia" w:hAnsi="宋体"/>
        </w:rPr>
        <w:t>内容必须填写真实、清楚，涂改无效，不得转让、买卖。</w:t>
      </w:r>
    </w:p>
    <w:p w14:paraId="1769DD5D">
      <w:pPr>
        <w:spacing w:line="560" w:lineRule="exact"/>
        <w:ind w:left="-358" w:leftChars="-171" w:hanging="1"/>
      </w:pPr>
      <w:r>
        <w:t xml:space="preserve">      3.</w:t>
      </w:r>
      <w:r>
        <w:rPr>
          <w:rFonts w:hint="eastAsia" w:hAnsi="宋体"/>
        </w:rPr>
        <w:t>将此证明书提交对方作为合同附件。</w:t>
      </w:r>
    </w:p>
    <w:p w14:paraId="517A9422">
      <w:pPr>
        <w:spacing w:line="440" w:lineRule="exact"/>
        <w:rPr>
          <w:rFonts w:ascii="黑体" w:hAnsi="宋体" w:eastAsia="黑体"/>
          <w:bCs/>
          <w:sz w:val="30"/>
          <w:szCs w:val="30"/>
        </w:rPr>
      </w:pPr>
    </w:p>
    <w:p w14:paraId="562EAACA">
      <w:pPr>
        <w:pStyle w:val="3"/>
        <w:ind w:left="420"/>
        <w:rPr>
          <w:rFonts w:ascii="楷体_GB2312" w:hAnsi="宋体" w:eastAsia="楷体_GB2312"/>
          <w:b w:val="0"/>
          <w:sz w:val="21"/>
          <w:szCs w:val="21"/>
        </w:rPr>
      </w:pPr>
      <w:bookmarkStart w:id="299" w:name="_Toc211243323"/>
      <w:bookmarkStart w:id="300" w:name="_Toc236803117"/>
      <w:r>
        <w:rPr>
          <w:rFonts w:ascii="楷体_GB2312" w:hAnsi="宋体" w:eastAsia="楷体_GB2312"/>
          <w:b w:val="0"/>
          <w:sz w:val="21"/>
          <w:szCs w:val="21"/>
        </w:rPr>
        <w:br w:type="page"/>
      </w:r>
      <w:bookmarkStart w:id="301" w:name="_Toc27908"/>
      <w:bookmarkStart w:id="302" w:name="_Toc13176"/>
      <w:bookmarkStart w:id="303" w:name="_Toc19018"/>
      <w:bookmarkStart w:id="304" w:name="_Toc2345"/>
      <w:bookmarkStart w:id="305" w:name="_Toc19518"/>
      <w:bookmarkStart w:id="306" w:name="_Toc496002363"/>
      <w:r>
        <w:rPr>
          <w:rFonts w:hint="eastAsia" w:ascii="楷体_GB2312" w:hAnsi="宋体" w:eastAsia="楷体_GB2312"/>
          <w:b w:val="0"/>
          <w:sz w:val="21"/>
          <w:szCs w:val="21"/>
        </w:rPr>
        <w:t>格式</w:t>
      </w:r>
      <w:bookmarkEnd w:id="299"/>
      <w:r>
        <w:rPr>
          <w:rFonts w:ascii="楷体_GB2312" w:hAnsi="宋体" w:eastAsia="楷体_GB2312"/>
          <w:b w:val="0"/>
          <w:sz w:val="21"/>
          <w:szCs w:val="21"/>
        </w:rPr>
        <w:t>1</w:t>
      </w:r>
      <w:r>
        <w:rPr>
          <w:rFonts w:hint="eastAsia" w:ascii="楷体_GB2312" w:hAnsi="宋体" w:eastAsia="楷体_GB2312"/>
          <w:b w:val="0"/>
          <w:sz w:val="21"/>
          <w:szCs w:val="21"/>
          <w:lang w:val="en-US" w:eastAsia="zh-CN"/>
        </w:rPr>
        <w:t>0</w:t>
      </w:r>
      <w:r>
        <w:rPr>
          <w:rFonts w:ascii="楷体_GB2312" w:hAnsi="宋体" w:eastAsia="楷体_GB2312"/>
          <w:b w:val="0"/>
          <w:sz w:val="21"/>
          <w:szCs w:val="21"/>
        </w:rPr>
        <w:t xml:space="preserve">. </w:t>
      </w:r>
      <w:r>
        <w:rPr>
          <w:rFonts w:hint="eastAsia" w:ascii="楷体_GB2312" w:hAnsi="宋体" w:eastAsia="楷体_GB2312"/>
          <w:b w:val="0"/>
          <w:sz w:val="21"/>
          <w:szCs w:val="21"/>
        </w:rPr>
        <w:t>法定代表人授权书</w:t>
      </w:r>
      <w:bookmarkEnd w:id="300"/>
      <w:bookmarkEnd w:id="301"/>
      <w:bookmarkEnd w:id="302"/>
      <w:bookmarkEnd w:id="303"/>
      <w:bookmarkEnd w:id="304"/>
      <w:bookmarkEnd w:id="305"/>
      <w:bookmarkEnd w:id="306"/>
    </w:p>
    <w:p w14:paraId="495ED2FF">
      <w:pPr>
        <w:spacing w:line="400" w:lineRule="exact"/>
        <w:jc w:val="center"/>
        <w:rPr>
          <w:rFonts w:ascii="黑体" w:hAnsi="宋体" w:eastAsia="黑体"/>
          <w:bCs/>
          <w:sz w:val="30"/>
          <w:szCs w:val="30"/>
        </w:rPr>
      </w:pPr>
    </w:p>
    <w:p w14:paraId="1B902B34">
      <w:pPr>
        <w:spacing w:before="120" w:after="240"/>
        <w:jc w:val="center"/>
        <w:rPr>
          <w:rFonts w:ascii="黑体" w:hAnsi="宋体" w:eastAsia="黑体"/>
          <w:sz w:val="30"/>
          <w:szCs w:val="30"/>
        </w:rPr>
      </w:pPr>
      <w:bookmarkStart w:id="307" w:name="_Toc12216"/>
      <w:bookmarkStart w:id="308" w:name="_Toc211248426"/>
      <w:r>
        <w:rPr>
          <w:rFonts w:hint="eastAsia" w:ascii="黑体" w:hAnsi="宋体" w:eastAsia="黑体"/>
          <w:sz w:val="30"/>
          <w:szCs w:val="30"/>
        </w:rPr>
        <w:t>法定代表人授权书</w:t>
      </w:r>
      <w:bookmarkEnd w:id="307"/>
      <w:bookmarkEnd w:id="308"/>
    </w:p>
    <w:p w14:paraId="37BB3512">
      <w:pPr>
        <w:spacing w:line="360" w:lineRule="auto"/>
      </w:pPr>
    </w:p>
    <w:p w14:paraId="742B2B58">
      <w:pPr>
        <w:spacing w:line="560" w:lineRule="exact"/>
        <w:ind w:firstLine="420"/>
      </w:pPr>
      <w:r>
        <w:rPr>
          <w:rFonts w:hint="eastAsia" w:hAnsi="宋体"/>
        </w:rPr>
        <w:t>兹授权同志，为我方签订经济合同及办理</w:t>
      </w:r>
      <w:r>
        <w:rPr>
          <w:rFonts w:hint="eastAsia" w:hAnsi="宋体"/>
          <w:lang w:eastAsia="zh-CN"/>
        </w:rPr>
        <w:t>其他</w:t>
      </w:r>
      <w:r>
        <w:rPr>
          <w:rFonts w:hint="eastAsia" w:hAnsi="宋体"/>
        </w:rPr>
        <w:t>事务代理人，其权限是：就</w:t>
      </w:r>
    </w:p>
    <w:p w14:paraId="2CF1BA79">
      <w:pPr>
        <w:spacing w:line="560" w:lineRule="exact"/>
        <w:rPr>
          <w:szCs w:val="21"/>
        </w:rPr>
      </w:pPr>
      <w:r>
        <w:rPr>
          <w:rFonts w:hint="eastAsia"/>
          <w:i/>
          <w:szCs w:val="21"/>
          <w:u w:val="single"/>
        </w:rPr>
        <w:t>（项目名称）</w:t>
      </w:r>
      <w:r>
        <w:rPr>
          <w:rFonts w:hint="eastAsia"/>
          <w:szCs w:val="21"/>
        </w:rPr>
        <w:t>的</w:t>
      </w:r>
      <w:r>
        <w:rPr>
          <w:rFonts w:hint="eastAsia"/>
          <w:i/>
          <w:szCs w:val="21"/>
          <w:u w:val="single"/>
        </w:rPr>
        <w:t>（货物名称）</w:t>
      </w:r>
      <w:r>
        <w:rPr>
          <w:rFonts w:hint="eastAsia"/>
          <w:szCs w:val="21"/>
        </w:rPr>
        <w:t>投标，以本公司名义处理一切与之有关的事务。</w:t>
      </w:r>
      <w:r>
        <w:rPr>
          <w:rFonts w:hint="eastAsia" w:hAnsi="宋体"/>
        </w:rPr>
        <w:t>有效期限：至年月日</w:t>
      </w:r>
      <w:r>
        <w:rPr>
          <w:rFonts w:hint="eastAsia"/>
        </w:rPr>
        <w:t>。</w:t>
      </w:r>
    </w:p>
    <w:p w14:paraId="5CB7164F">
      <w:pPr>
        <w:spacing w:line="560" w:lineRule="exact"/>
        <w:rPr>
          <w:rFonts w:hAnsi="宋体"/>
        </w:rPr>
      </w:pPr>
    </w:p>
    <w:p w14:paraId="5E2316D4">
      <w:pPr>
        <w:spacing w:line="560" w:lineRule="exact"/>
        <w:rPr>
          <w:u w:val="single"/>
        </w:rPr>
      </w:pPr>
      <w:r>
        <w:rPr>
          <w:rFonts w:hint="eastAsia" w:hAnsi="宋体"/>
        </w:rPr>
        <w:t>授权单位（盖章）：</w:t>
      </w:r>
    </w:p>
    <w:p w14:paraId="52E05EFA">
      <w:pPr>
        <w:spacing w:line="560" w:lineRule="exact"/>
        <w:rPr>
          <w:u w:val="single"/>
        </w:rPr>
      </w:pPr>
      <w:r>
        <w:rPr>
          <w:rFonts w:hint="eastAsia" w:hAnsi="宋体"/>
        </w:rPr>
        <w:t>法定代表人（签名或盖章）：</w:t>
      </w:r>
    </w:p>
    <w:p w14:paraId="4C0D5E3A">
      <w:pPr>
        <w:spacing w:line="560" w:lineRule="exact"/>
        <w:rPr>
          <w:szCs w:val="21"/>
        </w:rPr>
      </w:pPr>
      <w:r>
        <w:rPr>
          <w:rFonts w:hint="eastAsia" w:hAnsi="宋体"/>
        </w:rPr>
        <w:t>签发日期：</w:t>
      </w:r>
      <w:r>
        <w:rPr>
          <w:rFonts w:hint="eastAsia"/>
        </w:rPr>
        <w:t>年月日</w:t>
      </w:r>
    </w:p>
    <w:p w14:paraId="03846B90">
      <w:pPr>
        <w:spacing w:line="560" w:lineRule="exact"/>
      </w:pPr>
    </w:p>
    <w:p w14:paraId="472E5ABB">
      <w:pPr>
        <w:spacing w:line="560" w:lineRule="exact"/>
        <w:rPr>
          <w:u w:val="single"/>
        </w:rPr>
      </w:pPr>
      <w:r>
        <w:rPr>
          <w:rFonts w:hint="eastAsia" w:hAnsi="宋体"/>
        </w:rPr>
        <w:t>附：代理人性别：年龄：职务：身份证号码：</w:t>
      </w:r>
    </w:p>
    <w:p w14:paraId="48AF58FD">
      <w:pPr>
        <w:spacing w:line="560" w:lineRule="exact"/>
        <w:ind w:firstLine="420"/>
        <w:rPr>
          <w:u w:val="single"/>
        </w:rPr>
      </w:pPr>
      <w:r>
        <w:rPr>
          <w:rFonts w:hint="eastAsia" w:hAnsi="宋体"/>
        </w:rPr>
        <w:t>营业执照号码：经济性质：</w:t>
      </w:r>
    </w:p>
    <w:p w14:paraId="7D00F84A">
      <w:pPr>
        <w:spacing w:line="560" w:lineRule="exact"/>
        <w:ind w:firstLine="420"/>
        <w:rPr>
          <w:u w:val="single"/>
        </w:rPr>
      </w:pPr>
      <w:r>
        <w:rPr>
          <w:rFonts w:hint="eastAsia" w:hAnsi="宋体"/>
        </w:rPr>
        <w:t>主营（产）：</w:t>
      </w:r>
    </w:p>
    <w:p w14:paraId="751B70BE">
      <w:pPr>
        <w:spacing w:line="560" w:lineRule="exact"/>
        <w:ind w:firstLine="420"/>
        <w:rPr>
          <w:u w:val="single"/>
        </w:rPr>
      </w:pPr>
      <w:r>
        <w:rPr>
          <w:rFonts w:hint="eastAsia" w:hAnsi="宋体"/>
        </w:rPr>
        <w:t>兼营（产）：</w:t>
      </w:r>
    </w:p>
    <w:p w14:paraId="1E88B3D4">
      <w:pPr>
        <w:spacing w:line="560" w:lineRule="exact"/>
        <w:ind w:firstLine="420"/>
        <w:rPr>
          <w:u w:val="single"/>
        </w:rPr>
      </w:pPr>
      <w:r>
        <w:rPr>
          <w:rFonts w:hint="eastAsia" w:hAnsi="宋体"/>
        </w:rPr>
        <w:t>进口物品经营许可证号码：</w:t>
      </w:r>
    </w:p>
    <w:p w14:paraId="7F6A57C0">
      <w:pPr>
        <w:spacing w:line="560" w:lineRule="exact"/>
        <w:ind w:firstLine="420"/>
        <w:rPr>
          <w:u w:val="single"/>
        </w:rPr>
      </w:pPr>
      <w:r>
        <w:rPr>
          <w:rFonts w:hint="eastAsia" w:hAnsi="宋体"/>
        </w:rPr>
        <w:t>主营（产）：</w:t>
      </w:r>
    </w:p>
    <w:p w14:paraId="3440BBAA">
      <w:pPr>
        <w:spacing w:line="560" w:lineRule="exact"/>
        <w:ind w:firstLine="420"/>
        <w:rPr>
          <w:u w:val="single"/>
        </w:rPr>
      </w:pPr>
      <w:r>
        <w:rPr>
          <w:rFonts w:hint="eastAsia" w:hAnsi="宋体"/>
        </w:rPr>
        <w:t>兼营（产）：</w:t>
      </w:r>
    </w:p>
    <w:p w14:paraId="1B54BB0F">
      <w:pPr>
        <w:spacing w:line="560" w:lineRule="exact"/>
        <w:ind w:left="-358" w:leftChars="-171" w:hanging="1"/>
      </w:pPr>
      <w:r>
        <w:rPr>
          <w:rFonts w:hint="eastAsia" w:hAnsi="宋体"/>
        </w:rPr>
        <w:t>说明：</w:t>
      </w:r>
      <w:r>
        <w:t xml:space="preserve">1. </w:t>
      </w:r>
      <w:r>
        <w:rPr>
          <w:rFonts w:hint="eastAsia" w:hAnsi="宋体"/>
        </w:rPr>
        <w:t>委托书内容必须填写真实、清楚，涂改无效。</w:t>
      </w:r>
    </w:p>
    <w:p w14:paraId="6F3EFACE">
      <w:pPr>
        <w:spacing w:line="560" w:lineRule="exact"/>
        <w:ind w:left="-149" w:leftChars="-71" w:firstLine="417" w:firstLineChars="199"/>
      </w:pPr>
      <w:bookmarkStart w:id="309" w:name="_Toc15952"/>
      <w:r>
        <w:t xml:space="preserve">2. </w:t>
      </w:r>
      <w:r>
        <w:rPr>
          <w:rFonts w:hint="eastAsia" w:hAnsi="宋体"/>
        </w:rPr>
        <w:t>委托书不得转让、买卖。</w:t>
      </w:r>
      <w:bookmarkEnd w:id="309"/>
    </w:p>
    <w:p w14:paraId="79D27CCF">
      <w:pPr>
        <w:spacing w:line="560" w:lineRule="exact"/>
        <w:ind w:firstLine="210" w:firstLineChars="100"/>
      </w:pPr>
      <w:bookmarkStart w:id="310" w:name="_Toc5970"/>
      <w:r>
        <w:t xml:space="preserve">3. </w:t>
      </w:r>
      <w:r>
        <w:rPr>
          <w:rFonts w:hint="eastAsia" w:hAnsi="宋体"/>
        </w:rPr>
        <w:t>将此委托书提交对方作为合同附件。</w:t>
      </w:r>
      <w:bookmarkEnd w:id="310"/>
    </w:p>
    <w:p w14:paraId="1D728DC7">
      <w:pPr>
        <w:spacing w:line="360" w:lineRule="auto"/>
        <w:rPr>
          <w:b/>
          <w:szCs w:val="21"/>
        </w:rPr>
      </w:pPr>
    </w:p>
    <w:p w14:paraId="3A519E3F">
      <w:pPr>
        <w:spacing w:line="360" w:lineRule="auto"/>
        <w:rPr>
          <w:b/>
          <w:szCs w:val="21"/>
        </w:rPr>
      </w:pPr>
    </w:p>
    <w:p w14:paraId="4D1CCFEC">
      <w:pPr>
        <w:pStyle w:val="3"/>
        <w:ind w:left="420"/>
        <w:rPr>
          <w:rFonts w:hAnsi="宋体"/>
        </w:rPr>
      </w:pPr>
      <w:bookmarkStart w:id="311" w:name="_Toc211243324"/>
      <w:bookmarkStart w:id="312" w:name="_Toc2699"/>
      <w:bookmarkStart w:id="313" w:name="_Toc1025"/>
      <w:bookmarkStart w:id="314" w:name="_Toc496002364"/>
      <w:bookmarkStart w:id="315" w:name="_Toc31131"/>
      <w:bookmarkStart w:id="316" w:name="_Toc236803118"/>
      <w:bookmarkStart w:id="317" w:name="_Toc16586"/>
      <w:bookmarkStart w:id="318" w:name="_Toc25382"/>
      <w:r>
        <w:rPr>
          <w:rFonts w:hint="eastAsia" w:ascii="楷体_GB2312" w:hAnsi="宋体" w:eastAsia="楷体_GB2312"/>
          <w:b w:val="0"/>
          <w:sz w:val="21"/>
          <w:szCs w:val="21"/>
        </w:rPr>
        <w:t>格式</w:t>
      </w:r>
      <w:r>
        <w:rPr>
          <w:rFonts w:ascii="楷体_GB2312" w:hAnsi="宋体" w:eastAsia="楷体_GB2312"/>
          <w:b w:val="0"/>
          <w:sz w:val="21"/>
          <w:szCs w:val="21"/>
        </w:rPr>
        <w:t>1</w:t>
      </w:r>
      <w:r>
        <w:rPr>
          <w:rFonts w:hint="eastAsia" w:ascii="楷体_GB2312" w:hAnsi="宋体" w:eastAsia="楷体_GB2312"/>
          <w:b w:val="0"/>
          <w:sz w:val="21"/>
          <w:szCs w:val="21"/>
          <w:lang w:val="en-US" w:eastAsia="zh-CN"/>
        </w:rPr>
        <w:t>1</w:t>
      </w:r>
      <w:r>
        <w:rPr>
          <w:rFonts w:ascii="楷体_GB2312" w:hAnsi="宋体" w:eastAsia="楷体_GB2312"/>
          <w:b w:val="0"/>
          <w:sz w:val="21"/>
          <w:szCs w:val="21"/>
        </w:rPr>
        <w:t>.</w:t>
      </w:r>
      <w:bookmarkEnd w:id="311"/>
      <w:r>
        <w:rPr>
          <w:rFonts w:hint="eastAsia" w:ascii="楷体_GB2312" w:hAnsi="宋体" w:eastAsia="楷体_GB2312"/>
          <w:b w:val="0"/>
          <w:sz w:val="21"/>
          <w:szCs w:val="21"/>
        </w:rPr>
        <w:t>资格证明文件</w:t>
      </w:r>
      <w:bookmarkEnd w:id="312"/>
      <w:bookmarkEnd w:id="313"/>
      <w:bookmarkEnd w:id="314"/>
      <w:bookmarkEnd w:id="315"/>
      <w:bookmarkEnd w:id="316"/>
      <w:bookmarkEnd w:id="317"/>
      <w:bookmarkEnd w:id="318"/>
    </w:p>
    <w:p w14:paraId="15A7EF04">
      <w:pPr>
        <w:spacing w:line="400" w:lineRule="exact"/>
        <w:jc w:val="center"/>
        <w:rPr>
          <w:rFonts w:ascii="黑体" w:hAnsi="宋体" w:eastAsia="黑体"/>
          <w:sz w:val="30"/>
          <w:szCs w:val="30"/>
        </w:rPr>
      </w:pPr>
      <w:bookmarkStart w:id="319" w:name="_Toc211248428"/>
    </w:p>
    <w:p w14:paraId="3D999742">
      <w:pPr>
        <w:spacing w:before="120" w:after="240"/>
        <w:jc w:val="center"/>
        <w:rPr>
          <w:rFonts w:ascii="黑体" w:hAnsi="宋体" w:eastAsia="黑体"/>
          <w:sz w:val="30"/>
          <w:szCs w:val="30"/>
        </w:rPr>
      </w:pPr>
      <w:bookmarkStart w:id="320" w:name="_Toc22467"/>
      <w:r>
        <w:rPr>
          <w:rFonts w:hint="eastAsia" w:ascii="黑体" w:hAnsi="宋体" w:eastAsia="黑体"/>
          <w:sz w:val="30"/>
          <w:szCs w:val="30"/>
        </w:rPr>
        <w:t>资格</w:t>
      </w:r>
      <w:bookmarkEnd w:id="319"/>
      <w:r>
        <w:rPr>
          <w:rFonts w:hint="eastAsia" w:ascii="黑体" w:hAnsi="宋体" w:eastAsia="黑体"/>
          <w:sz w:val="30"/>
          <w:szCs w:val="30"/>
        </w:rPr>
        <w:t>证明文件</w:t>
      </w:r>
      <w:bookmarkEnd w:id="320"/>
    </w:p>
    <w:p w14:paraId="47C99912">
      <w:pPr>
        <w:spacing w:line="360" w:lineRule="auto"/>
        <w:jc w:val="center"/>
        <w:rPr>
          <w:b/>
          <w:szCs w:val="21"/>
        </w:rPr>
      </w:pPr>
    </w:p>
    <w:p w14:paraId="770009C9">
      <w:pPr>
        <w:spacing w:line="560" w:lineRule="exact"/>
        <w:rPr>
          <w:szCs w:val="21"/>
        </w:rPr>
      </w:pPr>
      <w:r>
        <w:rPr>
          <w:rFonts w:hint="eastAsia" w:hAnsi="宋体"/>
          <w:szCs w:val="21"/>
        </w:rPr>
        <w:t>致：</w:t>
      </w:r>
    </w:p>
    <w:p w14:paraId="435ADFB4">
      <w:pPr>
        <w:spacing w:line="560" w:lineRule="exact"/>
        <w:rPr>
          <w:szCs w:val="21"/>
          <w:u w:val="single"/>
        </w:rPr>
      </w:pPr>
      <w:r>
        <w:rPr>
          <w:rFonts w:hint="eastAsia" w:hAnsi="宋体"/>
          <w:szCs w:val="21"/>
        </w:rPr>
        <w:t>关于贵方</w:t>
      </w:r>
      <w:r>
        <w:rPr>
          <w:rFonts w:hint="eastAsia" w:hAnsi="宋体"/>
          <w:i/>
          <w:szCs w:val="21"/>
          <w:u w:val="single"/>
        </w:rPr>
        <w:t>（投标邀请函的时间）</w:t>
      </w:r>
      <w:r>
        <w:rPr>
          <w:rFonts w:hint="eastAsia" w:hAnsi="宋体"/>
          <w:szCs w:val="21"/>
          <w:u w:val="single"/>
        </w:rPr>
        <w:t>　　</w:t>
      </w:r>
      <w:r>
        <w:rPr>
          <w:rFonts w:hint="eastAsia" w:hAnsi="宋体"/>
          <w:szCs w:val="21"/>
        </w:rPr>
        <w:t>第</w:t>
      </w:r>
      <w:r>
        <w:rPr>
          <w:rFonts w:hint="eastAsia"/>
          <w:szCs w:val="21"/>
          <w:u w:val="single"/>
        </w:rPr>
        <w:t>　</w:t>
      </w:r>
      <w:r>
        <w:rPr>
          <w:rFonts w:hint="eastAsia" w:hAnsi="宋体"/>
          <w:i/>
          <w:szCs w:val="21"/>
          <w:u w:val="single"/>
        </w:rPr>
        <w:t>（招标编号）</w:t>
      </w:r>
      <w:r>
        <w:rPr>
          <w:rFonts w:hint="eastAsia" w:hAnsi="宋体"/>
          <w:szCs w:val="21"/>
          <w:u w:val="single"/>
        </w:rPr>
        <w:t>　　　</w:t>
      </w:r>
      <w:r>
        <w:rPr>
          <w:rFonts w:hint="eastAsia" w:hAnsi="宋体"/>
          <w:szCs w:val="21"/>
        </w:rPr>
        <w:t>投标邀请，本签字人愿意参加投标，提供招标货物一览表中规定的</w:t>
      </w:r>
      <w:r>
        <w:rPr>
          <w:rFonts w:hint="eastAsia" w:hAnsi="宋体"/>
          <w:i/>
          <w:szCs w:val="21"/>
          <w:u w:val="single"/>
        </w:rPr>
        <w:t>（货物名称）</w:t>
      </w:r>
      <w:r>
        <w:rPr>
          <w:rFonts w:hint="eastAsia" w:hAnsi="宋体"/>
          <w:szCs w:val="21"/>
          <w:u w:val="single"/>
        </w:rPr>
        <w:t>　　　</w:t>
      </w:r>
      <w:r>
        <w:rPr>
          <w:rFonts w:hint="eastAsia" w:hAnsi="宋体"/>
          <w:szCs w:val="21"/>
        </w:rPr>
        <w:t>，并证明提交的下列文件和说明是准确的和真实的。</w:t>
      </w:r>
    </w:p>
    <w:p w14:paraId="04A1223F">
      <w:pPr>
        <w:spacing w:line="560" w:lineRule="exact"/>
        <w:ind w:firstLine="420"/>
        <w:rPr>
          <w:szCs w:val="21"/>
        </w:rPr>
      </w:pPr>
      <w:r>
        <w:rPr>
          <w:rFonts w:hAnsi="宋体"/>
          <w:szCs w:val="21"/>
        </w:rPr>
        <w:t xml:space="preserve">1. </w:t>
      </w:r>
      <w:r>
        <w:rPr>
          <w:rFonts w:hint="eastAsia" w:hAnsi="宋体"/>
          <w:szCs w:val="21"/>
        </w:rPr>
        <w:t>由（工商管理部门）签发的我方工商营业执照副本复印件</w:t>
      </w:r>
      <w:r>
        <w:rPr>
          <w:rFonts w:hint="eastAsia" w:hAnsi="宋体"/>
          <w:szCs w:val="21"/>
          <w:lang w:eastAsia="zh-CN"/>
        </w:rPr>
        <w:t>（</w:t>
      </w:r>
      <w:r>
        <w:rPr>
          <w:rFonts w:hint="eastAsia" w:hAnsi="宋体"/>
          <w:szCs w:val="21"/>
        </w:rPr>
        <w:t>加盖公章</w:t>
      </w:r>
      <w:r>
        <w:rPr>
          <w:rFonts w:hint="eastAsia" w:hAnsi="宋体"/>
          <w:szCs w:val="21"/>
          <w:lang w:eastAsia="zh-CN"/>
        </w:rPr>
        <w:t>）</w:t>
      </w:r>
      <w:r>
        <w:rPr>
          <w:rFonts w:hint="eastAsia" w:hAnsi="宋体"/>
          <w:szCs w:val="21"/>
        </w:rPr>
        <w:t>一份。</w:t>
      </w:r>
    </w:p>
    <w:p w14:paraId="7946A95B">
      <w:pPr>
        <w:spacing w:line="560" w:lineRule="exact"/>
        <w:ind w:firstLine="420"/>
        <w:rPr>
          <w:szCs w:val="21"/>
        </w:rPr>
      </w:pPr>
      <w:r>
        <w:rPr>
          <w:rFonts w:hAnsi="宋体"/>
          <w:szCs w:val="21"/>
        </w:rPr>
        <w:t xml:space="preserve">2. </w:t>
      </w:r>
      <w:r>
        <w:rPr>
          <w:rFonts w:hint="eastAsia" w:hAnsi="宋体"/>
          <w:szCs w:val="21"/>
          <w:lang w:eastAsia="zh-CN"/>
        </w:rPr>
        <w:t>其他</w:t>
      </w:r>
      <w:r>
        <w:rPr>
          <w:rFonts w:hint="eastAsia" w:hAnsi="宋体"/>
          <w:szCs w:val="21"/>
        </w:rPr>
        <w:t>招标文件要求的资格证明文件。</w:t>
      </w:r>
    </w:p>
    <w:p w14:paraId="25711DD0">
      <w:pPr>
        <w:spacing w:line="560" w:lineRule="exact"/>
        <w:ind w:firstLine="420"/>
        <w:rPr>
          <w:szCs w:val="21"/>
        </w:rPr>
      </w:pPr>
      <w:r>
        <w:rPr>
          <w:rFonts w:hint="eastAsia" w:hAnsi="宋体"/>
          <w:szCs w:val="21"/>
        </w:rPr>
        <w:t>本签字人在此承诺以上提供的证明文件是真实的、准确的。</w:t>
      </w:r>
    </w:p>
    <w:p w14:paraId="6BDBA93F">
      <w:pPr>
        <w:spacing w:before="240" w:line="560" w:lineRule="exact"/>
        <w:rPr>
          <w:szCs w:val="21"/>
        </w:rPr>
      </w:pPr>
      <w:r>
        <w:rPr>
          <w:rFonts w:hint="eastAsia" w:hAnsi="宋体"/>
          <w:szCs w:val="21"/>
        </w:rPr>
        <w:t>投标方（</w:t>
      </w:r>
      <w:r>
        <w:rPr>
          <w:rFonts w:hint="eastAsia" w:ascii="楷体_GB2312" w:hAnsi="宋体" w:eastAsia="楷体_GB2312"/>
          <w:szCs w:val="21"/>
        </w:rPr>
        <w:t>制造商或贸易公司</w:t>
      </w:r>
      <w:r>
        <w:rPr>
          <w:rFonts w:hint="eastAsia" w:hAnsi="宋体"/>
          <w:szCs w:val="21"/>
        </w:rPr>
        <w:t>）的授权签署本资格文件</w:t>
      </w:r>
    </w:p>
    <w:p w14:paraId="6EDAAA9A">
      <w:pPr>
        <w:spacing w:line="560" w:lineRule="exact"/>
        <w:rPr>
          <w:szCs w:val="21"/>
        </w:rPr>
      </w:pPr>
      <w:r>
        <w:rPr>
          <w:rFonts w:hint="eastAsia" w:hAnsi="宋体"/>
          <w:szCs w:val="21"/>
        </w:rPr>
        <w:t>名称：签字人姓名、职务（</w:t>
      </w:r>
      <w:r>
        <w:rPr>
          <w:rFonts w:hint="eastAsia" w:ascii="楷体_GB2312" w:hAnsi="宋体" w:eastAsia="楷体_GB2312"/>
          <w:szCs w:val="21"/>
        </w:rPr>
        <w:t>印刷字体</w:t>
      </w:r>
      <w:r>
        <w:rPr>
          <w:rFonts w:hint="eastAsia" w:hAnsi="宋体"/>
          <w:szCs w:val="21"/>
        </w:rPr>
        <w:t>）</w:t>
      </w:r>
    </w:p>
    <w:p w14:paraId="7FB2134F">
      <w:pPr>
        <w:spacing w:line="560" w:lineRule="exact"/>
        <w:rPr>
          <w:szCs w:val="21"/>
        </w:rPr>
      </w:pPr>
      <w:r>
        <w:rPr>
          <w:rFonts w:hint="eastAsia" w:hAnsi="宋体"/>
          <w:szCs w:val="21"/>
        </w:rPr>
        <w:t>地址：</w:t>
      </w:r>
    </w:p>
    <w:p w14:paraId="48D2B6ED">
      <w:pPr>
        <w:spacing w:line="560" w:lineRule="exact"/>
        <w:rPr>
          <w:rFonts w:hAnsi="宋体"/>
          <w:szCs w:val="21"/>
        </w:rPr>
      </w:pPr>
      <w:r>
        <w:rPr>
          <w:rFonts w:hint="eastAsia" w:hAnsi="宋体"/>
          <w:szCs w:val="21"/>
        </w:rPr>
        <w:t>传真签字：</w:t>
      </w:r>
    </w:p>
    <w:p w14:paraId="461F23E5">
      <w:pPr>
        <w:spacing w:line="560" w:lineRule="exact"/>
        <w:rPr>
          <w:szCs w:val="21"/>
        </w:rPr>
      </w:pPr>
      <w:r>
        <w:rPr>
          <w:rFonts w:hint="eastAsia" w:hAnsi="宋体"/>
          <w:szCs w:val="21"/>
        </w:rPr>
        <w:t>邮编：电话：</w:t>
      </w:r>
    </w:p>
    <w:p w14:paraId="4767C787">
      <w:pPr>
        <w:spacing w:line="560" w:lineRule="exact"/>
        <w:rPr>
          <w:szCs w:val="21"/>
          <w:u w:val="single"/>
        </w:rPr>
      </w:pPr>
      <w:r>
        <w:rPr>
          <w:rFonts w:hint="eastAsia" w:hAnsi="宋体"/>
          <w:szCs w:val="21"/>
        </w:rPr>
        <w:t>单位盖章：</w:t>
      </w:r>
    </w:p>
    <w:p w14:paraId="6919C539">
      <w:pPr>
        <w:spacing w:line="560" w:lineRule="exact"/>
        <w:rPr>
          <w:szCs w:val="21"/>
          <w:u w:val="single"/>
        </w:rPr>
      </w:pPr>
    </w:p>
    <w:p w14:paraId="56691803">
      <w:pPr>
        <w:spacing w:line="560" w:lineRule="exact"/>
        <w:rPr>
          <w:szCs w:val="21"/>
          <w:u w:val="single"/>
        </w:rPr>
      </w:pPr>
    </w:p>
    <w:p w14:paraId="68FF6AC2">
      <w:pPr>
        <w:spacing w:line="560" w:lineRule="exact"/>
        <w:rPr>
          <w:szCs w:val="21"/>
          <w:u w:val="single"/>
        </w:rPr>
      </w:pPr>
    </w:p>
    <w:p w14:paraId="63FBC365">
      <w:pPr>
        <w:spacing w:line="560" w:lineRule="exact"/>
        <w:rPr>
          <w:szCs w:val="21"/>
          <w:u w:val="single"/>
        </w:rPr>
      </w:pPr>
    </w:p>
    <w:p w14:paraId="112B09AE">
      <w:pPr>
        <w:spacing w:line="560" w:lineRule="exact"/>
        <w:rPr>
          <w:szCs w:val="21"/>
          <w:u w:val="single"/>
        </w:rPr>
      </w:pPr>
    </w:p>
    <w:p w14:paraId="53668354">
      <w:pPr>
        <w:rPr>
          <w:rFonts w:ascii="宋体"/>
          <w:b/>
          <w:sz w:val="32"/>
          <w:szCs w:val="32"/>
        </w:rPr>
      </w:pPr>
    </w:p>
    <w:sectPr>
      <w:headerReference r:id="rId8" w:type="default"/>
      <w:footerReference r:id="rId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 w:name="KSOFF9CBECC6">
    <w:panose1 w:val="02010609060101010101"/>
    <w:charset w:val="86"/>
    <w:family w:val="auto"/>
    <w:pitch w:val="default"/>
    <w:sig w:usb0="00000001" w:usb1="00000000" w:usb2="00000000" w:usb3="00000000" w:csb0="00040001" w:csb1="00000000"/>
  </w:font>
  <w:font w:name="MS PGothic">
    <w:panose1 w:val="020B0600070205080204"/>
    <w:charset w:val="80"/>
    <w:family w:val="auto"/>
    <w:pitch w:val="default"/>
    <w:sig w:usb0="E00002FF" w:usb1="6AC7FDFB" w:usb2="08000012" w:usb3="00000000" w:csb0="4002009F" w:csb1="DFD70000"/>
  </w:font>
  <w:font w:name="KSOFE44F9426">
    <w:panose1 w:val="02010609060101010101"/>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9CB71A">
    <w:pPr>
      <w:pStyle w:val="14"/>
      <w:framePr w:wrap="around" w:vAnchor="text" w:hAnchor="margin" w:xAlign="right" w:y="1"/>
      <w:rPr>
        <w:rStyle w:val="25"/>
      </w:rPr>
    </w:pPr>
    <w:r>
      <w:rPr>
        <w:rStyle w:val="25"/>
      </w:rPr>
      <w:tab/>
    </w:r>
    <w:r>
      <w:rPr>
        <w:rStyle w:val="25"/>
      </w:rPr>
      <w:fldChar w:fldCharType="begin"/>
    </w:r>
    <w:r>
      <w:rPr>
        <w:rStyle w:val="25"/>
      </w:rPr>
      <w:instrText xml:space="preserve"> PAGE </w:instrText>
    </w:r>
    <w:r>
      <w:rPr>
        <w:rStyle w:val="25"/>
      </w:rPr>
      <w:fldChar w:fldCharType="separate"/>
    </w:r>
    <w:r>
      <w:rPr>
        <w:rStyle w:val="25"/>
      </w:rPr>
      <w:t>27</w:t>
    </w:r>
    <w:r>
      <w:rPr>
        <w:rStyle w:val="25"/>
      </w:rPr>
      <w:fldChar w:fldCharType="end"/>
    </w:r>
  </w:p>
  <w:p w14:paraId="75796F49">
    <w:pPr>
      <w:pStyle w:val="14"/>
      <w:framePr w:wrap="around" w:vAnchor="text" w:hAnchor="margin" w:xAlign="right" w:y="1"/>
      <w:ind w:right="360"/>
      <w:rPr>
        <w:rStyle w:val="25"/>
      </w:rPr>
    </w:pPr>
    <w:r>
      <w:rPr>
        <w:rStyle w:val="25"/>
      </w:rPr>
      <w:tab/>
    </w:r>
    <w:r>
      <w:rPr>
        <w:rStyle w:val="25"/>
      </w:rPr>
      <w:tab/>
    </w:r>
    <w:r>
      <w:rPr>
        <w:rStyle w:val="25"/>
      </w:rPr>
      <w:tab/>
    </w:r>
  </w:p>
  <w:p w14:paraId="1BE3FEE4">
    <w:pPr>
      <w:pStyle w:val="14"/>
      <w:ind w:right="360"/>
    </w:pPr>
    <w:r>
      <w:tab/>
    </w: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77E518">
    <w:pPr>
      <w:pStyle w:val="14"/>
      <w:framePr w:wrap="around" w:vAnchor="text" w:hAnchor="margin" w:xAlign="right" w:y="1"/>
      <w:rPr>
        <w:rStyle w:val="25"/>
      </w:rPr>
    </w:pPr>
    <w:r>
      <w:rPr>
        <w:rStyle w:val="25"/>
      </w:rPr>
      <w:fldChar w:fldCharType="begin"/>
    </w:r>
    <w:r>
      <w:rPr>
        <w:rStyle w:val="25"/>
      </w:rPr>
      <w:instrText xml:space="preserve">PAGE  </w:instrText>
    </w:r>
    <w:r>
      <w:rPr>
        <w:rStyle w:val="25"/>
      </w:rPr>
      <w:fldChar w:fldCharType="end"/>
    </w:r>
  </w:p>
  <w:p w14:paraId="33C4815E">
    <w:pPr>
      <w:pStyle w:val="1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05D8D4">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06BEACE">
                          <w:pPr>
                            <w:pStyle w:val="14"/>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60sw44AgAAbw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kdMrSjRTaPj5x/fz&#10;z9/nX9/IJMrTWD9H1INFXGjfmRZDM9x7XEbWbelU/AUfAj/EPV3EFW0gPD6aTWezMVwcvuEA/Ozp&#10;uXU+vBdGkWjk1KF7SVR23PrQhQ4hMZs2m1rK1EGpSZPT67dX4/Tg4gG41DFWpFnoYSKlrvRohXbX&#10;9jx3pjiBpjPdnHjLNzVK2TIf7pnDYKB8rE64w6eUBilNb1FSGff1X/cxHv2Cl5IGg5ZTjb2iRH7Q&#10;6CMAw2C4wdgNhj6oW4PJnWAlLU8mHrggB7N0Rn3BPq1iDriY5siU0zCYt6EbduwjF6tVCjpYV++r&#10;7gGm0LKw1Q+WxzRRKm9XhwBpk+JRoE4VdCoeMIepZ/3OxEH/85yinv4nlo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3rSzDjgCAABvBAAADgAAAAAAAAABACAAAAAfAQAAZHJzL2Uyb0RvYy54&#10;bWxQSwUGAAAAAAYABgBZAQAAyQUAAAAA&#10;">
              <v:fill on="f" focussize="0,0"/>
              <v:stroke on="f" weight="0.5pt"/>
              <v:imagedata o:title=""/>
              <o:lock v:ext="edit" aspectratio="f"/>
              <v:textbox inset="0mm,0mm,0mm,0mm" style="mso-fit-shape-to-text:t;">
                <w:txbxContent>
                  <w:p w14:paraId="106BEACE">
                    <w:pPr>
                      <w:pStyle w:val="14"/>
                    </w:pPr>
                    <w:r>
                      <w:fldChar w:fldCharType="begin"/>
                    </w:r>
                    <w:r>
                      <w:instrText xml:space="preserve"> PAGE  \* MERGEFORMAT </w:instrText>
                    </w:r>
                    <w:r>
                      <w:fldChar w:fldCharType="separate"/>
                    </w:r>
                    <w:r>
                      <w:t>38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D9FF17">
    <w:pPr>
      <w:pStyle w:val="15"/>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6EDCA">
    <w:pPr>
      <w:pStyle w:val="15"/>
      <w:jc w:val="left"/>
    </w:pPr>
    <w:r>
      <w:rPr>
        <w:rFonts w:hint="eastAsia"/>
      </w:rPr>
      <w:t>深圳市深环绿盾环保科技有限公司                                              货物采购招标文件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938EAB">
    <w:pPr>
      <w:pStyle w:val="15"/>
      <w:pBdr>
        <w:bottom w:val="single" w:color="auto" w:sz="4" w:space="1"/>
      </w:pBdr>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5BD77">
    <w:pPr>
      <w:pStyle w:val="15"/>
      <w:pBdr>
        <w:bottom w:val="single" w:color="auto" w:sz="4" w:space="1"/>
      </w:pBdr>
      <w:jc w:val="both"/>
    </w:pPr>
    <w:r>
      <w:rPr>
        <w:rFonts w:hint="eastAsia"/>
      </w:rPr>
      <w:t>第五章投标文件格式</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B287ADD"/>
    <w:multiLevelType w:val="multilevel"/>
    <w:tmpl w:val="DB287ADD"/>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
    <w:nsid w:val="2CB78F60"/>
    <w:multiLevelType w:val="singleLevel"/>
    <w:tmpl w:val="2CB78F60"/>
    <w:lvl w:ilvl="0" w:tentative="0">
      <w:start w:val="5"/>
      <w:numFmt w:val="decimal"/>
      <w:lvlText w:val="%1."/>
      <w:lvlJc w:val="left"/>
      <w:pPr>
        <w:tabs>
          <w:tab w:val="left" w:pos="312"/>
        </w:tabs>
      </w:pPr>
    </w:lvl>
  </w:abstractNum>
  <w:abstractNum w:abstractNumId="2">
    <w:nsid w:val="3EE43E30"/>
    <w:multiLevelType w:val="singleLevel"/>
    <w:tmpl w:val="3EE43E30"/>
    <w:lvl w:ilvl="0" w:tentative="0">
      <w:start w:val="1"/>
      <w:numFmt w:val="decimal"/>
      <w:lvlText w:val="%1."/>
      <w:lvlJc w:val="left"/>
      <w:pPr>
        <w:ind w:left="425" w:hanging="425"/>
      </w:pPr>
      <w:rPr>
        <w:rFonts w:hint="default"/>
      </w:rPr>
    </w:lvl>
  </w:abstractNum>
  <w:abstractNum w:abstractNumId="3">
    <w:nsid w:val="47FF4C3E"/>
    <w:multiLevelType w:val="multilevel"/>
    <w:tmpl w:val="47FF4C3E"/>
    <w:lvl w:ilvl="0" w:tentative="0">
      <w:start w:val="1"/>
      <w:numFmt w:val="decimal"/>
      <w:lvlText w:val="%1."/>
      <w:lvlJc w:val="left"/>
      <w:pPr>
        <w:tabs>
          <w:tab w:val="left" w:pos="360"/>
        </w:tabs>
        <w:ind w:left="360" w:hanging="360"/>
      </w:pPr>
      <w:rPr>
        <w:rFonts w:hint="default" w:hAnsi="宋体" w:cs="Times New Roman"/>
      </w:rPr>
    </w:lvl>
    <w:lvl w:ilvl="1" w:tentative="0">
      <w:start w:val="1"/>
      <w:numFmt w:val="lowerLetter"/>
      <w:lvlText w:val="%2)"/>
      <w:lvlJc w:val="left"/>
      <w:pPr>
        <w:tabs>
          <w:tab w:val="left" w:pos="840"/>
        </w:tabs>
        <w:ind w:left="840" w:hanging="420"/>
      </w:pPr>
      <w:rPr>
        <w:rFonts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I4MGE5Zjg5MWVkYzNjN2FhOGM5ZmQ2MmI3MjQyNmMifQ=="/>
  </w:docVars>
  <w:rsids>
    <w:rsidRoot w:val="51065478"/>
    <w:rsid w:val="00002AB3"/>
    <w:rsid w:val="0000350C"/>
    <w:rsid w:val="00003B3C"/>
    <w:rsid w:val="00005545"/>
    <w:rsid w:val="00014ECB"/>
    <w:rsid w:val="00015CB3"/>
    <w:rsid w:val="00025A9D"/>
    <w:rsid w:val="00037A99"/>
    <w:rsid w:val="00041DE4"/>
    <w:rsid w:val="000574C9"/>
    <w:rsid w:val="00062106"/>
    <w:rsid w:val="00065760"/>
    <w:rsid w:val="00076215"/>
    <w:rsid w:val="00077258"/>
    <w:rsid w:val="00095A10"/>
    <w:rsid w:val="000A0D49"/>
    <w:rsid w:val="000A422E"/>
    <w:rsid w:val="000A5B0F"/>
    <w:rsid w:val="000B20F0"/>
    <w:rsid w:val="000B36B2"/>
    <w:rsid w:val="000B5612"/>
    <w:rsid w:val="000B5663"/>
    <w:rsid w:val="000B56F2"/>
    <w:rsid w:val="000B5969"/>
    <w:rsid w:val="000C17F1"/>
    <w:rsid w:val="000C3A24"/>
    <w:rsid w:val="000C44B7"/>
    <w:rsid w:val="000D1D8F"/>
    <w:rsid w:val="000D41E8"/>
    <w:rsid w:val="000D4EBF"/>
    <w:rsid w:val="000F0DFA"/>
    <w:rsid w:val="000F67AC"/>
    <w:rsid w:val="0010155A"/>
    <w:rsid w:val="001015B5"/>
    <w:rsid w:val="00103AE5"/>
    <w:rsid w:val="00114CE9"/>
    <w:rsid w:val="0011726C"/>
    <w:rsid w:val="00124627"/>
    <w:rsid w:val="00136B0D"/>
    <w:rsid w:val="00136D40"/>
    <w:rsid w:val="001373D4"/>
    <w:rsid w:val="00140CC9"/>
    <w:rsid w:val="001420ED"/>
    <w:rsid w:val="0014240A"/>
    <w:rsid w:val="00142558"/>
    <w:rsid w:val="00144E52"/>
    <w:rsid w:val="00156D7F"/>
    <w:rsid w:val="00164B28"/>
    <w:rsid w:val="00174379"/>
    <w:rsid w:val="00174EDE"/>
    <w:rsid w:val="001808EC"/>
    <w:rsid w:val="00180B69"/>
    <w:rsid w:val="00182303"/>
    <w:rsid w:val="00186B8C"/>
    <w:rsid w:val="001872F5"/>
    <w:rsid w:val="00193A5F"/>
    <w:rsid w:val="001944A2"/>
    <w:rsid w:val="001948FA"/>
    <w:rsid w:val="001965F8"/>
    <w:rsid w:val="00196C8E"/>
    <w:rsid w:val="001A5F26"/>
    <w:rsid w:val="001B12BE"/>
    <w:rsid w:val="001C7926"/>
    <w:rsid w:val="001D180E"/>
    <w:rsid w:val="001D32D8"/>
    <w:rsid w:val="001D79DD"/>
    <w:rsid w:val="001E082E"/>
    <w:rsid w:val="001E6A00"/>
    <w:rsid w:val="001F7C26"/>
    <w:rsid w:val="00200E97"/>
    <w:rsid w:val="00207CDB"/>
    <w:rsid w:val="0022102E"/>
    <w:rsid w:val="00222E81"/>
    <w:rsid w:val="00223B2D"/>
    <w:rsid w:val="002301C6"/>
    <w:rsid w:val="00230C2F"/>
    <w:rsid w:val="00232011"/>
    <w:rsid w:val="002353A0"/>
    <w:rsid w:val="00235B58"/>
    <w:rsid w:val="0023748E"/>
    <w:rsid w:val="00237B98"/>
    <w:rsid w:val="00240B37"/>
    <w:rsid w:val="0024295E"/>
    <w:rsid w:val="00256219"/>
    <w:rsid w:val="00262866"/>
    <w:rsid w:val="00262EEA"/>
    <w:rsid w:val="00271941"/>
    <w:rsid w:val="00277640"/>
    <w:rsid w:val="00281DDB"/>
    <w:rsid w:val="0028585D"/>
    <w:rsid w:val="00287B53"/>
    <w:rsid w:val="00290C39"/>
    <w:rsid w:val="002924F3"/>
    <w:rsid w:val="0029563B"/>
    <w:rsid w:val="002A0EE2"/>
    <w:rsid w:val="002A418D"/>
    <w:rsid w:val="002A5275"/>
    <w:rsid w:val="002A6217"/>
    <w:rsid w:val="002A66AB"/>
    <w:rsid w:val="002A6D2F"/>
    <w:rsid w:val="002A7E7F"/>
    <w:rsid w:val="002C0D2D"/>
    <w:rsid w:val="002D1110"/>
    <w:rsid w:val="002D296A"/>
    <w:rsid w:val="002D40BE"/>
    <w:rsid w:val="002D42CF"/>
    <w:rsid w:val="002E1DD2"/>
    <w:rsid w:val="002E6DDC"/>
    <w:rsid w:val="00302D85"/>
    <w:rsid w:val="00313032"/>
    <w:rsid w:val="003163D4"/>
    <w:rsid w:val="00316690"/>
    <w:rsid w:val="00322DA3"/>
    <w:rsid w:val="00325ADD"/>
    <w:rsid w:val="00327CB1"/>
    <w:rsid w:val="00330078"/>
    <w:rsid w:val="0033024F"/>
    <w:rsid w:val="0033034E"/>
    <w:rsid w:val="00330CEB"/>
    <w:rsid w:val="00340157"/>
    <w:rsid w:val="00340596"/>
    <w:rsid w:val="00343B14"/>
    <w:rsid w:val="0035529F"/>
    <w:rsid w:val="003602D0"/>
    <w:rsid w:val="003777E6"/>
    <w:rsid w:val="003807C0"/>
    <w:rsid w:val="00382174"/>
    <w:rsid w:val="00387BA4"/>
    <w:rsid w:val="003918FC"/>
    <w:rsid w:val="00394027"/>
    <w:rsid w:val="003A0720"/>
    <w:rsid w:val="003A17E8"/>
    <w:rsid w:val="003B123E"/>
    <w:rsid w:val="003C0F83"/>
    <w:rsid w:val="003C6955"/>
    <w:rsid w:val="003E36F0"/>
    <w:rsid w:val="00400483"/>
    <w:rsid w:val="00403BB3"/>
    <w:rsid w:val="0041085E"/>
    <w:rsid w:val="00413661"/>
    <w:rsid w:val="00413998"/>
    <w:rsid w:val="00422268"/>
    <w:rsid w:val="00427309"/>
    <w:rsid w:val="00427CA7"/>
    <w:rsid w:val="004335C5"/>
    <w:rsid w:val="00433D72"/>
    <w:rsid w:val="004341DF"/>
    <w:rsid w:val="0043492F"/>
    <w:rsid w:val="00451344"/>
    <w:rsid w:val="00454A9A"/>
    <w:rsid w:val="004635E0"/>
    <w:rsid w:val="00472718"/>
    <w:rsid w:val="00474EC2"/>
    <w:rsid w:val="00480D06"/>
    <w:rsid w:val="00483357"/>
    <w:rsid w:val="0048623E"/>
    <w:rsid w:val="004915C8"/>
    <w:rsid w:val="00493BC5"/>
    <w:rsid w:val="004B14A4"/>
    <w:rsid w:val="004B729A"/>
    <w:rsid w:val="004C470A"/>
    <w:rsid w:val="004C7CE2"/>
    <w:rsid w:val="004D0F02"/>
    <w:rsid w:val="004D5ABF"/>
    <w:rsid w:val="004E05B9"/>
    <w:rsid w:val="004F7194"/>
    <w:rsid w:val="005070A3"/>
    <w:rsid w:val="00520B8D"/>
    <w:rsid w:val="0052370A"/>
    <w:rsid w:val="00531A6F"/>
    <w:rsid w:val="00533C14"/>
    <w:rsid w:val="005419EE"/>
    <w:rsid w:val="005421CC"/>
    <w:rsid w:val="0054409A"/>
    <w:rsid w:val="00547AEA"/>
    <w:rsid w:val="00550094"/>
    <w:rsid w:val="00560A6C"/>
    <w:rsid w:val="0056209F"/>
    <w:rsid w:val="0056486B"/>
    <w:rsid w:val="00565097"/>
    <w:rsid w:val="005752F3"/>
    <w:rsid w:val="005871BB"/>
    <w:rsid w:val="005938BE"/>
    <w:rsid w:val="00594A89"/>
    <w:rsid w:val="005A0F05"/>
    <w:rsid w:val="005A559B"/>
    <w:rsid w:val="005B1AED"/>
    <w:rsid w:val="005B1B02"/>
    <w:rsid w:val="005B5E00"/>
    <w:rsid w:val="005B7A4F"/>
    <w:rsid w:val="005B7B53"/>
    <w:rsid w:val="005B7B66"/>
    <w:rsid w:val="005D0AE7"/>
    <w:rsid w:val="005E304E"/>
    <w:rsid w:val="005E50DD"/>
    <w:rsid w:val="005F7247"/>
    <w:rsid w:val="00620DBB"/>
    <w:rsid w:val="006240B4"/>
    <w:rsid w:val="00624A9D"/>
    <w:rsid w:val="006322B0"/>
    <w:rsid w:val="0064470A"/>
    <w:rsid w:val="00650215"/>
    <w:rsid w:val="0065104B"/>
    <w:rsid w:val="006518A4"/>
    <w:rsid w:val="00671DD3"/>
    <w:rsid w:val="00680405"/>
    <w:rsid w:val="006809AB"/>
    <w:rsid w:val="00681615"/>
    <w:rsid w:val="006A4DE5"/>
    <w:rsid w:val="006B2283"/>
    <w:rsid w:val="006B59A1"/>
    <w:rsid w:val="006B7A6F"/>
    <w:rsid w:val="006C0D52"/>
    <w:rsid w:val="006C19B4"/>
    <w:rsid w:val="006C45B9"/>
    <w:rsid w:val="006C5F50"/>
    <w:rsid w:val="006D35FA"/>
    <w:rsid w:val="006D5B3C"/>
    <w:rsid w:val="006D635F"/>
    <w:rsid w:val="006D6D85"/>
    <w:rsid w:val="006D7711"/>
    <w:rsid w:val="006E280E"/>
    <w:rsid w:val="006E2E2F"/>
    <w:rsid w:val="006F5715"/>
    <w:rsid w:val="006F5B07"/>
    <w:rsid w:val="006F6E43"/>
    <w:rsid w:val="0070369C"/>
    <w:rsid w:val="00706DEE"/>
    <w:rsid w:val="00714919"/>
    <w:rsid w:val="007164DF"/>
    <w:rsid w:val="00722124"/>
    <w:rsid w:val="007234EA"/>
    <w:rsid w:val="0073356D"/>
    <w:rsid w:val="00736F99"/>
    <w:rsid w:val="007400C6"/>
    <w:rsid w:val="007507FA"/>
    <w:rsid w:val="00750D68"/>
    <w:rsid w:val="00754203"/>
    <w:rsid w:val="00762469"/>
    <w:rsid w:val="007745FE"/>
    <w:rsid w:val="0077652C"/>
    <w:rsid w:val="00776D65"/>
    <w:rsid w:val="00777F79"/>
    <w:rsid w:val="007849B2"/>
    <w:rsid w:val="0079061E"/>
    <w:rsid w:val="007912BF"/>
    <w:rsid w:val="007A65FC"/>
    <w:rsid w:val="007B0A33"/>
    <w:rsid w:val="007C5C23"/>
    <w:rsid w:val="007D098E"/>
    <w:rsid w:val="007F439D"/>
    <w:rsid w:val="007F5E05"/>
    <w:rsid w:val="007F6B17"/>
    <w:rsid w:val="00800F87"/>
    <w:rsid w:val="008024E0"/>
    <w:rsid w:val="00810109"/>
    <w:rsid w:val="008162FF"/>
    <w:rsid w:val="0081672B"/>
    <w:rsid w:val="00827D0E"/>
    <w:rsid w:val="008368B6"/>
    <w:rsid w:val="00836972"/>
    <w:rsid w:val="00837EBF"/>
    <w:rsid w:val="0084056B"/>
    <w:rsid w:val="00841BB7"/>
    <w:rsid w:val="00857C0D"/>
    <w:rsid w:val="00860D91"/>
    <w:rsid w:val="00861C6F"/>
    <w:rsid w:val="00865CAA"/>
    <w:rsid w:val="00870951"/>
    <w:rsid w:val="00881602"/>
    <w:rsid w:val="008822C2"/>
    <w:rsid w:val="00887929"/>
    <w:rsid w:val="0089617E"/>
    <w:rsid w:val="008A492C"/>
    <w:rsid w:val="008A739D"/>
    <w:rsid w:val="008B68CE"/>
    <w:rsid w:val="008F0448"/>
    <w:rsid w:val="008F1A42"/>
    <w:rsid w:val="008F207D"/>
    <w:rsid w:val="00900439"/>
    <w:rsid w:val="00905FDA"/>
    <w:rsid w:val="009126E3"/>
    <w:rsid w:val="00913791"/>
    <w:rsid w:val="00914772"/>
    <w:rsid w:val="00915AD3"/>
    <w:rsid w:val="00916CE7"/>
    <w:rsid w:val="00923DB4"/>
    <w:rsid w:val="00931876"/>
    <w:rsid w:val="00932751"/>
    <w:rsid w:val="009406D4"/>
    <w:rsid w:val="0094425F"/>
    <w:rsid w:val="00945907"/>
    <w:rsid w:val="00954C79"/>
    <w:rsid w:val="00970883"/>
    <w:rsid w:val="009907EE"/>
    <w:rsid w:val="00996B80"/>
    <w:rsid w:val="009B6756"/>
    <w:rsid w:val="009C50B8"/>
    <w:rsid w:val="009D6552"/>
    <w:rsid w:val="009E02A6"/>
    <w:rsid w:val="009E0874"/>
    <w:rsid w:val="009E1F1C"/>
    <w:rsid w:val="009E2FC8"/>
    <w:rsid w:val="009F3697"/>
    <w:rsid w:val="009F6BCB"/>
    <w:rsid w:val="00A00E9C"/>
    <w:rsid w:val="00A05FD1"/>
    <w:rsid w:val="00A11554"/>
    <w:rsid w:val="00A12BF1"/>
    <w:rsid w:val="00A13ECC"/>
    <w:rsid w:val="00A147D1"/>
    <w:rsid w:val="00A17327"/>
    <w:rsid w:val="00A17805"/>
    <w:rsid w:val="00A317CB"/>
    <w:rsid w:val="00A3220F"/>
    <w:rsid w:val="00A339B6"/>
    <w:rsid w:val="00A365DE"/>
    <w:rsid w:val="00A3749B"/>
    <w:rsid w:val="00A41E80"/>
    <w:rsid w:val="00A43FE1"/>
    <w:rsid w:val="00A56863"/>
    <w:rsid w:val="00A72D20"/>
    <w:rsid w:val="00A77E20"/>
    <w:rsid w:val="00A81185"/>
    <w:rsid w:val="00A81B9D"/>
    <w:rsid w:val="00A81D46"/>
    <w:rsid w:val="00A81F25"/>
    <w:rsid w:val="00A827B6"/>
    <w:rsid w:val="00AB4DDA"/>
    <w:rsid w:val="00AC569C"/>
    <w:rsid w:val="00AD157E"/>
    <w:rsid w:val="00AD53FC"/>
    <w:rsid w:val="00AD597C"/>
    <w:rsid w:val="00AD60F5"/>
    <w:rsid w:val="00AE359D"/>
    <w:rsid w:val="00AE4E1D"/>
    <w:rsid w:val="00AF16FB"/>
    <w:rsid w:val="00AF2FA7"/>
    <w:rsid w:val="00B13621"/>
    <w:rsid w:val="00B25024"/>
    <w:rsid w:val="00B26426"/>
    <w:rsid w:val="00B2664C"/>
    <w:rsid w:val="00B40B7A"/>
    <w:rsid w:val="00B44911"/>
    <w:rsid w:val="00B46C89"/>
    <w:rsid w:val="00B50848"/>
    <w:rsid w:val="00B54E0B"/>
    <w:rsid w:val="00B6320C"/>
    <w:rsid w:val="00B63239"/>
    <w:rsid w:val="00B66C4F"/>
    <w:rsid w:val="00B66FD7"/>
    <w:rsid w:val="00B71799"/>
    <w:rsid w:val="00B77E81"/>
    <w:rsid w:val="00B81E8D"/>
    <w:rsid w:val="00B84F9C"/>
    <w:rsid w:val="00B86AAC"/>
    <w:rsid w:val="00B87ED4"/>
    <w:rsid w:val="00B90B2A"/>
    <w:rsid w:val="00BA4BE5"/>
    <w:rsid w:val="00BB141D"/>
    <w:rsid w:val="00BC1BAF"/>
    <w:rsid w:val="00BC3E4C"/>
    <w:rsid w:val="00BD1F73"/>
    <w:rsid w:val="00BD3B40"/>
    <w:rsid w:val="00BD576E"/>
    <w:rsid w:val="00BD6259"/>
    <w:rsid w:val="00BE6330"/>
    <w:rsid w:val="00BF46D6"/>
    <w:rsid w:val="00C019BF"/>
    <w:rsid w:val="00C076D1"/>
    <w:rsid w:val="00C10128"/>
    <w:rsid w:val="00C20211"/>
    <w:rsid w:val="00C2203E"/>
    <w:rsid w:val="00C2488E"/>
    <w:rsid w:val="00C274D6"/>
    <w:rsid w:val="00C27F1F"/>
    <w:rsid w:val="00C357D6"/>
    <w:rsid w:val="00C362BD"/>
    <w:rsid w:val="00C3653A"/>
    <w:rsid w:val="00C43E8B"/>
    <w:rsid w:val="00C472CB"/>
    <w:rsid w:val="00C47C55"/>
    <w:rsid w:val="00C52607"/>
    <w:rsid w:val="00C52803"/>
    <w:rsid w:val="00C604D1"/>
    <w:rsid w:val="00C751E4"/>
    <w:rsid w:val="00C81887"/>
    <w:rsid w:val="00C91BA1"/>
    <w:rsid w:val="00C92E95"/>
    <w:rsid w:val="00C93B5B"/>
    <w:rsid w:val="00C94386"/>
    <w:rsid w:val="00C966AA"/>
    <w:rsid w:val="00CA3BA9"/>
    <w:rsid w:val="00CB2853"/>
    <w:rsid w:val="00CB28EE"/>
    <w:rsid w:val="00CB37C2"/>
    <w:rsid w:val="00CC0615"/>
    <w:rsid w:val="00CC5424"/>
    <w:rsid w:val="00CD1A58"/>
    <w:rsid w:val="00CD73C2"/>
    <w:rsid w:val="00CD78BD"/>
    <w:rsid w:val="00CE4017"/>
    <w:rsid w:val="00CF0519"/>
    <w:rsid w:val="00CF2446"/>
    <w:rsid w:val="00CF4ECA"/>
    <w:rsid w:val="00CF6C93"/>
    <w:rsid w:val="00D04DB7"/>
    <w:rsid w:val="00D25E0F"/>
    <w:rsid w:val="00D2668E"/>
    <w:rsid w:val="00D32ABA"/>
    <w:rsid w:val="00D34819"/>
    <w:rsid w:val="00D408A4"/>
    <w:rsid w:val="00D42E66"/>
    <w:rsid w:val="00D464F1"/>
    <w:rsid w:val="00D51616"/>
    <w:rsid w:val="00D519E8"/>
    <w:rsid w:val="00D64A91"/>
    <w:rsid w:val="00D67EF9"/>
    <w:rsid w:val="00D70AE5"/>
    <w:rsid w:val="00D753D2"/>
    <w:rsid w:val="00D82602"/>
    <w:rsid w:val="00D841D4"/>
    <w:rsid w:val="00D87127"/>
    <w:rsid w:val="00D935A7"/>
    <w:rsid w:val="00D93D5E"/>
    <w:rsid w:val="00DA6371"/>
    <w:rsid w:val="00DA692A"/>
    <w:rsid w:val="00DA6BAF"/>
    <w:rsid w:val="00DB1811"/>
    <w:rsid w:val="00DC2174"/>
    <w:rsid w:val="00DC2F1B"/>
    <w:rsid w:val="00DD6B7C"/>
    <w:rsid w:val="00DE2C4F"/>
    <w:rsid w:val="00DE3FCC"/>
    <w:rsid w:val="00DE66B3"/>
    <w:rsid w:val="00DF1625"/>
    <w:rsid w:val="00DF3010"/>
    <w:rsid w:val="00E009E3"/>
    <w:rsid w:val="00E10410"/>
    <w:rsid w:val="00E254D8"/>
    <w:rsid w:val="00E27606"/>
    <w:rsid w:val="00E375F1"/>
    <w:rsid w:val="00E420CA"/>
    <w:rsid w:val="00E475FB"/>
    <w:rsid w:val="00E617F2"/>
    <w:rsid w:val="00E659A3"/>
    <w:rsid w:val="00E67EF4"/>
    <w:rsid w:val="00E75BE4"/>
    <w:rsid w:val="00E822D0"/>
    <w:rsid w:val="00E8454B"/>
    <w:rsid w:val="00E944C5"/>
    <w:rsid w:val="00E96ACC"/>
    <w:rsid w:val="00EA3933"/>
    <w:rsid w:val="00EB1366"/>
    <w:rsid w:val="00EB1BF0"/>
    <w:rsid w:val="00EB41A3"/>
    <w:rsid w:val="00EC6F7A"/>
    <w:rsid w:val="00ED1582"/>
    <w:rsid w:val="00EE15D7"/>
    <w:rsid w:val="00EF0272"/>
    <w:rsid w:val="00EF2110"/>
    <w:rsid w:val="00EF7FE2"/>
    <w:rsid w:val="00F04FEB"/>
    <w:rsid w:val="00F0681D"/>
    <w:rsid w:val="00F2126D"/>
    <w:rsid w:val="00F21EF4"/>
    <w:rsid w:val="00F272DD"/>
    <w:rsid w:val="00F31D30"/>
    <w:rsid w:val="00F36270"/>
    <w:rsid w:val="00F3659B"/>
    <w:rsid w:val="00F50815"/>
    <w:rsid w:val="00F523E8"/>
    <w:rsid w:val="00F5773B"/>
    <w:rsid w:val="00F61C70"/>
    <w:rsid w:val="00F74639"/>
    <w:rsid w:val="00F74FE1"/>
    <w:rsid w:val="00F8481D"/>
    <w:rsid w:val="00F85C19"/>
    <w:rsid w:val="00F86ABF"/>
    <w:rsid w:val="00F86E12"/>
    <w:rsid w:val="00F906C3"/>
    <w:rsid w:val="00F93625"/>
    <w:rsid w:val="00F93D9B"/>
    <w:rsid w:val="00FA0DAE"/>
    <w:rsid w:val="00FA41CE"/>
    <w:rsid w:val="00FA6838"/>
    <w:rsid w:val="00FA7EEE"/>
    <w:rsid w:val="00FB1D0A"/>
    <w:rsid w:val="00FB1FDA"/>
    <w:rsid w:val="00FC679B"/>
    <w:rsid w:val="00FC6C22"/>
    <w:rsid w:val="00FD1C48"/>
    <w:rsid w:val="00FE323E"/>
    <w:rsid w:val="00FE34ED"/>
    <w:rsid w:val="00FF595E"/>
    <w:rsid w:val="018C295D"/>
    <w:rsid w:val="023C145C"/>
    <w:rsid w:val="02E903CF"/>
    <w:rsid w:val="02EB05EB"/>
    <w:rsid w:val="02F12CE4"/>
    <w:rsid w:val="030670FF"/>
    <w:rsid w:val="03EA2EFC"/>
    <w:rsid w:val="04791C1F"/>
    <w:rsid w:val="05391B2B"/>
    <w:rsid w:val="06767993"/>
    <w:rsid w:val="079C320A"/>
    <w:rsid w:val="07A86F74"/>
    <w:rsid w:val="07AA6B41"/>
    <w:rsid w:val="07C61F34"/>
    <w:rsid w:val="07FE2B6F"/>
    <w:rsid w:val="08017589"/>
    <w:rsid w:val="08782A66"/>
    <w:rsid w:val="08BD70CD"/>
    <w:rsid w:val="092F2A83"/>
    <w:rsid w:val="092F6D29"/>
    <w:rsid w:val="09532767"/>
    <w:rsid w:val="098032F7"/>
    <w:rsid w:val="09B704A0"/>
    <w:rsid w:val="09E0295F"/>
    <w:rsid w:val="0A3E485C"/>
    <w:rsid w:val="0B8B51F1"/>
    <w:rsid w:val="0BC478FE"/>
    <w:rsid w:val="0BF5599D"/>
    <w:rsid w:val="0C042674"/>
    <w:rsid w:val="0C1F456F"/>
    <w:rsid w:val="0C296CFB"/>
    <w:rsid w:val="0CB501CF"/>
    <w:rsid w:val="0D291D85"/>
    <w:rsid w:val="0D464890"/>
    <w:rsid w:val="0D8E7AB1"/>
    <w:rsid w:val="0D925770"/>
    <w:rsid w:val="0DA628B0"/>
    <w:rsid w:val="0EAC525A"/>
    <w:rsid w:val="10181477"/>
    <w:rsid w:val="10D177B4"/>
    <w:rsid w:val="116945A8"/>
    <w:rsid w:val="11A97382"/>
    <w:rsid w:val="120C7329"/>
    <w:rsid w:val="126F173C"/>
    <w:rsid w:val="12860A96"/>
    <w:rsid w:val="128C697D"/>
    <w:rsid w:val="129D4F2C"/>
    <w:rsid w:val="12AC73CD"/>
    <w:rsid w:val="132310AA"/>
    <w:rsid w:val="135618C9"/>
    <w:rsid w:val="13664CF2"/>
    <w:rsid w:val="14477576"/>
    <w:rsid w:val="14B02E00"/>
    <w:rsid w:val="15103EEB"/>
    <w:rsid w:val="153823D3"/>
    <w:rsid w:val="15745BF8"/>
    <w:rsid w:val="1619482D"/>
    <w:rsid w:val="16202BAB"/>
    <w:rsid w:val="16955E68"/>
    <w:rsid w:val="16E067CD"/>
    <w:rsid w:val="16F072C1"/>
    <w:rsid w:val="1880365D"/>
    <w:rsid w:val="188A386F"/>
    <w:rsid w:val="18B1662D"/>
    <w:rsid w:val="18CB43A7"/>
    <w:rsid w:val="18D45952"/>
    <w:rsid w:val="18DD48F1"/>
    <w:rsid w:val="194A7C8B"/>
    <w:rsid w:val="19A214BB"/>
    <w:rsid w:val="19EB7814"/>
    <w:rsid w:val="1A255C43"/>
    <w:rsid w:val="1AB266D2"/>
    <w:rsid w:val="1AE91DAB"/>
    <w:rsid w:val="1AFD55F7"/>
    <w:rsid w:val="1B2F16DE"/>
    <w:rsid w:val="1B3F7B5E"/>
    <w:rsid w:val="1BB81089"/>
    <w:rsid w:val="1BF84071"/>
    <w:rsid w:val="1BFB3B62"/>
    <w:rsid w:val="1CF0262F"/>
    <w:rsid w:val="1CF87E33"/>
    <w:rsid w:val="1D3857B5"/>
    <w:rsid w:val="1D482C1D"/>
    <w:rsid w:val="1D5752B2"/>
    <w:rsid w:val="1D86257E"/>
    <w:rsid w:val="1D94039B"/>
    <w:rsid w:val="1DE42325"/>
    <w:rsid w:val="1E71154D"/>
    <w:rsid w:val="1E721AEC"/>
    <w:rsid w:val="1E845E37"/>
    <w:rsid w:val="1EB03A7B"/>
    <w:rsid w:val="1F240D25"/>
    <w:rsid w:val="1F2E38E2"/>
    <w:rsid w:val="1F743F54"/>
    <w:rsid w:val="1F86727A"/>
    <w:rsid w:val="1F881244"/>
    <w:rsid w:val="1F974B9C"/>
    <w:rsid w:val="20394275"/>
    <w:rsid w:val="20B7216C"/>
    <w:rsid w:val="210F4CB8"/>
    <w:rsid w:val="215E734B"/>
    <w:rsid w:val="226C09A9"/>
    <w:rsid w:val="22C8518E"/>
    <w:rsid w:val="232979A4"/>
    <w:rsid w:val="23385CD8"/>
    <w:rsid w:val="233D329E"/>
    <w:rsid w:val="23BA5135"/>
    <w:rsid w:val="23C54D4A"/>
    <w:rsid w:val="24431BDE"/>
    <w:rsid w:val="24AA7675"/>
    <w:rsid w:val="256E507A"/>
    <w:rsid w:val="25737AA8"/>
    <w:rsid w:val="257E7A5F"/>
    <w:rsid w:val="2671641F"/>
    <w:rsid w:val="268A2021"/>
    <w:rsid w:val="269A263B"/>
    <w:rsid w:val="26BF5CE8"/>
    <w:rsid w:val="26CB78F6"/>
    <w:rsid w:val="26E37E23"/>
    <w:rsid w:val="27246EF8"/>
    <w:rsid w:val="275C189F"/>
    <w:rsid w:val="28B47FB3"/>
    <w:rsid w:val="28D564D6"/>
    <w:rsid w:val="28F61640"/>
    <w:rsid w:val="2926031D"/>
    <w:rsid w:val="295A7167"/>
    <w:rsid w:val="29E7057E"/>
    <w:rsid w:val="2A10005E"/>
    <w:rsid w:val="2A3F7AD5"/>
    <w:rsid w:val="2AA61D70"/>
    <w:rsid w:val="2AC577D2"/>
    <w:rsid w:val="2B1C6CE5"/>
    <w:rsid w:val="2B322B15"/>
    <w:rsid w:val="2B3E6EB9"/>
    <w:rsid w:val="2B613EC3"/>
    <w:rsid w:val="2BE70363"/>
    <w:rsid w:val="2BE842F9"/>
    <w:rsid w:val="2BEF3F4E"/>
    <w:rsid w:val="2BF922C5"/>
    <w:rsid w:val="2C233D76"/>
    <w:rsid w:val="2C4735B0"/>
    <w:rsid w:val="2C5D5807"/>
    <w:rsid w:val="2C8E433A"/>
    <w:rsid w:val="2C956D4E"/>
    <w:rsid w:val="2CF61FD2"/>
    <w:rsid w:val="2E614DBC"/>
    <w:rsid w:val="2EA22E91"/>
    <w:rsid w:val="2EBF036F"/>
    <w:rsid w:val="2F5D35C4"/>
    <w:rsid w:val="2F9114EA"/>
    <w:rsid w:val="2F914D18"/>
    <w:rsid w:val="2F9E2882"/>
    <w:rsid w:val="2FC67E6D"/>
    <w:rsid w:val="2FCE5C87"/>
    <w:rsid w:val="300B4058"/>
    <w:rsid w:val="30711E07"/>
    <w:rsid w:val="30FE2CF0"/>
    <w:rsid w:val="311F752F"/>
    <w:rsid w:val="31306801"/>
    <w:rsid w:val="318D33AD"/>
    <w:rsid w:val="319B57DE"/>
    <w:rsid w:val="324E1809"/>
    <w:rsid w:val="33102C82"/>
    <w:rsid w:val="348D52BB"/>
    <w:rsid w:val="34AB7126"/>
    <w:rsid w:val="34BE3EE4"/>
    <w:rsid w:val="35170882"/>
    <w:rsid w:val="35BF6BEA"/>
    <w:rsid w:val="35DA1538"/>
    <w:rsid w:val="35E127F3"/>
    <w:rsid w:val="362936D8"/>
    <w:rsid w:val="36A90B94"/>
    <w:rsid w:val="36E651E9"/>
    <w:rsid w:val="37BC1DFF"/>
    <w:rsid w:val="37CE490A"/>
    <w:rsid w:val="382E2130"/>
    <w:rsid w:val="38E350E4"/>
    <w:rsid w:val="392B32DA"/>
    <w:rsid w:val="3A005688"/>
    <w:rsid w:val="3A4F4E39"/>
    <w:rsid w:val="3A7B0C4F"/>
    <w:rsid w:val="3AE90383"/>
    <w:rsid w:val="3B986160"/>
    <w:rsid w:val="3BA07BF0"/>
    <w:rsid w:val="3C5E1E24"/>
    <w:rsid w:val="3DB8009D"/>
    <w:rsid w:val="3E713B01"/>
    <w:rsid w:val="3E8F782E"/>
    <w:rsid w:val="3EBD4E6B"/>
    <w:rsid w:val="3ED53826"/>
    <w:rsid w:val="3F0E0EF5"/>
    <w:rsid w:val="3FD85478"/>
    <w:rsid w:val="3FF36C78"/>
    <w:rsid w:val="40EA12CE"/>
    <w:rsid w:val="40F20445"/>
    <w:rsid w:val="40F76FA8"/>
    <w:rsid w:val="41037988"/>
    <w:rsid w:val="41526B64"/>
    <w:rsid w:val="41FD4037"/>
    <w:rsid w:val="42C6780A"/>
    <w:rsid w:val="43F77D00"/>
    <w:rsid w:val="44BB7B68"/>
    <w:rsid w:val="44DA6D2A"/>
    <w:rsid w:val="45476DEF"/>
    <w:rsid w:val="45622D7E"/>
    <w:rsid w:val="45A44DCD"/>
    <w:rsid w:val="461F4717"/>
    <w:rsid w:val="46E531DB"/>
    <w:rsid w:val="46FB37BC"/>
    <w:rsid w:val="471C5046"/>
    <w:rsid w:val="475F6E94"/>
    <w:rsid w:val="47AB2FA4"/>
    <w:rsid w:val="47D84F33"/>
    <w:rsid w:val="48C447EC"/>
    <w:rsid w:val="49465201"/>
    <w:rsid w:val="49883A05"/>
    <w:rsid w:val="49AB3427"/>
    <w:rsid w:val="49B323B1"/>
    <w:rsid w:val="4AA02C24"/>
    <w:rsid w:val="4AAF2645"/>
    <w:rsid w:val="4AB85DCA"/>
    <w:rsid w:val="4AE07264"/>
    <w:rsid w:val="4B4028AD"/>
    <w:rsid w:val="4B565716"/>
    <w:rsid w:val="4B603B38"/>
    <w:rsid w:val="4BC82643"/>
    <w:rsid w:val="4C176776"/>
    <w:rsid w:val="4C4A20D3"/>
    <w:rsid w:val="4CED4EB0"/>
    <w:rsid w:val="4D280422"/>
    <w:rsid w:val="4D423469"/>
    <w:rsid w:val="4D9B56D0"/>
    <w:rsid w:val="4DD5433C"/>
    <w:rsid w:val="4DE724EA"/>
    <w:rsid w:val="4F007EAE"/>
    <w:rsid w:val="4FA35195"/>
    <w:rsid w:val="4FDF2E8D"/>
    <w:rsid w:val="502B3F12"/>
    <w:rsid w:val="503A4512"/>
    <w:rsid w:val="508E3344"/>
    <w:rsid w:val="50C2570B"/>
    <w:rsid w:val="51065478"/>
    <w:rsid w:val="52092268"/>
    <w:rsid w:val="520B4473"/>
    <w:rsid w:val="52135F20"/>
    <w:rsid w:val="526857B8"/>
    <w:rsid w:val="53110084"/>
    <w:rsid w:val="53323DEF"/>
    <w:rsid w:val="533E27BA"/>
    <w:rsid w:val="53531C06"/>
    <w:rsid w:val="53645E19"/>
    <w:rsid w:val="537B604E"/>
    <w:rsid w:val="539C673B"/>
    <w:rsid w:val="53A5782C"/>
    <w:rsid w:val="54170DA7"/>
    <w:rsid w:val="54F377C9"/>
    <w:rsid w:val="553E76D4"/>
    <w:rsid w:val="559A3195"/>
    <w:rsid w:val="55B11B72"/>
    <w:rsid w:val="55B47996"/>
    <w:rsid w:val="55F517BC"/>
    <w:rsid w:val="56E214A2"/>
    <w:rsid w:val="570F43A9"/>
    <w:rsid w:val="57475500"/>
    <w:rsid w:val="57524A6E"/>
    <w:rsid w:val="57781E36"/>
    <w:rsid w:val="57B83C53"/>
    <w:rsid w:val="588A3D17"/>
    <w:rsid w:val="59B91AE7"/>
    <w:rsid w:val="5A6D2ACF"/>
    <w:rsid w:val="5A8778EE"/>
    <w:rsid w:val="5B3741FC"/>
    <w:rsid w:val="5B9B289D"/>
    <w:rsid w:val="5BD747E4"/>
    <w:rsid w:val="5C0E14B8"/>
    <w:rsid w:val="5C21534B"/>
    <w:rsid w:val="5C9A677B"/>
    <w:rsid w:val="5D3F39FC"/>
    <w:rsid w:val="5D915213"/>
    <w:rsid w:val="5E1F1B20"/>
    <w:rsid w:val="5E5F27A3"/>
    <w:rsid w:val="5E82081A"/>
    <w:rsid w:val="5F73441E"/>
    <w:rsid w:val="5FBF7CE8"/>
    <w:rsid w:val="605E26A9"/>
    <w:rsid w:val="60647973"/>
    <w:rsid w:val="612E5A2D"/>
    <w:rsid w:val="61462ED7"/>
    <w:rsid w:val="618E553F"/>
    <w:rsid w:val="62086E62"/>
    <w:rsid w:val="620A55AA"/>
    <w:rsid w:val="62516CBC"/>
    <w:rsid w:val="62F53ABF"/>
    <w:rsid w:val="637226E5"/>
    <w:rsid w:val="63B45F86"/>
    <w:rsid w:val="640F364C"/>
    <w:rsid w:val="64561F2A"/>
    <w:rsid w:val="65911CB1"/>
    <w:rsid w:val="65EA2A5F"/>
    <w:rsid w:val="664375E8"/>
    <w:rsid w:val="66933B5E"/>
    <w:rsid w:val="67242BCD"/>
    <w:rsid w:val="67E4410B"/>
    <w:rsid w:val="67E93A65"/>
    <w:rsid w:val="68621BB4"/>
    <w:rsid w:val="68A35DBC"/>
    <w:rsid w:val="68FC2A95"/>
    <w:rsid w:val="69103122"/>
    <w:rsid w:val="69463E3F"/>
    <w:rsid w:val="69841B03"/>
    <w:rsid w:val="69A36E8E"/>
    <w:rsid w:val="6A547D01"/>
    <w:rsid w:val="6AA5586C"/>
    <w:rsid w:val="6AD60183"/>
    <w:rsid w:val="6AD81268"/>
    <w:rsid w:val="6B1C70FC"/>
    <w:rsid w:val="6B2E239E"/>
    <w:rsid w:val="6BB6075D"/>
    <w:rsid w:val="6BCA186A"/>
    <w:rsid w:val="6C243FA6"/>
    <w:rsid w:val="6C2A0139"/>
    <w:rsid w:val="6C354F35"/>
    <w:rsid w:val="6C6843F4"/>
    <w:rsid w:val="6C961E49"/>
    <w:rsid w:val="6CC369E5"/>
    <w:rsid w:val="6CE3270D"/>
    <w:rsid w:val="6D351FB7"/>
    <w:rsid w:val="6D6424AC"/>
    <w:rsid w:val="6DB46F1E"/>
    <w:rsid w:val="6DB6616C"/>
    <w:rsid w:val="6DB756A4"/>
    <w:rsid w:val="6DFD3F7F"/>
    <w:rsid w:val="6E935777"/>
    <w:rsid w:val="6ECB7F62"/>
    <w:rsid w:val="6F173D4C"/>
    <w:rsid w:val="70F621ED"/>
    <w:rsid w:val="715B3142"/>
    <w:rsid w:val="71761F3E"/>
    <w:rsid w:val="71984A14"/>
    <w:rsid w:val="719D341E"/>
    <w:rsid w:val="71F02BFB"/>
    <w:rsid w:val="721063EC"/>
    <w:rsid w:val="72E31F95"/>
    <w:rsid w:val="72F12FCE"/>
    <w:rsid w:val="732212F7"/>
    <w:rsid w:val="732935BA"/>
    <w:rsid w:val="739B391A"/>
    <w:rsid w:val="73E4769F"/>
    <w:rsid w:val="740F4685"/>
    <w:rsid w:val="744D62DD"/>
    <w:rsid w:val="746931D6"/>
    <w:rsid w:val="747C191A"/>
    <w:rsid w:val="74F11DAB"/>
    <w:rsid w:val="75542965"/>
    <w:rsid w:val="758807CB"/>
    <w:rsid w:val="75AF05E9"/>
    <w:rsid w:val="765508B1"/>
    <w:rsid w:val="7676455C"/>
    <w:rsid w:val="76915E69"/>
    <w:rsid w:val="76B03E6D"/>
    <w:rsid w:val="76ED284F"/>
    <w:rsid w:val="771911FC"/>
    <w:rsid w:val="77532D1D"/>
    <w:rsid w:val="779A3835"/>
    <w:rsid w:val="78F10F8D"/>
    <w:rsid w:val="79567019"/>
    <w:rsid w:val="7A266805"/>
    <w:rsid w:val="7A4B607D"/>
    <w:rsid w:val="7AB733E4"/>
    <w:rsid w:val="7B202B3B"/>
    <w:rsid w:val="7B2A399F"/>
    <w:rsid w:val="7B5C1973"/>
    <w:rsid w:val="7B627D78"/>
    <w:rsid w:val="7B830E47"/>
    <w:rsid w:val="7BA7312C"/>
    <w:rsid w:val="7BCC3569"/>
    <w:rsid w:val="7BD322FB"/>
    <w:rsid w:val="7BE64DAF"/>
    <w:rsid w:val="7CAD1BAD"/>
    <w:rsid w:val="7DCE51E9"/>
    <w:rsid w:val="7E5A05CA"/>
    <w:rsid w:val="7EC5068B"/>
    <w:rsid w:val="7F410439"/>
    <w:rsid w:val="7FC93EBA"/>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iPriority="39" w:semiHidden="0" w:name="toc 1" w:locked="1"/>
    <w:lsdException w:qFormat="1" w:uiPriority="39" w:semiHidden="0" w:name="toc 2" w:locked="1"/>
    <w:lsdException w:uiPriority="39" w:name="toc 3" w:locked="1"/>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uiPriority="99" w:name="footnote text" w:locked="1"/>
    <w:lsdException w:qFormat="1" w:unhideWhenUsed="0" w:uiPriority="0" w:semiHidden="0"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35" w:name="caption"/>
    <w:lsdException w:uiPriority="99" w:name="table of figures" w:locked="1"/>
    <w:lsdException w:uiPriority="99" w:name="envelope address" w:locked="1"/>
    <w:lsdException w:uiPriority="99" w:name="envelope return" w:locked="1"/>
    <w:lsdException w:uiPriority="99" w:name="footnote reference" w:locked="1"/>
    <w:lsdException w:qFormat="1" w:uiPriority="99" w:name="annotation reference" w:locked="1"/>
    <w:lsdException w:uiPriority="99" w:name="line number" w:locked="1"/>
    <w:lsdException w:qFormat="1" w:unhideWhenUsed="0" w:uiPriority="0"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sdException w:uiPriority="99" w:name="Closing" w:locked="1"/>
    <w:lsdException w:uiPriority="99" w:name="Signature" w:locked="1"/>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nhideWhenUsed="0" w:uiPriority="99" w:semiHidden="0" w:name="Date"/>
    <w:lsdException w:uiPriority="99" w:name="Body Text First Indent" w:locked="1"/>
    <w:lsdException w:qFormat="1" w:uiPriority="0" w:semiHidden="0" w:name="Body Text First Indent 2" w:locked="1"/>
    <w:lsdException w:uiPriority="99" w:name="Note Heading" w:locked="1"/>
    <w:lsdException w:qFormat="1" w:unhideWhenUsed="0" w:uiPriority="99" w:semiHidden="0" w:name="Body Text 2"/>
    <w:lsdException w:uiPriority="99" w:name="Body Text 3" w:locked="1"/>
    <w:lsdException w:qFormat="1" w:unhideWhenUsed="0" w:uiPriority="0" w:semiHidden="0" w:name="Body Text Indent 2" w:locked="1"/>
    <w:lsdException w:uiPriority="99" w:name="Body Text Indent 3" w:locked="1"/>
    <w:lsdException w:uiPriority="99" w:name="Block Text" w:locked="1"/>
    <w:lsdException w:qFormat="1" w:unhideWhenUsed="0" w:uiPriority="99" w:semiHidden="0" w:name="Hyperlink"/>
    <w:lsdException w:qFormat="1" w:uiPriority="99" w:name="FollowedHyperlink" w:locked="1"/>
    <w:lsdException w:qFormat="1" w:unhideWhenUsed="0" w:uiPriority="0" w:semiHidden="0" w:name="Strong"/>
    <w:lsdException w:qFormat="1" w:unhideWhenUsed="0" w:uiPriority="20" w:semiHidden="0" w:name="Emphasis"/>
    <w:lsdException w:qFormat="1" w:uiPriority="99" w:name="Document Map" w:locked="1"/>
    <w:lsdException w:qFormat="1" w:unhideWhenUsed="0" w:uiPriority="0" w:semiHidden="0" w:name="Plain Text"/>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iPriority="99" w:name="Balloon Text" w:locked="1"/>
    <w:lsdException w:qFormat="1" w:unhideWhenUsed="0" w:uiPriority="0"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9"/>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0"/>
    <w:semiHidden/>
    <w:unhideWhenUsed/>
    <w:qFormat/>
    <w:uiPriority w:val="9"/>
    <w:pPr>
      <w:keepNext/>
      <w:keepLines/>
      <w:spacing w:before="260" w:after="260" w:line="416" w:lineRule="auto"/>
      <w:outlineLvl w:val="2"/>
    </w:pPr>
    <w:rPr>
      <w:b/>
      <w:bCs/>
      <w:sz w:val="32"/>
      <w:szCs w:val="32"/>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Document Map"/>
    <w:basedOn w:val="1"/>
    <w:link w:val="48"/>
    <w:autoRedefine/>
    <w:semiHidden/>
    <w:unhideWhenUsed/>
    <w:qFormat/>
    <w:locked/>
    <w:uiPriority w:val="99"/>
    <w:rPr>
      <w:rFonts w:ascii="宋体" w:eastAsia="宋体"/>
      <w:sz w:val="18"/>
      <w:szCs w:val="18"/>
    </w:rPr>
  </w:style>
  <w:style w:type="paragraph" w:styleId="6">
    <w:name w:val="annotation text"/>
    <w:basedOn w:val="1"/>
    <w:link w:val="47"/>
    <w:autoRedefine/>
    <w:qFormat/>
    <w:locked/>
    <w:uiPriority w:val="0"/>
    <w:pPr>
      <w:widowControl/>
      <w:spacing w:line="360" w:lineRule="auto"/>
      <w:jc w:val="left"/>
    </w:pPr>
    <w:rPr>
      <w:rFonts w:ascii="Calibri" w:hAnsi="Calibri" w:eastAsia="宋体" w:cs="Times New Roman"/>
      <w:kern w:val="0"/>
      <w:sz w:val="24"/>
      <w:szCs w:val="20"/>
    </w:rPr>
  </w:style>
  <w:style w:type="paragraph" w:styleId="7">
    <w:name w:val="Body Text"/>
    <w:basedOn w:val="1"/>
    <w:next w:val="8"/>
    <w:link w:val="31"/>
    <w:autoRedefine/>
    <w:qFormat/>
    <w:uiPriority w:val="99"/>
    <w:pPr>
      <w:autoSpaceDE w:val="0"/>
      <w:autoSpaceDN w:val="0"/>
      <w:adjustRightInd w:val="0"/>
      <w:jc w:val="left"/>
    </w:pPr>
    <w:rPr>
      <w:rFonts w:ascii="宋体"/>
      <w:kern w:val="0"/>
      <w:sz w:val="28"/>
      <w:szCs w:val="20"/>
    </w:rPr>
  </w:style>
  <w:style w:type="paragraph" w:styleId="8">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9">
    <w:name w:val="Body Text Indent"/>
    <w:basedOn w:val="1"/>
    <w:link w:val="32"/>
    <w:autoRedefine/>
    <w:qFormat/>
    <w:uiPriority w:val="99"/>
    <w:pPr>
      <w:spacing w:after="120"/>
      <w:ind w:left="420" w:leftChars="200"/>
    </w:pPr>
  </w:style>
  <w:style w:type="paragraph" w:styleId="10">
    <w:name w:val="Plain Text"/>
    <w:basedOn w:val="1"/>
    <w:link w:val="33"/>
    <w:autoRedefine/>
    <w:qFormat/>
    <w:uiPriority w:val="0"/>
    <w:rPr>
      <w:rFonts w:ascii="宋体" w:hAnsi="Courier New" w:eastAsia="Times New Roman"/>
      <w:szCs w:val="21"/>
    </w:rPr>
  </w:style>
  <w:style w:type="paragraph" w:styleId="11">
    <w:name w:val="Date"/>
    <w:basedOn w:val="1"/>
    <w:next w:val="1"/>
    <w:link w:val="34"/>
    <w:autoRedefine/>
    <w:qFormat/>
    <w:uiPriority w:val="99"/>
    <w:pPr>
      <w:autoSpaceDE w:val="0"/>
      <w:autoSpaceDN w:val="0"/>
      <w:adjustRightInd w:val="0"/>
    </w:pPr>
    <w:rPr>
      <w:rFonts w:ascii="宋体" w:hAnsi="Courier New" w:eastAsia="Times New Roman"/>
      <w:kern w:val="0"/>
      <w:szCs w:val="20"/>
    </w:rPr>
  </w:style>
  <w:style w:type="paragraph" w:styleId="12">
    <w:name w:val="Body Text Indent 2"/>
    <w:basedOn w:val="1"/>
    <w:autoRedefine/>
    <w:qFormat/>
    <w:locked/>
    <w:uiPriority w:val="0"/>
    <w:pPr>
      <w:spacing w:line="400" w:lineRule="exact"/>
      <w:ind w:left="178" w:leftChars="85" w:firstLine="420" w:firstLineChars="140"/>
    </w:pPr>
    <w:rPr>
      <w:rFonts w:ascii="仿宋_GB2312" w:eastAsia="仿宋_GB2312"/>
      <w:sz w:val="30"/>
    </w:rPr>
  </w:style>
  <w:style w:type="paragraph" w:styleId="13">
    <w:name w:val="Balloon Text"/>
    <w:basedOn w:val="1"/>
    <w:link w:val="44"/>
    <w:autoRedefine/>
    <w:semiHidden/>
    <w:unhideWhenUsed/>
    <w:qFormat/>
    <w:locked/>
    <w:uiPriority w:val="99"/>
    <w:rPr>
      <w:sz w:val="18"/>
      <w:szCs w:val="18"/>
    </w:rPr>
  </w:style>
  <w:style w:type="paragraph" w:styleId="14">
    <w:name w:val="footer"/>
    <w:basedOn w:val="1"/>
    <w:link w:val="35"/>
    <w:autoRedefine/>
    <w:qFormat/>
    <w:uiPriority w:val="99"/>
    <w:pPr>
      <w:tabs>
        <w:tab w:val="center" w:pos="4153"/>
        <w:tab w:val="right" w:pos="8306"/>
      </w:tabs>
      <w:snapToGrid w:val="0"/>
      <w:jc w:val="left"/>
    </w:pPr>
    <w:rPr>
      <w:sz w:val="18"/>
    </w:rPr>
  </w:style>
  <w:style w:type="paragraph" w:styleId="15">
    <w:name w:val="header"/>
    <w:basedOn w:val="1"/>
    <w:link w:val="36"/>
    <w:autoRedefine/>
    <w:qFormat/>
    <w:uiPriority w:val="99"/>
    <w:pPr>
      <w:pBdr>
        <w:bottom w:val="single" w:color="auto" w:sz="6" w:space="1"/>
      </w:pBdr>
      <w:tabs>
        <w:tab w:val="center" w:pos="4153"/>
        <w:tab w:val="right" w:pos="8306"/>
      </w:tabs>
      <w:autoSpaceDE w:val="0"/>
      <w:autoSpaceDN w:val="0"/>
      <w:adjustRightInd w:val="0"/>
      <w:snapToGrid w:val="0"/>
      <w:jc w:val="center"/>
      <w:textAlignment w:val="baseline"/>
    </w:pPr>
    <w:rPr>
      <w:rFonts w:ascii="宋体"/>
      <w:kern w:val="0"/>
      <w:sz w:val="18"/>
      <w:szCs w:val="20"/>
    </w:rPr>
  </w:style>
  <w:style w:type="paragraph" w:styleId="16">
    <w:name w:val="toc 1"/>
    <w:basedOn w:val="1"/>
    <w:next w:val="1"/>
    <w:autoRedefine/>
    <w:unhideWhenUsed/>
    <w:qFormat/>
    <w:locked/>
    <w:uiPriority w:val="39"/>
  </w:style>
  <w:style w:type="paragraph" w:styleId="17">
    <w:name w:val="toc 2"/>
    <w:basedOn w:val="1"/>
    <w:next w:val="1"/>
    <w:autoRedefine/>
    <w:unhideWhenUsed/>
    <w:qFormat/>
    <w:locked/>
    <w:uiPriority w:val="39"/>
    <w:pPr>
      <w:ind w:left="420" w:leftChars="200"/>
    </w:pPr>
  </w:style>
  <w:style w:type="paragraph" w:styleId="18">
    <w:name w:val="Body Text 2"/>
    <w:basedOn w:val="1"/>
    <w:link w:val="37"/>
    <w:autoRedefine/>
    <w:qFormat/>
    <w:uiPriority w:val="99"/>
    <w:pPr>
      <w:spacing w:after="120" w:line="480" w:lineRule="auto"/>
    </w:pPr>
  </w:style>
  <w:style w:type="paragraph" w:styleId="19">
    <w:name w:val="Title"/>
    <w:basedOn w:val="1"/>
    <w:next w:val="1"/>
    <w:link w:val="38"/>
    <w:autoRedefine/>
    <w:qFormat/>
    <w:uiPriority w:val="10"/>
    <w:pPr>
      <w:spacing w:before="240" w:after="60"/>
      <w:jc w:val="center"/>
      <w:outlineLvl w:val="0"/>
    </w:pPr>
    <w:rPr>
      <w:rFonts w:eastAsia="宋体" w:asciiTheme="majorHAnsi" w:hAnsiTheme="majorHAnsi" w:cstheme="majorBidi"/>
      <w:b/>
      <w:bCs/>
      <w:sz w:val="32"/>
      <w:szCs w:val="32"/>
    </w:rPr>
  </w:style>
  <w:style w:type="paragraph" w:styleId="20">
    <w:name w:val="Body Text First Indent 2"/>
    <w:basedOn w:val="9"/>
    <w:autoRedefine/>
    <w:unhideWhenUsed/>
    <w:qFormat/>
    <w:locked/>
    <w:uiPriority w:val="0"/>
    <w:pPr>
      <w:ind w:firstLine="420"/>
    </w:pPr>
    <w:rPr>
      <w:rFonts w:ascii="Calibri" w:hAnsi="Calibri"/>
    </w:rPr>
  </w:style>
  <w:style w:type="table" w:styleId="22">
    <w:name w:val="Table Grid"/>
    <w:basedOn w:val="2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0"/>
    <w:rPr>
      <w:b/>
    </w:rPr>
  </w:style>
  <w:style w:type="character" w:styleId="25">
    <w:name w:val="page number"/>
    <w:basedOn w:val="23"/>
    <w:autoRedefine/>
    <w:qFormat/>
    <w:uiPriority w:val="0"/>
    <w:rPr>
      <w:rFonts w:cs="Times New Roman"/>
    </w:rPr>
  </w:style>
  <w:style w:type="character" w:styleId="26">
    <w:name w:val="FollowedHyperlink"/>
    <w:basedOn w:val="23"/>
    <w:autoRedefine/>
    <w:semiHidden/>
    <w:unhideWhenUsed/>
    <w:qFormat/>
    <w:locked/>
    <w:uiPriority w:val="99"/>
    <w:rPr>
      <w:color w:val="2786E4"/>
      <w:u w:val="none"/>
    </w:rPr>
  </w:style>
  <w:style w:type="character" w:styleId="27">
    <w:name w:val="Hyperlink"/>
    <w:basedOn w:val="23"/>
    <w:autoRedefine/>
    <w:qFormat/>
    <w:uiPriority w:val="99"/>
    <w:rPr>
      <w:rFonts w:cs="Times New Roman"/>
      <w:color w:val="0000FF"/>
      <w:u w:val="single"/>
    </w:rPr>
  </w:style>
  <w:style w:type="character" w:styleId="28">
    <w:name w:val="annotation reference"/>
    <w:basedOn w:val="23"/>
    <w:autoRedefine/>
    <w:semiHidden/>
    <w:unhideWhenUsed/>
    <w:qFormat/>
    <w:locked/>
    <w:uiPriority w:val="99"/>
    <w:rPr>
      <w:sz w:val="21"/>
      <w:szCs w:val="21"/>
    </w:rPr>
  </w:style>
  <w:style w:type="character" w:customStyle="1" w:styleId="29">
    <w:name w:val="标题 2 Char"/>
    <w:basedOn w:val="23"/>
    <w:link w:val="3"/>
    <w:autoRedefine/>
    <w:semiHidden/>
    <w:qFormat/>
    <w:locked/>
    <w:uiPriority w:val="9"/>
    <w:rPr>
      <w:rFonts w:asciiTheme="majorHAnsi" w:hAnsiTheme="majorHAnsi" w:eastAsiaTheme="majorEastAsia" w:cstheme="majorBidi"/>
      <w:b/>
      <w:bCs/>
      <w:sz w:val="32"/>
      <w:szCs w:val="32"/>
    </w:rPr>
  </w:style>
  <w:style w:type="character" w:customStyle="1" w:styleId="30">
    <w:name w:val="标题 3 Char"/>
    <w:basedOn w:val="23"/>
    <w:link w:val="4"/>
    <w:autoRedefine/>
    <w:semiHidden/>
    <w:qFormat/>
    <w:locked/>
    <w:uiPriority w:val="9"/>
    <w:rPr>
      <w:b/>
      <w:bCs/>
      <w:sz w:val="32"/>
      <w:szCs w:val="32"/>
    </w:rPr>
  </w:style>
  <w:style w:type="character" w:customStyle="1" w:styleId="31">
    <w:name w:val="正文文本 Char"/>
    <w:basedOn w:val="23"/>
    <w:link w:val="7"/>
    <w:autoRedefine/>
    <w:semiHidden/>
    <w:qFormat/>
    <w:locked/>
    <w:uiPriority w:val="99"/>
    <w:rPr>
      <w:rFonts w:cs="Times New Roman"/>
      <w:sz w:val="24"/>
      <w:szCs w:val="24"/>
    </w:rPr>
  </w:style>
  <w:style w:type="character" w:customStyle="1" w:styleId="32">
    <w:name w:val="正文文本缩进 Char"/>
    <w:basedOn w:val="23"/>
    <w:link w:val="9"/>
    <w:autoRedefine/>
    <w:semiHidden/>
    <w:qFormat/>
    <w:locked/>
    <w:uiPriority w:val="99"/>
    <w:rPr>
      <w:rFonts w:cs="Times New Roman"/>
      <w:sz w:val="24"/>
      <w:szCs w:val="24"/>
    </w:rPr>
  </w:style>
  <w:style w:type="character" w:customStyle="1" w:styleId="33">
    <w:name w:val="纯文本 Char"/>
    <w:basedOn w:val="23"/>
    <w:link w:val="10"/>
    <w:autoRedefine/>
    <w:qFormat/>
    <w:locked/>
    <w:uiPriority w:val="0"/>
    <w:rPr>
      <w:rFonts w:ascii="宋体" w:hAnsi="Courier New" w:cs="Courier New"/>
      <w:sz w:val="21"/>
      <w:szCs w:val="21"/>
    </w:rPr>
  </w:style>
  <w:style w:type="character" w:customStyle="1" w:styleId="34">
    <w:name w:val="日期 Char"/>
    <w:basedOn w:val="23"/>
    <w:link w:val="11"/>
    <w:autoRedefine/>
    <w:semiHidden/>
    <w:qFormat/>
    <w:locked/>
    <w:uiPriority w:val="99"/>
    <w:rPr>
      <w:rFonts w:cs="Times New Roman"/>
      <w:sz w:val="24"/>
      <w:szCs w:val="24"/>
    </w:rPr>
  </w:style>
  <w:style w:type="character" w:customStyle="1" w:styleId="35">
    <w:name w:val="页脚 Char"/>
    <w:basedOn w:val="23"/>
    <w:link w:val="14"/>
    <w:autoRedefine/>
    <w:qFormat/>
    <w:locked/>
    <w:uiPriority w:val="99"/>
    <w:rPr>
      <w:rFonts w:cs="Times New Roman"/>
      <w:sz w:val="18"/>
      <w:szCs w:val="18"/>
    </w:rPr>
  </w:style>
  <w:style w:type="character" w:customStyle="1" w:styleId="36">
    <w:name w:val="页眉 Char"/>
    <w:basedOn w:val="23"/>
    <w:link w:val="15"/>
    <w:autoRedefine/>
    <w:qFormat/>
    <w:locked/>
    <w:uiPriority w:val="99"/>
    <w:rPr>
      <w:rFonts w:cs="Times New Roman"/>
      <w:sz w:val="18"/>
      <w:szCs w:val="18"/>
    </w:rPr>
  </w:style>
  <w:style w:type="character" w:customStyle="1" w:styleId="37">
    <w:name w:val="正文文本 2 Char"/>
    <w:basedOn w:val="23"/>
    <w:link w:val="18"/>
    <w:autoRedefine/>
    <w:semiHidden/>
    <w:qFormat/>
    <w:locked/>
    <w:uiPriority w:val="99"/>
    <w:rPr>
      <w:rFonts w:cs="Times New Roman"/>
      <w:sz w:val="24"/>
      <w:szCs w:val="24"/>
    </w:rPr>
  </w:style>
  <w:style w:type="character" w:customStyle="1" w:styleId="38">
    <w:name w:val="标题 Char"/>
    <w:basedOn w:val="23"/>
    <w:link w:val="19"/>
    <w:autoRedefine/>
    <w:qFormat/>
    <w:locked/>
    <w:uiPriority w:val="10"/>
    <w:rPr>
      <w:rFonts w:eastAsia="宋体" w:asciiTheme="majorHAnsi" w:hAnsiTheme="majorHAnsi" w:cstheme="majorBidi"/>
      <w:b/>
      <w:bCs/>
      <w:sz w:val="32"/>
      <w:szCs w:val="32"/>
    </w:rPr>
  </w:style>
  <w:style w:type="character" w:customStyle="1" w:styleId="39">
    <w:name w:val="font10pt"/>
    <w:basedOn w:val="23"/>
    <w:autoRedefine/>
    <w:qFormat/>
    <w:uiPriority w:val="99"/>
    <w:rPr>
      <w:rFonts w:cs="Times New Roman"/>
    </w:rPr>
  </w:style>
  <w:style w:type="character" w:customStyle="1" w:styleId="40">
    <w:name w:val="标题1"/>
    <w:basedOn w:val="23"/>
    <w:autoRedefine/>
    <w:qFormat/>
    <w:uiPriority w:val="99"/>
    <w:rPr>
      <w:rFonts w:cs="Times New Roman"/>
    </w:rPr>
  </w:style>
  <w:style w:type="paragraph" w:customStyle="1" w:styleId="41">
    <w:name w:val="WPSOffice手动目录 1"/>
    <w:autoRedefine/>
    <w:qFormat/>
    <w:uiPriority w:val="99"/>
    <w:rPr>
      <w:rFonts w:asciiTheme="minorHAnsi" w:hAnsiTheme="minorHAnsi" w:eastAsiaTheme="minorEastAsia" w:cstheme="minorBidi"/>
      <w:lang w:val="en-US" w:eastAsia="zh-CN" w:bidi="ar-SA"/>
    </w:rPr>
  </w:style>
  <w:style w:type="paragraph" w:customStyle="1" w:styleId="42">
    <w:name w:val="WPSOffice手动目录 2"/>
    <w:autoRedefine/>
    <w:qFormat/>
    <w:uiPriority w:val="99"/>
    <w:pPr>
      <w:ind w:left="200" w:leftChars="200"/>
    </w:pPr>
    <w:rPr>
      <w:rFonts w:asciiTheme="minorHAnsi" w:hAnsiTheme="minorHAnsi" w:eastAsiaTheme="minorEastAsia" w:cstheme="minorBidi"/>
      <w:lang w:val="en-US" w:eastAsia="zh-CN" w:bidi="ar-SA"/>
    </w:rPr>
  </w:style>
  <w:style w:type="paragraph" w:styleId="43">
    <w:name w:val="List Paragraph"/>
    <w:basedOn w:val="1"/>
    <w:autoRedefine/>
    <w:qFormat/>
    <w:uiPriority w:val="34"/>
    <w:pPr>
      <w:ind w:firstLine="420" w:firstLineChars="200"/>
    </w:pPr>
  </w:style>
  <w:style w:type="character" w:customStyle="1" w:styleId="44">
    <w:name w:val="批注框文本 Char"/>
    <w:basedOn w:val="23"/>
    <w:link w:val="13"/>
    <w:autoRedefine/>
    <w:semiHidden/>
    <w:qFormat/>
    <w:uiPriority w:val="99"/>
    <w:rPr>
      <w:sz w:val="18"/>
      <w:szCs w:val="18"/>
    </w:rPr>
  </w:style>
  <w:style w:type="character" w:customStyle="1" w:styleId="45">
    <w:name w:val="标题 1 Char"/>
    <w:basedOn w:val="23"/>
    <w:link w:val="2"/>
    <w:autoRedefine/>
    <w:qFormat/>
    <w:uiPriority w:val="9"/>
    <w:rPr>
      <w:b/>
      <w:bCs/>
      <w:kern w:val="44"/>
      <w:sz w:val="44"/>
      <w:szCs w:val="44"/>
    </w:rPr>
  </w:style>
  <w:style w:type="character" w:customStyle="1" w:styleId="46">
    <w:name w:val="批注文字 Char"/>
    <w:link w:val="6"/>
    <w:autoRedefine/>
    <w:qFormat/>
    <w:uiPriority w:val="0"/>
    <w:rPr>
      <w:sz w:val="24"/>
    </w:rPr>
  </w:style>
  <w:style w:type="character" w:customStyle="1" w:styleId="47">
    <w:name w:val="批注文字 Char1"/>
    <w:basedOn w:val="23"/>
    <w:link w:val="6"/>
    <w:autoRedefine/>
    <w:semiHidden/>
    <w:qFormat/>
    <w:uiPriority w:val="99"/>
    <w:rPr>
      <w:rFonts w:asciiTheme="minorHAnsi" w:hAnsiTheme="minorHAnsi" w:eastAsiaTheme="minorEastAsia" w:cstheme="minorBidi"/>
      <w:kern w:val="2"/>
      <w:sz w:val="21"/>
      <w:szCs w:val="22"/>
    </w:rPr>
  </w:style>
  <w:style w:type="character" w:customStyle="1" w:styleId="48">
    <w:name w:val="文档结构图 Char"/>
    <w:basedOn w:val="23"/>
    <w:link w:val="5"/>
    <w:autoRedefine/>
    <w:semiHidden/>
    <w:qFormat/>
    <w:uiPriority w:val="99"/>
    <w:rPr>
      <w:rFonts w:ascii="宋体" w:hAnsiTheme="minorHAnsi" w:cstheme="minorBidi"/>
      <w:kern w:val="2"/>
      <w:sz w:val="18"/>
      <w:szCs w:val="18"/>
    </w:rPr>
  </w:style>
  <w:style w:type="character" w:customStyle="1" w:styleId="49">
    <w:name w:val="rec-volume"/>
    <w:basedOn w:val="23"/>
    <w:autoRedefine/>
    <w:qFormat/>
    <w:uiPriority w:val="0"/>
  </w:style>
  <w:style w:type="character" w:customStyle="1" w:styleId="50">
    <w:name w:val="rec-time"/>
    <w:basedOn w:val="23"/>
    <w:autoRedefine/>
    <w:qFormat/>
    <w:uiPriority w:val="0"/>
  </w:style>
  <w:style w:type="character" w:customStyle="1" w:styleId="51">
    <w:name w:val="rec-status-desc"/>
    <w:basedOn w:val="2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3.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contractReview xmlns="http://schemas.wps.cn/vas-ai-hub/contract-review">
  <reviewItems>
    <reviewItem>
      <errorID>61590aaf-4788-4535-aaf0-9f26062e336b</errorID>
      <errorWord>法人代表</errorWord>
      <group>L1_Word</group>
      <groupName>字词问题</groupName>
      <ability>L2_Typo</ability>
      <abilityName>字词错误</abilityName>
      <candidateList>
        <item>法定代表人</item>
      </candidateList>
      <explain/>
      <paraID>41231DA6</paraID>
      <start>7</start>
      <end>11</end>
      <status>ignored</status>
      <modifiedWord/>
      <trackRevisions>false</trackRevisions>
    </reviewItem>
    <reviewItem>
      <errorID>094a7064-0e2d-4db1-a717-4657ddfd961b</errorID>
      <errorWord>法人代表</errorWord>
      <group>L1_Word</group>
      <groupName>字词问题</groupName>
      <ability>L2_Typo</ability>
      <abilityName>字词错误</abilityName>
      <candidateList>
        <item>法定代表人</item>
      </candidateList>
      <explain/>
      <paraID>7AF9C81B</paraID>
      <start>6</start>
      <end>10</end>
      <status>ignored</status>
      <modifiedWord/>
      <trackRevisions>false</trackRevisions>
    </reviewItem>
    <reviewItem>
      <errorID>6a14e2e2-3e39-4863-acc2-722c6fa1608a</errorID>
      <errorWord>刚纤维</errorWord>
      <group>L1_Word</group>
      <groupName>字词问题</groupName>
      <ability>L2_Typo</ability>
      <abilityName>字词错误</abilityName>
      <candidateList>
        <item>钢纤维</item>
      </candidateList>
      <explain/>
      <paraID>311996B9</paraID>
      <start>0</start>
      <end>3</end>
      <status>ignored</status>
      <modifiedWord/>
      <trackRevisions>false</trackRevisions>
    </reviewItem>
    <reviewItem>
      <errorID>e8b1a877-4212-439d-937a-b37ed7324283</errorID>
      <errorWord>*</errorWord>
      <group>L1_Punc</group>
      <groupName>标点问题</groupName>
      <ability>L2_Punc</ability>
      <abilityName>标点符号检查</abilityName>
      <candidateList/>
      <explain/>
      <paraID>31A95270</paraID>
      <start>0</start>
      <end>1</end>
      <status>ignored</status>
      <modifiedWord/>
      <trackRevisions>false</trackRevisions>
    </reviewItem>
    <reviewItem>
      <errorID>824bf72d-33e3-4052-9b07-cab4e0c15715</errorID>
      <errorWord>*</errorWord>
      <group>L1_Punc</group>
      <groupName>标点问题</groupName>
      <ability>L2_Punc</ability>
      <abilityName>标点符号检查</abilityName>
      <candidateList/>
      <explain/>
      <paraID>24410E6F</paraID>
      <start>0</start>
      <end>1</end>
      <status>ignored</status>
      <modifiedWord/>
      <trackRevisions>false</trackRevisions>
    </reviewItem>
    <reviewItem>
      <errorID>1f3623cf-dabb-48a5-8600-06804d2b2255</errorID>
      <errorWord>在回</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1C22C32B</paraID>
      <start>16</start>
      <end>18</end>
      <status>ignored</status>
      <modifiedWord/>
      <trackRevisions>false</trackRevisions>
    </reviewItem>
    <reviewItem>
      <errorID>4ca678cd-1a7a-4a22-b7db-970b4e018715</errorID>
      <errorWord>”</errorWord>
      <group>L1_Punc</group>
      <groupName>标点问题</groupName>
      <ability>L2_Punc</ability>
      <abilityName>标点符号检查</abilityName>
      <candidateList/>
      <explain/>
      <paraID>5184EEED</paraID>
      <start>54</start>
      <end>55</end>
      <status>ignored</status>
      <modifiedWord/>
      <trackRevisions>false</trackRevisions>
    </reviewItem>
    <reviewItem>
      <errorID>0ff14b2f-0ff8-4faa-ac9c-aa43b2ba8691</errorID>
      <errorWord>不可偏离</errorWord>
      <group>L1_Knowledge</group>
      <groupName>知识性问题</groupName>
      <ability>L2_Idiom</ability>
      <abilityName>成语和诗歌</abilityName>
      <candidateList>
        <item>不可偏废</item>
      </candidateList>
      <explain>偏废：侧重一方，忽略另一方。指两方面都应同样重视，不能片面地强调一个方面，而忽视另一个方面。</explain>
      <paraID>2E7E3704</paraID>
      <start>23</start>
      <end>27</end>
      <status>ignored</status>
      <modifiedWord/>
      <trackRevisions>false</trackRevisions>
    </reviewItem>
    <reviewItem>
      <errorID>9d3641f6-8033-4a21-8b5a-ee5f63bef978</errorID>
      <errorWord>)</errorWord>
      <group>L1_Format</group>
      <groupName>格式问题</groupName>
      <ability>L2_HalfPunc</ability>
      <abilityName>全半角检查</abilityName>
      <candidateList>
        <item>）</item>
      </candidateList>
      <explain>文本全半角错误。</explain>
      <paraID>11CE8B38</paraID>
      <start>6</start>
      <end>7</end>
      <status>modified</status>
      <modifiedWord>）</modifiedWord>
      <trackRevisions>true</trackRevisions>
    </reviewItem>
    <reviewItem>
      <errorID>872e7212-aa08-405c-a5e9-d929448b6b18</errorID>
      <errorWord>)</errorWord>
      <group>L1_Format</group>
      <groupName>格式问题</groupName>
      <ability>L2_HalfPunc</ability>
      <abilityName>全半角检查</abilityName>
      <candidateList>
        <item>）</item>
      </candidateList>
      <explain>文本全半角错误。</explain>
      <paraID>27FDFC2F</paraID>
      <start>5</start>
      <end>6</end>
      <status>modified</status>
      <modifiedWord>）</modifiedWord>
      <trackRevisions>true</trackRevisions>
    </reviewItem>
    <reviewItem>
      <errorID>42c367b0-e340-4278-b7d6-e1260411fd73</errorID>
      <errorWord>或是</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3F937E4F</paraID>
      <start>64</start>
      <end>66</end>
      <status>ignored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68e4ea3-8557-469a-a9f5-4309bba00bf8}">
  <ds:schemaRefs/>
</ds:datastoreItem>
</file>

<file path=customXml/itemProps3.xml><?xml version="1.0" encoding="utf-8"?>
<ds:datastoreItem xmlns:ds="http://schemas.openxmlformats.org/officeDocument/2006/customXml" ds:itemID="{7FEC1FED-DFD4-4B4E-938E-6A5484CAA356}">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45</Pages>
  <Words>4442</Words>
  <Characters>4809</Characters>
  <Lines>157</Lines>
  <Paragraphs>44</Paragraphs>
  <TotalTime>4</TotalTime>
  <ScaleCrop>false</ScaleCrop>
  <LinksUpToDate>false</LinksUpToDate>
  <CharactersWithSpaces>4925</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2019-12-31T06:21:00Z</dcterms:created>
  <dc:creator>apple</dc:creator>
  <cp:lastModifiedBy>kiwi</cp:lastModifiedBy>
  <dcterms:modified xsi:type="dcterms:W3CDTF">2026-07-10T08:08:41Z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C1D83258E0314D18BFB10EA58DBB1049_13</vt:lpwstr>
  </property>
  <property fmtid="{D5CDD505-2E9C-101B-9397-08002B2CF9AE}" pid="4" name="KSOTemplateDocerSaveRecord">
    <vt:lpwstr>eyJoZGlkIjoiZDE1NWJmMmYxMGQ2OGM3NzVlMmVmZjUzMjM3NjNmYmUiLCJ1c2VySWQiOiI0NDU5OTQyNTQifQ==</vt:lpwstr>
  </property>
</Properties>
</file>