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BA9D6">
      <w:pPr>
        <w:spacing w:line="360" w:lineRule="auto"/>
        <w:jc w:val="left"/>
        <w:rPr>
          <w:rFonts w:hint="default" w:eastAsia="宋体"/>
          <w:color w:val="auto"/>
          <w:lang w:val="en-US" w:eastAsia="zh-CN"/>
        </w:rPr>
      </w:pPr>
      <w:r>
        <w:rPr>
          <w:rFonts w:hint="eastAsia"/>
          <w:b/>
          <w:bCs/>
          <w:color w:val="auto"/>
          <w:sz w:val="32"/>
          <w:szCs w:val="32"/>
          <w:lang w:val="en-US" w:eastAsia="zh-CN"/>
        </w:rPr>
        <w:t xml:space="preserve"> </w:t>
      </w:r>
    </w:p>
    <w:p w14:paraId="641BA903">
      <w:pPr>
        <w:spacing w:line="360" w:lineRule="auto"/>
        <w:jc w:val="center"/>
        <w:rPr>
          <w:rFonts w:ascii="方正小标宋简体" w:hAnsi="方正小标宋简体" w:eastAsia="方正小标宋简体" w:cs="方正小标宋简体"/>
          <w:sz w:val="44"/>
          <w:szCs w:val="44"/>
        </w:rPr>
      </w:pPr>
      <w:bookmarkStart w:id="0" w:name="OLE_LINK2"/>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年度玫瑰湾弱电系统（监控、停车场、门禁网络）维护保养合同</w:t>
      </w:r>
    </w:p>
    <w:bookmarkEnd w:id="0"/>
    <w:p w14:paraId="7C429FF1">
      <w:pPr>
        <w:autoSpaceDE w:val="0"/>
        <w:autoSpaceDN w:val="0"/>
        <w:adjustRightInd w:val="0"/>
        <w:spacing w:line="360" w:lineRule="auto"/>
        <w:ind w:firstLine="4200" w:firstLineChars="1500"/>
        <w:rPr>
          <w:rFonts w:ascii="楷体_GB2312" w:hAnsi="宋体" w:eastAsia="楷体_GB2312" w:cs="宋体"/>
          <w:b/>
          <w:kern w:val="0"/>
          <w:sz w:val="24"/>
        </w:rPr>
      </w:pPr>
      <w:r>
        <w:rPr>
          <w:rFonts w:hint="eastAsia" w:ascii="仿宋" w:hAnsi="仿宋" w:eastAsia="仿宋" w:cs="仿宋"/>
          <w:bCs/>
          <w:kern w:val="0"/>
          <w:sz w:val="28"/>
          <w:szCs w:val="28"/>
        </w:rPr>
        <w:t>合同编号：泰物武【202</w:t>
      </w:r>
      <w:r>
        <w:rPr>
          <w:rFonts w:hint="eastAsia" w:ascii="仿宋" w:hAnsi="仿宋" w:eastAsia="仿宋" w:cs="仿宋"/>
          <w:bCs/>
          <w:kern w:val="0"/>
          <w:sz w:val="28"/>
          <w:szCs w:val="28"/>
          <w:lang w:val="en-US" w:eastAsia="zh-CN"/>
        </w:rPr>
        <w:t>6</w:t>
      </w:r>
      <w:r>
        <w:rPr>
          <w:rFonts w:hint="eastAsia" w:ascii="仿宋" w:hAnsi="仿宋" w:eastAsia="仿宋" w:cs="仿宋"/>
          <w:bCs/>
          <w:kern w:val="0"/>
          <w:sz w:val="28"/>
          <w:szCs w:val="28"/>
        </w:rPr>
        <w:t>】</w:t>
      </w:r>
      <w:r>
        <w:rPr>
          <w:rFonts w:ascii="仿宋" w:hAnsi="仿宋" w:eastAsia="仿宋" w:cs="仿宋"/>
          <w:bCs/>
          <w:kern w:val="0"/>
          <w:sz w:val="28"/>
          <w:szCs w:val="28"/>
        </w:rPr>
        <w:t xml:space="preserve">   </w:t>
      </w:r>
      <w:r>
        <w:rPr>
          <w:rFonts w:hint="eastAsia" w:ascii="仿宋" w:hAnsi="仿宋" w:eastAsia="仿宋" w:cs="仿宋"/>
          <w:bCs/>
          <w:kern w:val="0"/>
          <w:sz w:val="28"/>
          <w:szCs w:val="28"/>
        </w:rPr>
        <w:t>号</w:t>
      </w:r>
    </w:p>
    <w:p w14:paraId="1ECFFDCC">
      <w:pPr>
        <w:widowControl/>
        <w:shd w:val="clear" w:color="auto" w:fill="FFFFFF"/>
        <w:spacing w:line="360" w:lineRule="auto"/>
        <w:jc w:val="center"/>
        <w:rPr>
          <w:rFonts w:ascii="宋体" w:hAnsi="宋体" w:cs="宋体"/>
          <w:b/>
          <w:bCs/>
          <w:color w:val="000000"/>
          <w:kern w:val="0"/>
          <w:sz w:val="36"/>
          <w:szCs w:val="36"/>
          <w:shd w:val="clear" w:color="auto" w:fill="FFFFFF"/>
        </w:rPr>
      </w:pPr>
    </w:p>
    <w:p w14:paraId="4E0E0DDC">
      <w:pPr>
        <w:tabs>
          <w:tab w:val="left" w:pos="5194"/>
        </w:tabs>
        <w:snapToGrid w:val="0"/>
        <w:spacing w:line="360" w:lineRule="auto"/>
        <w:rPr>
          <w:rFonts w:ascii="仿宋" w:hAnsi="仿宋" w:eastAsia="仿宋" w:cs="仿宋"/>
          <w:bCs/>
          <w:sz w:val="24"/>
          <w:szCs w:val="24"/>
        </w:rPr>
      </w:pPr>
      <w:r>
        <w:rPr>
          <w:rFonts w:hint="eastAsia" w:ascii="仿宋" w:hAnsi="仿宋" w:eastAsia="仿宋" w:cs="仿宋"/>
          <w:bCs/>
          <w:sz w:val="24"/>
          <w:szCs w:val="24"/>
        </w:rPr>
        <w:t>发包方（甲方）：深圳市泰然物业管理服务有限公司武汉分公司</w:t>
      </w:r>
    </w:p>
    <w:p w14:paraId="4428F4F7">
      <w:pPr>
        <w:snapToGrid w:val="0"/>
        <w:spacing w:line="360" w:lineRule="auto"/>
        <w:jc w:val="left"/>
        <w:rPr>
          <w:rFonts w:ascii="仿宋" w:hAnsi="仿宋" w:eastAsia="仿宋" w:cs="仿宋"/>
          <w:bCs/>
          <w:sz w:val="24"/>
          <w:szCs w:val="24"/>
        </w:rPr>
      </w:pPr>
      <w:r>
        <w:rPr>
          <w:rFonts w:hint="eastAsia" w:ascii="仿宋" w:hAnsi="仿宋" w:eastAsia="仿宋" w:cs="仿宋"/>
          <w:bCs/>
          <w:sz w:val="24"/>
          <w:szCs w:val="24"/>
        </w:rPr>
        <w:t>统一社会信用代码：9</w:t>
      </w:r>
      <w:r>
        <w:rPr>
          <w:rFonts w:ascii="仿宋" w:hAnsi="仿宋" w:eastAsia="仿宋" w:cs="仿宋"/>
          <w:bCs/>
          <w:sz w:val="24"/>
          <w:szCs w:val="24"/>
        </w:rPr>
        <w:t>1420100799756801A</w:t>
      </w:r>
    </w:p>
    <w:p w14:paraId="5906AD00">
      <w:pPr>
        <w:snapToGrid w:val="0"/>
        <w:spacing w:line="360" w:lineRule="auto"/>
        <w:rPr>
          <w:rFonts w:ascii="仿宋" w:hAnsi="仿宋" w:eastAsia="仿宋" w:cs="仿宋"/>
          <w:bCs/>
          <w:sz w:val="24"/>
          <w:szCs w:val="24"/>
        </w:rPr>
      </w:pPr>
      <w:r>
        <w:rPr>
          <w:rFonts w:hint="eastAsia" w:ascii="仿宋" w:hAnsi="仿宋" w:eastAsia="仿宋" w:cs="仿宋"/>
          <w:bCs/>
          <w:sz w:val="24"/>
          <w:szCs w:val="24"/>
          <w:lang w:val="en-US" w:eastAsia="zh-CN"/>
        </w:rPr>
        <w:t>联系人</w:t>
      </w:r>
      <w:r>
        <w:rPr>
          <w:rFonts w:hint="eastAsia" w:ascii="仿宋" w:hAnsi="仿宋" w:eastAsia="仿宋" w:cs="仿宋"/>
          <w:bCs/>
          <w:sz w:val="24"/>
          <w:szCs w:val="24"/>
        </w:rPr>
        <w:t>：</w:t>
      </w:r>
      <w:r>
        <w:rPr>
          <w:rFonts w:hint="eastAsia" w:ascii="仿宋" w:hAnsi="仿宋" w:eastAsia="仿宋" w:cs="仿宋"/>
          <w:bCs/>
          <w:sz w:val="24"/>
          <w:szCs w:val="24"/>
          <w:lang w:val="en-US" w:eastAsia="zh-CN"/>
        </w:rPr>
        <w:t>卢军</w:t>
      </w:r>
      <w:r>
        <w:rPr>
          <w:rFonts w:hint="eastAsia" w:ascii="仿宋" w:hAnsi="仿宋" w:eastAsia="仿宋" w:cs="仿宋"/>
          <w:bCs/>
          <w:sz w:val="24"/>
          <w:szCs w:val="24"/>
        </w:rPr>
        <w:t xml:space="preserve">     联系电话：027-87229683</w:t>
      </w:r>
    </w:p>
    <w:p w14:paraId="71C74B2B">
      <w:pPr>
        <w:snapToGrid w:val="0"/>
        <w:spacing w:line="360" w:lineRule="auto"/>
        <w:rPr>
          <w:rFonts w:ascii="仿宋" w:hAnsi="仿宋" w:eastAsia="仿宋" w:cs="仿宋"/>
          <w:bCs/>
          <w:sz w:val="24"/>
          <w:szCs w:val="24"/>
        </w:rPr>
      </w:pPr>
      <w:r>
        <w:rPr>
          <w:rFonts w:hint="eastAsia" w:ascii="仿宋" w:hAnsi="仿宋" w:eastAsia="仿宋" w:cs="仿宋"/>
          <w:bCs/>
          <w:sz w:val="24"/>
          <w:szCs w:val="24"/>
          <w:lang w:eastAsia="zh-Hans"/>
        </w:rPr>
        <w:t>住所地：</w:t>
      </w:r>
      <w:r>
        <w:rPr>
          <w:rFonts w:hint="eastAsia" w:ascii="仿宋" w:hAnsi="仿宋" w:eastAsia="仿宋" w:cs="仿宋"/>
          <w:bCs/>
          <w:sz w:val="24"/>
          <w:szCs w:val="24"/>
        </w:rPr>
        <w:t>武汉市洪山区狮子山街狮子山北路</w:t>
      </w:r>
      <w:r>
        <w:rPr>
          <w:rFonts w:ascii="仿宋" w:hAnsi="仿宋" w:eastAsia="仿宋" w:cs="仿宋"/>
          <w:bCs/>
          <w:sz w:val="24"/>
          <w:szCs w:val="24"/>
        </w:rPr>
        <w:t>77</w:t>
      </w:r>
      <w:r>
        <w:rPr>
          <w:rFonts w:hint="eastAsia" w:ascii="仿宋" w:hAnsi="仿宋" w:eastAsia="仿宋" w:cs="仿宋"/>
          <w:bCs/>
          <w:sz w:val="24"/>
          <w:szCs w:val="24"/>
        </w:rPr>
        <w:t>号泰然南湖玫瑰湾1</w:t>
      </w:r>
      <w:r>
        <w:rPr>
          <w:rFonts w:ascii="仿宋" w:hAnsi="仿宋" w:eastAsia="仿宋" w:cs="仿宋"/>
          <w:bCs/>
          <w:sz w:val="24"/>
          <w:szCs w:val="24"/>
        </w:rPr>
        <w:t>6</w:t>
      </w:r>
      <w:r>
        <w:rPr>
          <w:rFonts w:hint="eastAsia" w:ascii="仿宋" w:hAnsi="仿宋" w:eastAsia="仿宋" w:cs="仿宋"/>
          <w:bCs/>
          <w:sz w:val="24"/>
          <w:szCs w:val="24"/>
        </w:rPr>
        <w:t>栋1楼</w:t>
      </w:r>
    </w:p>
    <w:p w14:paraId="082F6422">
      <w:pPr>
        <w:spacing w:line="360" w:lineRule="auto"/>
        <w:rPr>
          <w:rFonts w:ascii="仿宋" w:hAnsi="仿宋" w:eastAsia="仿宋" w:cs="仿宋"/>
          <w:bCs/>
          <w:sz w:val="24"/>
          <w:szCs w:val="24"/>
        </w:rPr>
      </w:pPr>
    </w:p>
    <w:p w14:paraId="120E79FD">
      <w:pPr>
        <w:snapToGrid w:val="0"/>
        <w:spacing w:line="360" w:lineRule="auto"/>
        <w:rPr>
          <w:rFonts w:ascii="仿宋" w:hAnsi="仿宋" w:eastAsia="仿宋" w:cs="仿宋"/>
          <w:bCs/>
          <w:spacing w:val="-20"/>
          <w:sz w:val="24"/>
          <w:szCs w:val="24"/>
        </w:rPr>
      </w:pPr>
      <w:r>
        <w:rPr>
          <w:rFonts w:hint="eastAsia" w:ascii="仿宋" w:hAnsi="仿宋" w:eastAsia="仿宋" w:cs="仿宋"/>
          <w:bCs/>
          <w:sz w:val="24"/>
          <w:szCs w:val="24"/>
        </w:rPr>
        <w:t>承包方（乙方）：武汉博远众达网络工程有限公司</w:t>
      </w:r>
    </w:p>
    <w:p w14:paraId="1B617AC6">
      <w:pPr>
        <w:snapToGrid w:val="0"/>
        <w:spacing w:line="360" w:lineRule="auto"/>
        <w:rPr>
          <w:rFonts w:ascii="仿宋" w:hAnsi="仿宋" w:eastAsia="仿宋" w:cs="仿宋"/>
          <w:bCs/>
          <w:sz w:val="24"/>
          <w:szCs w:val="24"/>
        </w:rPr>
      </w:pPr>
      <w:r>
        <w:rPr>
          <w:rFonts w:hint="eastAsia" w:ascii="仿宋" w:hAnsi="仿宋" w:eastAsia="仿宋" w:cs="仿宋"/>
          <w:bCs/>
          <w:sz w:val="24"/>
          <w:szCs w:val="24"/>
        </w:rPr>
        <w:t>统一社会信用代码：91420107MA4KX35TX5</w:t>
      </w:r>
    </w:p>
    <w:p w14:paraId="5FCF86E0">
      <w:pPr>
        <w:snapToGrid w:val="0"/>
        <w:spacing w:line="360" w:lineRule="auto"/>
        <w:rPr>
          <w:rFonts w:hint="default" w:ascii="仿宋" w:hAnsi="仿宋" w:eastAsia="仿宋" w:cs="仿宋"/>
          <w:bCs/>
          <w:sz w:val="24"/>
          <w:szCs w:val="24"/>
          <w:lang w:val="en-US" w:eastAsia="zh-CN"/>
        </w:rPr>
      </w:pPr>
      <w:r>
        <w:rPr>
          <w:rFonts w:hint="eastAsia" w:ascii="仿宋" w:hAnsi="仿宋" w:eastAsia="仿宋" w:cs="仿宋"/>
          <w:bCs/>
          <w:sz w:val="24"/>
          <w:szCs w:val="24"/>
        </w:rPr>
        <w:t>法定代表人：</w:t>
      </w:r>
      <w:r>
        <w:rPr>
          <w:rFonts w:hint="eastAsia" w:ascii="仿宋" w:hAnsi="仿宋" w:eastAsia="仿宋" w:cs="仿宋"/>
          <w:bCs/>
          <w:sz w:val="24"/>
          <w:szCs w:val="24"/>
          <w:lang w:val="en-US" w:eastAsia="zh-CN"/>
        </w:rPr>
        <w:t>王波</w:t>
      </w:r>
      <w:r>
        <w:rPr>
          <w:rFonts w:hint="eastAsia" w:ascii="仿宋" w:hAnsi="仿宋" w:eastAsia="仿宋" w:cs="仿宋"/>
          <w:bCs/>
          <w:sz w:val="24"/>
          <w:szCs w:val="24"/>
        </w:rPr>
        <w:t xml:space="preserve"> </w:t>
      </w:r>
      <w:r>
        <w:rPr>
          <w:rFonts w:ascii="仿宋" w:hAnsi="仿宋" w:eastAsia="仿宋" w:cs="仿宋"/>
          <w:bCs/>
          <w:sz w:val="24"/>
          <w:szCs w:val="24"/>
        </w:rPr>
        <w:t xml:space="preserve">  </w:t>
      </w:r>
      <w:r>
        <w:rPr>
          <w:rFonts w:hint="eastAsia" w:ascii="仿宋" w:hAnsi="仿宋" w:eastAsia="仿宋" w:cs="仿宋"/>
          <w:bCs/>
          <w:sz w:val="24"/>
          <w:szCs w:val="24"/>
        </w:rPr>
        <w:t>联系电话：</w:t>
      </w:r>
      <w:r>
        <w:rPr>
          <w:rFonts w:hint="eastAsia" w:ascii="仿宋" w:hAnsi="仿宋" w:eastAsia="仿宋" w:cs="仿宋"/>
          <w:bCs/>
          <w:sz w:val="24"/>
          <w:szCs w:val="24"/>
          <w:lang w:val="en-US" w:eastAsia="zh-CN"/>
        </w:rPr>
        <w:t>18062021287</w:t>
      </w:r>
    </w:p>
    <w:p w14:paraId="51CA250E">
      <w:pPr>
        <w:snapToGrid w:val="0"/>
        <w:spacing w:line="360" w:lineRule="auto"/>
        <w:rPr>
          <w:rFonts w:ascii="仿宋" w:hAnsi="仿宋" w:eastAsia="仿宋" w:cs="仿宋"/>
          <w:bCs/>
          <w:sz w:val="24"/>
          <w:szCs w:val="24"/>
        </w:rPr>
      </w:pPr>
      <w:r>
        <w:rPr>
          <w:rFonts w:hint="eastAsia" w:ascii="仿宋" w:hAnsi="仿宋" w:eastAsia="仿宋" w:cs="仿宋"/>
          <w:bCs/>
          <w:sz w:val="24"/>
          <w:szCs w:val="24"/>
          <w:lang w:eastAsia="zh-Hans"/>
        </w:rPr>
        <w:t>住所地：武汉市青山区建一综合市场361号</w:t>
      </w:r>
    </w:p>
    <w:p w14:paraId="03F0A80A">
      <w:pPr>
        <w:spacing w:line="360" w:lineRule="auto"/>
        <w:ind w:firstLine="480" w:firstLineChars="200"/>
        <w:rPr>
          <w:rFonts w:hint="eastAsia" w:ascii="仿宋" w:hAnsi="仿宋" w:eastAsia="仿宋" w:cs="仿宋"/>
          <w:sz w:val="24"/>
          <w:szCs w:val="24"/>
        </w:rPr>
      </w:pPr>
    </w:p>
    <w:p w14:paraId="2CD7CC91">
      <w:pPr>
        <w:spacing w:line="360" w:lineRule="auto"/>
        <w:ind w:firstLine="480" w:firstLineChars="200"/>
        <w:rPr>
          <w:rFonts w:ascii="仿宋" w:hAnsi="仿宋" w:eastAsia="仿宋" w:cs="仿宋"/>
          <w:kern w:val="0"/>
          <w:sz w:val="24"/>
          <w:szCs w:val="24"/>
        </w:rPr>
      </w:pPr>
      <w:r>
        <w:rPr>
          <w:rFonts w:hint="eastAsia" w:ascii="仿宋" w:hAnsi="仿宋" w:eastAsia="仿宋" w:cs="仿宋"/>
          <w:sz w:val="24"/>
          <w:szCs w:val="24"/>
        </w:rPr>
        <w:t>合同签订</w:t>
      </w:r>
      <w:r>
        <w:rPr>
          <w:rFonts w:hint="eastAsia" w:ascii="仿宋" w:hAnsi="仿宋" w:eastAsia="仿宋" w:cs="仿宋"/>
          <w:kern w:val="0"/>
          <w:sz w:val="24"/>
          <w:szCs w:val="24"/>
        </w:rPr>
        <w:t>遵循平等、自愿、公平和诚实信用的原则，经甲乙双方协商订立本合同。</w:t>
      </w:r>
    </w:p>
    <w:p w14:paraId="1970FC5F">
      <w:pPr>
        <w:numPr>
          <w:ilvl w:val="0"/>
          <w:numId w:val="2"/>
        </w:numPr>
        <w:spacing w:line="360" w:lineRule="auto"/>
        <w:ind w:left="1" w:firstLine="479" w:firstLineChars="199"/>
        <w:rPr>
          <w:rFonts w:ascii="仿宋" w:hAnsi="仿宋" w:eastAsia="仿宋" w:cs="仿宋"/>
          <w:kern w:val="0"/>
          <w:sz w:val="24"/>
          <w:szCs w:val="24"/>
        </w:rPr>
      </w:pPr>
      <w:r>
        <w:rPr>
          <w:rFonts w:hint="eastAsia" w:ascii="仿宋" w:hAnsi="仿宋" w:eastAsia="仿宋" w:cs="仿宋"/>
          <w:b/>
          <w:bCs/>
          <w:kern w:val="0"/>
          <w:sz w:val="24"/>
          <w:szCs w:val="24"/>
        </w:rPr>
        <w:t xml:space="preserve"> </w:t>
      </w:r>
      <w:r>
        <w:rPr>
          <w:rFonts w:hint="eastAsia" w:ascii="仿宋" w:hAnsi="仿宋" w:eastAsia="仿宋" w:cs="仿宋"/>
          <w:b/>
          <w:kern w:val="0"/>
          <w:sz w:val="24"/>
          <w:szCs w:val="24"/>
        </w:rPr>
        <w:t xml:space="preserve"> 维保内容</w:t>
      </w:r>
    </w:p>
    <w:p w14:paraId="7110A238">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乙方为甲方位于武汉市泰然·南湖玫瑰湾项目的弱电系统提供维保和紧急服务。保养项目覆盖《弱电系统维护保养规则》规定的月、季度、半年、年度保养项目</w:t>
      </w:r>
      <w:r>
        <w:rPr>
          <w:rFonts w:hint="eastAsia" w:ascii="仿宋" w:hAnsi="仿宋" w:eastAsia="仿宋" w:cs="仿宋"/>
          <w:kern w:val="0"/>
          <w:sz w:val="24"/>
          <w:szCs w:val="24"/>
          <w:u w:val="none"/>
        </w:rPr>
        <w:t>，</w:t>
      </w:r>
      <w:r>
        <w:rPr>
          <w:rFonts w:hint="eastAsia" w:ascii="仿宋" w:hAnsi="仿宋" w:eastAsia="仿宋" w:cs="仿宋"/>
          <w:kern w:val="0"/>
          <w:sz w:val="24"/>
          <w:szCs w:val="24"/>
        </w:rPr>
        <w:t>及弱电系统制造单位技术文件所要求的其它保养项目。</w:t>
      </w:r>
    </w:p>
    <w:p w14:paraId="06690555">
      <w:pPr>
        <w:spacing w:line="360" w:lineRule="auto"/>
        <w:ind w:left="1" w:firstLine="479" w:firstLineChars="199"/>
        <w:rPr>
          <w:rFonts w:ascii="仿宋" w:hAnsi="仿宋" w:eastAsia="仿宋" w:cs="仿宋"/>
          <w:kern w:val="0"/>
          <w:sz w:val="24"/>
          <w:szCs w:val="24"/>
        </w:rPr>
      </w:pPr>
      <w:r>
        <w:rPr>
          <w:rFonts w:hint="eastAsia" w:ascii="仿宋" w:hAnsi="仿宋" w:eastAsia="仿宋" w:cs="仿宋"/>
          <w:b/>
          <w:bCs/>
          <w:kern w:val="0"/>
          <w:sz w:val="24"/>
          <w:szCs w:val="24"/>
        </w:rPr>
        <w:t>第二条 维保服务的方式：</w:t>
      </w:r>
    </w:p>
    <w:p w14:paraId="13B73EC2">
      <w:pPr>
        <w:spacing w:line="360" w:lineRule="auto"/>
        <w:rPr>
          <w:rFonts w:ascii="仿宋" w:hAnsi="仿宋" w:eastAsia="仿宋" w:cs="仿宋"/>
          <w:kern w:val="0"/>
          <w:sz w:val="24"/>
          <w:szCs w:val="24"/>
        </w:rPr>
      </w:pPr>
      <w:r>
        <w:rPr>
          <w:rFonts w:hint="eastAsia" w:ascii="仿宋" w:hAnsi="仿宋" w:eastAsia="仿宋" w:cs="仿宋"/>
          <w:sz w:val="24"/>
          <w:szCs w:val="24"/>
        </w:rPr>
        <w:t xml:space="preserve">   </w:t>
      </w:r>
      <w:r>
        <w:rPr>
          <w:rFonts w:hint="eastAsia" w:ascii="仿宋" w:hAnsi="仿宋" w:eastAsia="仿宋" w:cs="仿宋"/>
          <w:kern w:val="0"/>
          <w:sz w:val="24"/>
          <w:szCs w:val="24"/>
        </w:rPr>
        <w:t>标准保养：由乙方提供维保所需工具和劳务，弱电系统零部件由甲方负责并经甲方确认后更换。</w:t>
      </w:r>
    </w:p>
    <w:p w14:paraId="0A0F04F3">
      <w:pPr>
        <w:spacing w:line="360" w:lineRule="auto"/>
        <w:ind w:left="1" w:firstLine="477" w:firstLineChars="199"/>
        <w:rPr>
          <w:rFonts w:ascii="仿宋" w:hAnsi="仿宋" w:eastAsia="仿宋" w:cs="仿宋"/>
          <w:kern w:val="0"/>
          <w:sz w:val="24"/>
          <w:szCs w:val="24"/>
        </w:rPr>
      </w:pPr>
      <w:r>
        <w:rPr>
          <w:rFonts w:hint="eastAsia" w:ascii="仿宋" w:hAnsi="仿宋" w:eastAsia="仿宋" w:cs="仿宋"/>
          <w:kern w:val="0"/>
          <w:sz w:val="24"/>
          <w:szCs w:val="24"/>
        </w:rPr>
        <w:t>重大维修和改造项目不包括在上述工作范围内。如有需要，甲方应签订合同委托具备相关资质的弱电系统生产单位施工并通过政府主管部门的验收，若乙方中标大修后，报价经主管单位聘请第三方审计机构有效核价完毕后不得以任何理由拒绝维修。</w:t>
      </w:r>
    </w:p>
    <w:p w14:paraId="54BA772E">
      <w:pPr>
        <w:spacing w:line="360" w:lineRule="auto"/>
        <w:ind w:left="1" w:firstLine="479" w:firstLineChars="199"/>
        <w:outlineLvl w:val="0"/>
        <w:rPr>
          <w:rFonts w:ascii="仿宋" w:hAnsi="仿宋" w:eastAsia="仿宋" w:cs="仿宋"/>
          <w:kern w:val="0"/>
          <w:sz w:val="24"/>
          <w:szCs w:val="24"/>
        </w:rPr>
      </w:pPr>
      <w:r>
        <w:rPr>
          <w:rFonts w:hint="eastAsia" w:ascii="仿宋" w:hAnsi="仿宋" w:eastAsia="仿宋" w:cs="仿宋"/>
          <w:b/>
          <w:bCs/>
          <w:kern w:val="0"/>
          <w:sz w:val="24"/>
          <w:szCs w:val="24"/>
        </w:rPr>
        <w:t>第三条  维保期限</w:t>
      </w:r>
    </w:p>
    <w:p w14:paraId="324FD522">
      <w:pPr>
        <w:spacing w:line="360" w:lineRule="auto"/>
        <w:ind w:left="1" w:firstLine="477" w:firstLineChars="199"/>
        <w:rPr>
          <w:rFonts w:ascii="仿宋" w:hAnsi="仿宋" w:eastAsia="仿宋" w:cs="仿宋"/>
          <w:kern w:val="0"/>
          <w:sz w:val="24"/>
          <w:szCs w:val="24"/>
        </w:rPr>
      </w:pPr>
      <w:r>
        <w:rPr>
          <w:rFonts w:hint="eastAsia" w:ascii="仿宋" w:hAnsi="仿宋" w:eastAsia="仿宋" w:cs="仿宋"/>
          <w:kern w:val="0"/>
          <w:sz w:val="24"/>
          <w:szCs w:val="24"/>
        </w:rPr>
        <w:t>本合同约定维保期限自</w:t>
      </w:r>
      <w:r>
        <w:rPr>
          <w:rFonts w:hint="eastAsia" w:ascii="仿宋" w:hAnsi="仿宋" w:eastAsia="仿宋" w:cs="仿宋"/>
          <w:kern w:val="0"/>
          <w:sz w:val="24"/>
          <w:szCs w:val="24"/>
          <w:u w:val="single"/>
        </w:rPr>
        <w:t xml:space="preserve"> </w:t>
      </w:r>
      <w:r>
        <w:rPr>
          <w:rFonts w:hint="eastAsia" w:ascii="仿宋" w:hAnsi="仿宋" w:eastAsia="仿宋" w:cs="仿宋"/>
          <w:b/>
          <w:kern w:val="0"/>
          <w:sz w:val="24"/>
          <w:szCs w:val="24"/>
          <w:u w:val="single"/>
        </w:rPr>
        <w:t>202</w:t>
      </w:r>
      <w:r>
        <w:rPr>
          <w:rFonts w:hint="eastAsia" w:ascii="仿宋" w:hAnsi="仿宋" w:eastAsia="仿宋" w:cs="仿宋"/>
          <w:b/>
          <w:kern w:val="0"/>
          <w:sz w:val="24"/>
          <w:szCs w:val="24"/>
          <w:u w:val="single"/>
          <w:lang w:val="en-US" w:eastAsia="zh-CN"/>
        </w:rPr>
        <w:t>6</w:t>
      </w:r>
      <w:r>
        <w:rPr>
          <w:rFonts w:hint="eastAsia" w:ascii="仿宋" w:hAnsi="仿宋" w:eastAsia="仿宋" w:cs="仿宋"/>
          <w:b/>
          <w:kern w:val="0"/>
          <w:sz w:val="24"/>
          <w:szCs w:val="24"/>
          <w:u w:val="single"/>
        </w:rPr>
        <w:t xml:space="preserve"> </w:t>
      </w:r>
      <w:r>
        <w:rPr>
          <w:rFonts w:hint="eastAsia" w:ascii="仿宋" w:hAnsi="仿宋" w:eastAsia="仿宋" w:cs="仿宋"/>
          <w:b/>
          <w:bCs/>
          <w:kern w:val="0"/>
          <w:sz w:val="24"/>
          <w:szCs w:val="24"/>
        </w:rPr>
        <w:t>年</w:t>
      </w:r>
      <w:r>
        <w:rPr>
          <w:rFonts w:hint="eastAsia" w:ascii="仿宋" w:hAnsi="仿宋" w:eastAsia="仿宋" w:cs="仿宋"/>
          <w:b/>
          <w:bCs/>
          <w:kern w:val="0"/>
          <w:sz w:val="24"/>
          <w:szCs w:val="24"/>
          <w:u w:val="single"/>
        </w:rPr>
        <w:t xml:space="preserve"> 4 </w:t>
      </w:r>
      <w:r>
        <w:rPr>
          <w:rFonts w:hint="eastAsia" w:ascii="仿宋" w:hAnsi="仿宋" w:eastAsia="仿宋" w:cs="仿宋"/>
          <w:b/>
          <w:bCs/>
          <w:kern w:val="0"/>
          <w:sz w:val="24"/>
          <w:szCs w:val="24"/>
        </w:rPr>
        <w:t>月</w:t>
      </w:r>
      <w:r>
        <w:rPr>
          <w:rFonts w:hint="eastAsia" w:ascii="仿宋" w:hAnsi="仿宋" w:eastAsia="仿宋" w:cs="仿宋"/>
          <w:b/>
          <w:bCs/>
          <w:kern w:val="0"/>
          <w:sz w:val="24"/>
          <w:szCs w:val="24"/>
          <w:u w:val="single"/>
        </w:rPr>
        <w:t xml:space="preserve"> 1</w:t>
      </w:r>
      <w:r>
        <w:rPr>
          <w:rFonts w:hint="eastAsia" w:ascii="仿宋" w:hAnsi="仿宋" w:eastAsia="仿宋" w:cs="仿宋"/>
          <w:b/>
          <w:bCs/>
          <w:kern w:val="0"/>
          <w:sz w:val="24"/>
          <w:szCs w:val="24"/>
          <w:u w:val="single"/>
          <w:lang w:val="en-US" w:eastAsia="zh-CN"/>
        </w:rPr>
        <w:t>0</w:t>
      </w:r>
      <w:r>
        <w:rPr>
          <w:rFonts w:hint="eastAsia" w:ascii="仿宋" w:hAnsi="仿宋" w:eastAsia="仿宋" w:cs="仿宋"/>
          <w:b/>
          <w:bCs/>
          <w:kern w:val="0"/>
          <w:sz w:val="24"/>
          <w:szCs w:val="24"/>
        </w:rPr>
        <w:t>日起至</w:t>
      </w:r>
      <w:r>
        <w:rPr>
          <w:rFonts w:hint="eastAsia" w:ascii="仿宋" w:hAnsi="仿宋" w:eastAsia="仿宋" w:cs="仿宋"/>
          <w:b/>
          <w:bCs/>
          <w:kern w:val="0"/>
          <w:sz w:val="24"/>
          <w:szCs w:val="24"/>
          <w:u w:val="single"/>
        </w:rPr>
        <w:t xml:space="preserve"> 202</w:t>
      </w:r>
      <w:r>
        <w:rPr>
          <w:rFonts w:hint="eastAsia" w:ascii="仿宋" w:hAnsi="仿宋" w:eastAsia="仿宋" w:cs="仿宋"/>
          <w:b/>
          <w:bCs/>
          <w:kern w:val="0"/>
          <w:sz w:val="24"/>
          <w:szCs w:val="24"/>
          <w:u w:val="single"/>
          <w:lang w:val="en-US" w:eastAsia="zh-CN"/>
        </w:rPr>
        <w:t>7</w:t>
      </w:r>
      <w:r>
        <w:rPr>
          <w:rFonts w:hint="eastAsia" w:ascii="仿宋" w:hAnsi="仿宋" w:eastAsia="仿宋" w:cs="仿宋"/>
          <w:b/>
          <w:bCs/>
          <w:kern w:val="0"/>
          <w:sz w:val="24"/>
          <w:szCs w:val="24"/>
          <w:u w:val="single"/>
        </w:rPr>
        <w:t xml:space="preserve"> </w:t>
      </w:r>
      <w:r>
        <w:rPr>
          <w:rFonts w:hint="eastAsia" w:ascii="仿宋" w:hAnsi="仿宋" w:eastAsia="仿宋" w:cs="仿宋"/>
          <w:b/>
          <w:bCs/>
          <w:kern w:val="0"/>
          <w:sz w:val="24"/>
          <w:szCs w:val="24"/>
        </w:rPr>
        <w:t>年</w:t>
      </w:r>
      <w:r>
        <w:rPr>
          <w:rFonts w:hint="eastAsia" w:ascii="仿宋" w:hAnsi="仿宋" w:eastAsia="仿宋" w:cs="仿宋"/>
          <w:b/>
          <w:bCs/>
          <w:kern w:val="0"/>
          <w:sz w:val="24"/>
          <w:szCs w:val="24"/>
          <w:u w:val="single"/>
          <w:lang w:val="en-US" w:eastAsia="zh-CN"/>
        </w:rPr>
        <w:t>4</w:t>
      </w:r>
      <w:r>
        <w:rPr>
          <w:rFonts w:hint="eastAsia" w:ascii="仿宋" w:hAnsi="仿宋" w:eastAsia="仿宋" w:cs="仿宋"/>
          <w:b/>
          <w:bCs/>
          <w:kern w:val="0"/>
          <w:sz w:val="24"/>
          <w:szCs w:val="24"/>
          <w:u w:val="single"/>
        </w:rPr>
        <w:t xml:space="preserve"> </w:t>
      </w:r>
      <w:r>
        <w:rPr>
          <w:rFonts w:hint="eastAsia" w:ascii="仿宋" w:hAnsi="仿宋" w:eastAsia="仿宋" w:cs="仿宋"/>
          <w:b/>
          <w:bCs/>
          <w:kern w:val="0"/>
          <w:sz w:val="24"/>
          <w:szCs w:val="24"/>
        </w:rPr>
        <w:t>月</w:t>
      </w:r>
      <w:r>
        <w:rPr>
          <w:rFonts w:hint="eastAsia" w:ascii="仿宋" w:hAnsi="仿宋" w:eastAsia="仿宋" w:cs="仿宋"/>
          <w:b/>
          <w:bCs/>
          <w:kern w:val="0"/>
          <w:sz w:val="24"/>
          <w:szCs w:val="24"/>
          <w:u w:val="single"/>
        </w:rPr>
        <w:t xml:space="preserve"> </w:t>
      </w:r>
      <w:r>
        <w:rPr>
          <w:rFonts w:hint="eastAsia" w:ascii="仿宋" w:hAnsi="仿宋" w:eastAsia="仿宋" w:cs="仿宋"/>
          <w:b/>
          <w:bCs/>
          <w:kern w:val="0"/>
          <w:sz w:val="24"/>
          <w:szCs w:val="24"/>
          <w:u w:val="single"/>
          <w:lang w:val="en-US" w:eastAsia="zh-CN"/>
        </w:rPr>
        <w:t>9</w:t>
      </w:r>
      <w:r>
        <w:rPr>
          <w:rFonts w:hint="eastAsia" w:ascii="仿宋" w:hAnsi="仿宋" w:eastAsia="仿宋" w:cs="仿宋"/>
          <w:b/>
          <w:bCs/>
          <w:kern w:val="0"/>
          <w:sz w:val="24"/>
          <w:szCs w:val="24"/>
          <w:u w:val="single"/>
        </w:rPr>
        <w:t xml:space="preserve"> </w:t>
      </w:r>
      <w:r>
        <w:rPr>
          <w:rFonts w:hint="eastAsia" w:ascii="仿宋" w:hAnsi="仿宋" w:eastAsia="仿宋" w:cs="仿宋"/>
          <w:b/>
          <w:bCs/>
          <w:kern w:val="0"/>
          <w:sz w:val="24"/>
          <w:szCs w:val="24"/>
        </w:rPr>
        <w:t>日止</w:t>
      </w:r>
      <w:r>
        <w:rPr>
          <w:rFonts w:hint="eastAsia" w:ascii="仿宋" w:hAnsi="仿宋" w:eastAsia="仿宋" w:cs="仿宋"/>
          <w:kern w:val="0"/>
          <w:sz w:val="24"/>
          <w:szCs w:val="24"/>
        </w:rPr>
        <w:t>，合同期限</w:t>
      </w:r>
      <w:r>
        <w:rPr>
          <w:rFonts w:hint="eastAsia" w:ascii="仿宋" w:hAnsi="仿宋" w:eastAsia="仿宋" w:cs="仿宋"/>
          <w:b/>
          <w:bCs/>
          <w:kern w:val="0"/>
          <w:sz w:val="24"/>
          <w:szCs w:val="24"/>
          <w:u w:val="single"/>
        </w:rPr>
        <w:t>壹</w:t>
      </w:r>
      <w:r>
        <w:rPr>
          <w:rFonts w:hint="eastAsia" w:ascii="仿宋" w:hAnsi="仿宋" w:eastAsia="仿宋" w:cs="仿宋"/>
          <w:kern w:val="0"/>
          <w:sz w:val="24"/>
          <w:szCs w:val="24"/>
        </w:rPr>
        <w:t>年。本合同在维保期限届满前一个月，如双方无异议则另行协商签订下一年度的弱电系统维保合同。</w:t>
      </w:r>
    </w:p>
    <w:p w14:paraId="372F36D9">
      <w:pPr>
        <w:spacing w:line="360" w:lineRule="auto"/>
        <w:ind w:left="1" w:firstLine="479" w:firstLineChars="199"/>
        <w:outlineLvl w:val="0"/>
        <w:rPr>
          <w:rFonts w:ascii="仿宋" w:hAnsi="仿宋" w:eastAsia="仿宋" w:cs="仿宋"/>
          <w:kern w:val="0"/>
          <w:sz w:val="24"/>
          <w:szCs w:val="24"/>
        </w:rPr>
      </w:pPr>
      <w:r>
        <w:rPr>
          <w:rFonts w:hint="eastAsia" w:ascii="仿宋" w:hAnsi="仿宋" w:eastAsia="仿宋" w:cs="仿宋"/>
          <w:b/>
          <w:bCs/>
          <w:kern w:val="0"/>
          <w:sz w:val="24"/>
          <w:szCs w:val="24"/>
        </w:rPr>
        <w:t>第四条</w:t>
      </w:r>
      <w:r>
        <w:rPr>
          <w:rFonts w:hint="eastAsia" w:ascii="仿宋" w:hAnsi="仿宋" w:eastAsia="仿宋" w:cs="仿宋"/>
          <w:kern w:val="0"/>
          <w:sz w:val="24"/>
          <w:szCs w:val="24"/>
        </w:rPr>
        <w:t xml:space="preserve">  </w:t>
      </w:r>
      <w:r>
        <w:rPr>
          <w:rFonts w:hint="eastAsia" w:ascii="仿宋" w:hAnsi="仿宋" w:eastAsia="仿宋" w:cs="仿宋"/>
          <w:b/>
          <w:bCs/>
          <w:kern w:val="0"/>
          <w:sz w:val="24"/>
          <w:szCs w:val="24"/>
        </w:rPr>
        <w:t>维保费用</w:t>
      </w:r>
    </w:p>
    <w:p w14:paraId="791C5EC9">
      <w:pPr>
        <w:spacing w:line="360" w:lineRule="auto"/>
        <w:ind w:left="1" w:firstLine="477" w:firstLineChars="199"/>
        <w:jc w:val="left"/>
        <w:rPr>
          <w:rFonts w:ascii="仿宋" w:hAnsi="仿宋" w:eastAsia="仿宋" w:cs="仿宋"/>
          <w:color w:val="FF0000"/>
          <w:sz w:val="24"/>
          <w:szCs w:val="24"/>
        </w:rPr>
      </w:pPr>
      <w:r>
        <w:rPr>
          <w:rFonts w:hint="eastAsia" w:ascii="仿宋" w:hAnsi="仿宋" w:eastAsia="仿宋" w:cs="仿宋"/>
          <w:kern w:val="0"/>
          <w:sz w:val="24"/>
          <w:szCs w:val="24"/>
        </w:rPr>
        <w:t>本项目弱电系统合同期维保费（人民币）：</w:t>
      </w:r>
      <w:r>
        <w:rPr>
          <w:rFonts w:hint="eastAsia" w:ascii="仿宋" w:hAnsi="仿宋" w:eastAsia="仿宋" w:cs="仿宋"/>
          <w:b/>
          <w:kern w:val="0"/>
          <w:sz w:val="24"/>
          <w:szCs w:val="24"/>
          <w:lang w:val="en-US" w:eastAsia="zh-CN"/>
        </w:rPr>
        <w:t>88500.00</w:t>
      </w:r>
      <w:r>
        <w:rPr>
          <w:rFonts w:hint="eastAsia" w:ascii="仿宋" w:hAnsi="仿宋" w:eastAsia="仿宋" w:cs="仿宋"/>
          <w:kern w:val="0"/>
          <w:sz w:val="24"/>
          <w:szCs w:val="24"/>
        </w:rPr>
        <w:t>元（大写：捌万捌仟伍佰元整）含</w:t>
      </w:r>
      <w:r>
        <w:rPr>
          <w:rFonts w:hint="eastAsia" w:ascii="仿宋" w:hAnsi="仿宋" w:eastAsia="仿宋" w:cs="仿宋"/>
          <w:color w:val="auto"/>
          <w:kern w:val="0"/>
          <w:sz w:val="24"/>
          <w:szCs w:val="24"/>
          <w:lang w:val="en-US" w:eastAsia="zh-CN"/>
        </w:rPr>
        <w:t>1%</w:t>
      </w:r>
      <w:r>
        <w:rPr>
          <w:rFonts w:hint="eastAsia" w:ascii="仿宋" w:hAnsi="仿宋" w:eastAsia="仿宋" w:cs="仿宋"/>
          <w:kern w:val="0"/>
          <w:sz w:val="24"/>
          <w:szCs w:val="24"/>
        </w:rPr>
        <w:t>增值税，不含税金额为人民币：</w:t>
      </w:r>
      <w:r>
        <w:rPr>
          <w:rFonts w:hint="eastAsia" w:ascii="仿宋" w:hAnsi="仿宋" w:eastAsia="仿宋" w:cs="仿宋"/>
          <w:b/>
          <w:kern w:val="0"/>
          <w:sz w:val="24"/>
          <w:szCs w:val="24"/>
        </w:rPr>
        <w:t>87623.76</w:t>
      </w:r>
      <w:r>
        <w:rPr>
          <w:rFonts w:hint="eastAsia" w:ascii="仿宋" w:hAnsi="仿宋" w:eastAsia="仿宋" w:cs="仿宋"/>
          <w:kern w:val="0"/>
          <w:sz w:val="24"/>
          <w:szCs w:val="24"/>
        </w:rPr>
        <w:t>元 （大写：捌万柒仟陆佰贰拾叁元柒角陆分），税额为人民币：</w:t>
      </w:r>
      <w:r>
        <w:rPr>
          <w:rFonts w:hint="eastAsia" w:ascii="仿宋" w:hAnsi="仿宋" w:eastAsia="仿宋" w:cs="仿宋"/>
          <w:b/>
          <w:bCs/>
          <w:sz w:val="24"/>
          <w:szCs w:val="24"/>
          <w:lang w:val="en-US" w:eastAsia="zh-CN"/>
        </w:rPr>
        <w:t>876.24</w:t>
      </w:r>
      <w:r>
        <w:rPr>
          <w:rFonts w:hint="eastAsia" w:ascii="仿宋" w:hAnsi="仿宋" w:eastAsia="仿宋" w:cs="仿宋"/>
          <w:kern w:val="0"/>
          <w:sz w:val="24"/>
          <w:szCs w:val="24"/>
        </w:rPr>
        <w:t>元（大写：</w:t>
      </w:r>
      <w:r>
        <w:rPr>
          <w:rFonts w:hint="eastAsia" w:ascii="仿宋" w:hAnsi="仿宋" w:eastAsia="仿宋" w:cs="仿宋"/>
          <w:kern w:val="0"/>
          <w:sz w:val="24"/>
          <w:szCs w:val="24"/>
          <w:lang w:val="en-US" w:eastAsia="zh-CN"/>
        </w:rPr>
        <w:t>捌佰柒拾陆元贰角肆分</w:t>
      </w:r>
      <w:r>
        <w:rPr>
          <w:rFonts w:hint="eastAsia" w:ascii="仿宋" w:hAnsi="仿宋" w:eastAsia="仿宋" w:cs="仿宋"/>
          <w:kern w:val="0"/>
          <w:sz w:val="24"/>
          <w:szCs w:val="24"/>
        </w:rPr>
        <w:t>）。</w:t>
      </w:r>
    </w:p>
    <w:p w14:paraId="47AD6B8F">
      <w:pPr>
        <w:spacing w:line="360" w:lineRule="auto"/>
        <w:ind w:left="1" w:firstLine="479" w:firstLineChars="199"/>
        <w:jc w:val="left"/>
        <w:rPr>
          <w:rFonts w:hint="default" w:ascii="仿宋" w:hAnsi="仿宋" w:eastAsia="仿宋" w:cs="仿宋"/>
          <w:sz w:val="24"/>
          <w:szCs w:val="24"/>
          <w:u w:val="single"/>
          <w:lang w:val="en-US" w:eastAsia="zh-CN"/>
        </w:rPr>
      </w:pPr>
      <w:r>
        <w:rPr>
          <w:rFonts w:hint="eastAsia" w:ascii="仿宋" w:hAnsi="仿宋" w:eastAsia="仿宋" w:cs="仿宋"/>
          <w:b/>
          <w:bCs/>
          <w:sz w:val="24"/>
          <w:szCs w:val="24"/>
        </w:rPr>
        <w:t>第五条  履约保证金</w:t>
      </w:r>
    </w:p>
    <w:p w14:paraId="08EA5580">
      <w:pPr>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 xml:space="preserve"> 履约保证金按合同总额的8%收取，为人民币</w:t>
      </w:r>
      <w:r>
        <w:rPr>
          <w:rFonts w:hint="eastAsia" w:ascii="仿宋" w:hAnsi="仿宋" w:eastAsia="仿宋" w:cs="仿宋"/>
          <w:sz w:val="24"/>
          <w:szCs w:val="24"/>
          <w:lang w:val="en-US" w:eastAsia="zh-CN"/>
        </w:rPr>
        <w:t>7080.00</w:t>
      </w:r>
      <w:r>
        <w:rPr>
          <w:rFonts w:hint="eastAsia" w:ascii="仿宋" w:hAnsi="仿宋" w:eastAsia="仿宋" w:cs="仿宋"/>
          <w:sz w:val="24"/>
          <w:szCs w:val="24"/>
        </w:rPr>
        <w:t>元(大写：</w:t>
      </w:r>
      <w:r>
        <w:rPr>
          <w:rFonts w:hint="eastAsia" w:ascii="仿宋" w:hAnsi="仿宋" w:eastAsia="仿宋" w:cs="仿宋"/>
          <w:sz w:val="24"/>
          <w:szCs w:val="24"/>
          <w:lang w:val="en-US" w:eastAsia="zh-CN"/>
        </w:rPr>
        <w:t>柒仟零捌拾元整</w:t>
      </w:r>
      <w:r>
        <w:rPr>
          <w:rFonts w:hint="eastAsia" w:ascii="仿宋" w:hAnsi="仿宋" w:eastAsia="仿宋" w:cs="仿宋"/>
          <w:sz w:val="24"/>
          <w:szCs w:val="24"/>
        </w:rPr>
        <w:t>)。按照招标文件规定，乙方应在本合同签订之日起 7 日内缴纳履约保证金。履约保证金返还事宜根据下述情形 ：履约保证金与每月服务考核合并取平均值结算，90分以上不扣费用（包含90分），90分以下（不包含90）每下降一分扣除</w:t>
      </w:r>
      <w:r>
        <w:rPr>
          <w:rFonts w:hint="eastAsia" w:ascii="仿宋" w:hAnsi="仿宋" w:eastAsia="仿宋" w:cs="仿宋"/>
          <w:sz w:val="24"/>
          <w:szCs w:val="24"/>
          <w:lang w:val="en-US" w:eastAsia="zh-CN"/>
        </w:rPr>
        <w:t>季度维保</w:t>
      </w:r>
      <w:r>
        <w:rPr>
          <w:rFonts w:hint="eastAsia" w:ascii="仿宋" w:hAnsi="仿宋" w:eastAsia="仿宋" w:cs="仿宋"/>
          <w:sz w:val="24"/>
          <w:szCs w:val="24"/>
        </w:rPr>
        <w:t>费用的1%，75分以下扣除</w:t>
      </w:r>
      <w:r>
        <w:rPr>
          <w:rFonts w:hint="eastAsia" w:ascii="仿宋" w:hAnsi="仿宋" w:eastAsia="仿宋" w:cs="仿宋"/>
          <w:sz w:val="24"/>
          <w:szCs w:val="24"/>
          <w:lang w:val="en-US" w:eastAsia="zh-CN"/>
        </w:rPr>
        <w:t>50%季度维保费用，连续三个月低于75分甲方有权无责与乙方解除维保合同</w:t>
      </w:r>
      <w:r>
        <w:rPr>
          <w:rFonts w:hint="eastAsia" w:ascii="仿宋" w:hAnsi="仿宋" w:eastAsia="仿宋" w:cs="仿宋"/>
          <w:sz w:val="24"/>
          <w:szCs w:val="24"/>
        </w:rPr>
        <w:t>。</w:t>
      </w:r>
    </w:p>
    <w:p w14:paraId="57BA2C80">
      <w:pPr>
        <w:spacing w:line="360" w:lineRule="auto"/>
        <w:ind w:firstLine="482" w:firstLineChars="200"/>
        <w:outlineLvl w:val="0"/>
        <w:rPr>
          <w:rFonts w:ascii="仿宋" w:hAnsi="仿宋" w:eastAsia="仿宋" w:cs="仿宋"/>
          <w:b/>
          <w:bCs/>
          <w:kern w:val="0"/>
          <w:sz w:val="24"/>
          <w:szCs w:val="24"/>
        </w:rPr>
      </w:pPr>
      <w:r>
        <w:rPr>
          <w:rFonts w:hint="eastAsia" w:ascii="仿宋" w:hAnsi="仿宋" w:eastAsia="仿宋" w:cs="仿宋"/>
          <w:b/>
          <w:bCs/>
          <w:kern w:val="0"/>
          <w:sz w:val="24"/>
          <w:szCs w:val="24"/>
        </w:rPr>
        <w:t>第六条 结算</w:t>
      </w:r>
    </w:p>
    <w:p w14:paraId="7D8A67AA">
      <w:pPr>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1、甲方按季度（节假日顺延）凭乙方提供的增值税专用发票支付乙方上季度的弱电系统维保费及其他费用。</w:t>
      </w:r>
    </w:p>
    <w:p w14:paraId="7780361E">
      <w:pPr>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2、每月对乙方维护保养服务进行考核，考核成绩与年度</w:t>
      </w:r>
      <w:r>
        <w:rPr>
          <w:rFonts w:hint="eastAsia" w:ascii="仿宋" w:hAnsi="仿宋" w:eastAsia="仿宋" w:cs="仿宋"/>
          <w:sz w:val="24"/>
          <w:szCs w:val="24"/>
        </w:rPr>
        <w:t>第三方满意度调查结果合并取平均值。</w:t>
      </w:r>
    </w:p>
    <w:p w14:paraId="40C8F49F">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3、支付方式：甲方支付方式为以支票或转账方式支付至乙方指定帐户。</w:t>
      </w:r>
    </w:p>
    <w:p w14:paraId="2225D5CC">
      <w:pPr>
        <w:autoSpaceDE w:val="0"/>
        <w:autoSpaceDN w:val="0"/>
        <w:adjustRightIn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户  名：武汉博远众达网络工程有限公司</w:t>
      </w:r>
      <w:r>
        <w:rPr>
          <w:rFonts w:hint="eastAsia" w:ascii="仿宋" w:hAnsi="仿宋" w:eastAsia="仿宋" w:cs="仿宋"/>
          <w:bCs/>
          <w:kern w:val="0"/>
          <w:sz w:val="24"/>
          <w:szCs w:val="24"/>
        </w:rPr>
        <w:t xml:space="preserve">    </w:t>
      </w:r>
    </w:p>
    <w:p w14:paraId="6369437E">
      <w:pPr>
        <w:autoSpaceDE w:val="0"/>
        <w:autoSpaceDN w:val="0"/>
        <w:adjustRightIn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 xml:space="preserve">纳税人识别号：91420107MA4KX35TX5 </w:t>
      </w:r>
      <w:r>
        <w:rPr>
          <w:rFonts w:hint="eastAsia" w:ascii="仿宋" w:hAnsi="仿宋" w:eastAsia="仿宋" w:cs="仿宋"/>
          <w:bCs/>
          <w:kern w:val="0"/>
          <w:sz w:val="24"/>
          <w:szCs w:val="24"/>
        </w:rPr>
        <w:t xml:space="preserve">    </w:t>
      </w:r>
    </w:p>
    <w:p w14:paraId="6ED590CE">
      <w:pPr>
        <w:autoSpaceDE w:val="0"/>
        <w:autoSpaceDN w:val="0"/>
        <w:adjustRightIn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 xml:space="preserve">地址:武汉市青山区建一综合市场361号  </w:t>
      </w:r>
      <w:r>
        <w:rPr>
          <w:rFonts w:hint="eastAsia" w:ascii="仿宋" w:hAnsi="仿宋" w:eastAsia="仿宋" w:cs="仿宋"/>
          <w:bCs/>
          <w:kern w:val="0"/>
          <w:sz w:val="24"/>
          <w:szCs w:val="24"/>
        </w:rPr>
        <w:t xml:space="preserve">   </w:t>
      </w:r>
    </w:p>
    <w:p w14:paraId="35701893">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开户行：湖北银行股份有限公司武汉中北路支行</w:t>
      </w:r>
    </w:p>
    <w:p w14:paraId="7F357FB3">
      <w:pPr>
        <w:autoSpaceDE w:val="0"/>
        <w:autoSpaceDN w:val="0"/>
        <w:adjustRightIn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帐  号：101500120100012068</w:t>
      </w:r>
    </w:p>
    <w:p w14:paraId="7838DF78">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rPr>
        <w:t>4</w:t>
      </w:r>
      <w:r>
        <w:rPr>
          <w:rFonts w:hint="eastAsia" w:ascii="仿宋" w:hAnsi="仿宋" w:eastAsia="仿宋" w:cs="仿宋"/>
          <w:kern w:val="0"/>
          <w:sz w:val="24"/>
          <w:szCs w:val="24"/>
          <w:lang w:val="zh-CN"/>
        </w:rPr>
        <w:t>、甲方开发票信息</w:t>
      </w:r>
    </w:p>
    <w:p w14:paraId="7CEA728D">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公司名称：深圳市泰然物业管理服务有限公司武汉分公司</w:t>
      </w:r>
    </w:p>
    <w:p w14:paraId="44CB5095">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纳税人识别号：91420100799756801A</w:t>
      </w:r>
    </w:p>
    <w:p w14:paraId="2980675B">
      <w:pPr>
        <w:spacing w:line="360" w:lineRule="auto"/>
        <w:ind w:left="1679" w:leftChars="228" w:hanging="1200" w:hangingChars="500"/>
        <w:rPr>
          <w:rFonts w:ascii="仿宋" w:hAnsi="仿宋" w:eastAsia="仿宋" w:cs="仿宋"/>
          <w:kern w:val="0"/>
          <w:sz w:val="24"/>
          <w:szCs w:val="24"/>
        </w:rPr>
      </w:pPr>
      <w:r>
        <w:rPr>
          <w:rFonts w:hint="eastAsia" w:ascii="仿宋" w:hAnsi="仿宋" w:eastAsia="仿宋" w:cs="仿宋"/>
          <w:kern w:val="0"/>
          <w:sz w:val="24"/>
          <w:szCs w:val="24"/>
        </w:rPr>
        <w:t>地址、电话：武汉市洪山区狮子山街狮子山北路</w:t>
      </w:r>
      <w:r>
        <w:rPr>
          <w:rFonts w:ascii="仿宋" w:hAnsi="仿宋" w:eastAsia="仿宋" w:cs="仿宋"/>
          <w:kern w:val="0"/>
          <w:sz w:val="24"/>
          <w:szCs w:val="24"/>
        </w:rPr>
        <w:t>77</w:t>
      </w:r>
      <w:r>
        <w:rPr>
          <w:rFonts w:hint="eastAsia" w:ascii="仿宋" w:hAnsi="仿宋" w:eastAsia="仿宋" w:cs="仿宋"/>
          <w:kern w:val="0"/>
          <w:sz w:val="24"/>
          <w:szCs w:val="24"/>
        </w:rPr>
        <w:t>号泰然南湖玫瑰湾1</w:t>
      </w:r>
      <w:r>
        <w:rPr>
          <w:rFonts w:ascii="仿宋" w:hAnsi="仿宋" w:eastAsia="仿宋" w:cs="仿宋"/>
          <w:kern w:val="0"/>
          <w:sz w:val="24"/>
          <w:szCs w:val="24"/>
        </w:rPr>
        <w:t>6</w:t>
      </w:r>
      <w:r>
        <w:rPr>
          <w:rFonts w:hint="eastAsia" w:ascii="仿宋" w:hAnsi="仿宋" w:eastAsia="仿宋" w:cs="仿宋"/>
          <w:kern w:val="0"/>
          <w:sz w:val="24"/>
          <w:szCs w:val="24"/>
        </w:rPr>
        <w:t xml:space="preserve">栋1楼 </w:t>
      </w:r>
      <w:r>
        <w:rPr>
          <w:rFonts w:ascii="仿宋" w:hAnsi="仿宋" w:eastAsia="仿宋" w:cs="仿宋"/>
          <w:kern w:val="0"/>
          <w:sz w:val="24"/>
          <w:szCs w:val="24"/>
        </w:rPr>
        <w:t xml:space="preserve"> </w:t>
      </w:r>
      <w:r>
        <w:rPr>
          <w:rFonts w:hint="eastAsia" w:ascii="仿宋" w:hAnsi="仿宋" w:eastAsia="仿宋" w:cs="仿宋"/>
          <w:kern w:val="0"/>
          <w:sz w:val="24"/>
          <w:szCs w:val="24"/>
        </w:rPr>
        <w:t>027</w:t>
      </w:r>
      <w:r>
        <w:rPr>
          <w:rFonts w:ascii="仿宋" w:hAnsi="仿宋" w:eastAsia="仿宋" w:cs="仿宋"/>
          <w:kern w:val="0"/>
          <w:sz w:val="24"/>
          <w:szCs w:val="24"/>
        </w:rPr>
        <w:t>-</w:t>
      </w:r>
      <w:r>
        <w:rPr>
          <w:rFonts w:hint="eastAsia" w:ascii="仿宋" w:hAnsi="仿宋" w:eastAsia="仿宋" w:cs="仿宋"/>
          <w:kern w:val="0"/>
          <w:sz w:val="24"/>
          <w:szCs w:val="24"/>
        </w:rPr>
        <w:t>87229683</w:t>
      </w:r>
    </w:p>
    <w:p w14:paraId="5C4E5288">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开户行及账号：招商银行</w:t>
      </w:r>
      <w:r>
        <w:rPr>
          <w:rFonts w:hint="eastAsia" w:ascii="仿宋" w:hAnsi="仿宋" w:eastAsia="仿宋" w:cs="仿宋"/>
          <w:kern w:val="0"/>
          <w:sz w:val="24"/>
          <w:szCs w:val="24"/>
          <w:lang w:eastAsia="zh-CN"/>
        </w:rPr>
        <w:t>武汉洪山</w:t>
      </w:r>
      <w:r>
        <w:rPr>
          <w:rFonts w:hint="eastAsia" w:ascii="仿宋" w:hAnsi="仿宋" w:eastAsia="仿宋" w:cs="仿宋"/>
          <w:kern w:val="0"/>
          <w:sz w:val="24"/>
          <w:szCs w:val="24"/>
        </w:rPr>
        <w:t>支行272281094410001</w:t>
      </w:r>
    </w:p>
    <w:p w14:paraId="21B7E102">
      <w:pPr>
        <w:spacing w:line="360" w:lineRule="auto"/>
        <w:ind w:firstLine="482" w:firstLineChars="200"/>
        <w:outlineLvl w:val="0"/>
        <w:rPr>
          <w:rFonts w:ascii="仿宋" w:hAnsi="仿宋" w:eastAsia="仿宋" w:cs="仿宋"/>
          <w:b/>
          <w:bCs/>
          <w:kern w:val="0"/>
          <w:sz w:val="24"/>
          <w:szCs w:val="24"/>
          <w:u w:val="single"/>
        </w:rPr>
      </w:pPr>
      <w:r>
        <w:rPr>
          <w:rFonts w:hint="eastAsia" w:ascii="仿宋" w:hAnsi="仿宋" w:eastAsia="仿宋" w:cs="仿宋"/>
          <w:b/>
          <w:bCs/>
          <w:sz w:val="24"/>
          <w:szCs w:val="24"/>
        </w:rPr>
        <w:t>第</w:t>
      </w:r>
      <w:r>
        <w:rPr>
          <w:rFonts w:hint="eastAsia" w:ascii="仿宋" w:hAnsi="仿宋" w:eastAsia="仿宋" w:cs="仿宋"/>
          <w:b/>
          <w:bCs/>
          <w:kern w:val="0"/>
          <w:sz w:val="24"/>
          <w:szCs w:val="24"/>
        </w:rPr>
        <w:t>七</w:t>
      </w:r>
      <w:r>
        <w:rPr>
          <w:rFonts w:hint="eastAsia" w:ascii="仿宋" w:hAnsi="仿宋" w:eastAsia="仿宋" w:cs="仿宋"/>
          <w:b/>
          <w:bCs/>
          <w:sz w:val="24"/>
          <w:szCs w:val="24"/>
        </w:rPr>
        <w:t>条  甲方权利、义务</w:t>
      </w:r>
    </w:p>
    <w:p w14:paraId="05239451">
      <w:pPr>
        <w:spacing w:line="360" w:lineRule="auto"/>
        <w:ind w:firstLine="361" w:firstLineChars="150"/>
        <w:outlineLvl w:val="0"/>
        <w:rPr>
          <w:rFonts w:ascii="仿宋" w:hAnsi="仿宋" w:eastAsia="仿宋" w:cs="仿宋"/>
          <w:b/>
          <w:bCs/>
          <w:sz w:val="24"/>
          <w:szCs w:val="24"/>
        </w:rPr>
      </w:pPr>
      <w:r>
        <w:rPr>
          <w:rFonts w:hint="eastAsia" w:ascii="仿宋" w:hAnsi="仿宋" w:eastAsia="仿宋" w:cs="仿宋"/>
          <w:b/>
          <w:bCs/>
          <w:sz w:val="24"/>
          <w:szCs w:val="24"/>
        </w:rPr>
        <w:t>（一）权利</w:t>
      </w:r>
    </w:p>
    <w:p w14:paraId="58B71CB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1、甲方监督检查乙方依照合同约定实施维保计划的情况，监督经乙方维保后的</w:t>
      </w:r>
      <w:r>
        <w:rPr>
          <w:rFonts w:hint="eastAsia" w:ascii="仿宋" w:hAnsi="仿宋" w:eastAsia="仿宋" w:cs="仿宋"/>
          <w:kern w:val="0"/>
          <w:sz w:val="24"/>
          <w:szCs w:val="24"/>
        </w:rPr>
        <w:t>弱电系统是否符合法律法规、安全技术规范、强制性标准和弱电系统制造单位的技术要求，并每月对乙方维修保养质量进行考核，考核细则见附件三</w:t>
      </w:r>
      <w:r>
        <w:rPr>
          <w:rFonts w:hint="eastAsia" w:ascii="仿宋" w:hAnsi="仿宋" w:eastAsia="仿宋" w:cs="仿宋"/>
          <w:sz w:val="24"/>
          <w:szCs w:val="24"/>
        </w:rPr>
        <w:t>《南湖玫瑰湾弱电系统外委单位月度考核表》。</w:t>
      </w:r>
    </w:p>
    <w:p w14:paraId="3EB162A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甲方检查受乙方委派为本单位弱电系统提供维保服务人员的持证上岗情况，有权拒绝无证人员开展维保活动。有权要求乙方人员服从本单位现场安全管理，对不服从现场安全管理的乙方人员，有权要求乙方更换人员。</w:t>
      </w:r>
    </w:p>
    <w:p w14:paraId="58E69BBE">
      <w:pPr>
        <w:spacing w:line="360" w:lineRule="auto"/>
        <w:ind w:firstLine="241" w:firstLineChars="100"/>
        <w:outlineLvl w:val="0"/>
        <w:rPr>
          <w:rFonts w:ascii="仿宋" w:hAnsi="仿宋" w:eastAsia="仿宋" w:cs="仿宋"/>
          <w:b/>
          <w:bCs/>
          <w:sz w:val="24"/>
          <w:szCs w:val="24"/>
        </w:rPr>
      </w:pPr>
      <w:r>
        <w:rPr>
          <w:rFonts w:hint="eastAsia" w:ascii="仿宋" w:hAnsi="仿宋" w:eastAsia="仿宋" w:cs="仿宋"/>
          <w:b/>
          <w:bCs/>
          <w:sz w:val="24"/>
          <w:szCs w:val="24"/>
        </w:rPr>
        <w:t>（二）义务</w:t>
      </w:r>
    </w:p>
    <w:p w14:paraId="5DF56AD8">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1、建立弱电系统安全运行的相关管理架构、制度，确保制度、人员、资金落实到位。</w:t>
      </w:r>
    </w:p>
    <w:p w14:paraId="1CCF32D0">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2、按照合同约定按期支付维保费和经甲方确认支付的零部件更换费用及其他费用。</w:t>
      </w:r>
    </w:p>
    <w:p w14:paraId="450477FA">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3、</w:t>
      </w:r>
      <w:r>
        <w:rPr>
          <w:rFonts w:hint="eastAsia" w:ascii="仿宋" w:hAnsi="仿宋" w:eastAsia="仿宋" w:cs="仿宋"/>
          <w:sz w:val="24"/>
          <w:szCs w:val="24"/>
        </w:rPr>
        <w:t>配备持有弱电系统安全管理员资格证件的人员</w:t>
      </w:r>
      <w:r>
        <w:rPr>
          <w:rFonts w:hint="eastAsia" w:ascii="仿宋" w:hAnsi="仿宋" w:eastAsia="仿宋" w:cs="仿宋"/>
          <w:kern w:val="0"/>
          <w:sz w:val="24"/>
          <w:szCs w:val="24"/>
        </w:rPr>
        <w:t>负责弱电系统的日常安全管理工作，并在更换弱电系统管理人员时及时通知乙方。督促</w:t>
      </w:r>
      <w:r>
        <w:rPr>
          <w:rFonts w:hint="eastAsia" w:ascii="仿宋" w:hAnsi="仿宋" w:eastAsia="仿宋" w:cs="仿宋"/>
          <w:sz w:val="24"/>
          <w:szCs w:val="24"/>
        </w:rPr>
        <w:t>弱电系统安全管理人员</w:t>
      </w:r>
      <w:r>
        <w:rPr>
          <w:rFonts w:hint="eastAsia" w:ascii="仿宋" w:hAnsi="仿宋" w:eastAsia="仿宋" w:cs="仿宋"/>
          <w:kern w:val="0"/>
          <w:sz w:val="24"/>
          <w:szCs w:val="24"/>
        </w:rPr>
        <w:t>按照弱电系统使用检查表完成弱电系统的日常检查工作和每月检查工作，并严格按照弱电系统钥匙使用管理有关要求对弱电系统钥匙进行管理，实行钥匙领用登记，不将弱电系统钥匙交给非持证人员使用。</w:t>
      </w:r>
    </w:p>
    <w:p w14:paraId="42EC7166">
      <w:pPr>
        <w:spacing w:line="360" w:lineRule="auto"/>
        <w:ind w:firstLine="480" w:firstLineChars="200"/>
        <w:rPr>
          <w:rFonts w:ascii="仿宋" w:hAnsi="仿宋" w:eastAsia="仿宋" w:cs="仿宋"/>
          <w:sz w:val="24"/>
          <w:szCs w:val="24"/>
        </w:rPr>
      </w:pPr>
      <w:r>
        <w:rPr>
          <w:rFonts w:hint="eastAsia" w:ascii="仿宋" w:hAnsi="仿宋" w:eastAsia="仿宋" w:cs="仿宋"/>
          <w:kern w:val="0"/>
          <w:sz w:val="24"/>
          <w:szCs w:val="24"/>
        </w:rPr>
        <w:t>4、督促</w:t>
      </w:r>
      <w:r>
        <w:rPr>
          <w:rFonts w:hint="eastAsia" w:ascii="仿宋" w:hAnsi="仿宋" w:eastAsia="仿宋" w:cs="仿宋"/>
          <w:sz w:val="24"/>
          <w:szCs w:val="24"/>
        </w:rPr>
        <w:t>弱电系统安全管理人员</w:t>
      </w:r>
      <w:r>
        <w:rPr>
          <w:rFonts w:hint="eastAsia" w:ascii="仿宋" w:hAnsi="仿宋" w:eastAsia="仿宋" w:cs="仿宋"/>
          <w:kern w:val="0"/>
          <w:sz w:val="24"/>
          <w:szCs w:val="24"/>
        </w:rPr>
        <w:t>现场监督检查乙方的弱电系统保养工作过程和工作结果、对乙方的维保记录、修理记录签字确认，</w:t>
      </w:r>
      <w:r>
        <w:rPr>
          <w:rFonts w:hint="eastAsia" w:ascii="仿宋" w:hAnsi="仿宋" w:eastAsia="仿宋" w:cs="仿宋"/>
          <w:sz w:val="24"/>
          <w:szCs w:val="24"/>
        </w:rPr>
        <w:t>签收乙方提交的与弱电系统维保工作有关的文件。</w:t>
      </w:r>
    </w:p>
    <w:p w14:paraId="29C0FF1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kern w:val="0"/>
          <w:sz w:val="24"/>
          <w:szCs w:val="24"/>
        </w:rPr>
        <w:t>弱电系统发生故障或异常情况时应当立即停止使用，并做好相关安全防护措施。在弱电系统的日常使用时间内，确保值班人员可靠接收报警电话、警铃装置发出的求救信号，及时通知乙方抢修，并详细记录相关工作的具体时间。</w:t>
      </w:r>
    </w:p>
    <w:p w14:paraId="5977B775">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6、</w:t>
      </w:r>
      <w:r>
        <w:rPr>
          <w:rFonts w:hint="eastAsia" w:ascii="仿宋" w:hAnsi="仿宋" w:eastAsia="仿宋" w:cs="仿宋"/>
          <w:sz w:val="24"/>
          <w:szCs w:val="24"/>
        </w:rPr>
        <w:t>制订有关弱电系统应急救援预案，每年至少一次定期开展应急救援演练，确保应急系统运行有效。</w:t>
      </w:r>
    </w:p>
    <w:p w14:paraId="3B50D2CB">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7、保证弱电系统供电、消防、防雷、通风等系统安全可靠，满足国家标准规定。</w:t>
      </w:r>
    </w:p>
    <w:p w14:paraId="362BCEE4">
      <w:pPr>
        <w:spacing w:line="360" w:lineRule="auto"/>
        <w:ind w:firstLine="500" w:firstLineChars="200"/>
        <w:rPr>
          <w:rFonts w:ascii="仿宋" w:hAnsi="仿宋" w:eastAsia="仿宋" w:cs="仿宋"/>
          <w:spacing w:val="5"/>
          <w:kern w:val="0"/>
          <w:sz w:val="24"/>
          <w:szCs w:val="24"/>
        </w:rPr>
      </w:pPr>
      <w:r>
        <w:rPr>
          <w:rFonts w:hint="eastAsia" w:ascii="仿宋" w:hAnsi="仿宋" w:eastAsia="仿宋" w:cs="仿宋"/>
          <w:spacing w:val="5"/>
          <w:kern w:val="0"/>
          <w:sz w:val="24"/>
          <w:szCs w:val="24"/>
        </w:rPr>
        <w:t>8、弱电系统机房控制柜以外的供电设施以及弱电系统机房排风、防雨设备、正常照明及应急照明维修保养由甲方负责，乙方协助。</w:t>
      </w:r>
    </w:p>
    <w:p w14:paraId="50F32656">
      <w:pPr>
        <w:spacing w:line="360" w:lineRule="auto"/>
        <w:ind w:right="-132" w:rightChars="-63" w:firstLine="500" w:firstLineChars="200"/>
        <w:rPr>
          <w:rFonts w:ascii="仿宋" w:hAnsi="仿宋" w:eastAsia="仿宋" w:cs="仿宋"/>
          <w:spacing w:val="5"/>
          <w:kern w:val="0"/>
          <w:sz w:val="24"/>
          <w:szCs w:val="24"/>
        </w:rPr>
      </w:pPr>
      <w:r>
        <w:rPr>
          <w:rFonts w:hint="eastAsia" w:ascii="仿宋" w:hAnsi="仿宋" w:eastAsia="仿宋" w:cs="仿宋"/>
          <w:spacing w:val="5"/>
          <w:kern w:val="0"/>
          <w:sz w:val="24"/>
          <w:szCs w:val="24"/>
        </w:rPr>
        <w:t>9、如遇井坑被水淹则应及时将水排出，乙方应免费协助，以便甲方进行清理，如甲方不及时清理，发生意外，责任由甲方承担。</w:t>
      </w:r>
    </w:p>
    <w:p w14:paraId="7DEE6A42">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10、为乙方提供维保所需的工作环境，保证机房无漏水、渗水现象。通往机房安全门的通道畅通、照明充分。</w:t>
      </w:r>
    </w:p>
    <w:p w14:paraId="1E606C67">
      <w:pPr>
        <w:spacing w:line="360" w:lineRule="auto"/>
        <w:ind w:firstLine="480" w:firstLineChars="200"/>
        <w:rPr>
          <w:rFonts w:ascii="仿宋" w:hAnsi="仿宋" w:eastAsia="仿宋" w:cs="仿宋"/>
          <w:kern w:val="0"/>
          <w:sz w:val="24"/>
          <w:szCs w:val="24"/>
        </w:rPr>
      </w:pPr>
      <w:r>
        <w:rPr>
          <w:rFonts w:hint="eastAsia" w:ascii="仿宋" w:hAnsi="仿宋" w:eastAsia="仿宋" w:cs="仿宋"/>
          <w:sz w:val="24"/>
          <w:szCs w:val="24"/>
        </w:rPr>
        <w:t>11、采取有效措施监控弱电系统使用情况，积极主动开展文明宣传活动，及时制止或恶意破坏弱电系统的行为。</w:t>
      </w:r>
    </w:p>
    <w:p w14:paraId="6C3454BD">
      <w:pPr>
        <w:spacing w:line="360" w:lineRule="auto"/>
        <w:ind w:firstLine="480" w:firstLineChars="200"/>
        <w:rPr>
          <w:rFonts w:ascii="仿宋" w:hAnsi="仿宋" w:eastAsia="仿宋" w:cs="仿宋"/>
          <w:kern w:val="0"/>
          <w:sz w:val="24"/>
          <w:szCs w:val="24"/>
        </w:rPr>
      </w:pPr>
      <w:r>
        <w:rPr>
          <w:rFonts w:hint="eastAsia" w:ascii="仿宋" w:hAnsi="仿宋" w:eastAsia="仿宋" w:cs="仿宋"/>
          <w:sz w:val="24"/>
          <w:szCs w:val="24"/>
        </w:rPr>
        <w:t>12、未经</w:t>
      </w:r>
      <w:r>
        <w:rPr>
          <w:rFonts w:hint="eastAsia" w:ascii="仿宋" w:hAnsi="仿宋" w:eastAsia="仿宋" w:cs="仿宋"/>
          <w:kern w:val="0"/>
          <w:sz w:val="24"/>
          <w:szCs w:val="24"/>
        </w:rPr>
        <w:t>乙方书面许可不得允许非乙方人员从事与弱电系统维保有关的工作。</w:t>
      </w:r>
    </w:p>
    <w:p w14:paraId="4D66F1FC">
      <w:pPr>
        <w:spacing w:line="360" w:lineRule="auto"/>
        <w:ind w:firstLine="480" w:firstLineChars="200"/>
        <w:rPr>
          <w:rFonts w:ascii="仿宋" w:hAnsi="仿宋" w:eastAsia="仿宋" w:cs="仿宋"/>
          <w:kern w:val="0"/>
          <w:sz w:val="24"/>
          <w:szCs w:val="24"/>
        </w:rPr>
      </w:pPr>
      <w:r>
        <w:rPr>
          <w:rFonts w:hint="eastAsia" w:ascii="仿宋" w:hAnsi="仿宋" w:eastAsia="仿宋" w:cs="仿宋"/>
          <w:sz w:val="24"/>
          <w:szCs w:val="24"/>
        </w:rPr>
        <w:t>13、应认真审核乙方</w:t>
      </w:r>
      <w:r>
        <w:rPr>
          <w:rFonts w:hint="eastAsia" w:ascii="仿宋" w:hAnsi="仿宋" w:eastAsia="仿宋" w:cs="仿宋"/>
          <w:kern w:val="0"/>
          <w:sz w:val="24"/>
          <w:szCs w:val="24"/>
        </w:rPr>
        <w:t>书面提出的更换弱电系统零部件要求，并在乙方书面要求的期限内书面予以答复并更换。</w:t>
      </w:r>
    </w:p>
    <w:p w14:paraId="6F27A458">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14、弱电系统因不可抗拒因素（如战争、火灾、水浸、风暴和地震等）所造成设备损坏、丢失的，甲方承担全部责任。</w:t>
      </w:r>
    </w:p>
    <w:p w14:paraId="1FC0D017">
      <w:pPr>
        <w:spacing w:line="360" w:lineRule="auto"/>
        <w:ind w:firstLine="482" w:firstLineChars="200"/>
        <w:outlineLvl w:val="0"/>
        <w:rPr>
          <w:rFonts w:ascii="仿宋" w:hAnsi="仿宋" w:eastAsia="仿宋" w:cs="仿宋"/>
          <w:b/>
          <w:bCs/>
          <w:sz w:val="24"/>
          <w:szCs w:val="24"/>
        </w:rPr>
      </w:pPr>
      <w:r>
        <w:rPr>
          <w:rFonts w:hint="eastAsia" w:ascii="仿宋" w:hAnsi="仿宋" w:eastAsia="仿宋" w:cs="仿宋"/>
          <w:b/>
          <w:bCs/>
          <w:sz w:val="24"/>
          <w:szCs w:val="24"/>
        </w:rPr>
        <w:t>第八条  乙方权利、义务</w:t>
      </w:r>
    </w:p>
    <w:p w14:paraId="3D683DF0">
      <w:pPr>
        <w:spacing w:line="360" w:lineRule="auto"/>
        <w:ind w:firstLine="482" w:firstLineChars="200"/>
        <w:outlineLvl w:val="0"/>
        <w:rPr>
          <w:rFonts w:ascii="仿宋" w:hAnsi="仿宋" w:eastAsia="仿宋" w:cs="仿宋"/>
          <w:b/>
          <w:bCs/>
          <w:sz w:val="24"/>
          <w:szCs w:val="24"/>
        </w:rPr>
      </w:pPr>
      <w:r>
        <w:rPr>
          <w:rFonts w:hint="eastAsia" w:ascii="仿宋" w:hAnsi="仿宋" w:eastAsia="仿宋" w:cs="仿宋"/>
          <w:b/>
          <w:bCs/>
          <w:kern w:val="0"/>
          <w:sz w:val="24"/>
          <w:szCs w:val="24"/>
        </w:rPr>
        <w:t>（一）</w:t>
      </w:r>
      <w:r>
        <w:rPr>
          <w:rFonts w:hint="eastAsia" w:ascii="仿宋" w:hAnsi="仿宋" w:eastAsia="仿宋" w:cs="仿宋"/>
          <w:b/>
          <w:bCs/>
          <w:sz w:val="24"/>
          <w:szCs w:val="24"/>
        </w:rPr>
        <w:t>权利</w:t>
      </w:r>
    </w:p>
    <w:p w14:paraId="67BD61DB">
      <w:pPr>
        <w:spacing w:line="360" w:lineRule="auto"/>
        <w:ind w:firstLine="540" w:firstLineChars="225"/>
        <w:rPr>
          <w:rFonts w:ascii="仿宋" w:hAnsi="仿宋" w:eastAsia="仿宋" w:cs="仿宋"/>
          <w:sz w:val="24"/>
          <w:szCs w:val="24"/>
        </w:rPr>
      </w:pPr>
      <w:r>
        <w:rPr>
          <w:rFonts w:hint="eastAsia" w:ascii="仿宋" w:hAnsi="仿宋" w:eastAsia="仿宋" w:cs="仿宋"/>
          <w:sz w:val="24"/>
          <w:szCs w:val="24"/>
        </w:rPr>
        <w:t>1、有权要求甲方提供维保所需的工作环境，查询弱电系统相关资料。</w:t>
      </w:r>
    </w:p>
    <w:p w14:paraId="6A36D68F">
      <w:pPr>
        <w:spacing w:line="360" w:lineRule="auto"/>
        <w:ind w:right="-197" w:rightChars="-94" w:firstLine="540" w:firstLineChars="225"/>
        <w:rPr>
          <w:rFonts w:ascii="仿宋" w:hAnsi="仿宋" w:eastAsia="仿宋" w:cs="仿宋"/>
          <w:sz w:val="24"/>
          <w:szCs w:val="24"/>
        </w:rPr>
      </w:pPr>
      <w:r>
        <w:rPr>
          <w:rFonts w:hint="eastAsia" w:ascii="仿宋" w:hAnsi="仿宋" w:eastAsia="仿宋" w:cs="仿宋"/>
          <w:sz w:val="24"/>
          <w:szCs w:val="24"/>
        </w:rPr>
        <w:t>2、当弱电系统存在安全隐患时，乙方有权采取措施及阻止冒险作业的权利。</w:t>
      </w:r>
    </w:p>
    <w:p w14:paraId="36B10BE6">
      <w:pPr>
        <w:spacing w:line="360" w:lineRule="auto"/>
        <w:ind w:firstLine="540" w:firstLineChars="225"/>
        <w:rPr>
          <w:rFonts w:ascii="仿宋" w:hAnsi="仿宋" w:eastAsia="仿宋" w:cs="仿宋"/>
          <w:sz w:val="24"/>
          <w:szCs w:val="24"/>
        </w:rPr>
      </w:pPr>
      <w:r>
        <w:rPr>
          <w:rFonts w:hint="eastAsia" w:ascii="仿宋" w:hAnsi="仿宋" w:eastAsia="仿宋" w:cs="仿宋"/>
          <w:sz w:val="24"/>
          <w:szCs w:val="24"/>
        </w:rPr>
        <w:t>3、有权拒绝甲方提出的影响弱电系统安全运行的要求。</w:t>
      </w:r>
    </w:p>
    <w:p w14:paraId="1DB291A5">
      <w:pPr>
        <w:spacing w:line="360" w:lineRule="auto"/>
        <w:ind w:firstLine="540" w:firstLineChars="225"/>
        <w:rPr>
          <w:rFonts w:ascii="仿宋" w:hAnsi="仿宋" w:eastAsia="仿宋" w:cs="仿宋"/>
          <w:sz w:val="24"/>
          <w:szCs w:val="24"/>
        </w:rPr>
      </w:pPr>
      <w:r>
        <w:rPr>
          <w:rFonts w:hint="eastAsia" w:ascii="仿宋" w:hAnsi="仿宋" w:eastAsia="仿宋" w:cs="仿宋"/>
          <w:sz w:val="24"/>
          <w:szCs w:val="24"/>
        </w:rPr>
        <w:t>4、有权对甲方不履行政府规定的检验情况进行监督。</w:t>
      </w:r>
    </w:p>
    <w:p w14:paraId="4F28530E">
      <w:pPr>
        <w:spacing w:line="360" w:lineRule="auto"/>
        <w:ind w:left="840" w:leftChars="228" w:hanging="361" w:hangingChars="150"/>
        <w:outlineLvl w:val="0"/>
        <w:rPr>
          <w:rFonts w:ascii="仿宋" w:hAnsi="仿宋" w:eastAsia="仿宋" w:cs="仿宋"/>
          <w:b/>
          <w:bCs/>
          <w:sz w:val="24"/>
          <w:szCs w:val="24"/>
        </w:rPr>
      </w:pPr>
      <w:r>
        <w:rPr>
          <w:rFonts w:hint="eastAsia" w:ascii="仿宋" w:hAnsi="仿宋" w:eastAsia="仿宋" w:cs="仿宋"/>
          <w:b/>
          <w:bCs/>
          <w:sz w:val="24"/>
          <w:szCs w:val="24"/>
        </w:rPr>
        <w:t>（二）义务</w:t>
      </w:r>
    </w:p>
    <w:p w14:paraId="051866B3">
      <w:pPr>
        <w:spacing w:line="360" w:lineRule="auto"/>
        <w:ind w:firstLine="540" w:firstLineChars="225"/>
        <w:rPr>
          <w:rFonts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kern w:val="0"/>
          <w:sz w:val="24"/>
          <w:szCs w:val="24"/>
        </w:rPr>
        <w:t>乙方实施维保后的弱电系统应符合安全技术规范、强制性标准和弱电系统制造单位的技术要求。</w:t>
      </w:r>
    </w:p>
    <w:p w14:paraId="05BA62BA">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2、乙方提供24小时的紧急救援服务，24小时紧急救援服务热线电话</w:t>
      </w:r>
      <w:r>
        <w:rPr>
          <w:rFonts w:hint="eastAsia" w:ascii="仿宋" w:hAnsi="仿宋" w:eastAsia="仿宋" w:cs="仿宋"/>
          <w:kern w:val="0"/>
          <w:sz w:val="24"/>
          <w:szCs w:val="24"/>
          <w:u w:val="none"/>
        </w:rPr>
        <w:t>：</w:t>
      </w:r>
      <w:r>
        <w:rPr>
          <w:rFonts w:hint="eastAsia" w:ascii="仿宋" w:hAnsi="仿宋" w:eastAsia="仿宋" w:cs="仿宋"/>
          <w:kern w:val="0"/>
          <w:sz w:val="24"/>
          <w:szCs w:val="24"/>
          <w:u w:val="single"/>
          <w:lang w:val="en-US" w:eastAsia="zh-CN"/>
        </w:rPr>
        <w:t>王波18062021287</w:t>
      </w:r>
      <w:r>
        <w:rPr>
          <w:rFonts w:hint="eastAsia" w:ascii="仿宋" w:hAnsi="仿宋" w:eastAsia="仿宋" w:cs="仿宋"/>
          <w:kern w:val="0"/>
          <w:sz w:val="24"/>
          <w:szCs w:val="24"/>
        </w:rPr>
        <w:t>。当弱电系统发生故障及其他紧急事故时，乙方应在接到甲方通知后2小时内赶到现场实施紧急救援；弱电系统发生一般性运行故障时，乙方应在接到甲方通知后24小时内赶到现场实施抢修。</w:t>
      </w:r>
    </w:p>
    <w:p w14:paraId="76AB8810">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3、乙方负责每台弱电系统保养周期不超过30天，按时派技术员工对上述弱电系统进行定期维护保养及调校工作。如需调整原保养计划，应提前5个工作日以书面形式通知甲方并经甲方书面同意后方可调整，但应保证保养时间间隔每台弱电系统不得超过30日，每月月底提供下月保养计划。</w:t>
      </w:r>
    </w:p>
    <w:p w14:paraId="39998F8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本合同签订30天内，乙方需以书面形式将委托到甲方现场作业人员的身份证复印件及其他有效证明文件递交甲方存档，原件备查。若乙方出现更换现场作业人员的情况，须以书面的形式告知甲方，并按要求向甲方提供替换人员的身份证复印件及其他有效证明文件，原件备查。</w:t>
      </w:r>
    </w:p>
    <w:p w14:paraId="3360477D">
      <w:pPr>
        <w:spacing w:line="360" w:lineRule="auto"/>
        <w:ind w:firstLine="480" w:firstLineChars="200"/>
        <w:rPr>
          <w:rFonts w:ascii="仿宋" w:hAnsi="仿宋" w:eastAsia="仿宋" w:cs="仿宋"/>
          <w:sz w:val="24"/>
          <w:szCs w:val="24"/>
        </w:rPr>
      </w:pPr>
      <w:r>
        <w:rPr>
          <w:rFonts w:hint="eastAsia" w:ascii="仿宋" w:hAnsi="仿宋" w:eastAsia="仿宋" w:cs="仿宋"/>
          <w:kern w:val="0"/>
          <w:sz w:val="24"/>
          <w:szCs w:val="24"/>
        </w:rPr>
        <w:t>5、乙方保证其及其工作人员具备履行本合同必须的有效期限内的资质，现场作业人员应具备相应的技术水平。</w:t>
      </w:r>
      <w:r>
        <w:rPr>
          <w:rFonts w:hint="eastAsia" w:ascii="仿宋" w:hAnsi="仿宋" w:eastAsia="仿宋" w:cs="仿宋"/>
          <w:sz w:val="24"/>
          <w:szCs w:val="24"/>
        </w:rPr>
        <w:t>为有效实施保养计划，乙方应安排熟悉所维保弱电系统原理、结构、性能、安全要求的作业人员负责维保工作。并督促其严格按照弱电系统使用要求、安全及技术规范进行维保。</w:t>
      </w:r>
    </w:p>
    <w:p w14:paraId="231D4C4D">
      <w:pPr>
        <w:spacing w:line="360" w:lineRule="auto"/>
        <w:ind w:firstLine="480" w:firstLineChars="200"/>
        <w:rPr>
          <w:rFonts w:ascii="仿宋" w:hAnsi="仿宋" w:eastAsia="仿宋" w:cs="仿宋"/>
          <w:kern w:val="0"/>
          <w:sz w:val="24"/>
          <w:szCs w:val="24"/>
        </w:rPr>
      </w:pPr>
      <w:r>
        <w:rPr>
          <w:rFonts w:hint="eastAsia" w:ascii="仿宋" w:hAnsi="仿宋" w:eastAsia="仿宋" w:cs="仿宋"/>
          <w:sz w:val="24"/>
          <w:szCs w:val="24"/>
        </w:rPr>
        <w:t>6、</w:t>
      </w:r>
      <w:r>
        <w:rPr>
          <w:rFonts w:hint="eastAsia" w:ascii="仿宋" w:hAnsi="仿宋" w:eastAsia="仿宋" w:cs="仿宋"/>
          <w:kern w:val="0"/>
          <w:sz w:val="24"/>
          <w:szCs w:val="24"/>
        </w:rPr>
        <w:t>作业过程中应服从甲方公司管理制度及现场安全管理，落实现场安全防护措施，保证作业安全。需要安全监护作业的内容应书面告知甲方，作业时，作业人员不得少于二人。</w:t>
      </w:r>
    </w:p>
    <w:p w14:paraId="4141A177">
      <w:pPr>
        <w:spacing w:line="360" w:lineRule="auto"/>
        <w:ind w:firstLine="480" w:firstLineChars="200"/>
        <w:rPr>
          <w:rFonts w:ascii="仿宋" w:hAnsi="仿宋" w:eastAsia="仿宋" w:cs="仿宋"/>
          <w:sz w:val="24"/>
          <w:szCs w:val="24"/>
        </w:rPr>
      </w:pPr>
      <w:r>
        <w:rPr>
          <w:rFonts w:hint="eastAsia" w:ascii="仿宋" w:hAnsi="仿宋" w:eastAsia="仿宋" w:cs="仿宋"/>
          <w:kern w:val="0"/>
          <w:sz w:val="24"/>
          <w:szCs w:val="24"/>
        </w:rPr>
        <w:t>7、现场需采取紧急措施时，应立即通知甲方并及时组织抢修。</w:t>
      </w:r>
    </w:p>
    <w:p w14:paraId="56F1CCD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8、协助甲方建立健全安全管理制度、安全技术档案、应急救援预案，配合甲方开展应急救援演练。</w:t>
      </w:r>
    </w:p>
    <w:p w14:paraId="12979DCF">
      <w:pPr>
        <w:spacing w:line="360" w:lineRule="auto"/>
        <w:ind w:firstLine="480" w:firstLineChars="200"/>
        <w:rPr>
          <w:rFonts w:ascii="仿宋" w:hAnsi="仿宋" w:eastAsia="仿宋" w:cs="仿宋"/>
          <w:sz w:val="24"/>
          <w:szCs w:val="24"/>
        </w:rPr>
      </w:pPr>
      <w:r>
        <w:rPr>
          <w:rFonts w:hint="eastAsia" w:ascii="仿宋" w:hAnsi="仿宋" w:eastAsia="仿宋" w:cs="仿宋"/>
          <w:kern w:val="0"/>
          <w:sz w:val="24"/>
          <w:szCs w:val="24"/>
        </w:rPr>
        <w:t>9、</w:t>
      </w:r>
      <w:r>
        <w:rPr>
          <w:rFonts w:hint="eastAsia" w:ascii="仿宋" w:hAnsi="仿宋" w:eastAsia="仿宋" w:cs="仿宋"/>
          <w:sz w:val="24"/>
          <w:szCs w:val="24"/>
        </w:rPr>
        <w:t>不得以任何形式将维保工作非法分包、转包。</w:t>
      </w:r>
    </w:p>
    <w:p w14:paraId="16E037FC">
      <w:pPr>
        <w:spacing w:line="360" w:lineRule="auto"/>
        <w:ind w:right="-197" w:rightChars="-94" w:firstLine="480" w:firstLineChars="200"/>
        <w:rPr>
          <w:rFonts w:ascii="仿宋" w:hAnsi="仿宋" w:eastAsia="仿宋" w:cs="仿宋"/>
          <w:sz w:val="24"/>
          <w:szCs w:val="24"/>
        </w:rPr>
      </w:pPr>
      <w:r>
        <w:rPr>
          <w:rFonts w:hint="eastAsia" w:ascii="仿宋" w:hAnsi="仿宋" w:eastAsia="仿宋" w:cs="仿宋"/>
          <w:sz w:val="24"/>
          <w:szCs w:val="24"/>
        </w:rPr>
        <w:t>10、乙方维保人员及有关人员所产生的费用（包括乙方维保人员的保险费）由乙方自行承担。</w:t>
      </w:r>
    </w:p>
    <w:p w14:paraId="17D3E40C">
      <w:pPr>
        <w:spacing w:line="360" w:lineRule="auto"/>
        <w:ind w:firstLine="472" w:firstLineChars="196"/>
        <w:outlineLvl w:val="0"/>
        <w:rPr>
          <w:rFonts w:ascii="仿宋" w:hAnsi="仿宋" w:eastAsia="仿宋" w:cs="仿宋"/>
          <w:b/>
          <w:bCs/>
          <w:sz w:val="24"/>
          <w:szCs w:val="24"/>
        </w:rPr>
      </w:pPr>
      <w:r>
        <w:rPr>
          <w:rFonts w:hint="eastAsia" w:ascii="仿宋" w:hAnsi="仿宋" w:eastAsia="仿宋" w:cs="仿宋"/>
          <w:b/>
          <w:bCs/>
          <w:sz w:val="24"/>
          <w:szCs w:val="24"/>
        </w:rPr>
        <w:t>第九条、质量保证：</w:t>
      </w:r>
    </w:p>
    <w:p w14:paraId="15C3B7C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1、乙方必须严格执行维修保养工作的操作程序，保证设备处于良好的运行状态，并保证符合现行法规规定的安全使用状态下运行。</w:t>
      </w:r>
    </w:p>
    <w:p w14:paraId="08828B1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2、乙方提供更换的各种零部件，必须是甲方认可的合格品，并保证有一定数量的备件。</w:t>
      </w:r>
    </w:p>
    <w:p w14:paraId="70923CC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乙方负责本合同内所有的设备每月故障率不超过1%；维保设备故障应急响应时间不超过30分钟，紧急情况（停电，弱电系统进水，发生火灾，发生地震）不超过30分钟；一般性设备故障处理时间不超过2小时，重大设备故障处理时间不超过48小时。</w:t>
      </w:r>
    </w:p>
    <w:p w14:paraId="7FA879BB">
      <w:pPr>
        <w:spacing w:line="360" w:lineRule="auto"/>
        <w:ind w:firstLine="477" w:firstLineChars="199"/>
        <w:rPr>
          <w:rFonts w:ascii="仿宋" w:hAnsi="仿宋" w:eastAsia="仿宋" w:cs="仿宋"/>
          <w:sz w:val="24"/>
          <w:szCs w:val="24"/>
        </w:rPr>
      </w:pPr>
      <w:r>
        <w:rPr>
          <w:rFonts w:hint="eastAsia" w:ascii="仿宋" w:hAnsi="仿宋" w:eastAsia="仿宋" w:cs="仿宋"/>
          <w:sz w:val="24"/>
          <w:szCs w:val="24"/>
        </w:rPr>
        <w:t>5、乙方保证维保设备保养周期不超过30天。</w:t>
      </w:r>
    </w:p>
    <w:p w14:paraId="0EBEE5E5">
      <w:pPr>
        <w:spacing w:line="360" w:lineRule="auto"/>
        <w:rPr>
          <w:rFonts w:ascii="仿宋" w:hAnsi="仿宋" w:eastAsia="仿宋" w:cs="仿宋"/>
          <w:b/>
          <w:bCs/>
          <w:sz w:val="24"/>
          <w:szCs w:val="24"/>
        </w:rPr>
      </w:pPr>
      <w:r>
        <w:rPr>
          <w:rFonts w:hint="eastAsia" w:ascii="仿宋" w:hAnsi="仿宋" w:eastAsia="仿宋" w:cs="仿宋"/>
          <w:sz w:val="24"/>
          <w:szCs w:val="24"/>
        </w:rPr>
        <w:t xml:space="preserve">    6、乙方指定的维修保养人员对本项目的所有设备进行保养和应急维修工作时，必须到甲方指定的弱电系统设备管理员处进行登记备案，并填写由甲乙双方都确认的维修保养记录，该记录作为甲乙双方违约赔偿的依据。</w:t>
      </w:r>
    </w:p>
    <w:p w14:paraId="7F1F57EF">
      <w:pPr>
        <w:spacing w:line="360" w:lineRule="auto"/>
        <w:ind w:firstLine="482" w:firstLineChars="200"/>
        <w:outlineLvl w:val="0"/>
        <w:rPr>
          <w:rFonts w:ascii="仿宋" w:hAnsi="仿宋" w:eastAsia="仿宋" w:cs="仿宋"/>
          <w:b/>
          <w:bCs/>
          <w:sz w:val="24"/>
          <w:szCs w:val="24"/>
        </w:rPr>
      </w:pPr>
      <w:r>
        <w:rPr>
          <w:rFonts w:hint="eastAsia" w:ascii="仿宋" w:hAnsi="仿宋" w:eastAsia="仿宋" w:cs="仿宋"/>
          <w:b/>
          <w:bCs/>
          <w:sz w:val="24"/>
          <w:szCs w:val="24"/>
        </w:rPr>
        <w:t>第十条  其他约定</w:t>
      </w:r>
    </w:p>
    <w:p w14:paraId="17C1AFC0">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w:t>
      </w:r>
      <w:r>
        <w:rPr>
          <w:rFonts w:hint="eastAsia" w:ascii="仿宋" w:hAnsi="仿宋" w:eastAsia="仿宋" w:cs="仿宋"/>
          <w:sz w:val="24"/>
          <w:szCs w:val="24"/>
        </w:rPr>
        <w:t>乙方正式接管后应对本合同约定的弱电系统进行详细的检查，检查结果需甲方签字确认，并作为弱电系统现状记录由甲、乙双方保存。</w:t>
      </w:r>
    </w:p>
    <w:p w14:paraId="215CB956">
      <w:pPr>
        <w:spacing w:line="360" w:lineRule="auto"/>
        <w:ind w:firstLine="480" w:firstLineChars="200"/>
        <w:rPr>
          <w:rFonts w:ascii="仿宋" w:hAnsi="仿宋" w:eastAsia="仿宋" w:cs="仿宋"/>
          <w:sz w:val="24"/>
          <w:szCs w:val="24"/>
        </w:rPr>
      </w:pPr>
      <w:r>
        <w:rPr>
          <w:rFonts w:hint="eastAsia" w:ascii="仿宋" w:hAnsi="仿宋" w:eastAsia="仿宋" w:cs="仿宋"/>
          <w:kern w:val="0"/>
          <w:sz w:val="24"/>
          <w:szCs w:val="24"/>
        </w:rPr>
        <w:t>2、</w:t>
      </w:r>
      <w:r>
        <w:rPr>
          <w:rFonts w:hint="eastAsia" w:ascii="仿宋" w:hAnsi="仿宋" w:eastAsia="仿宋" w:cs="仿宋"/>
          <w:sz w:val="24"/>
          <w:szCs w:val="24"/>
        </w:rPr>
        <w:t>甲方要求乙方提供本合同约定内容以外服务的，如强化保养、增加保养频次、安全保障需求、</w:t>
      </w:r>
      <w:r>
        <w:rPr>
          <w:rFonts w:hint="eastAsia" w:ascii="仿宋" w:hAnsi="仿宋" w:eastAsia="仿宋" w:cs="仿宋"/>
          <w:kern w:val="0"/>
          <w:sz w:val="24"/>
          <w:szCs w:val="24"/>
        </w:rPr>
        <w:t>驻场作业服务、</w:t>
      </w:r>
      <w:r>
        <w:rPr>
          <w:rFonts w:hint="eastAsia" w:ascii="仿宋" w:hAnsi="仿宋" w:eastAsia="仿宋" w:cs="仿宋"/>
          <w:sz w:val="24"/>
          <w:szCs w:val="24"/>
        </w:rPr>
        <w:t>增加检测内容和频次</w:t>
      </w:r>
      <w:r>
        <w:rPr>
          <w:rFonts w:hint="eastAsia" w:ascii="仿宋" w:hAnsi="仿宋" w:eastAsia="仿宋" w:cs="仿宋"/>
          <w:kern w:val="0"/>
          <w:sz w:val="24"/>
          <w:szCs w:val="24"/>
        </w:rPr>
        <w:t>等，</w:t>
      </w:r>
      <w:r>
        <w:rPr>
          <w:rFonts w:hint="eastAsia" w:ascii="仿宋" w:hAnsi="仿宋" w:eastAsia="仿宋" w:cs="仿宋"/>
          <w:sz w:val="24"/>
          <w:szCs w:val="24"/>
        </w:rPr>
        <w:t>双方均应以书面形式另行约定。</w:t>
      </w:r>
    </w:p>
    <w:p w14:paraId="7CC96466">
      <w:pPr>
        <w:spacing w:line="360" w:lineRule="auto"/>
        <w:ind w:firstLine="424" w:firstLineChars="177"/>
        <w:rPr>
          <w:rFonts w:ascii="仿宋" w:hAnsi="仿宋" w:eastAsia="仿宋" w:cs="仿宋"/>
          <w:kern w:val="0"/>
          <w:sz w:val="24"/>
          <w:szCs w:val="24"/>
        </w:rPr>
      </w:pPr>
      <w:r>
        <w:rPr>
          <w:rFonts w:hint="eastAsia" w:ascii="仿宋" w:hAnsi="仿宋" w:eastAsia="仿宋" w:cs="仿宋"/>
          <w:kern w:val="0"/>
          <w:sz w:val="24"/>
          <w:szCs w:val="24"/>
        </w:rPr>
        <w:t>3、本项目自合同生效之日起3个月为考察期，考察期间发生特种设备一般事故，甲方有权终止合同。</w:t>
      </w:r>
    </w:p>
    <w:p w14:paraId="180B7633">
      <w:pPr>
        <w:spacing w:line="360" w:lineRule="auto"/>
        <w:ind w:firstLine="424" w:firstLineChars="177"/>
        <w:rPr>
          <w:rFonts w:ascii="仿宋" w:hAnsi="仿宋" w:eastAsia="仿宋" w:cs="仿宋"/>
          <w:kern w:val="0"/>
          <w:sz w:val="24"/>
          <w:szCs w:val="24"/>
        </w:rPr>
      </w:pPr>
      <w:r>
        <w:rPr>
          <w:rFonts w:hint="eastAsia" w:ascii="仿宋" w:hAnsi="仿宋" w:eastAsia="仿宋" w:cs="仿宋"/>
          <w:kern w:val="0"/>
          <w:sz w:val="24"/>
          <w:szCs w:val="24"/>
        </w:rPr>
        <w:t>4、乙方维保期间发生严重事故，甲方有权终止合同并追偿相应损失。</w:t>
      </w:r>
    </w:p>
    <w:p w14:paraId="46126AE2">
      <w:pPr>
        <w:spacing w:line="360" w:lineRule="auto"/>
        <w:ind w:firstLine="424" w:firstLineChars="177"/>
        <w:rPr>
          <w:rFonts w:ascii="仿宋" w:hAnsi="仿宋" w:eastAsia="仿宋" w:cs="仿宋"/>
          <w:kern w:val="0"/>
          <w:sz w:val="24"/>
          <w:szCs w:val="24"/>
        </w:rPr>
      </w:pPr>
      <w:r>
        <w:rPr>
          <w:rFonts w:hint="eastAsia" w:ascii="仿宋" w:hAnsi="仿宋" w:eastAsia="仿宋" w:cs="仿宋"/>
          <w:kern w:val="0"/>
          <w:sz w:val="24"/>
          <w:szCs w:val="24"/>
        </w:rPr>
        <w:t>5、甲方连续三个月对乙方考核低于</w:t>
      </w:r>
      <w:r>
        <w:rPr>
          <w:rFonts w:hint="eastAsia" w:ascii="仿宋" w:hAnsi="仿宋" w:eastAsia="仿宋" w:cs="仿宋"/>
          <w:kern w:val="0"/>
          <w:sz w:val="24"/>
          <w:szCs w:val="24"/>
          <w:lang w:val="en-US" w:eastAsia="zh-CN"/>
        </w:rPr>
        <w:t>75</w:t>
      </w:r>
      <w:r>
        <w:rPr>
          <w:rFonts w:hint="eastAsia" w:ascii="仿宋" w:hAnsi="仿宋" w:eastAsia="仿宋" w:cs="仿宋"/>
          <w:kern w:val="0"/>
          <w:sz w:val="24"/>
          <w:szCs w:val="24"/>
        </w:rPr>
        <w:t>分，甲方有权终止合同。</w:t>
      </w:r>
    </w:p>
    <w:p w14:paraId="0D936C24">
      <w:pPr>
        <w:spacing w:line="360" w:lineRule="auto"/>
        <w:ind w:firstLine="424" w:firstLineChars="177"/>
        <w:jc w:val="left"/>
        <w:rPr>
          <w:rFonts w:ascii="仿宋" w:hAnsi="仿宋" w:eastAsia="仿宋" w:cs="仿宋"/>
          <w:kern w:val="0"/>
          <w:sz w:val="24"/>
          <w:szCs w:val="24"/>
        </w:rPr>
      </w:pPr>
      <w:r>
        <w:rPr>
          <w:rFonts w:hint="eastAsia" w:ascii="仿宋" w:hAnsi="仿宋" w:eastAsia="仿宋" w:cs="仿宋"/>
          <w:kern w:val="0"/>
          <w:sz w:val="24"/>
          <w:szCs w:val="24"/>
        </w:rPr>
        <w:t>6、乙方每季度出具本项目弱电系统运行报告。</w:t>
      </w:r>
    </w:p>
    <w:p w14:paraId="15FBA778">
      <w:pPr>
        <w:spacing w:line="360" w:lineRule="auto"/>
        <w:ind w:firstLine="482" w:firstLineChars="200"/>
        <w:outlineLvl w:val="0"/>
        <w:rPr>
          <w:rFonts w:ascii="仿宋" w:hAnsi="仿宋" w:eastAsia="仿宋" w:cs="仿宋"/>
          <w:b/>
          <w:bCs/>
          <w:sz w:val="24"/>
          <w:szCs w:val="24"/>
        </w:rPr>
      </w:pPr>
      <w:r>
        <w:rPr>
          <w:rFonts w:hint="eastAsia" w:ascii="仿宋" w:hAnsi="仿宋" w:eastAsia="仿宋" w:cs="仿宋"/>
          <w:b/>
          <w:bCs/>
          <w:sz w:val="24"/>
          <w:szCs w:val="24"/>
        </w:rPr>
        <w:t>第十一条  违约责任</w:t>
      </w:r>
    </w:p>
    <w:p w14:paraId="7235933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Hans"/>
        </w:rPr>
        <w:t>合同</w:t>
      </w:r>
      <w:r>
        <w:rPr>
          <w:rFonts w:hint="eastAsia" w:ascii="仿宋" w:hAnsi="仿宋" w:eastAsia="仿宋" w:cs="仿宋"/>
          <w:sz w:val="24"/>
          <w:szCs w:val="24"/>
        </w:rPr>
        <w:t>一方当事人未按约定履行义务</w:t>
      </w:r>
      <w:r>
        <w:rPr>
          <w:rFonts w:hint="eastAsia" w:ascii="仿宋" w:hAnsi="仿宋" w:eastAsia="仿宋" w:cs="仿宋"/>
          <w:sz w:val="24"/>
          <w:szCs w:val="24"/>
          <w:lang w:eastAsia="zh-Hans"/>
        </w:rPr>
        <w:t>的，</w:t>
      </w:r>
      <w:r>
        <w:rPr>
          <w:rFonts w:hint="eastAsia" w:ascii="仿宋" w:hAnsi="仿宋" w:eastAsia="仿宋" w:cs="仿宋"/>
          <w:sz w:val="24"/>
          <w:szCs w:val="24"/>
        </w:rPr>
        <w:t>应当向对方支付本合同总金额【5】%的违约金，给对方造成直接损失的，应当承担赔偿责任。</w:t>
      </w:r>
    </w:p>
    <w:p w14:paraId="0F84941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Hans"/>
        </w:rPr>
        <w:t>合同</w:t>
      </w:r>
      <w:r>
        <w:rPr>
          <w:rFonts w:hint="eastAsia" w:ascii="仿宋" w:hAnsi="仿宋" w:eastAsia="仿宋" w:cs="仿宋"/>
          <w:sz w:val="24"/>
          <w:szCs w:val="24"/>
        </w:rPr>
        <w:t>一方当事人无法继续履行合同的，应当及时通知另一方，并由责任方承担违约责任或因合同解除而造成的直接经济损失。</w:t>
      </w:r>
    </w:p>
    <w:p w14:paraId="76A49F1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3、甲方无正当理由未按照约定期限支付费用的，延误超过双方约定的</w:t>
      </w:r>
      <w:r>
        <w:rPr>
          <w:rFonts w:hint="eastAsia" w:ascii="仿宋" w:hAnsi="仿宋" w:eastAsia="仿宋" w:cs="仿宋"/>
          <w:sz w:val="24"/>
          <w:szCs w:val="24"/>
          <w:u w:val="single"/>
        </w:rPr>
        <w:t>30</w:t>
      </w:r>
      <w:r>
        <w:rPr>
          <w:rFonts w:hint="eastAsia" w:ascii="仿宋" w:hAnsi="仿宋" w:eastAsia="仿宋" w:cs="仿宋"/>
          <w:sz w:val="24"/>
          <w:szCs w:val="24"/>
        </w:rPr>
        <w:t>日时，本合同自动终止，赔偿依照</w:t>
      </w:r>
      <w:r>
        <w:rPr>
          <w:rFonts w:hint="eastAsia" w:ascii="仿宋" w:hAnsi="仿宋" w:eastAsia="仿宋" w:cs="仿宋"/>
          <w:sz w:val="24"/>
          <w:szCs w:val="24"/>
          <w:lang w:eastAsia="zh-Hans"/>
        </w:rPr>
        <w:t>民法典</w:t>
      </w:r>
      <w:r>
        <w:rPr>
          <w:rFonts w:hint="eastAsia" w:ascii="仿宋" w:hAnsi="仿宋" w:eastAsia="仿宋" w:cs="仿宋"/>
          <w:sz w:val="24"/>
          <w:szCs w:val="24"/>
        </w:rPr>
        <w:t>规定执行，因乙方未按约提供发票导致的除外。</w:t>
      </w:r>
    </w:p>
    <w:p w14:paraId="1141F1C9">
      <w:pPr>
        <w:spacing w:line="360" w:lineRule="auto"/>
        <w:ind w:right="34" w:rightChars="16" w:firstLine="480" w:firstLineChars="200"/>
        <w:rPr>
          <w:rFonts w:ascii="仿宋" w:hAnsi="仿宋" w:eastAsia="仿宋" w:cs="仿宋"/>
          <w:kern w:val="0"/>
          <w:sz w:val="24"/>
          <w:szCs w:val="24"/>
        </w:rPr>
      </w:pPr>
      <w:r>
        <w:rPr>
          <w:rFonts w:hint="eastAsia" w:ascii="仿宋" w:hAnsi="仿宋" w:eastAsia="仿宋" w:cs="仿宋"/>
          <w:sz w:val="24"/>
          <w:szCs w:val="24"/>
        </w:rPr>
        <w:t>4、甲方违反约定</w:t>
      </w:r>
      <w:r>
        <w:rPr>
          <w:rFonts w:hint="eastAsia" w:ascii="仿宋" w:hAnsi="仿宋" w:eastAsia="仿宋" w:cs="仿宋"/>
          <w:kern w:val="0"/>
          <w:sz w:val="24"/>
          <w:szCs w:val="24"/>
        </w:rPr>
        <w:t>允许非乙方人员从事弱电系统维保工作的，应当按照本合同一个月</w:t>
      </w:r>
      <w:r>
        <w:rPr>
          <w:rFonts w:hint="eastAsia" w:ascii="仿宋" w:hAnsi="仿宋" w:eastAsia="仿宋" w:cs="仿宋"/>
          <w:kern w:val="0"/>
          <w:sz w:val="24"/>
          <w:szCs w:val="24"/>
          <w:u w:val="single"/>
        </w:rPr>
        <w:t>保养费</w:t>
      </w:r>
      <w:r>
        <w:rPr>
          <w:rFonts w:hint="eastAsia" w:ascii="仿宋" w:hAnsi="仿宋" w:eastAsia="仿宋" w:cs="仿宋"/>
          <w:sz w:val="24"/>
          <w:szCs w:val="24"/>
        </w:rPr>
        <w:t>标准支付违约金。</w:t>
      </w:r>
    </w:p>
    <w:p w14:paraId="313BF2B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5、因乙方原因所导致的人身伤亡或设备损坏责任，由乙方全部承担。</w:t>
      </w:r>
    </w:p>
    <w:p w14:paraId="5269B33F">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6、若未按乙方的书面要求期限同意更换应该更换的弱电系统零部件而导致弱电系统故障或存在安全隐患的，</w:t>
      </w:r>
      <w:r>
        <w:rPr>
          <w:rFonts w:hint="eastAsia" w:ascii="仿宋" w:hAnsi="仿宋" w:eastAsia="仿宋" w:cs="仿宋"/>
          <w:sz w:val="24"/>
          <w:szCs w:val="24"/>
        </w:rPr>
        <w:t>由甲方</w:t>
      </w:r>
      <w:r>
        <w:rPr>
          <w:rFonts w:hint="eastAsia" w:ascii="仿宋" w:hAnsi="仿宋" w:eastAsia="仿宋" w:cs="仿宋"/>
          <w:kern w:val="0"/>
          <w:sz w:val="24"/>
          <w:szCs w:val="24"/>
        </w:rPr>
        <w:t>自行承担责任。</w:t>
      </w:r>
    </w:p>
    <w:p w14:paraId="3DD433A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7、在弱电系统维保作业过程中因维保原因导致人身伤亡或设备损坏、零部件丢失的，由乙方承担全部责任。</w:t>
      </w:r>
    </w:p>
    <w:p w14:paraId="254090F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8、乙方如不按合同及附件约定进行维保，经甲方通知后乙方仍没有改进的，甲方有权单方解除合同，同时乙方须将弱电系统的有关资料移交给甲方或甲方指定的第三方。</w:t>
      </w:r>
    </w:p>
    <w:p w14:paraId="181FB2B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9、因维保原因导致弱电系统检验不合格的，由乙方承担弱电系统复检费用。</w:t>
      </w:r>
    </w:p>
    <w:p w14:paraId="3584910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10、因甲方原因导致弱电系统检验不合格的，由甲方承担弱电系统复检费用。</w:t>
      </w:r>
    </w:p>
    <w:p w14:paraId="6AC3F66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11、因乙方原因导致未按时年检或年检不通过的，相关责任由乙方承担，且甲方有权终止本合同。</w:t>
      </w:r>
    </w:p>
    <w:p w14:paraId="2DEA9555">
      <w:pPr>
        <w:spacing w:line="360" w:lineRule="auto"/>
        <w:ind w:firstLine="482" w:firstLineChars="200"/>
        <w:outlineLvl w:val="0"/>
        <w:rPr>
          <w:rFonts w:ascii="仿宋" w:hAnsi="仿宋" w:eastAsia="仿宋" w:cs="仿宋"/>
          <w:b/>
          <w:bCs/>
          <w:sz w:val="24"/>
          <w:szCs w:val="24"/>
        </w:rPr>
      </w:pPr>
      <w:r>
        <w:rPr>
          <w:rFonts w:hint="eastAsia" w:ascii="仿宋" w:hAnsi="仿宋" w:eastAsia="仿宋" w:cs="仿宋"/>
          <w:b/>
          <w:bCs/>
          <w:sz w:val="24"/>
          <w:szCs w:val="24"/>
        </w:rPr>
        <w:t>第十二条  合同的解除</w:t>
      </w:r>
    </w:p>
    <w:p w14:paraId="64105569">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1.对本合同的任何修改或有未尽事宜，经甲乙双方共同协商并达成一致后，由甲乙各方法定代表人或者授权代表签署补充协议。该补充协议构成本合同不可分割的一部分，与本合同具有同等法律效力。</w:t>
      </w:r>
    </w:p>
    <w:p w14:paraId="3A6973C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在本合同有效期内，任何一方因故需解除本合同的，应提前7日向另一方发出书面通知。经甲乙双方协商并达成一致后，由甲乙各方法定代表人或者授权代表签署解除合同。除本合同或解除合同另有规定外，提出解除合同的一方应根据另一方实际损失作出相应补偿。</w:t>
      </w:r>
    </w:p>
    <w:p w14:paraId="4ACBF94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w:t>
      </w:r>
      <w:r>
        <w:rPr>
          <w:rFonts w:hint="eastAsia" w:ascii="仿宋" w:hAnsi="仿宋" w:eastAsia="仿宋" w:cs="仿宋"/>
          <w:sz w:val="24"/>
          <w:szCs w:val="24"/>
        </w:rPr>
        <w:t>合同履行期间，因甲方失去</w:t>
      </w:r>
      <w:r>
        <w:fldChar w:fldCharType="begin"/>
      </w:r>
      <w:r>
        <w:instrText xml:space="preserve"> HYPERLINK "http://www.fdcew.com/wgwd/Index.html" \t "http://www.fdcew.com/gw/hfw/_blank" </w:instrText>
      </w:r>
      <w:r>
        <w:fldChar w:fldCharType="separate"/>
      </w:r>
      <w:r>
        <w:rPr>
          <w:rFonts w:hint="eastAsia" w:ascii="仿宋" w:hAnsi="仿宋" w:eastAsia="仿宋" w:cs="仿宋"/>
          <w:sz w:val="24"/>
          <w:szCs w:val="24"/>
        </w:rPr>
        <w:t>物业管理</w:t>
      </w:r>
      <w:r>
        <w:rPr>
          <w:rFonts w:hint="eastAsia" w:ascii="仿宋" w:hAnsi="仿宋" w:eastAsia="仿宋" w:cs="仿宋"/>
          <w:sz w:val="24"/>
          <w:szCs w:val="24"/>
        </w:rPr>
        <w:fldChar w:fldCharType="end"/>
      </w:r>
      <w:r>
        <w:rPr>
          <w:rFonts w:hint="eastAsia" w:ascii="仿宋" w:hAnsi="仿宋" w:eastAsia="仿宋" w:cs="仿宋"/>
          <w:sz w:val="24"/>
          <w:szCs w:val="24"/>
        </w:rPr>
        <w:t>服务权而导致本合同无法履行的,本合同自动终止，双方互不承担违约责任。</w:t>
      </w:r>
    </w:p>
    <w:p w14:paraId="59E9C8F1">
      <w:pPr>
        <w:spacing w:line="360" w:lineRule="auto"/>
        <w:ind w:firstLine="482" w:firstLineChars="200"/>
        <w:outlineLvl w:val="0"/>
        <w:rPr>
          <w:rFonts w:ascii="仿宋" w:hAnsi="仿宋" w:eastAsia="仿宋" w:cs="仿宋"/>
          <w:b/>
          <w:bCs/>
          <w:sz w:val="24"/>
          <w:szCs w:val="24"/>
        </w:rPr>
      </w:pPr>
      <w:r>
        <w:rPr>
          <w:rFonts w:hint="eastAsia" w:ascii="仿宋" w:hAnsi="仿宋" w:eastAsia="仿宋" w:cs="仿宋"/>
          <w:b/>
          <w:bCs/>
          <w:sz w:val="24"/>
          <w:szCs w:val="24"/>
        </w:rPr>
        <w:t>第十三条  不可抗力</w:t>
      </w:r>
    </w:p>
    <w:p w14:paraId="74D5CF18">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合同签署后发生的、本合同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14:paraId="0BC25C4B">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如果发生不可抗力事件，影响一方履行其在本合同项下的义务，则在不可抗力造成的延误期内中止履行，而不视为违约。宣称发生不可抗力的一方应迅速书面通知其他各方，并在其后的十五(15)天内提供证明不可抗力发生及其持续时间的足够证据。</w:t>
      </w:r>
    </w:p>
    <w:p w14:paraId="4D13DEC0">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如果发生不可抗力事件，各方应立即互相协商，以找到公平的解决办法，并且应尽一切合理努力将不可抗力的影响减少到最低限度。金钱债务的迟延责任不得因不可抗力而免除。迟延履行期间发生的不可抗力不具有免责效力。</w:t>
      </w:r>
    </w:p>
    <w:p w14:paraId="71BEFB62">
      <w:pPr>
        <w:shd w:val="clear" w:color="auto" w:fill="FFFFFF"/>
        <w:adjustRightInd w:val="0"/>
        <w:snapToGrid w:val="0"/>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 xml:space="preserve">第十四条 </w:t>
      </w:r>
      <w:r>
        <w:rPr>
          <w:rFonts w:ascii="仿宋" w:hAnsi="仿宋" w:eastAsia="仿宋" w:cs="仿宋"/>
          <w:b/>
          <w:sz w:val="24"/>
          <w:szCs w:val="24"/>
        </w:rPr>
        <w:t xml:space="preserve"> </w:t>
      </w:r>
      <w:r>
        <w:rPr>
          <w:rFonts w:hint="eastAsia" w:ascii="仿宋" w:hAnsi="仿宋" w:eastAsia="仿宋" w:cs="仿宋"/>
          <w:b/>
          <w:sz w:val="24"/>
          <w:szCs w:val="24"/>
        </w:rPr>
        <w:t>情势变更</w:t>
      </w:r>
    </w:p>
    <w:p w14:paraId="424516AB">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合同生效后，合同的基础条件发生了合同一方在订立合同时无法预见的、不属于商业风险的重大变化，继续履行合同对于合同一方明显不公平的，受不利影响的合同一方可以与对方重新协商；在合理期限内协商不成的，合同双方应变更或者解除合同。</w:t>
      </w:r>
    </w:p>
    <w:p w14:paraId="032DF5E9">
      <w:pPr>
        <w:shd w:val="clear" w:color="auto" w:fill="FFFFFF"/>
        <w:adjustRightInd w:val="0"/>
        <w:snapToGrid w:val="0"/>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 xml:space="preserve">第十五条 </w:t>
      </w:r>
      <w:r>
        <w:rPr>
          <w:rFonts w:ascii="仿宋" w:hAnsi="仿宋" w:eastAsia="仿宋" w:cs="仿宋"/>
          <w:b/>
          <w:sz w:val="24"/>
          <w:szCs w:val="24"/>
        </w:rPr>
        <w:t xml:space="preserve"> </w:t>
      </w:r>
      <w:r>
        <w:rPr>
          <w:rFonts w:hint="eastAsia" w:ascii="仿宋" w:hAnsi="仿宋" w:eastAsia="仿宋" w:cs="仿宋"/>
          <w:b/>
          <w:sz w:val="24"/>
          <w:szCs w:val="24"/>
        </w:rPr>
        <w:t>争议解决</w:t>
      </w:r>
    </w:p>
    <w:p w14:paraId="61E6AE42">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本协议执行过程中，若存有异议或发生纠纷，双方应本着公平和平等的原则，解决纠纷，如协商不成，向合同签订地人民法院提起诉讼。</w:t>
      </w:r>
    </w:p>
    <w:p w14:paraId="6E77AC1D">
      <w:pPr>
        <w:snapToGrid w:val="0"/>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 xml:space="preserve">第十六条 </w:t>
      </w:r>
      <w:r>
        <w:rPr>
          <w:rFonts w:ascii="仿宋" w:hAnsi="仿宋" w:eastAsia="仿宋" w:cs="仿宋"/>
          <w:b/>
          <w:bCs/>
          <w:sz w:val="24"/>
          <w:szCs w:val="24"/>
        </w:rPr>
        <w:t xml:space="preserve"> </w:t>
      </w:r>
      <w:r>
        <w:rPr>
          <w:rFonts w:hint="eastAsia" w:ascii="仿宋" w:hAnsi="仿宋" w:eastAsia="仿宋" w:cs="仿宋"/>
          <w:b/>
          <w:bCs/>
          <w:sz w:val="24"/>
          <w:szCs w:val="24"/>
        </w:rPr>
        <w:t>通知送达</w:t>
      </w:r>
    </w:p>
    <w:p w14:paraId="1CC199E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1、本合同所要求或许可的全部通知均应以书面形式做出，并应通过电子邮件、传真、挂号邮件或特快专递向本条以下确定的合同一方的联系信息有效送达。</w:t>
      </w:r>
    </w:p>
    <w:p w14:paraId="3FB84A8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（1）如果向甲方发送，则发送至：</w:t>
      </w:r>
    </w:p>
    <w:p w14:paraId="7D2A7135">
      <w:pPr>
        <w:spacing w:before="156" w:beforeLines="50" w:line="360" w:lineRule="auto"/>
        <w:ind w:firstLine="480" w:firstLineChars="200"/>
        <w:rPr>
          <w:rFonts w:ascii="仿宋" w:hAnsi="仿宋" w:eastAsia="仿宋" w:cs="仿宋"/>
          <w:sz w:val="24"/>
          <w:szCs w:val="24"/>
        </w:rPr>
      </w:pPr>
      <w:r>
        <w:rPr>
          <w:rFonts w:hint="eastAsia" w:ascii="仿宋" w:hAnsi="仿宋" w:eastAsia="仿宋" w:cs="仿宋"/>
          <w:sz w:val="24"/>
          <w:szCs w:val="24"/>
        </w:rPr>
        <w:t>甲方名称：深圳市泰然物业管理服务有限公司武汉分公司</w:t>
      </w:r>
    </w:p>
    <w:p w14:paraId="1BC298F6">
      <w:pPr>
        <w:snapToGrid w:val="0"/>
        <w:spacing w:before="156" w:beforeLines="50" w:line="360" w:lineRule="auto"/>
        <w:ind w:firstLine="480" w:firstLineChars="200"/>
        <w:rPr>
          <w:rFonts w:ascii="仿宋" w:hAnsi="仿宋" w:eastAsia="仿宋" w:cs="仿宋"/>
          <w:sz w:val="24"/>
          <w:szCs w:val="24"/>
        </w:rPr>
      </w:pPr>
      <w:r>
        <w:rPr>
          <w:rFonts w:hint="eastAsia" w:ascii="仿宋" w:hAnsi="仿宋" w:eastAsia="仿宋" w:cs="仿宋"/>
          <w:sz w:val="24"/>
          <w:szCs w:val="24"/>
        </w:rPr>
        <w:t>地址：</w:t>
      </w:r>
      <w:bookmarkStart w:id="1" w:name="_Hlk127458882"/>
      <w:r>
        <w:rPr>
          <w:rFonts w:hint="eastAsia" w:ascii="仿宋" w:hAnsi="仿宋" w:eastAsia="仿宋" w:cs="仿宋"/>
          <w:sz w:val="24"/>
          <w:szCs w:val="24"/>
        </w:rPr>
        <w:t>武汉市洪山区狮子山街狮子山北路</w:t>
      </w:r>
      <w:r>
        <w:rPr>
          <w:rFonts w:ascii="仿宋" w:hAnsi="仿宋" w:eastAsia="仿宋" w:cs="仿宋"/>
          <w:sz w:val="24"/>
          <w:szCs w:val="24"/>
        </w:rPr>
        <w:t>77</w:t>
      </w:r>
      <w:r>
        <w:rPr>
          <w:rFonts w:hint="eastAsia" w:ascii="仿宋" w:hAnsi="仿宋" w:eastAsia="仿宋" w:cs="仿宋"/>
          <w:sz w:val="24"/>
          <w:szCs w:val="24"/>
        </w:rPr>
        <w:t>号泰然南湖玫瑰湾1</w:t>
      </w:r>
      <w:r>
        <w:rPr>
          <w:rFonts w:ascii="仿宋" w:hAnsi="仿宋" w:eastAsia="仿宋" w:cs="仿宋"/>
          <w:sz w:val="24"/>
          <w:szCs w:val="24"/>
        </w:rPr>
        <w:t>6</w:t>
      </w:r>
      <w:r>
        <w:rPr>
          <w:rFonts w:hint="eastAsia" w:ascii="仿宋" w:hAnsi="仿宋" w:eastAsia="仿宋" w:cs="仿宋"/>
          <w:sz w:val="24"/>
          <w:szCs w:val="24"/>
        </w:rPr>
        <w:t>栋1楼</w:t>
      </w:r>
    </w:p>
    <w:bookmarkEnd w:id="1"/>
    <w:p w14:paraId="2CB049CB">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卢军</w:t>
      </w:r>
    </w:p>
    <w:p w14:paraId="262A3E6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电话：027-87229683</w:t>
      </w:r>
    </w:p>
    <w:p w14:paraId="4274685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电子邮箱：t</w:t>
      </w:r>
      <w:r>
        <w:rPr>
          <w:rFonts w:ascii="仿宋" w:hAnsi="仿宋" w:eastAsia="仿宋" w:cs="仿宋"/>
          <w:sz w:val="24"/>
          <w:szCs w:val="24"/>
        </w:rPr>
        <w:t>errawh@163.com</w:t>
      </w:r>
    </w:p>
    <w:p w14:paraId="2B5A29C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（2）如果向乙方发送，则发送至：</w:t>
      </w:r>
    </w:p>
    <w:p w14:paraId="3C1D7AA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乙方名称：武汉博远众达网络工程有限公司</w:t>
      </w:r>
    </w:p>
    <w:p w14:paraId="57895F1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地址：武汉市青山区建一综合市场361号 </w:t>
      </w:r>
    </w:p>
    <w:p w14:paraId="4C8248F4">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王波</w:t>
      </w:r>
    </w:p>
    <w:p w14:paraId="47B2B93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电话：18062021287</w:t>
      </w:r>
    </w:p>
    <w:p w14:paraId="3E813221">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电子邮箱：18062021287@</w:t>
      </w:r>
      <w:r>
        <w:rPr>
          <w:rFonts w:hint="eastAsia" w:ascii="仿宋" w:hAnsi="仿宋" w:eastAsia="仿宋" w:cs="仿宋"/>
          <w:sz w:val="24"/>
          <w:szCs w:val="24"/>
          <w:lang w:val="en-US" w:eastAsia="zh-CN"/>
        </w:rPr>
        <w:t>qq.com</w:t>
      </w:r>
    </w:p>
    <w:p w14:paraId="76BC56C0">
      <w:pPr>
        <w:numPr>
          <w:ilvl w:val="0"/>
          <w:numId w:val="3"/>
        </w:num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电子邮件发送日（如已取得适当的电子邮件发出确认）、传真发送日（如已取得适当的传真发出确认）、挂号邮件或特快专递等其他类似方式（需送达回执的）的在信件交付之日或交付被拒绝之日为准应被视为通知或声明的有效送达之日。</w:t>
      </w:r>
    </w:p>
    <w:p w14:paraId="7F2177F3">
      <w:pPr>
        <w:shd w:val="clear" w:color="auto" w:fill="FFFFFF"/>
        <w:adjustRightInd w:val="0"/>
        <w:snapToGrid w:val="0"/>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 xml:space="preserve">第十七条 </w:t>
      </w:r>
      <w:r>
        <w:rPr>
          <w:rFonts w:ascii="仿宋" w:hAnsi="仿宋" w:eastAsia="仿宋" w:cs="仿宋"/>
          <w:b/>
          <w:sz w:val="24"/>
          <w:szCs w:val="24"/>
        </w:rPr>
        <w:t xml:space="preserve"> </w:t>
      </w:r>
      <w:r>
        <w:rPr>
          <w:rFonts w:hint="eastAsia" w:ascii="仿宋" w:hAnsi="仿宋" w:eastAsia="仿宋" w:cs="仿宋"/>
          <w:b/>
          <w:sz w:val="24"/>
          <w:szCs w:val="24"/>
        </w:rPr>
        <w:t>附则</w:t>
      </w:r>
    </w:p>
    <w:p w14:paraId="13765AB7">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合同自双方法定代表人、负责人或授权代表签字并盖章之日起生效，至合同到期日并结清维护保养费后自然失效。合同到期后根据全年考评（考核）合格，且费用不变，可续签二次合同，每次续签合同期限为一年。</w:t>
      </w:r>
    </w:p>
    <w:p w14:paraId="72452E18">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2、构成本合同的文件： </w:t>
      </w:r>
    </w:p>
    <w:p w14:paraId="01A4C8B0">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（1）附件一：</w:t>
      </w:r>
      <w:r>
        <w:rPr>
          <w:rFonts w:hint="eastAsia" w:ascii="仿宋" w:hAnsi="仿宋" w:eastAsia="仿宋" w:cs="仿宋"/>
          <w:sz w:val="24"/>
          <w:szCs w:val="24"/>
          <w:lang w:val="en-US" w:eastAsia="zh-CN"/>
        </w:rPr>
        <w:t>费用确认函</w:t>
      </w:r>
      <w:r>
        <w:rPr>
          <w:rFonts w:hint="eastAsia" w:ascii="仿宋" w:hAnsi="仿宋" w:eastAsia="仿宋" w:cs="仿宋"/>
          <w:sz w:val="24"/>
          <w:szCs w:val="24"/>
        </w:rPr>
        <w:t>；</w:t>
      </w:r>
    </w:p>
    <w:p w14:paraId="29D44E94">
      <w:pPr>
        <w:shd w:val="clear" w:color="auto" w:fill="FFFFFF"/>
        <w:adjustRightInd w:val="0"/>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（2）附件二：安全管理协议；</w:t>
      </w:r>
    </w:p>
    <w:p w14:paraId="382C2F6D">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）附件</w:t>
      </w:r>
      <w:r>
        <w:rPr>
          <w:rFonts w:hint="eastAsia" w:ascii="仿宋" w:hAnsi="仿宋" w:eastAsia="仿宋" w:cs="仿宋"/>
          <w:sz w:val="24"/>
          <w:szCs w:val="24"/>
          <w:lang w:val="en-US" w:eastAsia="zh-CN"/>
        </w:rPr>
        <w:t>三</w:t>
      </w:r>
      <w:r>
        <w:rPr>
          <w:rFonts w:hint="eastAsia" w:ascii="仿宋" w:hAnsi="仿宋" w:eastAsia="仿宋" w:cs="仿宋"/>
          <w:sz w:val="24"/>
          <w:szCs w:val="24"/>
        </w:rPr>
        <w:t>：</w:t>
      </w:r>
      <w:r>
        <w:rPr>
          <w:rFonts w:hint="eastAsia" w:ascii="仿宋" w:hAnsi="仿宋" w:eastAsia="仿宋" w:cs="仿宋"/>
          <w:sz w:val="24"/>
          <w:szCs w:val="24"/>
          <w:lang w:val="en-US" w:eastAsia="zh-CN"/>
        </w:rPr>
        <w:t>廉政诚心协议书</w:t>
      </w:r>
      <w:r>
        <w:rPr>
          <w:rFonts w:hint="eastAsia" w:ascii="仿宋" w:hAnsi="仿宋" w:eastAsia="仿宋" w:cs="仿宋"/>
          <w:sz w:val="24"/>
          <w:szCs w:val="24"/>
        </w:rPr>
        <w:t>；</w:t>
      </w:r>
    </w:p>
    <w:p w14:paraId="3584A68B">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）附件</w:t>
      </w:r>
      <w:r>
        <w:rPr>
          <w:rFonts w:hint="eastAsia" w:ascii="仿宋" w:hAnsi="仿宋" w:eastAsia="仿宋" w:cs="仿宋"/>
          <w:sz w:val="24"/>
          <w:szCs w:val="24"/>
          <w:lang w:val="en-US" w:eastAsia="zh-CN"/>
        </w:rPr>
        <w:t>四</w:t>
      </w:r>
      <w:r>
        <w:rPr>
          <w:rFonts w:hint="eastAsia" w:ascii="仿宋" w:hAnsi="仿宋" w:eastAsia="仿宋" w:cs="仿宋"/>
          <w:sz w:val="24"/>
          <w:szCs w:val="24"/>
        </w:rPr>
        <w:t>：南湖玫瑰湾弱电系统外委单位月度考核表；</w:t>
      </w:r>
    </w:p>
    <w:p w14:paraId="591CB71B">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）附件</w:t>
      </w:r>
      <w:r>
        <w:rPr>
          <w:rFonts w:hint="eastAsia" w:ascii="仿宋" w:hAnsi="仿宋" w:eastAsia="仿宋" w:cs="仿宋"/>
          <w:sz w:val="24"/>
          <w:szCs w:val="24"/>
          <w:lang w:val="en-US" w:eastAsia="zh-CN"/>
        </w:rPr>
        <w:t>五</w:t>
      </w:r>
      <w:r>
        <w:rPr>
          <w:rFonts w:hint="eastAsia" w:ascii="仿宋" w:hAnsi="仿宋" w:eastAsia="仿宋" w:cs="仿宋"/>
          <w:sz w:val="24"/>
          <w:szCs w:val="24"/>
        </w:rPr>
        <w:t>：维保服务内容。</w:t>
      </w:r>
    </w:p>
    <w:p w14:paraId="641CB6C8">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3、本合同附件与本合同具有同等法律效力，是合同不可拆分的部分。</w:t>
      </w:r>
    </w:p>
    <w:p w14:paraId="774BF329">
      <w:pPr>
        <w:shd w:val="clear" w:color="auto" w:fill="FFFFFF"/>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双方承诺，在本合同基础上，为便于具体业务操作，甲乙双方均认可双方以电子邮件、微信、短信或电话形式进行沟通，对合作业务内容进行确认，但不代表对本合同合作条款进行的变更；一切针对本合同条款所进行的变更，必须经甲乙双方书面确认，方可生效。</w:t>
      </w:r>
    </w:p>
    <w:p w14:paraId="74BCF879">
      <w:pPr>
        <w:spacing w:line="360" w:lineRule="auto"/>
        <w:ind w:left="1" w:firstLine="477" w:firstLineChars="199"/>
        <w:rPr>
          <w:rFonts w:ascii="仿宋" w:hAnsi="仿宋" w:eastAsia="仿宋" w:cs="仿宋"/>
          <w:sz w:val="24"/>
          <w:szCs w:val="24"/>
        </w:rPr>
      </w:pPr>
      <w:r>
        <w:rPr>
          <w:rFonts w:hint="eastAsia" w:ascii="仿宋" w:hAnsi="仿宋" w:eastAsia="仿宋" w:cs="仿宋"/>
          <w:sz w:val="24"/>
          <w:szCs w:val="24"/>
        </w:rPr>
        <w:t>5、本合同正本壹式肆份，甲乙双方各执贰份，具有同等法律效力。</w:t>
      </w:r>
    </w:p>
    <w:p w14:paraId="0ABB2722">
      <w:pPr>
        <w:spacing w:line="360" w:lineRule="auto"/>
        <w:ind w:right="-132" w:rightChars="-63" w:firstLine="468"/>
        <w:rPr>
          <w:rFonts w:ascii="仿宋" w:hAnsi="仿宋" w:eastAsia="仿宋" w:cs="仿宋"/>
          <w:kern w:val="0"/>
          <w:szCs w:val="21"/>
        </w:rPr>
      </w:pPr>
      <w:r>
        <w:rPr>
          <w:rFonts w:hint="eastAsia" w:ascii="仿宋" w:hAnsi="仿宋" w:eastAsia="仿宋" w:cs="仿宋"/>
          <w:kern w:val="0"/>
          <w:sz w:val="24"/>
          <w:szCs w:val="24"/>
        </w:rPr>
        <w:t>本合同自</w:t>
      </w:r>
      <w:r>
        <w:rPr>
          <w:rFonts w:hint="eastAsia" w:ascii="仿宋" w:hAnsi="仿宋" w:eastAsia="仿宋" w:cs="仿宋"/>
          <w:kern w:val="0"/>
          <w:sz w:val="24"/>
          <w:szCs w:val="24"/>
          <w:u w:val="single"/>
        </w:rPr>
        <w:t xml:space="preserve"> 202</w:t>
      </w:r>
      <w:r>
        <w:rPr>
          <w:rFonts w:hint="eastAsia" w:ascii="仿宋" w:hAnsi="仿宋" w:eastAsia="仿宋" w:cs="仿宋"/>
          <w:kern w:val="0"/>
          <w:sz w:val="24"/>
          <w:szCs w:val="24"/>
          <w:u w:val="single"/>
          <w:lang w:val="en-US" w:eastAsia="zh-CN"/>
        </w:rPr>
        <w:t>6</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lang w:val="en-US" w:eastAsia="zh-CN"/>
        </w:rPr>
        <w:t>4</w:t>
      </w:r>
      <w:r>
        <w:rPr>
          <w:rFonts w:hint="eastAsia" w:ascii="仿宋" w:hAnsi="仿宋" w:eastAsia="仿宋" w:cs="仿宋"/>
          <w:kern w:val="0"/>
          <w:sz w:val="24"/>
          <w:szCs w:val="24"/>
        </w:rPr>
        <w:t>月</w:t>
      </w:r>
      <w:r>
        <w:rPr>
          <w:rFonts w:hint="eastAsia" w:ascii="仿宋" w:hAnsi="仿宋" w:eastAsia="仿宋" w:cs="仿宋"/>
          <w:kern w:val="0"/>
          <w:sz w:val="24"/>
          <w:szCs w:val="24"/>
          <w:u w:val="single"/>
          <w:lang w:val="en-US" w:eastAsia="zh-CN"/>
        </w:rPr>
        <w:t>10</w:t>
      </w:r>
      <w:r>
        <w:rPr>
          <w:rFonts w:hint="eastAsia" w:ascii="仿宋" w:hAnsi="仿宋" w:eastAsia="仿宋" w:cs="仿宋"/>
          <w:kern w:val="0"/>
          <w:sz w:val="24"/>
          <w:szCs w:val="24"/>
        </w:rPr>
        <w:t>日起生效，至</w:t>
      </w:r>
      <w:r>
        <w:rPr>
          <w:rFonts w:hint="eastAsia" w:ascii="仿宋" w:hAnsi="仿宋" w:eastAsia="仿宋" w:cs="仿宋"/>
          <w:kern w:val="0"/>
          <w:sz w:val="24"/>
          <w:szCs w:val="24"/>
          <w:u w:val="single"/>
        </w:rPr>
        <w:t xml:space="preserve"> 202</w:t>
      </w:r>
      <w:r>
        <w:rPr>
          <w:rFonts w:hint="eastAsia" w:ascii="仿宋" w:hAnsi="仿宋" w:eastAsia="仿宋" w:cs="仿宋"/>
          <w:kern w:val="0"/>
          <w:sz w:val="24"/>
          <w:szCs w:val="24"/>
          <w:u w:val="single"/>
          <w:lang w:val="en-US" w:eastAsia="zh-CN"/>
        </w:rPr>
        <w:t>7</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lang w:val="en-US" w:eastAsia="zh-CN"/>
        </w:rPr>
        <w:t>4</w:t>
      </w:r>
      <w:r>
        <w:rPr>
          <w:rFonts w:hint="eastAsia" w:ascii="仿宋" w:hAnsi="仿宋" w:eastAsia="仿宋" w:cs="仿宋"/>
          <w:kern w:val="0"/>
          <w:sz w:val="24"/>
          <w:szCs w:val="24"/>
        </w:rPr>
        <w:t>月</w:t>
      </w:r>
      <w:r>
        <w:rPr>
          <w:rFonts w:hint="eastAsia" w:ascii="仿宋" w:hAnsi="仿宋" w:eastAsia="仿宋" w:cs="仿宋"/>
          <w:kern w:val="0"/>
          <w:sz w:val="24"/>
          <w:szCs w:val="24"/>
          <w:u w:val="single"/>
          <w:lang w:val="en-US" w:eastAsia="zh-CN"/>
        </w:rPr>
        <w:t>9</w:t>
      </w:r>
      <w:r>
        <w:rPr>
          <w:rFonts w:hint="eastAsia" w:ascii="仿宋" w:hAnsi="仿宋" w:eastAsia="仿宋" w:cs="仿宋"/>
          <w:kern w:val="0"/>
          <w:sz w:val="24"/>
          <w:szCs w:val="24"/>
        </w:rPr>
        <w:t>日止。</w:t>
      </w:r>
    </w:p>
    <w:p w14:paraId="0CE3DD37">
      <w:pPr>
        <w:spacing w:line="360" w:lineRule="auto"/>
        <w:rPr>
          <w:rFonts w:ascii="仿宋" w:hAnsi="仿宋" w:eastAsia="仿宋" w:cs="仿宋"/>
          <w:szCs w:val="21"/>
        </w:rPr>
      </w:pPr>
    </w:p>
    <w:p w14:paraId="7C7DA81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以下无正文</w:t>
      </w:r>
    </w:p>
    <w:p w14:paraId="473A2DC5">
      <w:pPr>
        <w:spacing w:line="360" w:lineRule="auto"/>
        <w:rPr>
          <w:rFonts w:ascii="仿宋" w:hAnsi="仿宋" w:eastAsia="仿宋" w:cs="仿宋"/>
          <w:sz w:val="24"/>
          <w:szCs w:val="24"/>
        </w:rPr>
      </w:pPr>
    </w:p>
    <w:p w14:paraId="6DC8E8B0">
      <w:pPr>
        <w:spacing w:line="360" w:lineRule="auto"/>
        <w:ind w:firstLine="480" w:firstLineChars="200"/>
        <w:rPr>
          <w:rFonts w:ascii="仿宋" w:hAnsi="仿宋" w:eastAsia="仿宋" w:cs="仿宋"/>
          <w:sz w:val="24"/>
          <w:szCs w:val="24"/>
        </w:rPr>
      </w:pPr>
    </w:p>
    <w:p w14:paraId="0B8BCC8D">
      <w:pPr>
        <w:shd w:val="clear" w:color="auto" w:fill="FFFFFF"/>
        <w:adjustRightInd w:val="0"/>
        <w:snapToGrid w:val="0"/>
        <w:spacing w:line="360" w:lineRule="auto"/>
        <w:rPr>
          <w:rFonts w:ascii="仿宋" w:hAnsi="仿宋" w:eastAsia="仿宋" w:cs="仿宋"/>
          <w:sz w:val="24"/>
          <w:szCs w:val="24"/>
        </w:rPr>
      </w:pPr>
    </w:p>
    <w:p w14:paraId="32B3BBD1">
      <w:pPr>
        <w:pStyle w:val="16"/>
        <w:rPr>
          <w:rFonts w:ascii="仿宋" w:hAnsi="仿宋" w:eastAsia="仿宋" w:cs="仿宋"/>
          <w:sz w:val="24"/>
          <w:szCs w:val="24"/>
        </w:rPr>
      </w:pPr>
    </w:p>
    <w:p w14:paraId="5EFD2482">
      <w:pPr>
        <w:pStyle w:val="16"/>
        <w:rPr>
          <w:rFonts w:ascii="仿宋" w:hAnsi="仿宋" w:eastAsia="仿宋" w:cs="仿宋"/>
          <w:sz w:val="24"/>
          <w:szCs w:val="24"/>
        </w:rPr>
      </w:pPr>
    </w:p>
    <w:p w14:paraId="681043AD">
      <w:pPr>
        <w:pStyle w:val="16"/>
        <w:rPr>
          <w:rFonts w:ascii="仿宋" w:hAnsi="仿宋" w:eastAsia="仿宋" w:cs="仿宋"/>
          <w:sz w:val="24"/>
          <w:szCs w:val="24"/>
        </w:rPr>
      </w:pPr>
    </w:p>
    <w:p w14:paraId="0617D8DF">
      <w:pPr>
        <w:pStyle w:val="16"/>
        <w:rPr>
          <w:rFonts w:ascii="仿宋" w:hAnsi="仿宋" w:eastAsia="仿宋" w:cs="仿宋"/>
          <w:sz w:val="24"/>
          <w:szCs w:val="24"/>
        </w:rPr>
      </w:pPr>
    </w:p>
    <w:p w14:paraId="01055A3D">
      <w:pPr>
        <w:pStyle w:val="16"/>
        <w:rPr>
          <w:rFonts w:ascii="仿宋" w:hAnsi="仿宋" w:eastAsia="仿宋" w:cs="仿宋"/>
          <w:sz w:val="24"/>
          <w:szCs w:val="24"/>
        </w:rPr>
      </w:pPr>
    </w:p>
    <w:p w14:paraId="319311A6">
      <w:pPr>
        <w:pStyle w:val="16"/>
        <w:rPr>
          <w:rFonts w:ascii="仿宋" w:hAnsi="仿宋" w:eastAsia="仿宋" w:cs="仿宋"/>
          <w:sz w:val="24"/>
          <w:szCs w:val="24"/>
        </w:rPr>
      </w:pPr>
    </w:p>
    <w:p w14:paraId="79ADE998">
      <w:pPr>
        <w:pStyle w:val="16"/>
        <w:rPr>
          <w:rFonts w:ascii="仿宋" w:hAnsi="仿宋" w:eastAsia="仿宋" w:cs="仿宋"/>
          <w:sz w:val="24"/>
          <w:szCs w:val="24"/>
        </w:rPr>
      </w:pPr>
    </w:p>
    <w:p w14:paraId="1FB7D840">
      <w:pPr>
        <w:spacing w:line="360" w:lineRule="auto"/>
        <w:rPr>
          <w:rFonts w:hint="eastAsia" w:ascii="仿宋" w:hAnsi="仿宋" w:eastAsia="仿宋" w:cs="仿宋"/>
          <w:sz w:val="24"/>
          <w:szCs w:val="24"/>
        </w:rPr>
      </w:pPr>
    </w:p>
    <w:p w14:paraId="26E891E7">
      <w:pPr>
        <w:spacing w:line="360" w:lineRule="auto"/>
        <w:rPr>
          <w:rFonts w:ascii="仿宋" w:hAnsi="仿宋" w:eastAsia="仿宋" w:cs="仿宋"/>
          <w:sz w:val="24"/>
          <w:szCs w:val="24"/>
        </w:rPr>
      </w:pPr>
      <w:r>
        <w:rPr>
          <w:rFonts w:hint="eastAsia" w:ascii="仿宋" w:hAnsi="仿宋" w:eastAsia="仿宋" w:cs="仿宋"/>
          <w:sz w:val="24"/>
          <w:szCs w:val="24"/>
        </w:rPr>
        <w:t>（本页为【深圳市泰然物业管理服务有限公司武汉分公司-甲方】与【</w:t>
      </w:r>
      <w:bookmarkStart w:id="2" w:name="OLE_LINK1"/>
      <w:r>
        <w:rPr>
          <w:rFonts w:hint="eastAsia" w:ascii="仿宋" w:hAnsi="仿宋" w:eastAsia="仿宋" w:cs="仿宋"/>
          <w:bCs/>
          <w:sz w:val="24"/>
          <w:szCs w:val="24"/>
        </w:rPr>
        <w:t>武汉博远众达网络工程有限公司</w:t>
      </w:r>
      <w:bookmarkEnd w:id="2"/>
      <w:r>
        <w:rPr>
          <w:rFonts w:ascii="仿宋" w:hAnsi="仿宋" w:eastAsia="仿宋" w:cs="仿宋"/>
          <w:sz w:val="24"/>
          <w:szCs w:val="24"/>
        </w:rPr>
        <w:t>-</w:t>
      </w:r>
      <w:r>
        <w:rPr>
          <w:rFonts w:hint="eastAsia" w:ascii="仿宋" w:hAnsi="仿宋" w:eastAsia="仿宋" w:cs="仿宋"/>
          <w:sz w:val="24"/>
          <w:szCs w:val="24"/>
        </w:rPr>
        <w:t>乙方】《202</w:t>
      </w:r>
      <w:r>
        <w:rPr>
          <w:rFonts w:hint="eastAsia" w:ascii="仿宋" w:hAnsi="仿宋" w:eastAsia="仿宋" w:cs="仿宋"/>
          <w:sz w:val="24"/>
          <w:szCs w:val="24"/>
          <w:lang w:val="en-US" w:eastAsia="zh-CN"/>
        </w:rPr>
        <w:t>6</w:t>
      </w:r>
      <w:r>
        <w:rPr>
          <w:rFonts w:hint="eastAsia" w:ascii="仿宋" w:hAnsi="仿宋" w:eastAsia="仿宋" w:cs="仿宋"/>
          <w:sz w:val="24"/>
          <w:szCs w:val="24"/>
        </w:rPr>
        <w:t>年度玫瑰湾弱电系统（监控、停车场、门禁网络）维护保养合同》签署页）</w:t>
      </w:r>
    </w:p>
    <w:p w14:paraId="58AF8D7A">
      <w:pPr>
        <w:spacing w:line="360" w:lineRule="auto"/>
        <w:ind w:firstLine="480"/>
        <w:rPr>
          <w:rFonts w:ascii="仿宋" w:hAnsi="仿宋" w:eastAsia="仿宋" w:cs="仿宋"/>
          <w:sz w:val="24"/>
          <w:szCs w:val="24"/>
        </w:rPr>
      </w:pPr>
    </w:p>
    <w:p w14:paraId="12596BE3">
      <w:pPr>
        <w:spacing w:line="360" w:lineRule="auto"/>
        <w:ind w:firstLine="480"/>
        <w:rPr>
          <w:rFonts w:ascii="仿宋" w:hAnsi="仿宋" w:eastAsia="仿宋" w:cs="仿宋"/>
          <w:sz w:val="24"/>
          <w:szCs w:val="24"/>
        </w:rPr>
      </w:pPr>
    </w:p>
    <w:p w14:paraId="63FFF08D">
      <w:pPr>
        <w:spacing w:line="360" w:lineRule="auto"/>
        <w:ind w:firstLine="480"/>
        <w:rPr>
          <w:rFonts w:ascii="仿宋" w:hAnsi="仿宋" w:eastAsia="仿宋" w:cs="仿宋"/>
          <w:sz w:val="24"/>
          <w:szCs w:val="24"/>
        </w:rPr>
      </w:pPr>
    </w:p>
    <w:p w14:paraId="592D8B0F">
      <w:pPr>
        <w:spacing w:line="360" w:lineRule="auto"/>
        <w:ind w:firstLine="480"/>
        <w:rPr>
          <w:rFonts w:ascii="仿宋" w:hAnsi="仿宋" w:eastAsia="仿宋" w:cs="仿宋"/>
          <w:sz w:val="24"/>
          <w:szCs w:val="24"/>
        </w:rPr>
      </w:pPr>
    </w:p>
    <w:p w14:paraId="44607132">
      <w:pPr>
        <w:spacing w:line="360" w:lineRule="auto"/>
        <w:ind w:left="-359" w:leftChars="-171" w:firstLine="480" w:firstLineChars="200"/>
        <w:rPr>
          <w:rFonts w:ascii="仿宋" w:hAnsi="仿宋" w:eastAsia="仿宋" w:cs="仿宋"/>
          <w:sz w:val="24"/>
          <w:szCs w:val="24"/>
        </w:rPr>
      </w:pPr>
      <w:bookmarkStart w:id="3" w:name="_Toc194923698"/>
      <w:r>
        <w:rPr>
          <w:rFonts w:hint="eastAsia" w:ascii="仿宋" w:hAnsi="仿宋" w:eastAsia="仿宋" w:cs="仿宋"/>
          <w:sz w:val="24"/>
          <w:szCs w:val="24"/>
        </w:rPr>
        <w:t>发包方（盖章）：</w:t>
      </w:r>
      <w:bookmarkStart w:id="4" w:name="OLE_LINK5"/>
      <w:r>
        <w:rPr>
          <w:rFonts w:hint="eastAsia" w:ascii="仿宋" w:hAnsi="仿宋" w:eastAsia="仿宋" w:cs="仿宋"/>
          <w:sz w:val="24"/>
          <w:szCs w:val="24"/>
        </w:rPr>
        <w:t>深圳市泰然物业管理服务有限公司武汉分公司</w:t>
      </w:r>
      <w:bookmarkEnd w:id="4"/>
      <w:r>
        <w:rPr>
          <w:rFonts w:hint="eastAsia" w:ascii="仿宋" w:hAnsi="仿宋" w:eastAsia="仿宋" w:cs="仿宋"/>
          <w:sz w:val="24"/>
          <w:szCs w:val="24"/>
        </w:rPr>
        <w:t xml:space="preserve">    </w:t>
      </w:r>
    </w:p>
    <w:p w14:paraId="1D75B484">
      <w:pPr>
        <w:tabs>
          <w:tab w:val="left" w:pos="1515"/>
        </w:tabs>
        <w:spacing w:line="360" w:lineRule="auto"/>
        <w:ind w:left="-359" w:leftChars="-171" w:firstLine="480" w:firstLineChars="200"/>
        <w:rPr>
          <w:rFonts w:hint="eastAsia" w:ascii="仿宋" w:hAnsi="仿宋" w:eastAsia="仿宋" w:cs="仿宋"/>
          <w:sz w:val="24"/>
          <w:szCs w:val="24"/>
        </w:rPr>
      </w:pPr>
    </w:p>
    <w:p w14:paraId="159E1B4E">
      <w:pPr>
        <w:tabs>
          <w:tab w:val="left" w:pos="1515"/>
        </w:tabs>
        <w:spacing w:line="360" w:lineRule="auto"/>
        <w:ind w:left="-359" w:leftChars="-171" w:firstLine="480" w:firstLineChars="200"/>
        <w:rPr>
          <w:rFonts w:ascii="仿宋" w:hAnsi="仿宋" w:eastAsia="仿宋" w:cs="仿宋"/>
          <w:sz w:val="24"/>
          <w:szCs w:val="24"/>
        </w:rPr>
      </w:pPr>
      <w:r>
        <w:rPr>
          <w:rFonts w:hint="eastAsia" w:ascii="仿宋" w:hAnsi="仿宋" w:eastAsia="仿宋" w:cs="仿宋"/>
          <w:sz w:val="24"/>
          <w:szCs w:val="24"/>
        </w:rPr>
        <w:t xml:space="preserve">负责人/授权代表（签字）：                           </w:t>
      </w:r>
    </w:p>
    <w:p w14:paraId="25269173">
      <w:pPr>
        <w:tabs>
          <w:tab w:val="left" w:pos="1515"/>
        </w:tabs>
        <w:spacing w:line="360" w:lineRule="auto"/>
        <w:ind w:left="-359" w:leftChars="-171" w:firstLine="480" w:firstLineChars="200"/>
        <w:rPr>
          <w:rFonts w:hint="eastAsia" w:ascii="仿宋" w:hAnsi="仿宋" w:eastAsia="仿宋" w:cs="仿宋"/>
          <w:sz w:val="24"/>
          <w:szCs w:val="24"/>
        </w:rPr>
      </w:pPr>
    </w:p>
    <w:p w14:paraId="03A74CB6">
      <w:pPr>
        <w:tabs>
          <w:tab w:val="left" w:pos="1515"/>
        </w:tabs>
        <w:spacing w:line="360" w:lineRule="auto"/>
        <w:ind w:left="-359" w:leftChars="-171"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050BD277">
      <w:pPr>
        <w:tabs>
          <w:tab w:val="left" w:pos="1515"/>
        </w:tabs>
        <w:spacing w:line="360" w:lineRule="auto"/>
        <w:ind w:left="-358" w:leftChars="-171" w:hanging="1"/>
        <w:rPr>
          <w:rFonts w:ascii="仿宋" w:hAnsi="仿宋" w:eastAsia="仿宋" w:cs="仿宋"/>
          <w:sz w:val="24"/>
          <w:szCs w:val="24"/>
        </w:rPr>
      </w:pPr>
    </w:p>
    <w:p w14:paraId="623F88E8">
      <w:pPr>
        <w:pStyle w:val="2"/>
        <w:rPr>
          <w:rFonts w:ascii="仿宋" w:hAnsi="仿宋" w:eastAsia="仿宋" w:cs="仿宋"/>
          <w:sz w:val="24"/>
          <w:szCs w:val="24"/>
        </w:rPr>
      </w:pPr>
    </w:p>
    <w:p w14:paraId="5D78560C"/>
    <w:p w14:paraId="6AF623DB">
      <w:pPr>
        <w:tabs>
          <w:tab w:val="left" w:pos="1515"/>
        </w:tabs>
        <w:spacing w:line="360" w:lineRule="auto"/>
        <w:ind w:left="-359" w:leftChars="-171" w:firstLine="480" w:firstLineChars="200"/>
        <w:rPr>
          <w:rFonts w:ascii="仿宋" w:hAnsi="仿宋" w:eastAsia="仿宋" w:cs="仿宋"/>
          <w:sz w:val="24"/>
          <w:szCs w:val="24"/>
        </w:rPr>
      </w:pPr>
      <w:r>
        <w:rPr>
          <w:rFonts w:hint="eastAsia" w:ascii="仿宋" w:hAnsi="仿宋" w:eastAsia="仿宋" w:cs="仿宋"/>
          <w:sz w:val="24"/>
          <w:szCs w:val="24"/>
        </w:rPr>
        <w:t>承包方（盖章）：</w:t>
      </w:r>
    </w:p>
    <w:p w14:paraId="7A61C7A3">
      <w:pPr>
        <w:tabs>
          <w:tab w:val="left" w:pos="1515"/>
        </w:tabs>
        <w:spacing w:line="360" w:lineRule="auto"/>
        <w:ind w:left="-359" w:leftChars="-171" w:firstLine="480" w:firstLineChars="200"/>
        <w:rPr>
          <w:rFonts w:hint="eastAsia" w:ascii="仿宋" w:hAnsi="仿宋" w:eastAsia="仿宋" w:cs="仿宋"/>
          <w:sz w:val="24"/>
          <w:szCs w:val="24"/>
        </w:rPr>
      </w:pPr>
    </w:p>
    <w:p w14:paraId="168230E6">
      <w:pPr>
        <w:tabs>
          <w:tab w:val="left" w:pos="1515"/>
        </w:tabs>
        <w:spacing w:line="360" w:lineRule="auto"/>
        <w:ind w:left="-359" w:leftChars="-171" w:firstLine="480" w:firstLineChars="200"/>
        <w:rPr>
          <w:rFonts w:ascii="仿宋" w:hAnsi="仿宋" w:eastAsia="仿宋" w:cs="仿宋"/>
          <w:sz w:val="24"/>
          <w:szCs w:val="24"/>
        </w:rPr>
      </w:pPr>
      <w:r>
        <w:rPr>
          <w:rFonts w:hint="eastAsia" w:ascii="仿宋" w:hAnsi="仿宋" w:eastAsia="仿宋" w:cs="仿宋"/>
          <w:sz w:val="24"/>
          <w:szCs w:val="24"/>
        </w:rPr>
        <w:t xml:space="preserve">法定代表人/授权代表（签字）：                           </w:t>
      </w:r>
    </w:p>
    <w:p w14:paraId="7E368F83">
      <w:pPr>
        <w:tabs>
          <w:tab w:val="left" w:pos="1515"/>
        </w:tabs>
        <w:spacing w:line="360" w:lineRule="auto"/>
        <w:ind w:left="-359" w:leftChars="-171" w:firstLine="480" w:firstLineChars="200"/>
        <w:rPr>
          <w:rFonts w:hint="eastAsia" w:ascii="仿宋" w:hAnsi="仿宋" w:eastAsia="仿宋" w:cs="仿宋"/>
          <w:sz w:val="24"/>
          <w:szCs w:val="24"/>
        </w:rPr>
      </w:pPr>
    </w:p>
    <w:p w14:paraId="3433C0DC">
      <w:pPr>
        <w:tabs>
          <w:tab w:val="left" w:pos="1515"/>
        </w:tabs>
        <w:spacing w:line="360" w:lineRule="auto"/>
        <w:ind w:left="-359" w:leftChars="-171"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3F59563C">
      <w:pPr>
        <w:pStyle w:val="2"/>
        <w:spacing w:line="360" w:lineRule="auto"/>
        <w:sectPr>
          <w:footerReference r:id="rId3" w:type="default"/>
          <w:pgSz w:w="11906" w:h="16838"/>
          <w:pgMar w:top="1440" w:right="1800" w:bottom="1440" w:left="1800" w:header="851" w:footer="992" w:gutter="0"/>
          <w:pgNumType w:fmt="decimal"/>
          <w:cols w:space="425" w:num="1"/>
          <w:docGrid w:type="lines" w:linePitch="312" w:charSpace="0"/>
        </w:sectPr>
      </w:pPr>
    </w:p>
    <w:bookmarkEnd w:id="3"/>
    <w:p w14:paraId="53A7ED5B">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12"/>
        <w:textAlignment w:val="baseline"/>
        <w:rPr>
          <w:rFonts w:hint="eastAsia"/>
          <w:sz w:val="32"/>
          <w:szCs w:val="32"/>
          <w:lang w:eastAsia="zh-CN"/>
        </w:rPr>
      </w:pPr>
      <w:r>
        <w:rPr>
          <w:rFonts w:hint="eastAsia" w:ascii="仿宋" w:hAnsi="仿宋" w:eastAsia="仿宋" w:cs="仿宋"/>
          <w:b/>
          <w:bCs/>
          <w:color w:val="auto"/>
          <w:kern w:val="2"/>
          <w:sz w:val="28"/>
          <w:szCs w:val="28"/>
          <w:lang w:val="en-US" w:eastAsia="zh-CN" w:bidi="ar-SA"/>
        </w:rPr>
        <w:t>附件一</w:t>
      </w:r>
      <w:r>
        <w:rPr>
          <w:b w:val="0"/>
          <w:bCs w:val="0"/>
          <w:spacing w:val="-10"/>
          <w:sz w:val="32"/>
          <w:szCs w:val="32"/>
          <w:lang w:eastAsia="zh-CN"/>
        </w:rPr>
        <w:t>：</w:t>
      </w:r>
    </w:p>
    <w:p w14:paraId="6F8A4846">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jc w:val="center"/>
        <w:textAlignment w:val="baseline"/>
        <w:rPr>
          <w:lang w:eastAsia="zh-CN"/>
        </w:rPr>
      </w:pPr>
      <w:r>
        <w:rPr>
          <w:b/>
          <w:bCs/>
          <w:spacing w:val="6"/>
          <w:sz w:val="32"/>
          <w:szCs w:val="32"/>
          <w:lang w:eastAsia="zh-CN"/>
        </w:rPr>
        <w:t>费用结算确认函</w:t>
      </w:r>
    </w:p>
    <w:p w14:paraId="6FD06687">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right="2" w:firstLine="562"/>
        <w:jc w:val="both"/>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根据我司与</w:t>
      </w:r>
      <w:bookmarkStart w:id="5" w:name="OLE_LINK3"/>
      <w:r>
        <w:rPr>
          <w:rFonts w:hint="eastAsia" w:ascii="仿宋" w:hAnsi="仿宋" w:eastAsia="仿宋" w:cs="仿宋"/>
          <w:color w:val="auto"/>
          <w:kern w:val="2"/>
          <w:sz w:val="28"/>
          <w:szCs w:val="28"/>
          <w:u w:val="single"/>
          <w:lang w:val="en-US" w:eastAsia="zh-CN" w:bidi="ar-SA"/>
        </w:rPr>
        <w:t>武汉博远众达网络工程有限公司</w:t>
      </w:r>
      <w:bookmarkEnd w:id="5"/>
      <w:r>
        <w:rPr>
          <w:rFonts w:hint="eastAsia" w:ascii="仿宋" w:hAnsi="仿宋" w:eastAsia="仿宋" w:cs="仿宋"/>
          <w:color w:val="auto"/>
          <w:kern w:val="2"/>
          <w:sz w:val="28"/>
          <w:szCs w:val="28"/>
          <w:lang w:val="en-US" w:eastAsia="zh-CN" w:bidi="ar-SA"/>
        </w:rPr>
        <w:t>签订的关于《2026年度玫瑰湾弱电系统（监控、停车场、门禁网络）维护保养合同》的付款约定，我物业服务中心经过对服务公司月考核，具体情况如下：</w:t>
      </w:r>
    </w:p>
    <w:p w14:paraId="77C4847C">
      <w:pPr>
        <w:pStyle w:val="8"/>
        <w:keepNext w:val="0"/>
        <w:keepLines w:val="0"/>
        <w:pageBreakBefore w:val="0"/>
        <w:widowControl/>
        <w:numPr>
          <w:ilvl w:val="0"/>
          <w:numId w:val="0"/>
        </w:numPr>
        <w:tabs>
          <w:tab w:val="left" w:pos="574"/>
        </w:tabs>
        <w:kinsoku w:val="0"/>
        <w:overflowPunct/>
        <w:topLinePunct w:val="0"/>
        <w:autoSpaceDE w:val="0"/>
        <w:autoSpaceDN w:val="0"/>
        <w:bidi w:val="0"/>
        <w:adjustRightInd w:val="0"/>
        <w:snapToGrid w:val="0"/>
        <w:spacing w:line="240" w:lineRule="auto"/>
        <w:ind w:leftChars="0" w:right="0" w:rightChars="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    1、月考核分数：</w:t>
      </w:r>
    </w:p>
    <w:p w14:paraId="18786BC4">
      <w:pPr>
        <w:pStyle w:val="8"/>
        <w:keepNext w:val="0"/>
        <w:keepLines w:val="0"/>
        <w:pageBreakBefore w:val="0"/>
        <w:widowControl/>
        <w:numPr>
          <w:ilvl w:val="0"/>
          <w:numId w:val="0"/>
        </w:numPr>
        <w:tabs>
          <w:tab w:val="left" w:pos="574"/>
        </w:tabs>
        <w:kinsoku w:val="0"/>
        <w:wordWrap/>
        <w:overflowPunct/>
        <w:topLinePunct w:val="0"/>
        <w:autoSpaceDE w:val="0"/>
        <w:autoSpaceDN w:val="0"/>
        <w:bidi w:val="0"/>
        <w:adjustRightInd w:val="0"/>
        <w:snapToGrid w:val="0"/>
        <w:spacing w:line="360" w:lineRule="auto"/>
        <w:ind w:left="0" w:leftChars="0" w:right="0" w:rightChars="0" w:firstLine="560" w:firstLineChars="20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描述：详见月度考核表</w:t>
      </w:r>
    </w:p>
    <w:p w14:paraId="5FF359AF">
      <w:pPr>
        <w:keepNext w:val="0"/>
        <w:keepLines w:val="0"/>
        <w:pageBreakBefore w:val="0"/>
        <w:widowControl/>
        <w:kinsoku w:val="0"/>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kern w:val="2"/>
          <w:sz w:val="28"/>
          <w:szCs w:val="28"/>
          <w:lang w:val="en-US" w:eastAsia="zh-CN" w:bidi="ar-SA"/>
        </w:rPr>
      </w:pPr>
      <w:bookmarkStart w:id="10" w:name="_GoBack"/>
      <w:bookmarkEnd w:id="10"/>
    </w:p>
    <w:p w14:paraId="62A7F6FB">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2、月度服务费结算：</w:t>
      </w:r>
    </w:p>
    <w:p w14:paraId="59597497">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2" w:firstLine="56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根据协议规定，20   年  月份的弱电服务外包费为     元，需扣减费用   元，实际应付费用为      元。</w:t>
      </w:r>
    </w:p>
    <w:p w14:paraId="10B52C45">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567"/>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扣款原因：</w:t>
      </w:r>
    </w:p>
    <w:p w14:paraId="21736871">
      <w:pPr>
        <w:keepNext w:val="0"/>
        <w:keepLines w:val="0"/>
        <w:pageBreakBefore w:val="0"/>
        <w:widowControl/>
        <w:kinsoku w:val="0"/>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kern w:val="2"/>
          <w:sz w:val="28"/>
          <w:szCs w:val="28"/>
          <w:lang w:val="en-US" w:eastAsia="zh-CN" w:bidi="ar-SA"/>
        </w:rPr>
      </w:pPr>
    </w:p>
    <w:p w14:paraId="51C89DD6">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3、公司确认</w:t>
      </w:r>
    </w:p>
    <w:p w14:paraId="6A68A1A2">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2" w:right="2" w:firstLine="569"/>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我司承诺尽快整改第1项中描述的问题，并同意按第2项核对的费用进行付款。</w:t>
      </w:r>
    </w:p>
    <w:p w14:paraId="3A229F7C">
      <w:pPr>
        <w:pStyle w:val="8"/>
        <w:keepNext w:val="0"/>
        <w:keepLines w:val="0"/>
        <w:pageBreakBefore w:val="0"/>
        <w:widowControl/>
        <w:tabs>
          <w:tab w:val="left" w:pos="7542"/>
        </w:tabs>
        <w:kinsoku w:val="0"/>
        <w:overflowPunct/>
        <w:topLinePunct w:val="0"/>
        <w:autoSpaceDE w:val="0"/>
        <w:autoSpaceDN w:val="0"/>
        <w:bidi w:val="0"/>
        <w:adjustRightInd w:val="0"/>
        <w:snapToGrid w:val="0"/>
        <w:spacing w:line="360" w:lineRule="auto"/>
        <w:ind w:left="4464"/>
        <w:textAlignment w:val="baseline"/>
        <w:rPr>
          <w:rFonts w:hint="eastAsia" w:ascii="仿宋" w:hAnsi="仿宋" w:eastAsia="仿宋" w:cs="仿宋"/>
          <w:color w:val="auto"/>
          <w:kern w:val="2"/>
          <w:sz w:val="28"/>
          <w:szCs w:val="28"/>
          <w:lang w:val="en-US" w:eastAsia="zh-CN" w:bidi="ar-SA"/>
        </w:rPr>
      </w:pPr>
      <w:bookmarkStart w:id="6" w:name="OLE_LINK4"/>
      <w:r>
        <w:rPr>
          <w:rFonts w:hint="eastAsia" w:ascii="仿宋" w:hAnsi="仿宋" w:eastAsia="仿宋" w:cs="仿宋"/>
          <w:color w:val="auto"/>
          <w:kern w:val="2"/>
          <w:sz w:val="28"/>
          <w:szCs w:val="28"/>
          <w:u w:val="single"/>
          <w:lang w:val="en-US" w:eastAsia="zh-CN" w:bidi="ar-SA"/>
        </w:rPr>
        <w:t>武汉博远众达网络工程有限公司</w:t>
      </w:r>
      <w:bookmarkEnd w:id="6"/>
      <w:r>
        <w:rPr>
          <w:rFonts w:hint="eastAsia" w:ascii="仿宋" w:hAnsi="仿宋" w:eastAsia="仿宋" w:cs="仿宋"/>
          <w:color w:val="auto"/>
          <w:kern w:val="2"/>
          <w:sz w:val="28"/>
          <w:szCs w:val="28"/>
          <w:lang w:val="en-US" w:eastAsia="zh-CN" w:bidi="ar-SA"/>
        </w:rPr>
        <w:t>（盖章）</w:t>
      </w:r>
    </w:p>
    <w:p w14:paraId="6D9A8179">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6166"/>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代表签名：</w:t>
      </w:r>
    </w:p>
    <w:p w14:paraId="19EC8596">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6867"/>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年    月    日</w:t>
      </w:r>
    </w:p>
    <w:p w14:paraId="7358EE26">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kern w:val="2"/>
          <w:sz w:val="28"/>
          <w:szCs w:val="28"/>
          <w:lang w:val="en-US" w:eastAsia="zh-CN" w:bidi="ar-SA"/>
        </w:rPr>
      </w:pPr>
    </w:p>
    <w:p w14:paraId="4C494C34">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551"/>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4、物业服务中心确认</w:t>
      </w:r>
    </w:p>
    <w:p w14:paraId="33D22893">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left="594"/>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同意按第2项核对的费用进行付款。</w:t>
      </w:r>
    </w:p>
    <w:p w14:paraId="42E8AF35">
      <w:pPr>
        <w:keepNext w:val="0"/>
        <w:keepLines w:val="0"/>
        <w:pageBreakBefore w:val="0"/>
        <w:widowControl/>
        <w:kinsoku w:val="0"/>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kern w:val="2"/>
          <w:sz w:val="28"/>
          <w:szCs w:val="28"/>
          <w:lang w:val="en-US" w:eastAsia="zh-CN" w:bidi="ar-SA"/>
        </w:rPr>
      </w:pPr>
    </w:p>
    <w:p w14:paraId="61E4D307">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right="21" w:firstLine="560" w:firstLineChars="20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物业服务中心：          深圳市泰然物业管理服务有限公司</w:t>
      </w:r>
    </w:p>
    <w:p w14:paraId="0A2EC3D7">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right="21" w:firstLine="4200" w:firstLineChars="150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南湖玫瑰湾物业服务中心（盖章）</w:t>
      </w:r>
    </w:p>
    <w:p w14:paraId="08519648">
      <w:pPr>
        <w:pStyle w:val="8"/>
        <w:keepNext w:val="0"/>
        <w:keepLines w:val="0"/>
        <w:pageBreakBefore w:val="0"/>
        <w:widowControl/>
        <w:tabs>
          <w:tab w:val="left" w:pos="574"/>
        </w:tabs>
        <w:kinsoku w:val="0"/>
        <w:overflowPunct/>
        <w:topLinePunct w:val="0"/>
        <w:autoSpaceDE w:val="0"/>
        <w:autoSpaceDN w:val="0"/>
        <w:bidi w:val="0"/>
        <w:adjustRightInd w:val="0"/>
        <w:snapToGrid w:val="0"/>
        <w:spacing w:line="360" w:lineRule="auto"/>
        <w:ind w:right="21" w:firstLine="6720" w:firstLineChars="2400"/>
        <w:textAlignment w:val="baseline"/>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  年    月    日</w:t>
      </w:r>
    </w:p>
    <w:p w14:paraId="12BF293D">
      <w:pPr>
        <w:keepNext w:val="0"/>
        <w:keepLines w:val="0"/>
        <w:pageBreakBefore w:val="0"/>
        <w:widowControl/>
        <w:kinsoku w:val="0"/>
        <w:overflowPunct/>
        <w:topLinePunct w:val="0"/>
        <w:autoSpaceDE w:val="0"/>
        <w:autoSpaceDN w:val="0"/>
        <w:bidi w:val="0"/>
        <w:adjustRightInd w:val="0"/>
        <w:snapToGrid w:val="0"/>
        <w:spacing w:line="360" w:lineRule="auto"/>
        <w:textAlignment w:val="baseline"/>
        <w:rPr>
          <w:lang w:eastAsia="zh-CN"/>
        </w:rPr>
        <w:sectPr>
          <w:footerReference r:id="rId4" w:type="default"/>
          <w:pgSz w:w="11906" w:h="16839"/>
          <w:pgMar w:top="1383" w:right="1134" w:bottom="1361" w:left="1134" w:header="0" w:footer="1202" w:gutter="0"/>
          <w:pgNumType w:fmt="decimal"/>
          <w:cols w:space="720" w:num="1"/>
          <w:rtlGutter w:val="0"/>
          <w:docGrid w:linePitch="1" w:charSpace="0"/>
        </w:sectPr>
      </w:pPr>
    </w:p>
    <w:p w14:paraId="02D08356">
      <w:pPr>
        <w:keepNext w:val="0"/>
        <w:keepLines w:val="0"/>
        <w:pageBreakBefore w:val="0"/>
        <w:kinsoku/>
        <w:wordWrap/>
        <w:overflowPunct/>
        <w:topLinePunct w:val="0"/>
        <w:bidi w:val="0"/>
        <w:adjustRightInd w:val="0"/>
        <w:snapToGrid w:val="0"/>
        <w:spacing w:line="360" w:lineRule="auto"/>
        <w:jc w:val="left"/>
        <w:textAlignment w:val="auto"/>
        <w:rPr>
          <w:rFonts w:ascii="仿宋" w:hAnsi="仿宋" w:eastAsia="仿宋" w:cs="仿宋"/>
          <w:b/>
          <w:bCs/>
          <w:color w:val="auto"/>
          <w:sz w:val="28"/>
          <w:szCs w:val="28"/>
        </w:rPr>
      </w:pPr>
      <w:r>
        <w:rPr>
          <w:rFonts w:hint="eastAsia" w:ascii="仿宋" w:hAnsi="仿宋" w:eastAsia="仿宋" w:cs="仿宋"/>
          <w:b/>
          <w:bCs/>
          <w:color w:val="auto"/>
          <w:sz w:val="28"/>
          <w:szCs w:val="28"/>
        </w:rPr>
        <w:t>附件</w:t>
      </w:r>
      <w:r>
        <w:rPr>
          <w:rFonts w:hint="eastAsia" w:ascii="仿宋" w:hAnsi="仿宋" w:eastAsia="仿宋" w:cs="仿宋"/>
          <w:b/>
          <w:bCs/>
          <w:color w:val="auto"/>
          <w:sz w:val="28"/>
          <w:szCs w:val="28"/>
          <w:lang w:val="en-US" w:eastAsia="zh-CN"/>
        </w:rPr>
        <w:t>二</w:t>
      </w:r>
      <w:r>
        <w:rPr>
          <w:rFonts w:ascii="仿宋" w:hAnsi="仿宋" w:eastAsia="仿宋" w:cs="仿宋"/>
          <w:b/>
          <w:bCs/>
          <w:color w:val="auto"/>
          <w:sz w:val="28"/>
          <w:szCs w:val="28"/>
        </w:rPr>
        <w:t>：</w:t>
      </w:r>
    </w:p>
    <w:p w14:paraId="52E8774A">
      <w:pPr>
        <w:keepNext w:val="0"/>
        <w:keepLines w:val="0"/>
        <w:pageBreakBefore w:val="0"/>
        <w:kinsoku/>
        <w:wordWrap/>
        <w:overflowPunct/>
        <w:topLinePunct w:val="0"/>
        <w:bidi w:val="0"/>
        <w:adjustRightInd w:val="0"/>
        <w:snapToGrid w:val="0"/>
        <w:spacing w:line="360" w:lineRule="auto"/>
        <w:jc w:val="center"/>
        <w:textAlignment w:val="auto"/>
        <w:rPr>
          <w:rFonts w:hint="eastAsia" w:ascii="宋体" w:hAnsi="宋体"/>
          <w:b/>
          <w:color w:val="auto"/>
          <w:sz w:val="32"/>
          <w:szCs w:val="32"/>
        </w:rPr>
      </w:pPr>
      <w:r>
        <w:rPr>
          <w:rFonts w:hint="eastAsia" w:ascii="仿宋" w:hAnsi="仿宋" w:eastAsia="仿宋" w:cs="仿宋"/>
          <w:b/>
          <w:color w:val="auto"/>
          <w:sz w:val="32"/>
          <w:szCs w:val="32"/>
        </w:rPr>
        <w:t>安全管理协议</w:t>
      </w:r>
    </w:p>
    <w:p w14:paraId="6D770511">
      <w:pPr>
        <w:keepNext w:val="0"/>
        <w:keepLines w:val="0"/>
        <w:pageBreakBefore w:val="0"/>
        <w:kinsoku/>
        <w:wordWrap/>
        <w:overflowPunct/>
        <w:topLinePunct w:val="0"/>
        <w:bidi w:val="0"/>
        <w:adjustRightInd w:val="0"/>
        <w:snapToGrid w:val="0"/>
        <w:spacing w:line="360" w:lineRule="auto"/>
        <w:jc w:val="center"/>
        <w:textAlignment w:val="auto"/>
        <w:rPr>
          <w:rFonts w:hint="eastAsia" w:ascii="宋体" w:hAnsi="宋体"/>
          <w:b/>
          <w:color w:val="auto"/>
          <w:sz w:val="10"/>
          <w:szCs w:val="10"/>
        </w:rPr>
      </w:pPr>
    </w:p>
    <w:p w14:paraId="443A3C49">
      <w:pPr>
        <w:keepNext w:val="0"/>
        <w:keepLines w:val="0"/>
        <w:pageBreakBefore w:val="0"/>
        <w:tabs>
          <w:tab w:val="left" w:pos="0"/>
          <w:tab w:val="left" w:pos="993"/>
          <w:tab w:val="left" w:pos="1134"/>
        </w:tabs>
        <w:kinsoku/>
        <w:wordWrap/>
        <w:overflowPunct/>
        <w:topLinePunct w:val="0"/>
        <w:bidi w:val="0"/>
        <w:spacing w:line="360" w:lineRule="auto"/>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 xml:space="preserve">甲方（全称）： </w:t>
      </w:r>
      <w:bookmarkStart w:id="7" w:name="OLE_LINK6"/>
      <w:r>
        <w:rPr>
          <w:rFonts w:hint="eastAsia" w:ascii="仿宋" w:hAnsi="仿宋" w:eastAsia="仿宋" w:cs="仿宋"/>
          <w:color w:val="auto"/>
          <w:sz w:val="28"/>
          <w:szCs w:val="28"/>
          <w:u w:val="single"/>
        </w:rPr>
        <w:t>深圳市泰然物业管理服务有限公司武汉分公司</w:t>
      </w:r>
      <w:bookmarkEnd w:id="7"/>
      <w:r>
        <w:rPr>
          <w:rFonts w:hint="eastAsia" w:ascii="仿宋" w:hAnsi="仿宋" w:eastAsia="仿宋" w:cs="仿宋"/>
          <w:color w:val="auto"/>
          <w:sz w:val="28"/>
          <w:szCs w:val="28"/>
          <w:u w:val="single"/>
        </w:rPr>
        <w:t xml:space="preserve">            </w:t>
      </w:r>
    </w:p>
    <w:p w14:paraId="451F1C66">
      <w:pPr>
        <w:keepNext w:val="0"/>
        <w:keepLines w:val="0"/>
        <w:pageBreakBefore w:val="0"/>
        <w:kinsoku/>
        <w:wordWrap/>
        <w:overflowPunct/>
        <w:topLinePunct w:val="0"/>
        <w:bidi w:val="0"/>
        <w:adjustRightInd w:val="0"/>
        <w:snapToGrid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乙方（全称）： </w:t>
      </w:r>
      <w:r>
        <w:rPr>
          <w:rFonts w:hint="eastAsia" w:ascii="仿宋" w:hAnsi="仿宋" w:eastAsia="仿宋" w:cs="仿宋"/>
          <w:color w:val="auto"/>
          <w:kern w:val="2"/>
          <w:sz w:val="28"/>
          <w:szCs w:val="28"/>
          <w:u w:val="single"/>
          <w:lang w:val="en-US" w:eastAsia="zh-CN" w:bidi="ar-SA"/>
        </w:rPr>
        <w:t>武汉博远众达网络工程有限公司</w:t>
      </w:r>
      <w:r>
        <w:rPr>
          <w:rFonts w:hint="eastAsia" w:ascii="仿宋" w:hAnsi="仿宋" w:eastAsia="仿宋" w:cs="仿宋"/>
          <w:color w:val="auto"/>
          <w:sz w:val="28"/>
          <w:szCs w:val="28"/>
          <w:u w:val="single"/>
        </w:rPr>
        <w:t xml:space="preserve">                        </w:t>
      </w:r>
    </w:p>
    <w:p w14:paraId="4844DBEA">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依据《中华人民共和国民法典》、《中华人民共和国安全生产法》及其他有关法律、法规，为了保证甲乙双方生产安全，防止和减少生产安全事故发生，明确双方的安全管理职责和应当采取的安全措施，经双方共同协商一致，签订本协议如下：</w:t>
      </w:r>
    </w:p>
    <w:p w14:paraId="17B7BAA3">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一、甲方的责任与权利</w:t>
      </w:r>
    </w:p>
    <w:p w14:paraId="000CF3DC">
      <w:pPr>
        <w:keepNext w:val="0"/>
        <w:keepLines w:val="0"/>
        <w:pageBreakBefore w:val="0"/>
        <w:widowControl/>
        <w:numPr>
          <w:ilvl w:val="0"/>
          <w:numId w:val="4"/>
        </w:numPr>
        <w:kinsoku/>
        <w:wordWrap/>
        <w:overflowPunct/>
        <w:topLinePunct w:val="0"/>
        <w:bidi w:val="0"/>
        <w:adjustRightInd w:val="0"/>
        <w:snapToGrid w:val="0"/>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甲方有权审查乙方资质，对不具备资质或资质与工作内容不相符的，有权拒绝为其办理任何施工手续。</w:t>
      </w:r>
    </w:p>
    <w:p w14:paraId="61E19F94">
      <w:pPr>
        <w:keepNext w:val="0"/>
        <w:keepLines w:val="0"/>
        <w:pageBreakBefore w:val="0"/>
        <w:widowControl/>
        <w:numPr>
          <w:ilvl w:val="0"/>
          <w:numId w:val="4"/>
        </w:numPr>
        <w:kinsoku/>
        <w:wordWrap/>
        <w:overflowPunct/>
        <w:topLinePunct w:val="0"/>
        <w:bidi w:val="0"/>
        <w:adjustRightInd w:val="0"/>
        <w:snapToGrid w:val="0"/>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甲方不得要求乙方违反安全管理规定进行施工。</w:t>
      </w:r>
    </w:p>
    <w:p w14:paraId="3CB41E54">
      <w:pPr>
        <w:keepNext w:val="0"/>
        <w:keepLines w:val="0"/>
        <w:pageBreakBefore w:val="0"/>
        <w:widowControl/>
        <w:numPr>
          <w:ilvl w:val="0"/>
          <w:numId w:val="4"/>
        </w:numPr>
        <w:kinsoku/>
        <w:wordWrap/>
        <w:overflowPunct/>
        <w:topLinePunct w:val="0"/>
        <w:bidi w:val="0"/>
        <w:adjustRightInd w:val="0"/>
        <w:snapToGrid w:val="0"/>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甲方不得对乙方提出与安全生产法律、法规和强制性标准规定相违背的要求。</w:t>
      </w:r>
    </w:p>
    <w:p w14:paraId="444A642A">
      <w:pPr>
        <w:keepNext w:val="0"/>
        <w:keepLines w:val="0"/>
        <w:pageBreakBefore w:val="0"/>
        <w:widowControl/>
        <w:numPr>
          <w:ilvl w:val="0"/>
          <w:numId w:val="4"/>
        </w:numPr>
        <w:kinsoku/>
        <w:wordWrap/>
        <w:overflowPunct/>
        <w:topLinePunct w:val="0"/>
        <w:bidi w:val="0"/>
        <w:adjustRightInd w:val="0"/>
        <w:snapToGrid w:val="0"/>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甲方不得明示或者暗示乙方购买、租赁、使用不符合安全施工要求的防护用具、机械设备、施工机具及配件、消防设施和器材。</w:t>
      </w:r>
    </w:p>
    <w:p w14:paraId="62E9DA66">
      <w:pPr>
        <w:keepNext w:val="0"/>
        <w:keepLines w:val="0"/>
        <w:pageBreakBefore w:val="0"/>
        <w:widowControl/>
        <w:numPr>
          <w:ilvl w:val="0"/>
          <w:numId w:val="4"/>
        </w:numPr>
        <w:kinsoku/>
        <w:wordWrap/>
        <w:overflowPunct/>
        <w:topLinePunct w:val="0"/>
        <w:bidi w:val="0"/>
        <w:adjustRightInd w:val="0"/>
        <w:snapToGrid w:val="0"/>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对乙方提出的安全生产要求积极提供帮助。</w:t>
      </w:r>
    </w:p>
    <w:p w14:paraId="31B8B402">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二、乙方的责任与权利</w:t>
      </w:r>
    </w:p>
    <w:p w14:paraId="298A791F">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w:t>
      </w:r>
      <w:r>
        <w:rPr>
          <w:rFonts w:hint="eastAsia" w:ascii="仿宋" w:hAnsi="仿宋" w:eastAsia="仿宋" w:cs="仿宋"/>
          <w:color w:val="auto"/>
          <w:sz w:val="28"/>
          <w:szCs w:val="28"/>
        </w:rPr>
        <w:t>乙方应认真贯彻执行国家有关施工安全生产的政策、法规、国家标准、行业标准、安全技术操作规程，建立健全安全生产责任制等各项安全生产管理制度。</w:t>
      </w:r>
    </w:p>
    <w:p w14:paraId="68C3B519">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2.</w:t>
      </w:r>
      <w:r>
        <w:rPr>
          <w:rFonts w:hint="eastAsia" w:ascii="仿宋" w:hAnsi="仿宋" w:eastAsia="仿宋" w:cs="仿宋"/>
          <w:color w:val="auto"/>
          <w:sz w:val="28"/>
          <w:szCs w:val="28"/>
        </w:rPr>
        <w:t>乙方应遵守落实甲方各项安全管理要求规定，对甲方提出的问题，及时整改回复。</w:t>
      </w:r>
    </w:p>
    <w:p w14:paraId="07FCFDEC">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3.</w:t>
      </w:r>
      <w:r>
        <w:rPr>
          <w:rFonts w:hint="eastAsia" w:ascii="仿宋" w:hAnsi="仿宋" w:eastAsia="仿宋" w:cs="仿宋"/>
          <w:color w:val="auto"/>
          <w:sz w:val="28"/>
          <w:szCs w:val="28"/>
        </w:rPr>
        <w:t>因乙方原因造成的生产安全事故，包括导致发生安全、火灾等事故、治安案件及刑事案件的，由乙方承担由此引发的全部责任，并承担由此给甲方及第三方造成的全部损失。</w:t>
      </w:r>
    </w:p>
    <w:p w14:paraId="0DB3ECF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4.</w:t>
      </w:r>
      <w:r>
        <w:rPr>
          <w:rFonts w:hint="eastAsia" w:ascii="仿宋" w:hAnsi="仿宋" w:eastAsia="仿宋" w:cs="仿宋"/>
          <w:color w:val="auto"/>
          <w:sz w:val="28"/>
          <w:szCs w:val="28"/>
        </w:rPr>
        <w:t>乙方负责人是本项目的安全生产第一责任人，对本协议安全生产负全责。</w:t>
      </w:r>
    </w:p>
    <w:p w14:paraId="00A1C8D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5.</w:t>
      </w:r>
      <w:r>
        <w:rPr>
          <w:rFonts w:hint="eastAsia" w:ascii="仿宋" w:hAnsi="仿宋" w:eastAsia="仿宋" w:cs="仿宋"/>
          <w:color w:val="auto"/>
          <w:sz w:val="28"/>
          <w:szCs w:val="28"/>
        </w:rPr>
        <w:t>乙方在开工前，按照合同履行地政府部门要求,到当地住建局或街道办事处办理《施工许可证》或《小散工程的备案回执》等相关许可证明。同时将相关许可证明张贴在工程的醒目位置。</w:t>
      </w:r>
    </w:p>
    <w:p w14:paraId="57FC739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6.</w:t>
      </w:r>
      <w:r>
        <w:rPr>
          <w:rFonts w:hint="eastAsia" w:ascii="仿宋" w:hAnsi="仿宋" w:eastAsia="仿宋" w:cs="仿宋"/>
          <w:color w:val="auto"/>
          <w:sz w:val="28"/>
          <w:szCs w:val="28"/>
        </w:rPr>
        <w:t>乙方应接受甲方对乙方安全生产资质的审查，按照规定进行登记，办理施工作业手续。</w:t>
      </w:r>
    </w:p>
    <w:p w14:paraId="1EEDAFF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7.</w:t>
      </w:r>
      <w:r>
        <w:rPr>
          <w:rFonts w:hint="eastAsia" w:ascii="仿宋" w:hAnsi="仿宋" w:eastAsia="仿宋" w:cs="仿宋"/>
          <w:color w:val="auto"/>
          <w:sz w:val="28"/>
          <w:szCs w:val="28"/>
        </w:rPr>
        <w:t>乙方应按规定配备安全管理人员。</w:t>
      </w:r>
    </w:p>
    <w:p w14:paraId="4ADBC2B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8.</w:t>
      </w:r>
      <w:r>
        <w:rPr>
          <w:rFonts w:hint="eastAsia" w:ascii="仿宋" w:hAnsi="仿宋" w:eastAsia="仿宋" w:cs="仿宋"/>
          <w:color w:val="auto"/>
          <w:sz w:val="28"/>
          <w:szCs w:val="28"/>
        </w:rPr>
        <w:t>乙方的项目负责人、专（兼）职安全生产管理人员和特种作业人员应按照国家有关规定经过培训考核合格后，持证上岗。</w:t>
      </w:r>
    </w:p>
    <w:p w14:paraId="33EF95E3">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9.</w:t>
      </w:r>
      <w:r>
        <w:rPr>
          <w:rFonts w:hint="eastAsia" w:ascii="仿宋" w:hAnsi="仿宋" w:eastAsia="仿宋" w:cs="仿宋"/>
          <w:color w:val="auto"/>
          <w:sz w:val="28"/>
          <w:szCs w:val="28"/>
        </w:rPr>
        <w:t>乙方应按照国家有关法律、法规合法用工，严禁使用未成年工、有职业禁忌、患有妨碍工作病症的人员，严禁使用患有传染病、精神病的人员，严禁使用身份不明的人员。</w:t>
      </w:r>
    </w:p>
    <w:p w14:paraId="702EAD1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10.</w:t>
      </w:r>
      <w:r>
        <w:rPr>
          <w:rFonts w:hint="eastAsia" w:ascii="仿宋" w:hAnsi="仿宋" w:eastAsia="仿宋" w:cs="仿宋"/>
          <w:color w:val="auto"/>
          <w:sz w:val="28"/>
          <w:szCs w:val="28"/>
        </w:rPr>
        <w:t>乙方应定期对项目现场进行安全检查，分析各类安全风险，及时消除各类安全隐患。</w:t>
      </w:r>
    </w:p>
    <w:p w14:paraId="2D09B44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11.</w:t>
      </w:r>
      <w:r>
        <w:rPr>
          <w:rFonts w:hint="eastAsia" w:ascii="仿宋" w:hAnsi="仿宋" w:eastAsia="仿宋" w:cs="仿宋"/>
          <w:color w:val="auto"/>
          <w:sz w:val="28"/>
          <w:szCs w:val="28"/>
        </w:rPr>
        <w:t>乙方应根据所承包项目的特点编制施工或作业方案，制定相应的安全技术措施和现场临时用电方案，达到一定规模的危险性较大的应编制专项施工方案，施工方案需按规定论证审批。</w:t>
      </w:r>
    </w:p>
    <w:p w14:paraId="5AFFB80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12.</w:t>
      </w:r>
      <w:r>
        <w:rPr>
          <w:rFonts w:hint="eastAsia" w:ascii="仿宋" w:hAnsi="仿宋" w:eastAsia="仿宋" w:cs="仿宋"/>
          <w:color w:val="auto"/>
          <w:sz w:val="28"/>
          <w:szCs w:val="28"/>
        </w:rPr>
        <w:t>乙方作业中涉及小散工程的，应根据小散工程的技术特点，编制安全可靠的施工作业方案，经乙方单位技术负责人签字后实施，由安全生产管理人员进行现场监督。</w:t>
      </w:r>
    </w:p>
    <w:p w14:paraId="164BD9E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13.</w:t>
      </w:r>
      <w:r>
        <w:rPr>
          <w:rFonts w:hint="eastAsia" w:ascii="仿宋" w:hAnsi="仿宋" w:eastAsia="仿宋" w:cs="仿宋"/>
          <w:color w:val="auto"/>
          <w:sz w:val="28"/>
          <w:szCs w:val="28"/>
        </w:rPr>
        <w:t>乙方负责人及管理人员应按规定接受安全教育和培训，同时要做好所属工作人员的安全教育和安全技术交底工作，未经安全教育培训的不得上岗作业。</w:t>
      </w:r>
    </w:p>
    <w:p w14:paraId="4F54074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14.</w:t>
      </w:r>
      <w:r>
        <w:rPr>
          <w:rFonts w:hint="eastAsia" w:ascii="仿宋" w:hAnsi="仿宋" w:eastAsia="仿宋" w:cs="仿宋"/>
          <w:color w:val="auto"/>
          <w:sz w:val="28"/>
          <w:szCs w:val="28"/>
        </w:rPr>
        <w:t>乙方必须为所属人员办理社保及意外伤害保险，支付保险费。</w:t>
      </w:r>
    </w:p>
    <w:p w14:paraId="152D875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15.</w:t>
      </w:r>
      <w:r>
        <w:rPr>
          <w:rFonts w:hint="eastAsia" w:ascii="仿宋" w:hAnsi="仿宋" w:eastAsia="仿宋" w:cs="仿宋"/>
          <w:color w:val="auto"/>
          <w:sz w:val="28"/>
          <w:szCs w:val="28"/>
        </w:rPr>
        <w:t>乙方在施工作业中涉及危险作业时，应按照规定办理作业审批手续。</w:t>
      </w:r>
    </w:p>
    <w:p w14:paraId="1966D525">
      <w:pPr>
        <w:keepNext w:val="0"/>
        <w:keepLines w:val="0"/>
        <w:pageBreakBefore w:val="0"/>
        <w:widowControl/>
        <w:numPr>
          <w:ilvl w:val="0"/>
          <w:numId w:val="0"/>
        </w:numPr>
        <w:kinsoku w:val="0"/>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16.</w:t>
      </w:r>
      <w:r>
        <w:rPr>
          <w:rFonts w:hint="eastAsia" w:ascii="仿宋" w:hAnsi="仿宋" w:eastAsia="仿宋" w:cs="仿宋"/>
          <w:color w:val="auto"/>
          <w:sz w:val="28"/>
          <w:szCs w:val="28"/>
        </w:rPr>
        <w:t>乙方应购置配备安全防护设备和劳动保护用品，其使用要求符合国家标准。</w:t>
      </w:r>
    </w:p>
    <w:p w14:paraId="018CCD4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17.</w:t>
      </w:r>
      <w:r>
        <w:rPr>
          <w:rFonts w:hint="eastAsia" w:ascii="仿宋" w:hAnsi="仿宋" w:eastAsia="仿宋" w:cs="仿宋"/>
          <w:color w:val="auto"/>
          <w:sz w:val="28"/>
          <w:szCs w:val="28"/>
        </w:rPr>
        <w:t>乙方投入施工现场的全部机械设备及各类工具，必须经检验合格，符合国家相关标准遵守相关操作规程。</w:t>
      </w:r>
    </w:p>
    <w:p w14:paraId="5E07DDC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18.</w:t>
      </w:r>
      <w:r>
        <w:rPr>
          <w:rFonts w:hint="eastAsia" w:ascii="仿宋" w:hAnsi="仿宋" w:eastAsia="仿宋" w:cs="仿宋"/>
          <w:color w:val="auto"/>
          <w:sz w:val="28"/>
          <w:szCs w:val="28"/>
        </w:rPr>
        <w:t>乙方应在作业范围装设临时围栏或警告标志，不得超越指定的作业范围进行作业，禁止无关人员进入作业现场。未经甲方同意，乙方不得擅自使用与施工或作业无关的甲方设施设备；不得擅自拆除、变更甲方防护设施及标识，如因工作需要拆除的，需报甲方同意，事后必须及时恢复。</w:t>
      </w:r>
    </w:p>
    <w:p w14:paraId="3729BE9F">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19.</w:t>
      </w:r>
      <w:r>
        <w:rPr>
          <w:rFonts w:hint="eastAsia" w:ascii="仿宋" w:hAnsi="仿宋" w:eastAsia="仿宋" w:cs="仿宋"/>
          <w:color w:val="auto"/>
          <w:sz w:val="28"/>
          <w:szCs w:val="28"/>
        </w:rPr>
        <w:t>乙方要做好项目现场的安全检查工作，自觉接受甲方安全、环境监督和检查，对安全隐患及时整改。对甲方检查后下达的安全隐患整改通知应无条件按要求整改。</w:t>
      </w:r>
    </w:p>
    <w:p w14:paraId="7BB2EDBB">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20.</w:t>
      </w:r>
      <w:r>
        <w:rPr>
          <w:rFonts w:hint="eastAsia" w:ascii="仿宋" w:hAnsi="仿宋" w:eastAsia="仿宋" w:cs="仿宋"/>
          <w:color w:val="auto"/>
          <w:sz w:val="28"/>
          <w:szCs w:val="28"/>
        </w:rPr>
        <w:t>乙方应采取措施，控制或处理作业过程产生的粉尘、废气、废水、固体废物和噪声对环境的污染和危害。</w:t>
      </w:r>
    </w:p>
    <w:p w14:paraId="73FF69FE">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21.</w:t>
      </w:r>
      <w:r>
        <w:rPr>
          <w:rFonts w:hint="eastAsia" w:ascii="仿宋" w:hAnsi="仿宋" w:eastAsia="仿宋" w:cs="仿宋"/>
          <w:color w:val="auto"/>
          <w:sz w:val="28"/>
          <w:szCs w:val="28"/>
        </w:rPr>
        <w:t>乙方须及时或定期清理作业现场垃圾、废旧物品，要做到工完场清。因此造成甲方支出额外费用的由乙方承担。</w:t>
      </w:r>
    </w:p>
    <w:p w14:paraId="2D12987E">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22.</w:t>
      </w:r>
      <w:r>
        <w:rPr>
          <w:rFonts w:hint="eastAsia" w:ascii="仿宋" w:hAnsi="仿宋" w:eastAsia="仿宋" w:cs="仿宋"/>
          <w:color w:val="auto"/>
          <w:sz w:val="28"/>
          <w:szCs w:val="28"/>
        </w:rPr>
        <w:t>乙方应建立危险品管理制度，派专人对危险品进行监督管理。</w:t>
      </w:r>
    </w:p>
    <w:p w14:paraId="3E0FE4E8">
      <w:pPr>
        <w:keepNext w:val="0"/>
        <w:keepLines w:val="0"/>
        <w:pageBreakBefore w:val="0"/>
        <w:widowControl/>
        <w:numPr>
          <w:ilvl w:val="0"/>
          <w:numId w:val="0"/>
        </w:numPr>
        <w:kinsoku/>
        <w:wordWrap/>
        <w:overflowPunct/>
        <w:topLinePunct w:val="0"/>
        <w:bidi w:val="0"/>
        <w:adjustRightInd w:val="0"/>
        <w:snapToGrid w:val="0"/>
        <w:spacing w:line="360" w:lineRule="auto"/>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23.</w:t>
      </w:r>
      <w:r>
        <w:rPr>
          <w:rFonts w:hint="eastAsia" w:ascii="仿宋" w:hAnsi="仿宋" w:eastAsia="仿宋" w:cs="仿宋"/>
          <w:color w:val="auto"/>
          <w:sz w:val="28"/>
          <w:szCs w:val="28"/>
        </w:rPr>
        <w:t>乙方应编制相应的应急预案并组织演练，配备相应的应急人员与物资，满足现场应急要求。</w:t>
      </w:r>
    </w:p>
    <w:p w14:paraId="57C777F7">
      <w:pPr>
        <w:keepNext w:val="0"/>
        <w:keepLines w:val="0"/>
        <w:pageBreakBefore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三、附则</w:t>
      </w:r>
    </w:p>
    <w:p w14:paraId="52D46F66">
      <w:pPr>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本</w:t>
      </w:r>
      <w:r>
        <w:rPr>
          <w:rFonts w:hint="eastAsia" w:ascii="仿宋" w:hAnsi="仿宋" w:eastAsia="仿宋" w:cs="仿宋"/>
          <w:color w:val="auto"/>
          <w:sz w:val="28"/>
          <w:szCs w:val="28"/>
          <w:lang w:val="en-US" w:eastAsia="zh-CN"/>
        </w:rPr>
        <w:t>协议</w:t>
      </w:r>
      <w:r>
        <w:rPr>
          <w:rFonts w:hint="eastAsia" w:ascii="仿宋" w:hAnsi="仿宋" w:eastAsia="仿宋" w:cs="仿宋"/>
          <w:color w:val="auto"/>
          <w:sz w:val="28"/>
          <w:szCs w:val="28"/>
        </w:rPr>
        <w:t>一式四份，由甲、乙方各执二份。自双方法定代表人或授权代表签字并加盖公章之日起生效</w:t>
      </w:r>
      <w:r>
        <w:rPr>
          <w:rFonts w:hint="eastAsia" w:ascii="仿宋" w:hAnsi="仿宋" w:eastAsia="仿宋" w:cs="仿宋"/>
          <w:color w:val="auto"/>
          <w:sz w:val="28"/>
          <w:szCs w:val="28"/>
          <w:lang w:eastAsia="zh-CN"/>
        </w:rPr>
        <w:t>。</w:t>
      </w:r>
      <w:bookmarkStart w:id="8" w:name="_Hlk104931169"/>
    </w:p>
    <w:p w14:paraId="2235B465">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lang w:eastAsia="zh-CN"/>
        </w:rPr>
      </w:pPr>
    </w:p>
    <w:p w14:paraId="56BCC67F">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lang w:eastAsia="zh-CN"/>
        </w:rPr>
      </w:pPr>
    </w:p>
    <w:p w14:paraId="7D0F1E12">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甲方：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乙方：</w:t>
      </w:r>
    </w:p>
    <w:p w14:paraId="799C8329">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p>
    <w:p w14:paraId="2A23DCBA">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负责人</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 xml:space="preserve">授权代表：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eastAsia="zh-CN"/>
        </w:rPr>
        <w:t>法定代表人</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授权代表：</w:t>
      </w:r>
    </w:p>
    <w:p w14:paraId="790ECA23">
      <w:pPr>
        <w:pStyle w:val="28"/>
        <w:keepNext w:val="0"/>
        <w:keepLines w:val="0"/>
        <w:pageBreakBefore w:val="0"/>
        <w:kinsoku/>
        <w:wordWrap/>
        <w:overflowPunct/>
        <w:topLinePunct w:val="0"/>
        <w:bidi w:val="0"/>
        <w:spacing w:after="0" w:line="360" w:lineRule="auto"/>
        <w:textAlignment w:val="auto"/>
        <w:rPr>
          <w:rFonts w:hint="eastAsia" w:ascii="仿宋" w:hAnsi="仿宋" w:eastAsia="仿宋" w:cs="仿宋"/>
          <w:color w:val="auto"/>
          <w:sz w:val="28"/>
          <w:szCs w:val="28"/>
        </w:rPr>
      </w:pPr>
    </w:p>
    <w:p w14:paraId="73DF2F01">
      <w:pPr>
        <w:pStyle w:val="28"/>
        <w:keepNext w:val="0"/>
        <w:keepLines w:val="0"/>
        <w:pageBreakBefore w:val="0"/>
        <w:kinsoku/>
        <w:wordWrap/>
        <w:overflowPunct/>
        <w:topLinePunct w:val="0"/>
        <w:bidi w:val="0"/>
        <w:spacing w:after="0"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日期：    年   月    日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日期：</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年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月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日</w:t>
      </w:r>
      <w:bookmarkEnd w:id="8"/>
    </w:p>
    <w:p w14:paraId="0893934D">
      <w:pPr>
        <w:rPr>
          <w:rFonts w:hint="eastAsia"/>
          <w:lang w:eastAsia="zh-CN"/>
        </w:rPr>
      </w:pPr>
      <w:r>
        <w:rPr>
          <w:rFonts w:hint="eastAsia"/>
          <w:lang w:eastAsia="zh-CN"/>
        </w:rPr>
        <w:br w:type="page"/>
      </w:r>
    </w:p>
    <w:p w14:paraId="450E66AB">
      <w:pPr>
        <w:keepNext w:val="0"/>
        <w:keepLines w:val="0"/>
        <w:pageBreakBefore w:val="0"/>
        <w:kinsoku/>
        <w:wordWrap/>
        <w:overflowPunct/>
        <w:topLinePunct w:val="0"/>
        <w:bidi w:val="0"/>
        <w:spacing w:line="360" w:lineRule="auto"/>
        <w:jc w:val="both"/>
        <w:textAlignment w:val="auto"/>
        <w:rPr>
          <w:rFonts w:ascii="仿宋" w:hAnsi="仿宋" w:eastAsia="仿宋" w:cs="仿宋"/>
          <w:b/>
          <w:bCs/>
          <w:color w:val="auto"/>
          <w:sz w:val="28"/>
          <w:szCs w:val="28"/>
        </w:rPr>
      </w:pPr>
      <w:r>
        <w:rPr>
          <w:rFonts w:hint="eastAsia" w:ascii="仿宋" w:hAnsi="仿宋" w:eastAsia="仿宋" w:cs="仿宋"/>
          <w:b/>
          <w:bCs/>
          <w:color w:val="auto"/>
          <w:sz w:val="28"/>
          <w:szCs w:val="28"/>
        </w:rPr>
        <w:t>附件</w:t>
      </w:r>
      <w:r>
        <w:rPr>
          <w:rFonts w:hint="eastAsia" w:ascii="仿宋" w:hAnsi="仿宋" w:eastAsia="仿宋" w:cs="仿宋"/>
          <w:b/>
          <w:bCs/>
          <w:color w:val="auto"/>
          <w:sz w:val="28"/>
          <w:szCs w:val="28"/>
          <w:lang w:val="en-US" w:eastAsia="zh-CN"/>
        </w:rPr>
        <w:t>三</w:t>
      </w:r>
      <w:r>
        <w:rPr>
          <w:rFonts w:ascii="仿宋" w:hAnsi="仿宋" w:eastAsia="仿宋" w:cs="仿宋"/>
          <w:b/>
          <w:bCs/>
          <w:color w:val="auto"/>
          <w:sz w:val="28"/>
          <w:szCs w:val="28"/>
        </w:rPr>
        <w:t>：</w:t>
      </w:r>
    </w:p>
    <w:p w14:paraId="5424959C">
      <w:pPr>
        <w:keepNext w:val="0"/>
        <w:keepLines w:val="0"/>
        <w:pageBreakBefore w:val="0"/>
        <w:kinsoku/>
        <w:wordWrap/>
        <w:overflowPunct/>
        <w:topLinePunct w:val="0"/>
        <w:bidi w:val="0"/>
        <w:spacing w:line="360" w:lineRule="auto"/>
        <w:jc w:val="center"/>
        <w:textAlignment w:val="auto"/>
        <w:rPr>
          <w:rFonts w:hint="eastAsia" w:ascii="仿宋" w:hAnsi="仿宋" w:eastAsia="仿宋" w:cs="仿宋"/>
          <w:b/>
          <w:color w:val="auto"/>
          <w:sz w:val="32"/>
          <w:szCs w:val="32"/>
          <w:lang w:val="zh-CN"/>
        </w:rPr>
      </w:pPr>
      <w:r>
        <w:rPr>
          <w:rFonts w:hint="eastAsia" w:ascii="仿宋" w:hAnsi="仿宋" w:eastAsia="仿宋" w:cs="仿宋"/>
          <w:b/>
          <w:color w:val="auto"/>
          <w:sz w:val="32"/>
          <w:szCs w:val="32"/>
          <w:lang w:val="zh-CN"/>
        </w:rPr>
        <w:t>廉政诚信协议书</w:t>
      </w:r>
    </w:p>
    <w:p w14:paraId="23E708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b/>
          <w:color w:val="auto"/>
          <w:sz w:val="24"/>
          <w:lang w:val="zh-CN"/>
        </w:rPr>
      </w:pPr>
    </w:p>
    <w:p w14:paraId="7D767DC8">
      <w:pPr>
        <w:keepNext w:val="0"/>
        <w:keepLines w:val="0"/>
        <w:pageBreakBefore w:val="0"/>
        <w:tabs>
          <w:tab w:val="left" w:pos="0"/>
          <w:tab w:val="left" w:pos="993"/>
          <w:tab w:val="left" w:pos="1134"/>
        </w:tabs>
        <w:kinsoku/>
        <w:wordWrap/>
        <w:overflowPunct/>
        <w:topLinePunct w:val="0"/>
        <w:bidi w:val="0"/>
        <w:spacing w:line="360" w:lineRule="auto"/>
        <w:textAlignment w:val="auto"/>
        <w:rPr>
          <w:rFonts w:hint="eastAsia" w:ascii="仿宋" w:hAnsi="仿宋" w:eastAsia="仿宋" w:cs="仿宋"/>
          <w:b w:val="0"/>
          <w:bCs w:val="0"/>
          <w:color w:val="auto"/>
          <w:sz w:val="28"/>
          <w:szCs w:val="28"/>
          <w:u w:val="single"/>
          <w:lang w:val="zh-CN"/>
        </w:rPr>
      </w:pPr>
      <w:r>
        <w:rPr>
          <w:rFonts w:hint="eastAsia" w:ascii="仿宋" w:hAnsi="仿宋" w:eastAsia="仿宋" w:cs="仿宋"/>
          <w:b w:val="0"/>
          <w:bCs w:val="0"/>
          <w:color w:val="auto"/>
          <w:sz w:val="28"/>
          <w:szCs w:val="28"/>
          <w:lang w:val="zh-CN"/>
        </w:rPr>
        <w:t>发包人：</w:t>
      </w:r>
      <w:r>
        <w:rPr>
          <w:rFonts w:hint="eastAsia" w:ascii="仿宋" w:hAnsi="仿宋" w:eastAsia="仿宋" w:cs="仿宋"/>
          <w:color w:val="auto"/>
          <w:sz w:val="28"/>
          <w:szCs w:val="28"/>
          <w:u w:val="single"/>
        </w:rPr>
        <w:t>深圳市泰然物业管理服务有限公司武汉分公司</w:t>
      </w:r>
      <w:r>
        <w:rPr>
          <w:rFonts w:hint="eastAsia" w:ascii="仿宋" w:hAnsi="仿宋" w:eastAsia="仿宋" w:cs="仿宋"/>
          <w:b w:val="0"/>
          <w:bCs w:val="0"/>
          <w:color w:val="auto"/>
          <w:sz w:val="28"/>
          <w:szCs w:val="28"/>
          <w:lang w:val="zh-CN"/>
        </w:rPr>
        <w:t>（以下简称甲方）</w:t>
      </w:r>
    </w:p>
    <w:p w14:paraId="5B17C136">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lang w:val="zh-CN"/>
        </w:rPr>
      </w:pPr>
      <w:r>
        <w:rPr>
          <w:rFonts w:hint="eastAsia" w:ascii="仿宋" w:hAnsi="仿宋" w:eastAsia="仿宋" w:cs="仿宋"/>
          <w:b w:val="0"/>
          <w:bCs w:val="0"/>
          <w:color w:val="auto"/>
          <w:sz w:val="28"/>
          <w:szCs w:val="28"/>
          <w:lang w:val="zh-CN"/>
        </w:rPr>
        <w:t>承包人：</w:t>
      </w:r>
      <w:r>
        <w:rPr>
          <w:rFonts w:hint="eastAsia" w:ascii="仿宋" w:hAnsi="仿宋" w:eastAsia="仿宋" w:cs="仿宋"/>
          <w:color w:val="auto"/>
          <w:kern w:val="2"/>
          <w:sz w:val="28"/>
          <w:szCs w:val="28"/>
          <w:u w:val="single"/>
          <w:lang w:val="en-US" w:eastAsia="zh-CN" w:bidi="ar-SA"/>
        </w:rPr>
        <w:t>武汉博远众达网络工程有限公司</w:t>
      </w:r>
      <w:r>
        <w:rPr>
          <w:rFonts w:hint="eastAsia" w:ascii="仿宋" w:hAnsi="仿宋" w:eastAsia="仿宋" w:cs="仿宋"/>
          <w:color w:val="auto"/>
          <w:sz w:val="28"/>
          <w:szCs w:val="28"/>
          <w:lang w:val="zh-CN"/>
        </w:rPr>
        <w:t>（以下简称乙方）</w:t>
      </w:r>
    </w:p>
    <w:p w14:paraId="57831B24">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为了加强工程项目建设中的廉政管理，杜绝各种不正当行为的发生，经甲乙双方同意，签订此廉政诚信协议书，作为甲乙双方共同遵守的廉政诚信行为准则：</w:t>
      </w:r>
    </w:p>
    <w:p w14:paraId="36C98949">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1．甲方人员在工程招标或工程履行过程中，不得以任何形式向投标单位或乙方索要和收受回扣等好处费。</w:t>
      </w:r>
    </w:p>
    <w:p w14:paraId="4B66AE96">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2．甲方人员不得接受乙方的礼金、有价证劵，不得在乙方或材料设备供应商处报销任何由个人支付的费用。</w:t>
      </w:r>
    </w:p>
    <w:p w14:paraId="2D931A77">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3．甲方人员不得参加乙方非正常的宴请和娱乐活动。参加乙方邀的正常宴请和会议，需经主管领导同意。</w:t>
      </w:r>
    </w:p>
    <w:p w14:paraId="312B576E">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4．甲方人员不得要求乙方或者接受乙方及材料设备供应商为其住房装修、婚丧嫁娶、家属和子女的工作安排以及出国等提供方便。</w:t>
      </w:r>
    </w:p>
    <w:p w14:paraId="3C3008B1">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5．双方不得相互介绍家属或者亲友等利害关系人从事与甲方工程有关的经济活动。双方各工作人员不得至对方工作人员私人住所处联系各相关事宜。</w:t>
      </w:r>
    </w:p>
    <w:p w14:paraId="1A7C8C09">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6．甲方人员不得为谋取私利擅自与乙方工作人员及承包商、材料设备供应商就工程承包、工程费用、材料设备供应、工程量变动、工程验收、工程质量问题处理进行私下商谈或者达成默契。</w:t>
      </w:r>
    </w:p>
    <w:p w14:paraId="1998D611">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7．乙方或材料设备供应商不得以洽谈工作、签订经济合同为借口，邀请甲方人员外出旅游和进入营业性娱乐场所。</w:t>
      </w:r>
    </w:p>
    <w:p w14:paraId="1C9255BA">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8．乙方或材料设备供应商不得为甲方工作人员购置或者提供通讯工具、交通工具、家电、家具和高档办公用品等物品。</w:t>
      </w:r>
    </w:p>
    <w:p w14:paraId="5D7CA323">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9．双方如发现对方人员有违反上述协议者，应向对方领导举报，双方不得找任何借口向对方进行报复。</w:t>
      </w:r>
    </w:p>
    <w:p w14:paraId="1B93A838">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10．在投标活动中一经查实，立即取消乙方投标资格，没收投标保证金，且甲方保留进一步追究乙方法律责任的权利。</w:t>
      </w:r>
    </w:p>
    <w:p w14:paraId="03D500E8">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11．在工程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1C1CBFC1">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本廉政诚信协议作为合同附件与合同具有同等法律效力，经协议双方签署后生效。</w:t>
      </w:r>
    </w:p>
    <w:p w14:paraId="15902117">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lang w:val="zh-CN"/>
        </w:rPr>
      </w:pPr>
      <w:r>
        <w:rPr>
          <w:rFonts w:hint="eastAsia" w:ascii="仿宋" w:hAnsi="仿宋" w:eastAsia="仿宋" w:cs="仿宋"/>
          <w:b/>
          <w:color w:val="auto"/>
          <w:sz w:val="28"/>
          <w:szCs w:val="28"/>
          <w:lang w:val="zh-CN"/>
        </w:rPr>
        <w:t>甲方监督举报电话：</w:t>
      </w:r>
      <w:r>
        <w:rPr>
          <w:rFonts w:hint="eastAsia" w:ascii="仿宋" w:hAnsi="仿宋" w:eastAsia="仿宋" w:cs="仿宋"/>
          <w:b/>
          <w:color w:val="auto"/>
          <w:sz w:val="28"/>
          <w:szCs w:val="28"/>
          <w:lang w:val="en-US" w:eastAsia="zh-CN"/>
        </w:rPr>
        <w:t>0731-88668753</w:t>
      </w:r>
    </w:p>
    <w:p w14:paraId="6BC5E9F4">
      <w:pPr>
        <w:keepNext w:val="0"/>
        <w:keepLines w:val="0"/>
        <w:pageBreakBefore w:val="0"/>
        <w:kinsoku/>
        <w:wordWrap/>
        <w:overflowPunct/>
        <w:topLinePunct w:val="0"/>
        <w:bidi w:val="0"/>
        <w:spacing w:line="360" w:lineRule="auto"/>
        <w:ind w:firstLine="420"/>
        <w:textAlignment w:val="auto"/>
        <w:rPr>
          <w:rFonts w:hint="eastAsia" w:ascii="仿宋" w:hAnsi="仿宋" w:eastAsia="仿宋" w:cs="仿宋"/>
          <w:color w:val="auto"/>
          <w:sz w:val="28"/>
          <w:szCs w:val="28"/>
          <w:lang w:val="zh-CN"/>
        </w:rPr>
      </w:pPr>
      <w:r>
        <w:rPr>
          <w:rFonts w:hint="eastAsia" w:ascii="仿宋" w:hAnsi="仿宋" w:eastAsia="仿宋" w:cs="仿宋"/>
          <w:color w:val="auto"/>
          <w:sz w:val="28"/>
          <w:szCs w:val="28"/>
          <w:lang w:val="zh-CN"/>
        </w:rPr>
        <w:t>(以下无正文)</w:t>
      </w:r>
    </w:p>
    <w:p w14:paraId="092D148A">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甲方（发包人）：                 乙方（承包人）： </w:t>
      </w:r>
    </w:p>
    <w:p w14:paraId="77943608">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p>
    <w:p w14:paraId="7B22C18C">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负责人</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 xml:space="preserve">授权代表：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法定代表人</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授权代表：</w:t>
      </w:r>
    </w:p>
    <w:p w14:paraId="4B04F277">
      <w:pPr>
        <w:pStyle w:val="29"/>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p>
    <w:p w14:paraId="0A6EEBCD">
      <w:pPr>
        <w:pStyle w:val="29"/>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日期：    年   月    日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日期：   年   月   日</w:t>
      </w:r>
    </w:p>
    <w:p w14:paraId="6CC56F83">
      <w:pPr>
        <w:rPr>
          <w:rFonts w:hint="eastAsia" w:ascii="仿宋" w:hAnsi="仿宋" w:eastAsia="仿宋" w:cs="仿宋"/>
          <w:b/>
          <w:bCs/>
          <w:sz w:val="24"/>
          <w:szCs w:val="24"/>
        </w:rPr>
      </w:pPr>
      <w:r>
        <w:rPr>
          <w:rFonts w:hint="eastAsia" w:ascii="仿宋" w:hAnsi="仿宋" w:eastAsia="仿宋" w:cs="仿宋"/>
          <w:b/>
          <w:bCs/>
          <w:sz w:val="24"/>
          <w:szCs w:val="24"/>
        </w:rPr>
        <w:br w:type="page"/>
      </w:r>
    </w:p>
    <w:p w14:paraId="635F18DE">
      <w:pPr>
        <w:keepNext w:val="0"/>
        <w:keepLines w:val="0"/>
        <w:pageBreakBefore w:val="0"/>
        <w:kinsoku/>
        <w:wordWrap/>
        <w:overflowPunct/>
        <w:topLinePunct w:val="0"/>
        <w:bidi w:val="0"/>
        <w:spacing w:line="360" w:lineRule="auto"/>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附件</w:t>
      </w:r>
      <w:r>
        <w:rPr>
          <w:rFonts w:hint="eastAsia" w:ascii="仿宋" w:hAnsi="仿宋" w:eastAsia="仿宋" w:cs="仿宋"/>
          <w:b/>
          <w:bCs/>
          <w:color w:val="auto"/>
          <w:sz w:val="28"/>
          <w:szCs w:val="28"/>
          <w:lang w:val="en-US" w:eastAsia="zh-CN"/>
        </w:rPr>
        <w:t>四</w:t>
      </w:r>
      <w:r>
        <w:rPr>
          <w:rFonts w:hint="eastAsia" w:ascii="仿宋" w:hAnsi="仿宋" w:eastAsia="仿宋" w:cs="仿宋"/>
          <w:b/>
          <w:bCs/>
          <w:color w:val="auto"/>
          <w:sz w:val="28"/>
          <w:szCs w:val="28"/>
        </w:rPr>
        <w:t>：</w:t>
      </w:r>
    </w:p>
    <w:p w14:paraId="4176B15A">
      <w:pPr>
        <w:keepNext w:val="0"/>
        <w:keepLines w:val="0"/>
        <w:pageBreakBefore w:val="0"/>
        <w:kinsoku/>
        <w:wordWrap/>
        <w:overflowPunct/>
        <w:topLinePunct w:val="0"/>
        <w:bidi w:val="0"/>
        <w:spacing w:line="360" w:lineRule="auto"/>
        <w:jc w:val="center"/>
        <w:textAlignment w:val="auto"/>
        <w:rPr>
          <w:rFonts w:ascii="仿宋" w:hAnsi="仿宋" w:eastAsia="仿宋" w:cs="仿宋"/>
          <w:b/>
          <w:bCs/>
          <w:szCs w:val="21"/>
        </w:rPr>
      </w:pPr>
      <w:bookmarkStart w:id="9" w:name="OLE_LINK7"/>
      <w:r>
        <w:rPr>
          <w:rFonts w:hint="eastAsia" w:ascii="仿宋" w:hAnsi="仿宋" w:eastAsia="仿宋" w:cs="仿宋"/>
          <w:b/>
          <w:bCs/>
          <w:color w:val="auto"/>
          <w:sz w:val="28"/>
          <w:szCs w:val="28"/>
        </w:rPr>
        <w:t>南湖玫瑰湾弱电系统外委单位月度考核表</w:t>
      </w:r>
      <w:bookmarkEnd w:id="9"/>
    </w:p>
    <w:tbl>
      <w:tblPr>
        <w:tblStyle w:val="18"/>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1006"/>
        <w:gridCol w:w="2779"/>
        <w:gridCol w:w="611"/>
        <w:gridCol w:w="2770"/>
        <w:gridCol w:w="619"/>
        <w:gridCol w:w="1212"/>
      </w:tblGrid>
      <w:tr w14:paraId="7C70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79" w:type="dxa"/>
            <w:vAlign w:val="center"/>
          </w:tcPr>
          <w:p w14:paraId="36E46B78">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序号</w:t>
            </w:r>
          </w:p>
        </w:tc>
        <w:tc>
          <w:tcPr>
            <w:tcW w:w="1006" w:type="dxa"/>
            <w:vAlign w:val="center"/>
          </w:tcPr>
          <w:p w14:paraId="76AA01F2">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考核项目</w:t>
            </w:r>
          </w:p>
        </w:tc>
        <w:tc>
          <w:tcPr>
            <w:tcW w:w="2779" w:type="dxa"/>
            <w:vAlign w:val="center"/>
          </w:tcPr>
          <w:p w14:paraId="518148A2">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具体内容</w:t>
            </w:r>
          </w:p>
        </w:tc>
        <w:tc>
          <w:tcPr>
            <w:tcW w:w="611" w:type="dxa"/>
            <w:vAlign w:val="center"/>
          </w:tcPr>
          <w:p w14:paraId="2291C6A1">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分值</w:t>
            </w:r>
          </w:p>
        </w:tc>
        <w:tc>
          <w:tcPr>
            <w:tcW w:w="2770" w:type="dxa"/>
            <w:vAlign w:val="center"/>
          </w:tcPr>
          <w:p w14:paraId="6C3846F2">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评分标准</w:t>
            </w:r>
          </w:p>
        </w:tc>
        <w:tc>
          <w:tcPr>
            <w:tcW w:w="619" w:type="dxa"/>
            <w:vAlign w:val="center"/>
          </w:tcPr>
          <w:p w14:paraId="3D7A2E14">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得分</w:t>
            </w:r>
          </w:p>
        </w:tc>
        <w:tc>
          <w:tcPr>
            <w:tcW w:w="1212" w:type="dxa"/>
          </w:tcPr>
          <w:p w14:paraId="37A6BFE8">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备注</w:t>
            </w:r>
          </w:p>
        </w:tc>
      </w:tr>
      <w:tr w14:paraId="7C3E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579" w:type="dxa"/>
          </w:tcPr>
          <w:p w14:paraId="302D116C">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1</w:t>
            </w:r>
          </w:p>
        </w:tc>
        <w:tc>
          <w:tcPr>
            <w:tcW w:w="1006" w:type="dxa"/>
            <w:vAlign w:val="center"/>
          </w:tcPr>
          <w:p w14:paraId="0E6342B9">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保养的细致性</w:t>
            </w:r>
          </w:p>
        </w:tc>
        <w:tc>
          <w:tcPr>
            <w:tcW w:w="2779" w:type="dxa"/>
            <w:vAlign w:val="top"/>
          </w:tcPr>
          <w:p w14:paraId="696550D2">
            <w:pPr>
              <w:spacing w:line="240" w:lineRule="auto"/>
              <w:jc w:val="both"/>
              <w:rPr>
                <w:rFonts w:asciiTheme="minorEastAsia" w:hAnsiTheme="minorEastAsia" w:cstheme="minorEastAsia"/>
                <w:kern w:val="0"/>
                <w:sz w:val="18"/>
                <w:szCs w:val="18"/>
              </w:rPr>
            </w:pPr>
            <w:r>
              <w:rPr>
                <w:rFonts w:hint="eastAsia" w:asciiTheme="minorEastAsia" w:hAnsiTheme="minorEastAsia" w:cstheme="minorEastAsia"/>
                <w:kern w:val="0"/>
                <w:sz w:val="18"/>
                <w:szCs w:val="18"/>
              </w:rPr>
              <w:t>按照《维修保养计划书》进行保养，每组不少于1人，保养人员不少于1人。单台弱电系统至少30日必须保养1次。</w:t>
            </w:r>
          </w:p>
        </w:tc>
        <w:tc>
          <w:tcPr>
            <w:tcW w:w="611" w:type="dxa"/>
            <w:vAlign w:val="center"/>
          </w:tcPr>
          <w:p w14:paraId="08339834">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20</w:t>
            </w:r>
          </w:p>
        </w:tc>
        <w:tc>
          <w:tcPr>
            <w:tcW w:w="2770" w:type="dxa"/>
          </w:tcPr>
          <w:p w14:paraId="6CD85214">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1.每项2分，每项每次未保养或者保养不到位扣2分。2.因保养不到位导致重大投诉扣30分。</w:t>
            </w:r>
          </w:p>
        </w:tc>
        <w:tc>
          <w:tcPr>
            <w:tcW w:w="619" w:type="dxa"/>
          </w:tcPr>
          <w:p w14:paraId="494FBA02">
            <w:pPr>
              <w:spacing w:line="240" w:lineRule="auto"/>
              <w:jc w:val="center"/>
              <w:rPr>
                <w:rFonts w:asciiTheme="minorEastAsia" w:hAnsiTheme="minorEastAsia" w:cstheme="minorEastAsia"/>
                <w:kern w:val="0"/>
                <w:sz w:val="18"/>
                <w:szCs w:val="18"/>
              </w:rPr>
            </w:pPr>
          </w:p>
        </w:tc>
        <w:tc>
          <w:tcPr>
            <w:tcW w:w="1212" w:type="dxa"/>
            <w:vMerge w:val="restart"/>
          </w:tcPr>
          <w:p w14:paraId="7A0B31CF">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一般故障是指外部电气线路和简单机械引起的故障；重大故障是指变频器或者各控制电子板或者主要机械系统引起的故障。因配件原因引起延长恢复除外。2、弱电系统维保费总额按照考核分数同比例发放。</w:t>
            </w:r>
          </w:p>
        </w:tc>
      </w:tr>
      <w:tr w14:paraId="0D98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9" w:type="dxa"/>
            <w:vMerge w:val="restart"/>
          </w:tcPr>
          <w:p w14:paraId="5E00BB77">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2</w:t>
            </w:r>
          </w:p>
        </w:tc>
        <w:tc>
          <w:tcPr>
            <w:tcW w:w="1006" w:type="dxa"/>
            <w:vMerge w:val="restart"/>
            <w:vAlign w:val="center"/>
          </w:tcPr>
          <w:p w14:paraId="0D1C93E2">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维修的及时性</w:t>
            </w:r>
          </w:p>
        </w:tc>
        <w:tc>
          <w:tcPr>
            <w:tcW w:w="2779" w:type="dxa"/>
          </w:tcPr>
          <w:p w14:paraId="3CE6D29E">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1、接到报修电话后必须在24小时内到达现场。</w:t>
            </w:r>
          </w:p>
        </w:tc>
        <w:tc>
          <w:tcPr>
            <w:tcW w:w="611" w:type="dxa"/>
            <w:vAlign w:val="center"/>
          </w:tcPr>
          <w:p w14:paraId="01B89798">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10</w:t>
            </w:r>
          </w:p>
        </w:tc>
        <w:tc>
          <w:tcPr>
            <w:tcW w:w="2770" w:type="dxa"/>
          </w:tcPr>
          <w:p w14:paraId="59BA240E">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确认迟到1次扣5分。</w:t>
            </w:r>
          </w:p>
        </w:tc>
        <w:tc>
          <w:tcPr>
            <w:tcW w:w="619" w:type="dxa"/>
          </w:tcPr>
          <w:p w14:paraId="6AEEFFBA">
            <w:pPr>
              <w:spacing w:line="240" w:lineRule="auto"/>
              <w:jc w:val="center"/>
              <w:rPr>
                <w:rFonts w:asciiTheme="minorEastAsia" w:hAnsiTheme="minorEastAsia" w:cstheme="minorEastAsia"/>
                <w:kern w:val="0"/>
                <w:sz w:val="18"/>
                <w:szCs w:val="18"/>
              </w:rPr>
            </w:pPr>
          </w:p>
        </w:tc>
        <w:tc>
          <w:tcPr>
            <w:tcW w:w="1212" w:type="dxa"/>
            <w:vMerge w:val="continue"/>
          </w:tcPr>
          <w:p w14:paraId="3BABBAEC">
            <w:pPr>
              <w:spacing w:line="240" w:lineRule="auto"/>
              <w:jc w:val="center"/>
              <w:rPr>
                <w:rFonts w:asciiTheme="minorEastAsia" w:hAnsiTheme="minorEastAsia" w:cstheme="minorEastAsia"/>
                <w:kern w:val="0"/>
                <w:sz w:val="18"/>
                <w:szCs w:val="18"/>
              </w:rPr>
            </w:pPr>
          </w:p>
        </w:tc>
      </w:tr>
      <w:tr w14:paraId="0A43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79" w:type="dxa"/>
            <w:vMerge w:val="continue"/>
          </w:tcPr>
          <w:p w14:paraId="4263BFF1">
            <w:pPr>
              <w:spacing w:line="240" w:lineRule="auto"/>
              <w:jc w:val="center"/>
              <w:rPr>
                <w:rFonts w:asciiTheme="minorEastAsia" w:hAnsiTheme="minorEastAsia" w:cstheme="minorEastAsia"/>
                <w:kern w:val="0"/>
                <w:sz w:val="18"/>
                <w:szCs w:val="18"/>
              </w:rPr>
            </w:pPr>
          </w:p>
        </w:tc>
        <w:tc>
          <w:tcPr>
            <w:tcW w:w="1006" w:type="dxa"/>
            <w:vMerge w:val="continue"/>
          </w:tcPr>
          <w:p w14:paraId="1D9F243E">
            <w:pPr>
              <w:spacing w:line="240" w:lineRule="auto"/>
              <w:jc w:val="center"/>
              <w:rPr>
                <w:rFonts w:asciiTheme="minorEastAsia" w:hAnsiTheme="minorEastAsia" w:cstheme="minorEastAsia"/>
                <w:kern w:val="0"/>
                <w:sz w:val="18"/>
                <w:szCs w:val="18"/>
              </w:rPr>
            </w:pPr>
          </w:p>
        </w:tc>
        <w:tc>
          <w:tcPr>
            <w:tcW w:w="2779" w:type="dxa"/>
          </w:tcPr>
          <w:p w14:paraId="5183F09F">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2、一般故障24小时内恢复。</w:t>
            </w:r>
          </w:p>
        </w:tc>
        <w:tc>
          <w:tcPr>
            <w:tcW w:w="611" w:type="dxa"/>
          </w:tcPr>
          <w:p w14:paraId="65A93FBA">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10</w:t>
            </w:r>
          </w:p>
        </w:tc>
        <w:tc>
          <w:tcPr>
            <w:tcW w:w="2770" w:type="dxa"/>
          </w:tcPr>
          <w:p w14:paraId="16259B81">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确认延期1次扣5分。</w:t>
            </w:r>
          </w:p>
        </w:tc>
        <w:tc>
          <w:tcPr>
            <w:tcW w:w="619" w:type="dxa"/>
          </w:tcPr>
          <w:p w14:paraId="0348E975">
            <w:pPr>
              <w:spacing w:line="240" w:lineRule="auto"/>
              <w:jc w:val="center"/>
              <w:rPr>
                <w:rFonts w:asciiTheme="minorEastAsia" w:hAnsiTheme="minorEastAsia" w:cstheme="minorEastAsia"/>
                <w:kern w:val="0"/>
                <w:sz w:val="18"/>
                <w:szCs w:val="18"/>
              </w:rPr>
            </w:pPr>
          </w:p>
        </w:tc>
        <w:tc>
          <w:tcPr>
            <w:tcW w:w="1212" w:type="dxa"/>
            <w:vMerge w:val="continue"/>
          </w:tcPr>
          <w:p w14:paraId="56C3130B">
            <w:pPr>
              <w:spacing w:line="240" w:lineRule="auto"/>
              <w:jc w:val="center"/>
              <w:rPr>
                <w:rFonts w:asciiTheme="minorEastAsia" w:hAnsiTheme="minorEastAsia" w:cstheme="minorEastAsia"/>
                <w:kern w:val="0"/>
                <w:sz w:val="18"/>
                <w:szCs w:val="18"/>
              </w:rPr>
            </w:pPr>
          </w:p>
        </w:tc>
      </w:tr>
      <w:tr w14:paraId="3695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79" w:type="dxa"/>
            <w:vMerge w:val="continue"/>
          </w:tcPr>
          <w:p w14:paraId="4FC2A53A">
            <w:pPr>
              <w:spacing w:line="240" w:lineRule="auto"/>
              <w:jc w:val="center"/>
              <w:rPr>
                <w:rFonts w:asciiTheme="minorEastAsia" w:hAnsiTheme="minorEastAsia" w:cstheme="minorEastAsia"/>
                <w:kern w:val="0"/>
                <w:sz w:val="18"/>
                <w:szCs w:val="18"/>
              </w:rPr>
            </w:pPr>
          </w:p>
        </w:tc>
        <w:tc>
          <w:tcPr>
            <w:tcW w:w="1006" w:type="dxa"/>
            <w:vMerge w:val="continue"/>
          </w:tcPr>
          <w:p w14:paraId="6C40A5A8">
            <w:pPr>
              <w:spacing w:line="240" w:lineRule="auto"/>
              <w:jc w:val="center"/>
              <w:rPr>
                <w:rFonts w:asciiTheme="minorEastAsia" w:hAnsiTheme="minorEastAsia" w:cstheme="minorEastAsia"/>
                <w:kern w:val="0"/>
                <w:sz w:val="18"/>
                <w:szCs w:val="18"/>
              </w:rPr>
            </w:pPr>
          </w:p>
        </w:tc>
        <w:tc>
          <w:tcPr>
            <w:tcW w:w="2779" w:type="dxa"/>
          </w:tcPr>
          <w:p w14:paraId="03B73BAA">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3、重大故障48小时内恢复。</w:t>
            </w:r>
          </w:p>
        </w:tc>
        <w:tc>
          <w:tcPr>
            <w:tcW w:w="611" w:type="dxa"/>
          </w:tcPr>
          <w:p w14:paraId="4A9B018A">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10</w:t>
            </w:r>
          </w:p>
        </w:tc>
        <w:tc>
          <w:tcPr>
            <w:tcW w:w="2770" w:type="dxa"/>
          </w:tcPr>
          <w:p w14:paraId="38161E0F">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确认延期1次扣15分。</w:t>
            </w:r>
          </w:p>
        </w:tc>
        <w:tc>
          <w:tcPr>
            <w:tcW w:w="619" w:type="dxa"/>
          </w:tcPr>
          <w:p w14:paraId="08A5D9A8">
            <w:pPr>
              <w:spacing w:line="240" w:lineRule="auto"/>
              <w:jc w:val="center"/>
              <w:rPr>
                <w:rFonts w:asciiTheme="minorEastAsia" w:hAnsiTheme="minorEastAsia" w:cstheme="minorEastAsia"/>
                <w:kern w:val="0"/>
                <w:sz w:val="18"/>
                <w:szCs w:val="18"/>
              </w:rPr>
            </w:pPr>
          </w:p>
        </w:tc>
        <w:tc>
          <w:tcPr>
            <w:tcW w:w="1212" w:type="dxa"/>
            <w:vMerge w:val="continue"/>
          </w:tcPr>
          <w:p w14:paraId="7F8F53D9">
            <w:pPr>
              <w:spacing w:line="240" w:lineRule="auto"/>
              <w:jc w:val="center"/>
              <w:rPr>
                <w:rFonts w:asciiTheme="minorEastAsia" w:hAnsiTheme="minorEastAsia" w:cstheme="minorEastAsia"/>
                <w:kern w:val="0"/>
                <w:sz w:val="18"/>
                <w:szCs w:val="18"/>
              </w:rPr>
            </w:pPr>
          </w:p>
        </w:tc>
      </w:tr>
      <w:tr w14:paraId="6F03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9" w:type="dxa"/>
            <w:vMerge w:val="restart"/>
          </w:tcPr>
          <w:p w14:paraId="02CE8F0C">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3</w:t>
            </w:r>
          </w:p>
        </w:tc>
        <w:tc>
          <w:tcPr>
            <w:tcW w:w="1006" w:type="dxa"/>
            <w:vMerge w:val="restart"/>
            <w:vAlign w:val="center"/>
          </w:tcPr>
          <w:p w14:paraId="4169EAC8">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弱电系统故障率</w:t>
            </w:r>
          </w:p>
        </w:tc>
        <w:tc>
          <w:tcPr>
            <w:tcW w:w="2779" w:type="dxa"/>
          </w:tcPr>
          <w:p w14:paraId="12881F30">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1、单台弱电系统故障每月不能超过2次。</w:t>
            </w:r>
          </w:p>
        </w:tc>
        <w:tc>
          <w:tcPr>
            <w:tcW w:w="611" w:type="dxa"/>
          </w:tcPr>
          <w:p w14:paraId="2E6F003A">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10</w:t>
            </w:r>
          </w:p>
        </w:tc>
        <w:tc>
          <w:tcPr>
            <w:tcW w:w="2770" w:type="dxa"/>
          </w:tcPr>
          <w:p w14:paraId="1EF0A416">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超过2次扣15分。</w:t>
            </w:r>
          </w:p>
        </w:tc>
        <w:tc>
          <w:tcPr>
            <w:tcW w:w="619" w:type="dxa"/>
          </w:tcPr>
          <w:p w14:paraId="3E937BF0">
            <w:pPr>
              <w:spacing w:line="240" w:lineRule="auto"/>
              <w:jc w:val="center"/>
              <w:rPr>
                <w:rFonts w:asciiTheme="minorEastAsia" w:hAnsiTheme="minorEastAsia" w:cstheme="minorEastAsia"/>
                <w:kern w:val="0"/>
                <w:sz w:val="18"/>
                <w:szCs w:val="18"/>
              </w:rPr>
            </w:pPr>
          </w:p>
        </w:tc>
        <w:tc>
          <w:tcPr>
            <w:tcW w:w="1212" w:type="dxa"/>
            <w:vMerge w:val="continue"/>
          </w:tcPr>
          <w:p w14:paraId="2B4EFA0A">
            <w:pPr>
              <w:spacing w:line="240" w:lineRule="auto"/>
              <w:jc w:val="center"/>
              <w:rPr>
                <w:rFonts w:asciiTheme="minorEastAsia" w:hAnsiTheme="minorEastAsia" w:cstheme="minorEastAsia"/>
                <w:kern w:val="0"/>
                <w:sz w:val="18"/>
                <w:szCs w:val="18"/>
              </w:rPr>
            </w:pPr>
          </w:p>
        </w:tc>
      </w:tr>
      <w:tr w14:paraId="2FFD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79" w:type="dxa"/>
            <w:vMerge w:val="continue"/>
          </w:tcPr>
          <w:p w14:paraId="64B594ED">
            <w:pPr>
              <w:spacing w:line="240" w:lineRule="auto"/>
              <w:jc w:val="center"/>
              <w:rPr>
                <w:rFonts w:asciiTheme="minorEastAsia" w:hAnsiTheme="minorEastAsia" w:cstheme="minorEastAsia"/>
                <w:kern w:val="0"/>
                <w:sz w:val="18"/>
                <w:szCs w:val="18"/>
              </w:rPr>
            </w:pPr>
          </w:p>
        </w:tc>
        <w:tc>
          <w:tcPr>
            <w:tcW w:w="1006" w:type="dxa"/>
            <w:vMerge w:val="continue"/>
            <w:vAlign w:val="center"/>
          </w:tcPr>
          <w:p w14:paraId="6D9BE72A">
            <w:pPr>
              <w:spacing w:line="240" w:lineRule="auto"/>
              <w:jc w:val="center"/>
              <w:rPr>
                <w:rFonts w:asciiTheme="minorEastAsia" w:hAnsiTheme="minorEastAsia" w:cstheme="minorEastAsia"/>
                <w:kern w:val="0"/>
                <w:sz w:val="18"/>
                <w:szCs w:val="18"/>
              </w:rPr>
            </w:pPr>
          </w:p>
        </w:tc>
        <w:tc>
          <w:tcPr>
            <w:tcW w:w="2779" w:type="dxa"/>
          </w:tcPr>
          <w:p w14:paraId="294277C1">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2、保养设备月故障率不超过1%</w:t>
            </w:r>
          </w:p>
        </w:tc>
        <w:tc>
          <w:tcPr>
            <w:tcW w:w="611" w:type="dxa"/>
          </w:tcPr>
          <w:p w14:paraId="16B977F7">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15</w:t>
            </w:r>
          </w:p>
        </w:tc>
        <w:tc>
          <w:tcPr>
            <w:tcW w:w="2770" w:type="dxa"/>
          </w:tcPr>
          <w:p w14:paraId="0B21ABED">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超过1%扣15分。</w:t>
            </w:r>
          </w:p>
        </w:tc>
        <w:tc>
          <w:tcPr>
            <w:tcW w:w="619" w:type="dxa"/>
          </w:tcPr>
          <w:p w14:paraId="4A0FEFC3">
            <w:pPr>
              <w:spacing w:line="240" w:lineRule="auto"/>
              <w:jc w:val="center"/>
              <w:rPr>
                <w:rFonts w:asciiTheme="minorEastAsia" w:hAnsiTheme="minorEastAsia" w:cstheme="minorEastAsia"/>
                <w:kern w:val="0"/>
                <w:sz w:val="18"/>
                <w:szCs w:val="18"/>
              </w:rPr>
            </w:pPr>
          </w:p>
        </w:tc>
        <w:tc>
          <w:tcPr>
            <w:tcW w:w="1212" w:type="dxa"/>
            <w:vMerge w:val="continue"/>
          </w:tcPr>
          <w:p w14:paraId="39839451">
            <w:pPr>
              <w:spacing w:line="240" w:lineRule="auto"/>
              <w:jc w:val="center"/>
              <w:rPr>
                <w:rFonts w:asciiTheme="minorEastAsia" w:hAnsiTheme="minorEastAsia" w:cstheme="minorEastAsia"/>
                <w:kern w:val="0"/>
                <w:sz w:val="18"/>
                <w:szCs w:val="18"/>
              </w:rPr>
            </w:pPr>
          </w:p>
        </w:tc>
      </w:tr>
      <w:tr w14:paraId="62D0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9" w:type="dxa"/>
            <w:vMerge w:val="restart"/>
          </w:tcPr>
          <w:p w14:paraId="4FFF7298">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4</w:t>
            </w:r>
          </w:p>
        </w:tc>
        <w:tc>
          <w:tcPr>
            <w:tcW w:w="1006" w:type="dxa"/>
            <w:vMerge w:val="restart"/>
            <w:vAlign w:val="center"/>
          </w:tcPr>
          <w:p w14:paraId="1FF25757">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记录的完整性</w:t>
            </w:r>
          </w:p>
        </w:tc>
        <w:tc>
          <w:tcPr>
            <w:tcW w:w="2779" w:type="dxa"/>
          </w:tcPr>
          <w:p w14:paraId="34E89968">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1、保养记录完整，并经工程部签字确认。</w:t>
            </w:r>
          </w:p>
        </w:tc>
        <w:tc>
          <w:tcPr>
            <w:tcW w:w="611" w:type="dxa"/>
            <w:vAlign w:val="center"/>
          </w:tcPr>
          <w:p w14:paraId="4CEDC46A">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5</w:t>
            </w:r>
          </w:p>
        </w:tc>
        <w:tc>
          <w:tcPr>
            <w:tcW w:w="2770" w:type="dxa"/>
            <w:vAlign w:val="center"/>
          </w:tcPr>
          <w:p w14:paraId="4F91E274">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记录不完整1次扣5分。</w:t>
            </w:r>
          </w:p>
        </w:tc>
        <w:tc>
          <w:tcPr>
            <w:tcW w:w="619" w:type="dxa"/>
          </w:tcPr>
          <w:p w14:paraId="3F019F7C">
            <w:pPr>
              <w:spacing w:line="240" w:lineRule="auto"/>
              <w:jc w:val="center"/>
              <w:rPr>
                <w:rFonts w:asciiTheme="minorEastAsia" w:hAnsiTheme="minorEastAsia" w:cstheme="minorEastAsia"/>
                <w:kern w:val="0"/>
                <w:sz w:val="18"/>
                <w:szCs w:val="18"/>
              </w:rPr>
            </w:pPr>
          </w:p>
        </w:tc>
        <w:tc>
          <w:tcPr>
            <w:tcW w:w="1212" w:type="dxa"/>
            <w:vMerge w:val="continue"/>
          </w:tcPr>
          <w:p w14:paraId="012DEBE8">
            <w:pPr>
              <w:spacing w:line="240" w:lineRule="auto"/>
              <w:jc w:val="center"/>
              <w:rPr>
                <w:rFonts w:asciiTheme="minorEastAsia" w:hAnsiTheme="minorEastAsia" w:cstheme="minorEastAsia"/>
                <w:kern w:val="0"/>
                <w:sz w:val="18"/>
                <w:szCs w:val="18"/>
              </w:rPr>
            </w:pPr>
          </w:p>
        </w:tc>
      </w:tr>
      <w:tr w14:paraId="061C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9" w:type="dxa"/>
            <w:vMerge w:val="continue"/>
          </w:tcPr>
          <w:p w14:paraId="65474518">
            <w:pPr>
              <w:spacing w:line="240" w:lineRule="auto"/>
              <w:jc w:val="center"/>
              <w:rPr>
                <w:rFonts w:asciiTheme="minorEastAsia" w:hAnsiTheme="minorEastAsia" w:cstheme="minorEastAsia"/>
                <w:kern w:val="0"/>
                <w:sz w:val="18"/>
                <w:szCs w:val="18"/>
              </w:rPr>
            </w:pPr>
          </w:p>
        </w:tc>
        <w:tc>
          <w:tcPr>
            <w:tcW w:w="1006" w:type="dxa"/>
            <w:vMerge w:val="continue"/>
            <w:vAlign w:val="center"/>
          </w:tcPr>
          <w:p w14:paraId="74E637CE">
            <w:pPr>
              <w:spacing w:line="240" w:lineRule="auto"/>
              <w:jc w:val="center"/>
              <w:rPr>
                <w:rFonts w:asciiTheme="minorEastAsia" w:hAnsiTheme="minorEastAsia" w:cstheme="minorEastAsia"/>
                <w:kern w:val="0"/>
                <w:sz w:val="18"/>
                <w:szCs w:val="18"/>
              </w:rPr>
            </w:pPr>
          </w:p>
        </w:tc>
        <w:tc>
          <w:tcPr>
            <w:tcW w:w="2779" w:type="dxa"/>
          </w:tcPr>
          <w:p w14:paraId="12567134">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2、维修记录完整，并经工程部签字确认。</w:t>
            </w:r>
          </w:p>
        </w:tc>
        <w:tc>
          <w:tcPr>
            <w:tcW w:w="611" w:type="dxa"/>
            <w:vAlign w:val="center"/>
          </w:tcPr>
          <w:p w14:paraId="6CE0587F">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5</w:t>
            </w:r>
          </w:p>
        </w:tc>
        <w:tc>
          <w:tcPr>
            <w:tcW w:w="2770" w:type="dxa"/>
            <w:vAlign w:val="center"/>
          </w:tcPr>
          <w:p w14:paraId="6944B51C">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记录不完整1次扣5分。</w:t>
            </w:r>
          </w:p>
        </w:tc>
        <w:tc>
          <w:tcPr>
            <w:tcW w:w="619" w:type="dxa"/>
          </w:tcPr>
          <w:p w14:paraId="4B39D1A2">
            <w:pPr>
              <w:spacing w:line="240" w:lineRule="auto"/>
              <w:jc w:val="center"/>
              <w:rPr>
                <w:rFonts w:asciiTheme="minorEastAsia" w:hAnsiTheme="minorEastAsia" w:cstheme="minorEastAsia"/>
                <w:kern w:val="0"/>
                <w:sz w:val="18"/>
                <w:szCs w:val="18"/>
              </w:rPr>
            </w:pPr>
          </w:p>
        </w:tc>
        <w:tc>
          <w:tcPr>
            <w:tcW w:w="1212" w:type="dxa"/>
            <w:vMerge w:val="continue"/>
          </w:tcPr>
          <w:p w14:paraId="5D9B8F27">
            <w:pPr>
              <w:spacing w:line="240" w:lineRule="auto"/>
              <w:jc w:val="center"/>
              <w:rPr>
                <w:rFonts w:asciiTheme="minorEastAsia" w:hAnsiTheme="minorEastAsia" w:cstheme="minorEastAsia"/>
                <w:kern w:val="0"/>
                <w:sz w:val="18"/>
                <w:szCs w:val="18"/>
              </w:rPr>
            </w:pPr>
          </w:p>
        </w:tc>
      </w:tr>
      <w:tr w14:paraId="43AB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9" w:type="dxa"/>
            <w:vMerge w:val="continue"/>
          </w:tcPr>
          <w:p w14:paraId="5ABF799F">
            <w:pPr>
              <w:spacing w:line="240" w:lineRule="auto"/>
              <w:jc w:val="center"/>
              <w:rPr>
                <w:rFonts w:asciiTheme="minorEastAsia" w:hAnsiTheme="minorEastAsia" w:cstheme="minorEastAsia"/>
                <w:kern w:val="0"/>
                <w:sz w:val="18"/>
                <w:szCs w:val="18"/>
              </w:rPr>
            </w:pPr>
          </w:p>
        </w:tc>
        <w:tc>
          <w:tcPr>
            <w:tcW w:w="1006" w:type="dxa"/>
            <w:vMerge w:val="continue"/>
            <w:vAlign w:val="center"/>
          </w:tcPr>
          <w:p w14:paraId="32F8C22C">
            <w:pPr>
              <w:spacing w:line="240" w:lineRule="auto"/>
              <w:jc w:val="center"/>
              <w:rPr>
                <w:rFonts w:asciiTheme="minorEastAsia" w:hAnsiTheme="minorEastAsia" w:cstheme="minorEastAsia"/>
                <w:kern w:val="0"/>
                <w:sz w:val="18"/>
                <w:szCs w:val="18"/>
              </w:rPr>
            </w:pPr>
          </w:p>
        </w:tc>
        <w:tc>
          <w:tcPr>
            <w:tcW w:w="2779" w:type="dxa"/>
            <w:vAlign w:val="top"/>
          </w:tcPr>
          <w:p w14:paraId="63D92710">
            <w:pPr>
              <w:spacing w:line="240" w:lineRule="auto"/>
              <w:jc w:val="left"/>
              <w:rPr>
                <w:rFonts w:hint="default" w:eastAsia="宋体" w:asciiTheme="minorEastAsia" w:hAnsiTheme="minorEastAsia" w:cstheme="minorEastAsia"/>
                <w:kern w:val="0"/>
                <w:sz w:val="18"/>
                <w:szCs w:val="18"/>
                <w:lang w:val="en-US" w:eastAsia="zh-CN"/>
              </w:rPr>
            </w:pPr>
            <w:r>
              <w:rPr>
                <w:rFonts w:hint="eastAsia" w:asciiTheme="minorEastAsia" w:hAnsiTheme="minorEastAsia" w:cstheme="minorEastAsia"/>
                <w:kern w:val="0"/>
                <w:sz w:val="18"/>
                <w:szCs w:val="18"/>
              </w:rPr>
              <w:t>3、每月25号前提供下个月的维保计划</w:t>
            </w:r>
            <w:r>
              <w:rPr>
                <w:rFonts w:hint="eastAsia" w:asciiTheme="minorEastAsia" w:hAnsiTheme="minorEastAsia" w:cstheme="minorEastAsia"/>
                <w:kern w:val="0"/>
                <w:sz w:val="18"/>
                <w:szCs w:val="18"/>
                <w:lang w:eastAsia="zh-CN"/>
              </w:rPr>
              <w:t>，</w:t>
            </w:r>
            <w:r>
              <w:rPr>
                <w:rFonts w:hint="eastAsia" w:asciiTheme="minorEastAsia" w:hAnsiTheme="minorEastAsia" w:cstheme="minorEastAsia"/>
                <w:kern w:val="0"/>
                <w:sz w:val="18"/>
                <w:szCs w:val="18"/>
                <w:lang w:val="en-US" w:eastAsia="zh-CN"/>
              </w:rPr>
              <w:t>每季度5日前提供季度维保计划并盖章递交工程部存档。</w:t>
            </w:r>
          </w:p>
        </w:tc>
        <w:tc>
          <w:tcPr>
            <w:tcW w:w="611" w:type="dxa"/>
            <w:vAlign w:val="center"/>
          </w:tcPr>
          <w:p w14:paraId="4BFB72C9">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5</w:t>
            </w:r>
          </w:p>
        </w:tc>
        <w:tc>
          <w:tcPr>
            <w:tcW w:w="2770" w:type="dxa"/>
            <w:vAlign w:val="center"/>
          </w:tcPr>
          <w:p w14:paraId="3C0536A6">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记录不完整1次扣1分。</w:t>
            </w:r>
          </w:p>
        </w:tc>
        <w:tc>
          <w:tcPr>
            <w:tcW w:w="619" w:type="dxa"/>
          </w:tcPr>
          <w:p w14:paraId="048DA81A">
            <w:pPr>
              <w:spacing w:line="240" w:lineRule="auto"/>
              <w:jc w:val="center"/>
              <w:rPr>
                <w:rFonts w:asciiTheme="minorEastAsia" w:hAnsiTheme="minorEastAsia" w:cstheme="minorEastAsia"/>
                <w:kern w:val="0"/>
                <w:sz w:val="18"/>
                <w:szCs w:val="18"/>
              </w:rPr>
            </w:pPr>
          </w:p>
        </w:tc>
        <w:tc>
          <w:tcPr>
            <w:tcW w:w="1212" w:type="dxa"/>
            <w:vMerge w:val="continue"/>
          </w:tcPr>
          <w:p w14:paraId="26AA9EB9">
            <w:pPr>
              <w:spacing w:line="240" w:lineRule="auto"/>
              <w:jc w:val="center"/>
              <w:rPr>
                <w:rFonts w:asciiTheme="minorEastAsia" w:hAnsiTheme="minorEastAsia" w:cstheme="minorEastAsia"/>
                <w:kern w:val="0"/>
                <w:sz w:val="18"/>
                <w:szCs w:val="18"/>
              </w:rPr>
            </w:pPr>
          </w:p>
        </w:tc>
      </w:tr>
      <w:tr w14:paraId="3D5F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9" w:type="dxa"/>
          </w:tcPr>
          <w:p w14:paraId="350B87AF">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5</w:t>
            </w:r>
          </w:p>
        </w:tc>
        <w:tc>
          <w:tcPr>
            <w:tcW w:w="1006" w:type="dxa"/>
            <w:vAlign w:val="center"/>
          </w:tcPr>
          <w:p w14:paraId="39823590">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遵守操作规程</w:t>
            </w:r>
          </w:p>
        </w:tc>
        <w:tc>
          <w:tcPr>
            <w:tcW w:w="2779" w:type="dxa"/>
            <w:vAlign w:val="center"/>
          </w:tcPr>
          <w:p w14:paraId="2937DBF0">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见《泰然物业安全操作规程》</w:t>
            </w:r>
          </w:p>
        </w:tc>
        <w:tc>
          <w:tcPr>
            <w:tcW w:w="611" w:type="dxa"/>
            <w:vAlign w:val="center"/>
          </w:tcPr>
          <w:p w14:paraId="2FF430EB">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10</w:t>
            </w:r>
          </w:p>
        </w:tc>
        <w:tc>
          <w:tcPr>
            <w:tcW w:w="2770" w:type="dxa"/>
            <w:vAlign w:val="center"/>
          </w:tcPr>
          <w:p w14:paraId="5BD7D4E5">
            <w:pPr>
              <w:spacing w:line="240" w:lineRule="auto"/>
              <w:jc w:val="left"/>
              <w:rPr>
                <w:rFonts w:asciiTheme="minorEastAsia" w:hAnsiTheme="minorEastAsia" w:cstheme="minorEastAsia"/>
                <w:kern w:val="0"/>
                <w:sz w:val="18"/>
                <w:szCs w:val="18"/>
              </w:rPr>
            </w:pPr>
            <w:r>
              <w:rPr>
                <w:rFonts w:hint="eastAsia" w:asciiTheme="minorEastAsia" w:hAnsiTheme="minorEastAsia" w:cstheme="minorEastAsia"/>
                <w:kern w:val="0"/>
                <w:sz w:val="18"/>
                <w:szCs w:val="18"/>
              </w:rPr>
              <w:t>现场检查发现违章1次扣10分。</w:t>
            </w:r>
          </w:p>
        </w:tc>
        <w:tc>
          <w:tcPr>
            <w:tcW w:w="619" w:type="dxa"/>
          </w:tcPr>
          <w:p w14:paraId="6AB6AD58">
            <w:pPr>
              <w:spacing w:line="240" w:lineRule="auto"/>
              <w:jc w:val="center"/>
              <w:rPr>
                <w:rFonts w:asciiTheme="minorEastAsia" w:hAnsiTheme="minorEastAsia" w:cstheme="minorEastAsia"/>
                <w:kern w:val="0"/>
                <w:sz w:val="18"/>
                <w:szCs w:val="18"/>
              </w:rPr>
            </w:pPr>
          </w:p>
        </w:tc>
        <w:tc>
          <w:tcPr>
            <w:tcW w:w="1212" w:type="dxa"/>
            <w:vMerge w:val="continue"/>
          </w:tcPr>
          <w:p w14:paraId="2EF6B850">
            <w:pPr>
              <w:spacing w:line="240" w:lineRule="auto"/>
              <w:jc w:val="center"/>
              <w:rPr>
                <w:rFonts w:asciiTheme="minorEastAsia" w:hAnsiTheme="minorEastAsia" w:cstheme="minorEastAsia"/>
                <w:kern w:val="0"/>
                <w:sz w:val="18"/>
                <w:szCs w:val="18"/>
              </w:rPr>
            </w:pPr>
          </w:p>
        </w:tc>
      </w:tr>
      <w:tr w14:paraId="7658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364" w:type="dxa"/>
            <w:gridSpan w:val="3"/>
          </w:tcPr>
          <w:p w14:paraId="3DFC4A2A">
            <w:pPr>
              <w:spacing w:line="240" w:lineRule="auto"/>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总        分</w:t>
            </w:r>
          </w:p>
        </w:tc>
        <w:tc>
          <w:tcPr>
            <w:tcW w:w="5212" w:type="dxa"/>
            <w:gridSpan w:val="4"/>
          </w:tcPr>
          <w:p w14:paraId="7072DEFA">
            <w:pPr>
              <w:spacing w:line="240" w:lineRule="auto"/>
              <w:jc w:val="center"/>
              <w:rPr>
                <w:rFonts w:asciiTheme="minorEastAsia" w:hAnsiTheme="minorEastAsia" w:cstheme="minorEastAsia"/>
                <w:kern w:val="0"/>
                <w:sz w:val="18"/>
                <w:szCs w:val="18"/>
              </w:rPr>
            </w:pPr>
          </w:p>
        </w:tc>
      </w:tr>
    </w:tbl>
    <w:p w14:paraId="50D4D69F">
      <w:pPr>
        <w:spacing w:line="360" w:lineRule="auto"/>
        <w:jc w:val="left"/>
        <w:rPr>
          <w:rFonts w:hint="eastAsia" w:ascii="仿宋" w:hAnsi="仿宋" w:eastAsia="仿宋" w:cs="仿宋"/>
          <w:kern w:val="0"/>
          <w:szCs w:val="21"/>
        </w:rPr>
      </w:pPr>
      <w:r>
        <w:rPr>
          <w:rFonts w:hint="eastAsia" w:ascii="仿宋" w:hAnsi="仿宋" w:eastAsia="仿宋" w:cs="仿宋"/>
          <w:kern w:val="0"/>
          <w:szCs w:val="21"/>
        </w:rPr>
        <w:t>考核标准：</w:t>
      </w:r>
      <w:r>
        <w:rPr>
          <w:rFonts w:hint="eastAsia" w:ascii="仿宋" w:hAnsi="仿宋" w:eastAsia="仿宋" w:cs="仿宋"/>
          <w:sz w:val="24"/>
          <w:szCs w:val="24"/>
        </w:rPr>
        <w:t>90分以上不扣费用（包含90分），90分以下（不包含90）每下降一分扣除</w:t>
      </w:r>
      <w:r>
        <w:rPr>
          <w:rFonts w:hint="eastAsia" w:ascii="仿宋" w:hAnsi="仿宋" w:eastAsia="仿宋" w:cs="仿宋"/>
          <w:sz w:val="24"/>
          <w:szCs w:val="24"/>
          <w:lang w:val="en-US" w:eastAsia="zh-CN"/>
        </w:rPr>
        <w:t>季度维保</w:t>
      </w:r>
      <w:r>
        <w:rPr>
          <w:rFonts w:hint="eastAsia" w:ascii="仿宋" w:hAnsi="仿宋" w:eastAsia="仿宋" w:cs="仿宋"/>
          <w:sz w:val="24"/>
          <w:szCs w:val="24"/>
        </w:rPr>
        <w:t>费用的1%，75分以下扣除</w:t>
      </w:r>
      <w:r>
        <w:rPr>
          <w:rFonts w:hint="eastAsia" w:ascii="仿宋" w:hAnsi="仿宋" w:eastAsia="仿宋" w:cs="仿宋"/>
          <w:sz w:val="24"/>
          <w:szCs w:val="24"/>
          <w:lang w:val="en-US" w:eastAsia="zh-CN"/>
        </w:rPr>
        <w:t>50%季度维保费用，连续三个月低于75分甲方有权无责与乙方解除维保合同</w:t>
      </w:r>
      <w:r>
        <w:rPr>
          <w:rFonts w:hint="eastAsia" w:ascii="仿宋" w:hAnsi="仿宋" w:eastAsia="仿宋" w:cs="仿宋"/>
          <w:sz w:val="24"/>
          <w:szCs w:val="24"/>
        </w:rPr>
        <w:t>。</w:t>
      </w:r>
    </w:p>
    <w:p w14:paraId="4395A175">
      <w:pPr>
        <w:pStyle w:val="16"/>
        <w:rPr>
          <w:rFonts w:hint="eastAsia"/>
        </w:rPr>
      </w:pPr>
    </w:p>
    <w:p w14:paraId="425A979A">
      <w:pP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考核人：                        维保单位：                   日期： </w:t>
      </w:r>
    </w:p>
    <w:p w14:paraId="1BA5F96D">
      <w:pPr>
        <w:rPr>
          <w:rFonts w:hint="eastAsia" w:ascii="仿宋" w:hAnsi="仿宋" w:eastAsia="仿宋" w:cs="仿宋"/>
          <w:b/>
          <w:bCs/>
          <w:color w:val="000000"/>
          <w:kern w:val="0"/>
          <w:sz w:val="24"/>
          <w:szCs w:val="24"/>
          <w:shd w:val="clear" w:color="auto" w:fill="FFFFFF"/>
          <w:lang w:bidi="ar"/>
        </w:rPr>
      </w:pPr>
      <w:r>
        <w:rPr>
          <w:rFonts w:hint="eastAsia" w:ascii="仿宋" w:hAnsi="仿宋" w:eastAsia="仿宋" w:cs="仿宋"/>
          <w:b/>
          <w:bCs/>
          <w:color w:val="000000"/>
          <w:kern w:val="0"/>
          <w:sz w:val="24"/>
          <w:szCs w:val="24"/>
          <w:shd w:val="clear" w:color="auto" w:fill="FFFFFF"/>
          <w:lang w:bidi="ar"/>
        </w:rPr>
        <w:br w:type="page"/>
      </w:r>
    </w:p>
    <w:p w14:paraId="05B7B4E1">
      <w:pPr>
        <w:keepNext w:val="0"/>
        <w:keepLines w:val="0"/>
        <w:pageBreakBefore w:val="0"/>
        <w:kinsoku/>
        <w:wordWrap/>
        <w:overflowPunct/>
        <w:topLinePunct w:val="0"/>
        <w:bidi w:val="0"/>
        <w:spacing w:line="360" w:lineRule="auto"/>
        <w:jc w:val="both"/>
        <w:textAlignment w:val="auto"/>
        <w:rPr>
          <w:rFonts w:hint="eastAsia" w:ascii="仿宋" w:hAnsi="仿宋" w:eastAsia="仿宋" w:cs="仿宋"/>
          <w:b/>
          <w:bCs/>
          <w:color w:val="auto"/>
          <w:sz w:val="28"/>
          <w:szCs w:val="28"/>
        </w:rPr>
      </w:pPr>
      <w:r>
        <w:rPr>
          <w:rFonts w:hint="eastAsia" w:ascii="仿宋" w:hAnsi="仿宋" w:eastAsia="仿宋" w:cs="仿宋"/>
          <w:b/>
          <w:bCs/>
          <w:color w:val="000000"/>
          <w:kern w:val="0"/>
          <w:sz w:val="24"/>
          <w:szCs w:val="24"/>
          <w:shd w:val="clear" w:color="auto" w:fill="FFFFFF"/>
          <w:lang w:bidi="ar"/>
        </w:rPr>
        <w:t>附</w:t>
      </w:r>
      <w:r>
        <w:rPr>
          <w:rFonts w:hint="eastAsia" w:ascii="仿宋" w:hAnsi="仿宋" w:eastAsia="仿宋" w:cs="仿宋"/>
          <w:b/>
          <w:bCs/>
          <w:color w:val="auto"/>
          <w:sz w:val="28"/>
          <w:szCs w:val="28"/>
        </w:rPr>
        <w:t>件</w:t>
      </w:r>
      <w:r>
        <w:rPr>
          <w:rFonts w:hint="eastAsia" w:ascii="仿宋" w:hAnsi="仿宋" w:eastAsia="仿宋" w:cs="仿宋"/>
          <w:b/>
          <w:bCs/>
          <w:color w:val="auto"/>
          <w:sz w:val="28"/>
          <w:szCs w:val="28"/>
          <w:lang w:val="en-US" w:eastAsia="zh-CN"/>
        </w:rPr>
        <w:t>五</w:t>
      </w:r>
      <w:r>
        <w:rPr>
          <w:rFonts w:hint="eastAsia" w:ascii="仿宋" w:hAnsi="仿宋" w:eastAsia="仿宋" w:cs="仿宋"/>
          <w:b/>
          <w:bCs/>
          <w:color w:val="auto"/>
          <w:sz w:val="28"/>
          <w:szCs w:val="28"/>
        </w:rPr>
        <w:t>：</w:t>
      </w:r>
    </w:p>
    <w:p w14:paraId="4AF80234">
      <w:pPr>
        <w:keepNext w:val="0"/>
        <w:keepLines w:val="0"/>
        <w:pageBreakBefore w:val="0"/>
        <w:kinsoku/>
        <w:wordWrap/>
        <w:overflowPunct/>
        <w:topLinePunct w:val="0"/>
        <w:bidi w:val="0"/>
        <w:spacing w:line="360" w:lineRule="auto"/>
        <w:jc w:val="center"/>
        <w:textAlignment w:val="auto"/>
        <w:rPr>
          <w:rFonts w:ascii="仿宋" w:hAnsi="仿宋" w:eastAsia="仿宋" w:cs="仿宋"/>
          <w:b/>
          <w:bCs/>
          <w:color w:val="000000"/>
          <w:kern w:val="0"/>
          <w:sz w:val="24"/>
          <w:szCs w:val="24"/>
          <w:shd w:val="clear" w:color="auto" w:fill="FFFFFF"/>
          <w:lang w:bidi="ar"/>
        </w:rPr>
      </w:pPr>
      <w:r>
        <w:rPr>
          <w:rFonts w:hint="eastAsia" w:ascii="仿宋" w:hAnsi="仿宋" w:eastAsia="仿宋" w:cs="仿宋"/>
          <w:b/>
          <w:bCs/>
          <w:color w:val="auto"/>
          <w:sz w:val="28"/>
          <w:szCs w:val="28"/>
        </w:rPr>
        <w:t>维保服务内容</w:t>
      </w:r>
    </w:p>
    <w:p w14:paraId="0A5E60AB">
      <w:pPr>
        <w:widowControl/>
        <w:shd w:val="clear" w:color="auto" w:fill="FFFFFF"/>
        <w:spacing w:line="360" w:lineRule="auto"/>
        <w:jc w:val="left"/>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 xml:space="preserve">1、响应时间 </w:t>
      </w:r>
    </w:p>
    <w:p w14:paraId="26BDC4D2">
      <w:pPr>
        <w:widowControl/>
        <w:shd w:val="clear" w:color="auto" w:fill="FFFFFF"/>
        <w:spacing w:line="360"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乙方提供的服务是7×24小时响应服务，具体响应方式及响应时间根据故障级别而定，具体内容如下：</w:t>
      </w:r>
    </w:p>
    <w:tbl>
      <w:tblPr>
        <w:tblStyle w:val="19"/>
        <w:tblW w:w="9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3727"/>
        <w:gridCol w:w="4592"/>
      </w:tblGrid>
      <w:tr w14:paraId="5166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840" w:type="dxa"/>
            <w:vAlign w:val="center"/>
          </w:tcPr>
          <w:p w14:paraId="6AEB8756">
            <w:pPr>
              <w:widowControl/>
              <w:shd w:val="clear" w:color="auto" w:fill="FFFFFF"/>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故障级别</w:t>
            </w:r>
          </w:p>
        </w:tc>
        <w:tc>
          <w:tcPr>
            <w:tcW w:w="3727" w:type="dxa"/>
            <w:vAlign w:val="center"/>
          </w:tcPr>
          <w:p w14:paraId="53A5E3AB">
            <w:pPr>
              <w:widowControl/>
              <w:shd w:val="clear" w:color="auto" w:fill="FFFFFF"/>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故障内容</w:t>
            </w:r>
          </w:p>
        </w:tc>
        <w:tc>
          <w:tcPr>
            <w:tcW w:w="4592" w:type="dxa"/>
            <w:vAlign w:val="center"/>
          </w:tcPr>
          <w:p w14:paraId="30E588E1">
            <w:pPr>
              <w:widowControl/>
              <w:shd w:val="clear" w:color="auto" w:fill="FFFFFF"/>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响应时间</w:t>
            </w:r>
          </w:p>
        </w:tc>
      </w:tr>
      <w:tr w14:paraId="6122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14:paraId="7A0102DF">
            <w:pPr>
              <w:widowControl/>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1</w:t>
            </w:r>
          </w:p>
        </w:tc>
        <w:tc>
          <w:tcPr>
            <w:tcW w:w="3727" w:type="dxa"/>
            <w:vAlign w:val="center"/>
          </w:tcPr>
          <w:p w14:paraId="445BEB51">
            <w:pPr>
              <w:widowControl/>
              <w:shd w:val="clear" w:color="auto" w:fill="FFFFFF"/>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系统出现警告，不影响系统运行</w:t>
            </w:r>
          </w:p>
        </w:tc>
        <w:tc>
          <w:tcPr>
            <w:tcW w:w="4592" w:type="dxa"/>
            <w:vAlign w:val="center"/>
          </w:tcPr>
          <w:p w14:paraId="064A1FBD">
            <w:pPr>
              <w:widowControl/>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7×24小时电话咨询，48小时内到达现场</w:t>
            </w:r>
          </w:p>
        </w:tc>
      </w:tr>
      <w:tr w14:paraId="06C3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40" w:type="dxa"/>
            <w:vAlign w:val="center"/>
          </w:tcPr>
          <w:p w14:paraId="0E1B420E">
            <w:pPr>
              <w:widowControl/>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2</w:t>
            </w:r>
          </w:p>
        </w:tc>
        <w:tc>
          <w:tcPr>
            <w:tcW w:w="3727" w:type="dxa"/>
            <w:vAlign w:val="center"/>
          </w:tcPr>
          <w:p w14:paraId="06CDD991">
            <w:pPr>
              <w:widowControl/>
              <w:shd w:val="clear" w:color="auto" w:fill="FFFFFF"/>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部分设备损坏，但系统正常运行</w:t>
            </w:r>
          </w:p>
        </w:tc>
        <w:tc>
          <w:tcPr>
            <w:tcW w:w="4592" w:type="dxa"/>
            <w:vAlign w:val="center"/>
          </w:tcPr>
          <w:p w14:paraId="0FAC7911">
            <w:pPr>
              <w:widowControl/>
              <w:shd w:val="clear" w:color="auto" w:fill="FFFFFF"/>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7×24小时电话咨询，24小时内到达现场</w:t>
            </w:r>
          </w:p>
        </w:tc>
      </w:tr>
      <w:tr w14:paraId="36BD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14:paraId="35EF1927">
            <w:pPr>
              <w:widowControl/>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3</w:t>
            </w:r>
          </w:p>
        </w:tc>
        <w:tc>
          <w:tcPr>
            <w:tcW w:w="3727" w:type="dxa"/>
            <w:vAlign w:val="center"/>
          </w:tcPr>
          <w:p w14:paraId="68637959">
            <w:pPr>
              <w:widowControl/>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系统故障，严重影响系统运行</w:t>
            </w:r>
          </w:p>
        </w:tc>
        <w:tc>
          <w:tcPr>
            <w:tcW w:w="4592" w:type="dxa"/>
            <w:vAlign w:val="center"/>
          </w:tcPr>
          <w:p w14:paraId="231A341E">
            <w:pPr>
              <w:widowControl/>
              <w:spacing w:line="360" w:lineRule="auto"/>
              <w:jc w:val="center"/>
              <w:rPr>
                <w:rFonts w:ascii="仿宋" w:hAnsi="仿宋" w:eastAsia="仿宋" w:cs="仿宋"/>
                <w:color w:val="000000"/>
                <w:sz w:val="24"/>
                <w:szCs w:val="24"/>
              </w:rPr>
            </w:pPr>
            <w:r>
              <w:rPr>
                <w:rFonts w:hint="eastAsia" w:ascii="仿宋" w:hAnsi="仿宋" w:eastAsia="仿宋" w:cs="仿宋"/>
                <w:color w:val="000000"/>
                <w:kern w:val="0"/>
                <w:sz w:val="24"/>
                <w:szCs w:val="24"/>
                <w:shd w:val="clear" w:color="auto" w:fill="FFFFFF"/>
                <w:lang w:bidi="ar"/>
              </w:rPr>
              <w:t>7×24小时电话咨询，2小时内到达现场</w:t>
            </w:r>
          </w:p>
        </w:tc>
      </w:tr>
    </w:tbl>
    <w:p w14:paraId="7C1D17FF">
      <w:pPr>
        <w:spacing w:line="360" w:lineRule="auto"/>
        <w:rPr>
          <w:rFonts w:ascii="仿宋" w:hAnsi="仿宋" w:eastAsia="仿宋" w:cs="仿宋"/>
          <w:sz w:val="24"/>
          <w:szCs w:val="24"/>
        </w:rPr>
      </w:pPr>
      <w:r>
        <w:rPr>
          <w:rFonts w:hint="eastAsia" w:ascii="仿宋" w:hAnsi="仿宋" w:eastAsia="仿宋" w:cs="仿宋"/>
          <w:sz w:val="24"/>
          <w:szCs w:val="24"/>
        </w:rPr>
        <w:t xml:space="preserve">2、定期巡检和维护 </w:t>
      </w:r>
    </w:p>
    <w:p w14:paraId="33C4263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乙方每个月对系统进行两次巡检和一次维护保养，内容包括：摄像机设备的功能巡检；硬盘录像机的功能巡检；摄像机镜头清理，硬盘录像机灰尘清理；电源网线节点检查是否缠绕和松动；门禁系统运行是否正常；网络运行是否顺畅等。 巡检过程中如果发现主辅设备出现故障，则立即进行报备。 如遇雷雨、大风等、单位检查等不利于检修维护的情况，与甲方协商后，检修维护工作顺延。 </w:t>
      </w:r>
    </w:p>
    <w:p w14:paraId="0DD397F0">
      <w:pPr>
        <w:spacing w:line="360" w:lineRule="auto"/>
        <w:rPr>
          <w:rFonts w:ascii="仿宋" w:hAnsi="仿宋" w:eastAsia="仿宋" w:cs="仿宋"/>
          <w:sz w:val="24"/>
          <w:szCs w:val="24"/>
        </w:rPr>
      </w:pPr>
      <w:r>
        <w:rPr>
          <w:rFonts w:hint="eastAsia" w:ascii="仿宋" w:hAnsi="仿宋" w:eastAsia="仿宋" w:cs="仿宋"/>
          <w:sz w:val="24"/>
          <w:szCs w:val="24"/>
        </w:rPr>
        <w:t>3、前端设备的清洁维护在合同期内，每半年对所有摄像头做一次清洁维护，去除机壳、镜头的污渍，保证摄像头图像采集清晰。首次清洁维护在合同生效后15个工作日内进行。</w:t>
      </w:r>
    </w:p>
    <w:p w14:paraId="6B97BFB7">
      <w:pPr>
        <w:spacing w:line="360" w:lineRule="auto"/>
        <w:rPr>
          <w:rFonts w:ascii="仿宋" w:hAnsi="仿宋" w:eastAsia="仿宋" w:cs="仿宋"/>
          <w:sz w:val="24"/>
          <w:szCs w:val="24"/>
        </w:rPr>
      </w:pPr>
      <w:r>
        <w:rPr>
          <w:rFonts w:hint="eastAsia" w:ascii="仿宋" w:hAnsi="仿宋" w:eastAsia="仿宋" w:cs="仿宋"/>
          <w:sz w:val="24"/>
          <w:szCs w:val="24"/>
        </w:rPr>
        <w:t>4、备品备件在合同期内设备出现故障需要返厂维修时，应由甲方提供备品备件，维修设备无法修复，甲方须向乙方重新购买新设备（主要设备按备案单价购买）或自己提供设备，以保证系统正常运转。</w:t>
      </w:r>
    </w:p>
    <w:p w14:paraId="761DE314">
      <w:pPr>
        <w:spacing w:line="360" w:lineRule="auto"/>
        <w:rPr>
          <w:rFonts w:ascii="仿宋" w:hAnsi="仿宋" w:eastAsia="仿宋" w:cs="仿宋"/>
          <w:sz w:val="24"/>
          <w:szCs w:val="24"/>
        </w:rPr>
      </w:pPr>
      <w:r>
        <w:rPr>
          <w:rFonts w:hint="eastAsia" w:ascii="仿宋" w:hAnsi="仿宋" w:eastAsia="仿宋" w:cs="仿宋"/>
          <w:sz w:val="24"/>
          <w:szCs w:val="24"/>
        </w:rPr>
        <w:t>5、维护服务资料的制作乙方每次检修和维护服务必须做好详细准确的记录，并提交甲方审核，经双方签字确认后各自留存一份备案。</w:t>
      </w:r>
    </w:p>
    <w:p w14:paraId="18A4A88B">
      <w:pPr>
        <w:rPr>
          <w:color w:val="auto"/>
        </w:rPr>
      </w:pPr>
    </w:p>
    <w:sectPr>
      <w:headerReference r:id="rId6" w:type="first"/>
      <w:footerReference r:id="rId9" w:type="first"/>
      <w:headerReference r:id="rId5" w:type="default"/>
      <w:footerReference r:id="rId7" w:type="default"/>
      <w:footerReference r:id="rId8" w:type="even"/>
      <w:pgSz w:w="11907" w:h="16840"/>
      <w:pgMar w:top="1417" w:right="1417" w:bottom="1191" w:left="1417" w:header="851" w:footer="992" w:gutter="0"/>
      <w:paperSrc/>
      <w:pgBorders>
        <w:top w:val="none" w:sz="0" w:space="0"/>
        <w:left w:val="none" w:sz="0" w:space="0"/>
        <w:bottom w:val="none" w:sz="0" w:space="0"/>
        <w:right w:val="none" w:sz="0" w:space="0"/>
      </w:pgBorders>
      <w:pgNumType w:fmt="decimal"/>
      <w:cols w:space="0" w:num="1"/>
      <w:titlePg/>
      <w:rtlGutter w:val="0"/>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embedRegular r:id="rId1" w:fontKey="{4CFE33F8-1335-4EE2-87FA-921F843BF2BC}"/>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34B8D5E4-D805-473A-9306-8EFD75ECF474}"/>
  </w:font>
  <w:font w:name="仿宋">
    <w:panose1 w:val="02010609060101010101"/>
    <w:charset w:val="86"/>
    <w:family w:val="auto"/>
    <w:pitch w:val="default"/>
    <w:sig w:usb0="800002BF" w:usb1="38CF7CFA" w:usb2="00000016" w:usb3="00000000" w:csb0="00040001" w:csb1="00000000"/>
    <w:embedRegular r:id="rId3" w:fontKey="{7CB5C182-5127-4E00-8369-D54A3B50E0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DC896">
    <w:pPr>
      <w:pStyle w:val="11"/>
      <w:ind w:right="360"/>
      <w:rPr>
        <w:rFonts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14E22EC">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14:paraId="314E22EC">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1066800" cy="147955"/>
              <wp:effectExtent l="0" t="0" r="0" b="0"/>
              <wp:wrapNone/>
              <wp:docPr id="9" name="文本框 4"/>
              <wp:cNvGraphicFramePr/>
              <a:graphic xmlns:a="http://schemas.openxmlformats.org/drawingml/2006/main">
                <a:graphicData uri="http://schemas.microsoft.com/office/word/2010/wordprocessingShape">
                  <wps:wsp>
                    <wps:cNvSpPr txBox="1"/>
                    <wps:spPr>
                      <a:xfrm>
                        <a:off x="0" y="0"/>
                        <a:ext cx="1066800" cy="147955"/>
                      </a:xfrm>
                      <a:prstGeom prst="rect">
                        <a:avLst/>
                      </a:prstGeom>
                      <a:noFill/>
                      <a:ln>
                        <a:noFill/>
                      </a:ln>
                      <a:effectLst/>
                    </wps:spPr>
                    <wps:txbx>
                      <w:txbxContent>
                        <w:p w14:paraId="76FB3B9B">
                          <w:pPr>
                            <w:snapToGrid w:val="0"/>
                            <w:rPr>
                              <w:sz w:val="18"/>
                              <w:szCs w:val="18"/>
                            </w:rPr>
                          </w:pPr>
                        </w:p>
                      </w:txbxContent>
                    </wps:txbx>
                    <wps:bodyPr lIns="0" tIns="0" rIns="0" bIns="0" upright="1"/>
                  </wps:wsp>
                </a:graphicData>
              </a:graphic>
            </wp:anchor>
          </w:drawing>
        </mc:Choice>
        <mc:Fallback>
          <w:pict>
            <v:shape id="文本框 4" o:spid="_x0000_s1026" o:spt="202" type="#_x0000_t202" style="position:absolute;left:0pt;margin-top:0.05pt;height:11.65pt;width:84pt;mso-position-horizontal:center;mso-position-horizontal-relative:margin;z-index:251659264;mso-width-relative:page;mso-height-relative:page;" filled="f" stroked="f" coordsize="21600,21600" o:gfxdata="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lKXN/dMAAAAEAQAADwAAAAAAAAABACAAAAAiAAAAZHJzL2Rvd25yZXYueG1sUEsBAhQA&#10;FAAAAAgAh07iQL+BRw6+AQAAgAMAAA4AAAAAAAAAAQAgAAAAIgEAAGRycy9lMm9Eb2MueG1sUEsF&#10;BgAAAAAGAAYAWQEAAFIFAAAAAA==&#10;">
              <v:fill on="f" focussize="0,0"/>
              <v:stroke on="f"/>
              <v:imagedata o:title=""/>
              <o:lock v:ext="edit" aspectratio="f"/>
              <v:textbox inset="0mm,0mm,0mm,0mm">
                <w:txbxContent>
                  <w:p w14:paraId="76FB3B9B">
                    <w:pPr>
                      <w:snapToGrid w:val="0"/>
                      <w:rPr>
                        <w:sz w:val="18"/>
                        <w:szCs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92766">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E44F32">
                          <w:pPr>
                            <w:pStyle w:val="11"/>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A3uL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A3uLeAgAAJgYAAA4AAAAAAAAAAQAgAAAAHwEAAGRycy9lMm9Eb2MueG1sUEsF&#10;BgAAAAAGAAYAWQEAAG8GAAAAAA==&#10;">
              <v:fill on="f" focussize="0,0"/>
              <v:stroke on="f" weight="0.5pt"/>
              <v:imagedata o:title=""/>
              <o:lock v:ext="edit" aspectratio="f"/>
              <v:textbox inset="0mm,0mm,0mm,0mm" style="mso-fit-shape-to-text:t;">
                <w:txbxContent>
                  <w:p w14:paraId="5CE44F32">
                    <w:pPr>
                      <w:pStyle w:val="11"/>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8464FD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2CNaszAgAAZw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2CNaszAgAAZwQAAA4AAAAAAAAAAQAgAAAAHwEAAGRycy9lMm9Eb2MueG1sUEsF&#10;BgAAAAAGAAYAWQEAAMQFAAAAAA==&#10;">
              <v:fill on="f" focussize="0,0"/>
              <v:stroke on="f" weight="0.5pt"/>
              <v:imagedata o:title=""/>
              <o:lock v:ext="edit" aspectratio="f"/>
              <v:textbox inset="0mm,0mm,0mm,0mm" style="mso-fit-shape-to-text:t;">
                <w:txbxContent>
                  <w:p w14:paraId="08464FD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20A34">
    <w:pPr>
      <w:pStyle w:val="11"/>
      <w:jc w:val="center"/>
      <w:rPr>
        <w:rStyle w:val="21"/>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EF27C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M3tSfd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krohBFGgrRQ&#10;8ftvX++//7z/8QXBHgi0VWYCcbcKIu3uUu4guN83sOl47yrdun9ghMAP8t4d5GU7i6g7lA7SNAIX&#10;BV+/APzweFxpY18x2SJnZFhD/bysZLMwtgvtQ9xtQhYN576GXKBthoenZ5E/cPAAOBcuFrIAjL3V&#10;1ebTOBpfpVdpEiSD4VWQRHkezIp5EgyLeHSWn+bzeR5/dnhxMqmbsmTC3df3SZw8rw77XukqfOgU&#10;I3lTOjiXktGr5ZxrtCHQp4X/OYUh+Qdh4eM0vBtYPaEUD5LocjAOimE6CpIiOQvGoygNonh8OR5G&#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ze1J90CAAAmBgAADgAAAAAAAAABACAAAAAfAQAAZHJzL2Uyb0RvYy54bWxQSwUG&#10;AAAAAAYABgBZAQAAbgYAAAAA&#10;">
              <v:fill on="f" focussize="0,0"/>
              <v:stroke on="f" weight="0.5pt"/>
              <v:imagedata o:title=""/>
              <o:lock v:ext="edit" aspectratio="f"/>
              <v:textbox inset="0mm,0mm,0mm,0mm" style="mso-fit-shape-to-text:t;">
                <w:txbxContent>
                  <w:p w14:paraId="60EF27C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v:textbox>
            </v:shape>
          </w:pict>
        </mc:Fallback>
      </mc:AlternateContent>
    </w:r>
  </w:p>
  <w:p w14:paraId="3F45F14C">
    <w:pPr>
      <w:pStyle w:val="11"/>
      <w:ind w:right="360"/>
      <w:rPr>
        <w:rStyle w:val="21"/>
        <w:rFonts w:hint="eastAsia"/>
      </w:rPr>
    </w:pPr>
    <w:r>
      <w:rPr>
        <w:rStyle w:val="21"/>
        <w:rFonts w:hint="eastAsia"/>
      </w:rPr>
      <w:t xml:space="preserve">                                 </w:t>
    </w:r>
  </w:p>
  <w:p w14:paraId="6B430E2D">
    <w:pPr>
      <w:pStyle w:val="11"/>
      <w:framePr w:wrap="around" w:vAnchor="text" w:hAnchor="margin" w:xAlign="right" w:y="1"/>
      <w:ind w:right="360"/>
      <w:rPr>
        <w:rStyle w:val="21"/>
        <w:rFonts w:hint="eastAsia"/>
      </w:rPr>
    </w:pPr>
    <w:r>
      <w:rPr>
        <w:rStyle w:val="21"/>
        <w:rFonts w:hint="eastAsia"/>
      </w:rPr>
      <w:t xml:space="preserve">                                                                                               </w:t>
    </w:r>
  </w:p>
  <w:p w14:paraId="5B2F14AC">
    <w:pPr>
      <w:pStyle w:val="11"/>
      <w:framePr w:wrap="around" w:vAnchor="text" w:hAnchor="margin" w:xAlign="right" w:y="1"/>
      <w:ind w:right="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16CA">
    <w:pPr>
      <w:pStyle w:val="11"/>
      <w:framePr w:wrap="around" w:vAnchor="text" w:hAnchor="margin" w:xAlign="center" w:y="1"/>
      <w:rPr>
        <w:rStyle w:val="21"/>
      </w:rPr>
    </w:pPr>
    <w:r>
      <w:fldChar w:fldCharType="begin"/>
    </w:r>
    <w:r>
      <w:rPr>
        <w:rStyle w:val="21"/>
      </w:rPr>
      <w:instrText xml:space="preserve">PAGE  </w:instrText>
    </w:r>
    <w:r>
      <w:fldChar w:fldCharType="end"/>
    </w:r>
  </w:p>
  <w:p w14:paraId="23707AA3">
    <w:pPr>
      <w:pStyle w:val="11"/>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CD1C2">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7961DC">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uS5b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G5Llt0CAAAmBgAADgAAAAAAAAABACAAAAAfAQAAZHJzL2Uyb0RvYy54bWxQSwUG&#10;AAAAAAYABgBZAQAAbgYAAAAA&#10;">
              <v:fill on="f" focussize="0,0"/>
              <v:stroke on="f" weight="0.5pt"/>
              <v:imagedata o:title=""/>
              <o:lock v:ext="edit" aspectratio="f"/>
              <v:textbox inset="0mm,0mm,0mm,0mm" style="mso-fit-shape-to-text:t;">
                <w:txbxContent>
                  <w:p w14:paraId="027961DC">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6CB03">
    <w:pPr>
      <w:pStyle w:val="12"/>
      <w:pBdr>
        <w:bottom w:val="none" w:color="auto" w:sz="0" w:space="1"/>
      </w:pBdr>
      <w:jc w:val="both"/>
      <w:rPr>
        <w:rFonts w:hint="eastAsia"/>
      </w:rPr>
    </w:pPr>
    <w:r>
      <w:rPr>
        <w:rFonts w:hint="eastAsia" w:hAnsi="宋体"/>
        <w:szCs w:val="18"/>
        <w14:shadow w14:blurRad="50800" w14:dist="38100" w14:dir="2700000" w14:sx="100000" w14:sy="100000" w14:kx="0" w14:ky="0" w14:algn="tl">
          <w14:srgbClr w14:val="000000">
            <w14:alpha w14:val="60000"/>
          </w14:srgbClr>
        </w14:shadow>
      </w:rPr>
      <w:t xml:space="preserve"> </w:t>
    </w:r>
    <w:r>
      <w:rPr>
        <w:rFonts w:hint="eastAsia"/>
        <w:szCs w:val="18"/>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BC723">
    <w:pPr>
      <w:pStyle w:val="12"/>
      <w:pBdr>
        <w:bottom w:val="none" w:color="auto" w:sz="0" w:space="1"/>
      </w:pBdr>
      <w:jc w:val="left"/>
      <w:rPr>
        <w:rFonts w:hint="eastAsia"/>
      </w:rPr>
    </w:pPr>
    <w:r>
      <w:rPr>
        <w:rFonts w:hint="eastAsia"/>
      </w:rPr>
      <w:t xml:space="preserve">                             </w:t>
    </w:r>
    <w:r>
      <w:rPr>
        <w:rFonts w:hint="eastAsia"/>
        <w:lang w:val="en-US" w:eastAsia="zh-CN"/>
      </w:rP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2"/>
      <w:numFmt w:val="decimal"/>
      <w:suff w:val="nothing"/>
      <w:lvlText w:val="%1、"/>
      <w:lvlJc w:val="left"/>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43350C41"/>
    <w:multiLevelType w:val="multilevel"/>
    <w:tmpl w:val="43350C41"/>
    <w:lvl w:ilvl="0" w:tentative="0">
      <w:start w:val="1"/>
      <w:numFmt w:val="decimal"/>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35778F6"/>
    <w:multiLevelType w:val="multilevel"/>
    <w:tmpl w:val="535778F6"/>
    <w:lvl w:ilvl="0" w:tentative="0">
      <w:start w:val="1"/>
      <w:numFmt w:val="chineseCountingThousand"/>
      <w:pStyle w:val="3"/>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pStyle w:val="4"/>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540DA551"/>
    <w:multiLevelType w:val="singleLevel"/>
    <w:tmpl w:val="540DA551"/>
    <w:lvl w:ilvl="0" w:tentative="0">
      <w:start w:val="1"/>
      <w:numFmt w:val="chineseCounting"/>
      <w:suff w:val="space"/>
      <w:lvlText w:val="第%1条"/>
      <w:lvlJc w:val="left"/>
      <w:rPr>
        <w:b/>
        <w:bC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1M2FjYTNlYTZmNGFlZTVkODQ5NzQxZjRiODg1ZWQifQ=="/>
  </w:docVars>
  <w:rsids>
    <w:rsidRoot w:val="13EB0A73"/>
    <w:rsid w:val="001E482B"/>
    <w:rsid w:val="006963FB"/>
    <w:rsid w:val="00983765"/>
    <w:rsid w:val="0110632B"/>
    <w:rsid w:val="01407DFE"/>
    <w:rsid w:val="01457570"/>
    <w:rsid w:val="014E56A1"/>
    <w:rsid w:val="01580A7D"/>
    <w:rsid w:val="01583BEB"/>
    <w:rsid w:val="01D30F29"/>
    <w:rsid w:val="01EC0334"/>
    <w:rsid w:val="01EC5C3E"/>
    <w:rsid w:val="02462CD4"/>
    <w:rsid w:val="029F7154"/>
    <w:rsid w:val="02A85BE8"/>
    <w:rsid w:val="039D7776"/>
    <w:rsid w:val="03FF71DF"/>
    <w:rsid w:val="040F6E47"/>
    <w:rsid w:val="047E4DAE"/>
    <w:rsid w:val="050E2A4F"/>
    <w:rsid w:val="050F54EE"/>
    <w:rsid w:val="054F49D4"/>
    <w:rsid w:val="05552AFA"/>
    <w:rsid w:val="05BF6BDC"/>
    <w:rsid w:val="05C13AA4"/>
    <w:rsid w:val="05D709C4"/>
    <w:rsid w:val="06045462"/>
    <w:rsid w:val="061E2D83"/>
    <w:rsid w:val="06451DC1"/>
    <w:rsid w:val="06582C62"/>
    <w:rsid w:val="068A5407"/>
    <w:rsid w:val="069D73BD"/>
    <w:rsid w:val="073064D9"/>
    <w:rsid w:val="076C586C"/>
    <w:rsid w:val="07F103E6"/>
    <w:rsid w:val="08482BDA"/>
    <w:rsid w:val="085230AF"/>
    <w:rsid w:val="089C5071"/>
    <w:rsid w:val="08BF6365"/>
    <w:rsid w:val="08E6152E"/>
    <w:rsid w:val="09D43675"/>
    <w:rsid w:val="0A8B6A3B"/>
    <w:rsid w:val="0AB81097"/>
    <w:rsid w:val="0B417214"/>
    <w:rsid w:val="0B427292"/>
    <w:rsid w:val="0B8106A0"/>
    <w:rsid w:val="0B8179FC"/>
    <w:rsid w:val="0C382C7A"/>
    <w:rsid w:val="0CB87237"/>
    <w:rsid w:val="0CDA749C"/>
    <w:rsid w:val="0DA275E6"/>
    <w:rsid w:val="0F215FC9"/>
    <w:rsid w:val="0F7A5454"/>
    <w:rsid w:val="0FA42963"/>
    <w:rsid w:val="10073416"/>
    <w:rsid w:val="114A352A"/>
    <w:rsid w:val="116354F1"/>
    <w:rsid w:val="11687668"/>
    <w:rsid w:val="119F7113"/>
    <w:rsid w:val="11AA2715"/>
    <w:rsid w:val="11BB7A17"/>
    <w:rsid w:val="11D41037"/>
    <w:rsid w:val="11E52FBC"/>
    <w:rsid w:val="13650CF6"/>
    <w:rsid w:val="13EB0A73"/>
    <w:rsid w:val="14033B64"/>
    <w:rsid w:val="141F3958"/>
    <w:rsid w:val="153B0657"/>
    <w:rsid w:val="154A620C"/>
    <w:rsid w:val="15B73727"/>
    <w:rsid w:val="160012BD"/>
    <w:rsid w:val="168101F5"/>
    <w:rsid w:val="16983511"/>
    <w:rsid w:val="16E67DE2"/>
    <w:rsid w:val="170F6928"/>
    <w:rsid w:val="172E7DE0"/>
    <w:rsid w:val="175F50F5"/>
    <w:rsid w:val="179872D3"/>
    <w:rsid w:val="17A0154D"/>
    <w:rsid w:val="17C14B1A"/>
    <w:rsid w:val="17CA7D07"/>
    <w:rsid w:val="18756535"/>
    <w:rsid w:val="19494E35"/>
    <w:rsid w:val="19D379B8"/>
    <w:rsid w:val="19DB70B5"/>
    <w:rsid w:val="1A5736C2"/>
    <w:rsid w:val="1AD003D6"/>
    <w:rsid w:val="1AD80FFE"/>
    <w:rsid w:val="1B27086E"/>
    <w:rsid w:val="1BBA2545"/>
    <w:rsid w:val="1C047D84"/>
    <w:rsid w:val="1C36488C"/>
    <w:rsid w:val="1CE153EF"/>
    <w:rsid w:val="1CEE5ECE"/>
    <w:rsid w:val="1D145233"/>
    <w:rsid w:val="1D567874"/>
    <w:rsid w:val="1DD71A40"/>
    <w:rsid w:val="1DEB07F4"/>
    <w:rsid w:val="1F9C13C0"/>
    <w:rsid w:val="1FA3619B"/>
    <w:rsid w:val="1FCB35DE"/>
    <w:rsid w:val="203A2961"/>
    <w:rsid w:val="206175E6"/>
    <w:rsid w:val="212F5273"/>
    <w:rsid w:val="21BC65CC"/>
    <w:rsid w:val="227B2C7D"/>
    <w:rsid w:val="23A31027"/>
    <w:rsid w:val="24F638B3"/>
    <w:rsid w:val="2510636A"/>
    <w:rsid w:val="25B45C78"/>
    <w:rsid w:val="26061115"/>
    <w:rsid w:val="263F25AE"/>
    <w:rsid w:val="26807AF9"/>
    <w:rsid w:val="26BB5956"/>
    <w:rsid w:val="273B7CE6"/>
    <w:rsid w:val="28043E06"/>
    <w:rsid w:val="28332AB3"/>
    <w:rsid w:val="28413F4E"/>
    <w:rsid w:val="285443B9"/>
    <w:rsid w:val="28702271"/>
    <w:rsid w:val="29181498"/>
    <w:rsid w:val="296E72F7"/>
    <w:rsid w:val="297D22DB"/>
    <w:rsid w:val="29A93313"/>
    <w:rsid w:val="29B46DF6"/>
    <w:rsid w:val="29DF0CF8"/>
    <w:rsid w:val="29EA3DE1"/>
    <w:rsid w:val="2A600439"/>
    <w:rsid w:val="2A90665D"/>
    <w:rsid w:val="2A9F570E"/>
    <w:rsid w:val="2AAF6C65"/>
    <w:rsid w:val="2AE839DA"/>
    <w:rsid w:val="2BBD4024"/>
    <w:rsid w:val="2BD47E10"/>
    <w:rsid w:val="2C014FF6"/>
    <w:rsid w:val="2C0A5BD3"/>
    <w:rsid w:val="2C414C55"/>
    <w:rsid w:val="2C556895"/>
    <w:rsid w:val="2CD4475C"/>
    <w:rsid w:val="2D5F133E"/>
    <w:rsid w:val="2DAE4A20"/>
    <w:rsid w:val="2E4272A0"/>
    <w:rsid w:val="2EBF4557"/>
    <w:rsid w:val="2ED52E31"/>
    <w:rsid w:val="2F4F4680"/>
    <w:rsid w:val="2FDC2C0D"/>
    <w:rsid w:val="30964664"/>
    <w:rsid w:val="3183068E"/>
    <w:rsid w:val="319C3569"/>
    <w:rsid w:val="31F6028F"/>
    <w:rsid w:val="320350AC"/>
    <w:rsid w:val="328C74FC"/>
    <w:rsid w:val="32B658D0"/>
    <w:rsid w:val="33592E48"/>
    <w:rsid w:val="3415571C"/>
    <w:rsid w:val="344A6A9D"/>
    <w:rsid w:val="34D2328A"/>
    <w:rsid w:val="366666CA"/>
    <w:rsid w:val="36724BE8"/>
    <w:rsid w:val="370652D5"/>
    <w:rsid w:val="371C38C8"/>
    <w:rsid w:val="376C5778"/>
    <w:rsid w:val="37AB52B4"/>
    <w:rsid w:val="383A6857"/>
    <w:rsid w:val="38CC2D20"/>
    <w:rsid w:val="38E0338C"/>
    <w:rsid w:val="38EE6696"/>
    <w:rsid w:val="3A35759E"/>
    <w:rsid w:val="3A847934"/>
    <w:rsid w:val="3AE80991"/>
    <w:rsid w:val="3B0307A0"/>
    <w:rsid w:val="3B482D30"/>
    <w:rsid w:val="3B96663F"/>
    <w:rsid w:val="3BE473A5"/>
    <w:rsid w:val="3C067F9F"/>
    <w:rsid w:val="3C682C8C"/>
    <w:rsid w:val="3C7A4B07"/>
    <w:rsid w:val="3C8E01FC"/>
    <w:rsid w:val="3CCF36C8"/>
    <w:rsid w:val="3DA9127C"/>
    <w:rsid w:val="3DDD2303"/>
    <w:rsid w:val="3DE653A1"/>
    <w:rsid w:val="3E054A62"/>
    <w:rsid w:val="3E751487"/>
    <w:rsid w:val="3E9F19CB"/>
    <w:rsid w:val="3EA75213"/>
    <w:rsid w:val="3EC7165A"/>
    <w:rsid w:val="3ED61866"/>
    <w:rsid w:val="3EFE4349"/>
    <w:rsid w:val="3F3257C9"/>
    <w:rsid w:val="3FB677DF"/>
    <w:rsid w:val="401A64F5"/>
    <w:rsid w:val="40722B73"/>
    <w:rsid w:val="40A77D8E"/>
    <w:rsid w:val="40AA56DE"/>
    <w:rsid w:val="40EC0EA3"/>
    <w:rsid w:val="40F46775"/>
    <w:rsid w:val="41865C44"/>
    <w:rsid w:val="418D5088"/>
    <w:rsid w:val="420710B6"/>
    <w:rsid w:val="42393C8E"/>
    <w:rsid w:val="42911F41"/>
    <w:rsid w:val="42A72106"/>
    <w:rsid w:val="42DC2BA0"/>
    <w:rsid w:val="43862AE1"/>
    <w:rsid w:val="448B2E46"/>
    <w:rsid w:val="4595468D"/>
    <w:rsid w:val="45C30031"/>
    <w:rsid w:val="46BA2BF3"/>
    <w:rsid w:val="46C2653A"/>
    <w:rsid w:val="46E360CF"/>
    <w:rsid w:val="46FA3710"/>
    <w:rsid w:val="46FB5655"/>
    <w:rsid w:val="473D72EF"/>
    <w:rsid w:val="475B71E0"/>
    <w:rsid w:val="47642E37"/>
    <w:rsid w:val="47A63E71"/>
    <w:rsid w:val="47E07AE0"/>
    <w:rsid w:val="480039C1"/>
    <w:rsid w:val="48BC6A31"/>
    <w:rsid w:val="48D14E5B"/>
    <w:rsid w:val="4904328D"/>
    <w:rsid w:val="493F66B2"/>
    <w:rsid w:val="49456488"/>
    <w:rsid w:val="49487D8A"/>
    <w:rsid w:val="496C6FDE"/>
    <w:rsid w:val="49B5436C"/>
    <w:rsid w:val="4A2E69CA"/>
    <w:rsid w:val="4A405113"/>
    <w:rsid w:val="4A4B4563"/>
    <w:rsid w:val="4A8C4BA2"/>
    <w:rsid w:val="4B7446C0"/>
    <w:rsid w:val="4BE61ECF"/>
    <w:rsid w:val="4BEE7270"/>
    <w:rsid w:val="4BEF1B80"/>
    <w:rsid w:val="4C6E69C5"/>
    <w:rsid w:val="4C7D52F6"/>
    <w:rsid w:val="4CED3134"/>
    <w:rsid w:val="4D174ADA"/>
    <w:rsid w:val="4D41201B"/>
    <w:rsid w:val="4D476E03"/>
    <w:rsid w:val="4D9B09F0"/>
    <w:rsid w:val="4DDB6B43"/>
    <w:rsid w:val="4E2C48A2"/>
    <w:rsid w:val="4E4D2ADE"/>
    <w:rsid w:val="4E7B7EF7"/>
    <w:rsid w:val="4E813E16"/>
    <w:rsid w:val="4E8C404A"/>
    <w:rsid w:val="4EC82D90"/>
    <w:rsid w:val="4EF55DC3"/>
    <w:rsid w:val="4F154615"/>
    <w:rsid w:val="4F1A7878"/>
    <w:rsid w:val="4F6C7EB7"/>
    <w:rsid w:val="4F714BD6"/>
    <w:rsid w:val="4FF519AC"/>
    <w:rsid w:val="50352BA7"/>
    <w:rsid w:val="50A30B80"/>
    <w:rsid w:val="50B24B0D"/>
    <w:rsid w:val="50EB23E8"/>
    <w:rsid w:val="51CC7BF0"/>
    <w:rsid w:val="51FD2B1C"/>
    <w:rsid w:val="5268443A"/>
    <w:rsid w:val="526A146C"/>
    <w:rsid w:val="526E5003"/>
    <w:rsid w:val="533816D3"/>
    <w:rsid w:val="539574B0"/>
    <w:rsid w:val="53D9216F"/>
    <w:rsid w:val="544264EA"/>
    <w:rsid w:val="546C5ABE"/>
    <w:rsid w:val="547E7F44"/>
    <w:rsid w:val="54C709D8"/>
    <w:rsid w:val="54D81419"/>
    <w:rsid w:val="55047C57"/>
    <w:rsid w:val="557E1352"/>
    <w:rsid w:val="559E0396"/>
    <w:rsid w:val="55BE363A"/>
    <w:rsid w:val="56514328"/>
    <w:rsid w:val="566C40C1"/>
    <w:rsid w:val="56C8106C"/>
    <w:rsid w:val="570C0E1F"/>
    <w:rsid w:val="578C0955"/>
    <w:rsid w:val="583B4314"/>
    <w:rsid w:val="59017396"/>
    <w:rsid w:val="592D2CD9"/>
    <w:rsid w:val="59396D57"/>
    <w:rsid w:val="59437D29"/>
    <w:rsid w:val="5A1D7E7B"/>
    <w:rsid w:val="5AC81734"/>
    <w:rsid w:val="5B620521"/>
    <w:rsid w:val="5BC21E33"/>
    <w:rsid w:val="5BED689F"/>
    <w:rsid w:val="5C523978"/>
    <w:rsid w:val="5D0B33FF"/>
    <w:rsid w:val="5D626A85"/>
    <w:rsid w:val="5D8972C7"/>
    <w:rsid w:val="5D964A97"/>
    <w:rsid w:val="5DB83AF4"/>
    <w:rsid w:val="5DC04B3B"/>
    <w:rsid w:val="5E053D08"/>
    <w:rsid w:val="5EAE0D24"/>
    <w:rsid w:val="5EF875D5"/>
    <w:rsid w:val="5F092B01"/>
    <w:rsid w:val="60675196"/>
    <w:rsid w:val="60840393"/>
    <w:rsid w:val="60D70036"/>
    <w:rsid w:val="60E66840"/>
    <w:rsid w:val="61167A72"/>
    <w:rsid w:val="61A07902"/>
    <w:rsid w:val="61DA46BC"/>
    <w:rsid w:val="63753FA4"/>
    <w:rsid w:val="63AA328D"/>
    <w:rsid w:val="64280016"/>
    <w:rsid w:val="64484354"/>
    <w:rsid w:val="64AE067D"/>
    <w:rsid w:val="65803039"/>
    <w:rsid w:val="66700961"/>
    <w:rsid w:val="66B24AF7"/>
    <w:rsid w:val="66D027A8"/>
    <w:rsid w:val="66E4572C"/>
    <w:rsid w:val="670446F3"/>
    <w:rsid w:val="673C77ED"/>
    <w:rsid w:val="677D75EC"/>
    <w:rsid w:val="67825669"/>
    <w:rsid w:val="68403AFD"/>
    <w:rsid w:val="684B53E8"/>
    <w:rsid w:val="68821ABE"/>
    <w:rsid w:val="69384597"/>
    <w:rsid w:val="69DE4452"/>
    <w:rsid w:val="69E44EBC"/>
    <w:rsid w:val="69FC24A0"/>
    <w:rsid w:val="6A674B7F"/>
    <w:rsid w:val="6AAB2176"/>
    <w:rsid w:val="6B0169B5"/>
    <w:rsid w:val="6B1F77AA"/>
    <w:rsid w:val="6B98621D"/>
    <w:rsid w:val="6BAE7493"/>
    <w:rsid w:val="6C0842C9"/>
    <w:rsid w:val="6C445355"/>
    <w:rsid w:val="6C5172C5"/>
    <w:rsid w:val="6D4F2CE1"/>
    <w:rsid w:val="6D784E71"/>
    <w:rsid w:val="6DB97A83"/>
    <w:rsid w:val="6EED5F9B"/>
    <w:rsid w:val="6F652E33"/>
    <w:rsid w:val="6F694C17"/>
    <w:rsid w:val="6F8E5199"/>
    <w:rsid w:val="6F934FB2"/>
    <w:rsid w:val="70757CA8"/>
    <w:rsid w:val="708268C1"/>
    <w:rsid w:val="709D12FB"/>
    <w:rsid w:val="709F5073"/>
    <w:rsid w:val="70FC62E8"/>
    <w:rsid w:val="718F2003"/>
    <w:rsid w:val="719E532A"/>
    <w:rsid w:val="71DE5357"/>
    <w:rsid w:val="71F26C78"/>
    <w:rsid w:val="72255807"/>
    <w:rsid w:val="724F76D1"/>
    <w:rsid w:val="72C228D0"/>
    <w:rsid w:val="72E030B8"/>
    <w:rsid w:val="73B1140A"/>
    <w:rsid w:val="73B13B11"/>
    <w:rsid w:val="741307F3"/>
    <w:rsid w:val="755E7772"/>
    <w:rsid w:val="758B2F20"/>
    <w:rsid w:val="76401AEE"/>
    <w:rsid w:val="768920D2"/>
    <w:rsid w:val="769049BD"/>
    <w:rsid w:val="7696403F"/>
    <w:rsid w:val="76A47D21"/>
    <w:rsid w:val="76C32760"/>
    <w:rsid w:val="76D04B26"/>
    <w:rsid w:val="773522EE"/>
    <w:rsid w:val="77EB78F4"/>
    <w:rsid w:val="781D7BCF"/>
    <w:rsid w:val="78407A50"/>
    <w:rsid w:val="78B87734"/>
    <w:rsid w:val="78BB2A45"/>
    <w:rsid w:val="78BC481D"/>
    <w:rsid w:val="78FC7383"/>
    <w:rsid w:val="79413D85"/>
    <w:rsid w:val="795B1D53"/>
    <w:rsid w:val="79A31B75"/>
    <w:rsid w:val="79A82877"/>
    <w:rsid w:val="79E222F3"/>
    <w:rsid w:val="7A543372"/>
    <w:rsid w:val="7A843539"/>
    <w:rsid w:val="7AC9522D"/>
    <w:rsid w:val="7ADB34AD"/>
    <w:rsid w:val="7AE90CA7"/>
    <w:rsid w:val="7BBC2F7D"/>
    <w:rsid w:val="7C191868"/>
    <w:rsid w:val="7C2C4F29"/>
    <w:rsid w:val="7C7E3E38"/>
    <w:rsid w:val="7CF2217B"/>
    <w:rsid w:val="7D3E00E6"/>
    <w:rsid w:val="7D5D3937"/>
    <w:rsid w:val="7DB82494"/>
    <w:rsid w:val="7DBC6FF3"/>
    <w:rsid w:val="7E062BD5"/>
    <w:rsid w:val="7E1B3E63"/>
    <w:rsid w:val="7EAE7658"/>
    <w:rsid w:val="7F57345D"/>
    <w:rsid w:val="7FAB6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outlineLvl w:val="0"/>
    </w:pPr>
    <w:rPr>
      <w:b/>
      <w:kern w:val="44"/>
      <w:sz w:val="44"/>
      <w:szCs w:val="20"/>
    </w:rPr>
  </w:style>
  <w:style w:type="paragraph" w:styleId="2">
    <w:name w:val="heading 2"/>
    <w:basedOn w:val="1"/>
    <w:next w:val="1"/>
    <w:qFormat/>
    <w:uiPriority w:val="99"/>
    <w:pPr>
      <w:keepNext/>
      <w:keepLines/>
      <w:spacing w:before="260" w:after="260" w:line="415" w:lineRule="auto"/>
      <w:jc w:val="center"/>
      <w:outlineLvl w:val="1"/>
    </w:pPr>
    <w:rPr>
      <w:rFonts w:ascii="Arial" w:hAnsi="Arial" w:eastAsia="黑体" w:cs="Arial"/>
      <w:b/>
      <w:sz w:val="44"/>
      <w:szCs w:val="44"/>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Body Text Indent"/>
    <w:basedOn w:val="1"/>
    <w:next w:val="5"/>
    <w:semiHidden/>
    <w:qFormat/>
    <w:uiPriority w:val="0"/>
    <w:pPr>
      <w:ind w:firstLine="900"/>
    </w:pPr>
    <w:rPr>
      <w:sz w:val="28"/>
      <w:szCs w:val="20"/>
    </w:rPr>
  </w:style>
  <w:style w:type="paragraph" w:styleId="7">
    <w:name w:val="annotation text"/>
    <w:basedOn w:val="1"/>
    <w:unhideWhenUsed/>
    <w:qFormat/>
    <w:uiPriority w:val="99"/>
    <w:pPr>
      <w:jc w:val="left"/>
    </w:pPr>
  </w:style>
  <w:style w:type="paragraph" w:styleId="8">
    <w:name w:val="Body Text"/>
    <w:basedOn w:val="1"/>
    <w:next w:val="1"/>
    <w:semiHidden/>
    <w:qFormat/>
    <w:uiPriority w:val="0"/>
    <w:pPr>
      <w:autoSpaceDE w:val="0"/>
      <w:autoSpaceDN w:val="0"/>
      <w:adjustRightInd w:val="0"/>
      <w:jc w:val="left"/>
    </w:pPr>
    <w:rPr>
      <w:rFonts w:hint="eastAsia" w:ascii="宋体"/>
      <w:kern w:val="0"/>
      <w:sz w:val="28"/>
      <w:szCs w:val="20"/>
    </w:rPr>
  </w:style>
  <w:style w:type="paragraph" w:styleId="9">
    <w:name w:val="Plain Text"/>
    <w:basedOn w:val="1"/>
    <w:qFormat/>
    <w:uiPriority w:val="0"/>
    <w:rPr>
      <w:rFonts w:ascii="??" w:eastAsia="??"/>
      <w:snapToGrid w:val="0"/>
      <w:szCs w:val="20"/>
      <w:lang w:eastAsia="en-US"/>
    </w:rPr>
  </w:style>
  <w:style w:type="paragraph" w:styleId="10">
    <w:name w:val="Date"/>
    <w:basedOn w:val="1"/>
    <w:next w:val="1"/>
    <w:qFormat/>
    <w:uiPriority w:val="0"/>
    <w:pPr>
      <w:adjustRightInd w:val="0"/>
      <w:spacing w:line="360" w:lineRule="auto"/>
      <w:textAlignment w:val="baseline"/>
    </w:pPr>
    <w:rPr>
      <w:rFonts w:ascii="宋体" w:eastAsia="楷体_GB2312"/>
      <w:kern w:val="28"/>
      <w:sz w:val="24"/>
    </w:rPr>
  </w:style>
  <w:style w:type="paragraph" w:styleId="11">
    <w:name w:val="footer"/>
    <w:basedOn w:val="1"/>
    <w:qFormat/>
    <w:uiPriority w:val="99"/>
    <w:pPr>
      <w:tabs>
        <w:tab w:val="center" w:pos="4153"/>
        <w:tab w:val="right" w:pos="8306"/>
      </w:tabs>
      <w:autoSpaceDE w:val="0"/>
      <w:autoSpaceDN w:val="0"/>
      <w:adjustRightInd w:val="0"/>
      <w:snapToGrid w:val="0"/>
      <w:jc w:val="left"/>
      <w:textAlignment w:val="baseline"/>
    </w:pPr>
    <w:rPr>
      <w:rFonts w:ascii="宋体"/>
      <w:kern w:val="0"/>
      <w:sz w:val="18"/>
      <w:szCs w:val="20"/>
    </w:rPr>
  </w:style>
  <w:style w:type="paragraph" w:styleId="12">
    <w:name w:val="header"/>
    <w:basedOn w:val="1"/>
    <w:semiHidden/>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kern w:val="0"/>
      <w:sz w:val="18"/>
      <w:szCs w:val="20"/>
    </w:rPr>
  </w:style>
  <w:style w:type="paragraph" w:styleId="13">
    <w:name w:val="toc 1"/>
    <w:basedOn w:val="1"/>
    <w:next w:val="1"/>
    <w:unhideWhenUsed/>
    <w:qFormat/>
    <w:uiPriority w:val="39"/>
    <w:pPr>
      <w:tabs>
        <w:tab w:val="right" w:leader="dot" w:pos="8353"/>
      </w:tabs>
      <w:spacing w:line="276" w:lineRule="auto"/>
    </w:pPr>
  </w:style>
  <w:style w:type="paragraph" w:styleId="14">
    <w:name w:val="toc 2"/>
    <w:basedOn w:val="1"/>
    <w:next w:val="1"/>
    <w:qFormat/>
    <w:uiPriority w:val="0"/>
    <w:pPr>
      <w:tabs>
        <w:tab w:val="right" w:leader="dot" w:pos="9525"/>
      </w:tabs>
      <w:adjustRightInd w:val="0"/>
      <w:spacing w:line="360" w:lineRule="atLeast"/>
      <w:textAlignment w:val="baseline"/>
    </w:pPr>
    <w:rPr>
      <w:kern w:val="0"/>
      <w:sz w:val="24"/>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16">
    <w:name w:val="Body Text First Indent"/>
    <w:basedOn w:val="8"/>
    <w:qFormat/>
    <w:uiPriority w:val="0"/>
    <w:pPr>
      <w:ind w:firstLine="420" w:firstLineChars="100"/>
    </w:pPr>
  </w:style>
  <w:style w:type="paragraph" w:styleId="17">
    <w:name w:val="Body Text First Indent 2"/>
    <w:basedOn w:val="6"/>
    <w:qFormat/>
    <w:uiPriority w:val="0"/>
    <w:pPr>
      <w:widowControl w:val="0"/>
      <w:overflowPunct/>
      <w:autoSpaceDE/>
      <w:autoSpaceDN/>
      <w:adjustRightInd/>
      <w:spacing w:after="120" w:line="240" w:lineRule="auto"/>
      <w:ind w:left="420" w:leftChars="200" w:firstLine="420" w:firstLineChars="200"/>
      <w:textAlignment w:val="auto"/>
    </w:pPr>
    <w:rPr>
      <w:sz w:val="21"/>
      <w:szCs w:val="24"/>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semiHidden/>
    <w:qFormat/>
    <w:uiPriority w:val="0"/>
  </w:style>
  <w:style w:type="character" w:styleId="22">
    <w:name w:val="annotation reference"/>
    <w:unhideWhenUsed/>
    <w:qFormat/>
    <w:uiPriority w:val="99"/>
    <w:rPr>
      <w:sz w:val="21"/>
      <w:szCs w:val="21"/>
    </w:rPr>
  </w:style>
  <w:style w:type="paragraph" w:customStyle="1" w:styleId="23">
    <w:name w:val="_Style 3"/>
    <w:basedOn w:val="1"/>
    <w:qFormat/>
    <w:uiPriority w:val="0"/>
    <w:pPr>
      <w:ind w:firstLine="420" w:firstLineChars="200"/>
    </w:pPr>
    <w:rPr>
      <w:sz w:val="20"/>
    </w:rPr>
  </w:style>
  <w:style w:type="paragraph" w:styleId="24">
    <w:name w:val="List Paragraph"/>
    <w:basedOn w:val="1"/>
    <w:qFormat/>
    <w:uiPriority w:val="0"/>
    <w:pPr>
      <w:ind w:firstLine="420" w:firstLineChars="200"/>
    </w:pPr>
    <w:rPr>
      <w:rFonts w:ascii="Calibri" w:hAnsi="Calibri"/>
      <w:szCs w:val="22"/>
    </w:rPr>
  </w:style>
  <w:style w:type="character" w:customStyle="1" w:styleId="25">
    <w:name w:val="textcontents"/>
    <w:basedOn w:val="20"/>
    <w:qFormat/>
    <w:uiPriority w:val="0"/>
  </w:style>
  <w:style w:type="table" w:customStyle="1" w:styleId="26">
    <w:name w:val="网格型5"/>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检查标准1"/>
    <w:basedOn w:val="1"/>
    <w:qFormat/>
    <w:uiPriority w:val="0"/>
    <w:pPr>
      <w:tabs>
        <w:tab w:val="left" w:pos="400"/>
      </w:tabs>
      <w:ind w:left="420" w:hanging="420"/>
      <w:outlineLvl w:val="0"/>
    </w:pPr>
    <w:rPr>
      <w:rFonts w:ascii="宋体" w:hAnsi="宋体"/>
      <w:bCs/>
      <w:kern w:val="44"/>
      <w:sz w:val="18"/>
      <w:szCs w:val="18"/>
    </w:rPr>
  </w:style>
  <w:style w:type="paragraph" w:customStyle="1" w:styleId="28">
    <w:name w:val="CM31"/>
    <w:basedOn w:val="29"/>
    <w:next w:val="29"/>
    <w:qFormat/>
    <w:uiPriority w:val="99"/>
    <w:pPr>
      <w:spacing w:after="168"/>
    </w:pPr>
    <w:rPr>
      <w:rFonts w:cs="Times New Roman"/>
      <w:color w:val="auto"/>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9103</Words>
  <Characters>9424</Characters>
  <Lines>0</Lines>
  <Paragraphs>0</Paragraphs>
  <TotalTime>16</TotalTime>
  <ScaleCrop>false</ScaleCrop>
  <LinksUpToDate>false</LinksUpToDate>
  <CharactersWithSpaces>9859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2023-08-04T01:07:00Z</dcterms:created>
  <dc:creator>zj</dc:creator>
  <cp:lastModifiedBy>浩子</cp:lastModifiedBy>
  <cp:lastPrinted>2023-09-06T00:47:00Z</cp:lastPrinted>
  <dcterms:modified xsi:type="dcterms:W3CDTF">2026-03-05T03:03:12Z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6B54DAB639C148939606FFC0626CF051</vt:lpwstr>
  </property>
  <property fmtid="{D5CDD505-2E9C-101B-9397-08002B2CF9AE}" pid="4" name="KSOTemplateDocerSaveRecord">
    <vt:lpwstr>eyJoZGlkIjoiMjEyOGJmMjZmYTVlMDVhNzg4ZDJmZWMzOGZlZWJjYWMiLCJ1c2VySWQiOiIzMzY5MTc2MzMifQ==</vt:lpwstr>
  </property>
</Properties>
</file>