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3DD77">
      <w:pPr>
        <w:spacing w:line="360" w:lineRule="auto"/>
        <w:jc w:val="center"/>
        <w:rPr>
          <w:rFonts w:hint="default" w:asciiTheme="minorEastAsia" w:hAnsiTheme="minorEastAsia" w:eastAsiaTheme="minorEastAsia"/>
          <w:b/>
          <w:sz w:val="52"/>
          <w:szCs w:val="52"/>
          <w:lang w:val="en-US" w:eastAsia="zh-CN"/>
        </w:rPr>
      </w:pPr>
      <w:r>
        <w:rPr>
          <w:rFonts w:hint="eastAsia" w:asciiTheme="minorEastAsia" w:hAnsiTheme="minorEastAsia" w:eastAsiaTheme="minorEastAsia"/>
          <w:b/>
          <w:sz w:val="52"/>
          <w:szCs w:val="52"/>
          <w:lang w:val="en-US" w:eastAsia="zh-CN"/>
        </w:rPr>
        <w:t>2026年深业云海湾花园</w:t>
      </w:r>
    </w:p>
    <w:p w14:paraId="0FBE2029">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lang w:val="en-US" w:eastAsia="zh-CN"/>
        </w:rPr>
        <w:t>应急清洁服务</w:t>
      </w:r>
      <w:r>
        <w:rPr>
          <w:rFonts w:hint="eastAsia" w:asciiTheme="minorEastAsia" w:hAnsiTheme="minorEastAsia" w:eastAsiaTheme="minorEastAsia"/>
          <w:b/>
          <w:sz w:val="52"/>
          <w:szCs w:val="52"/>
        </w:rPr>
        <w:t>合同</w:t>
      </w:r>
    </w:p>
    <w:p w14:paraId="461CA45A">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2026年4月22日-2026年6月21日</w:t>
      </w:r>
      <w:r>
        <w:rPr>
          <w:rFonts w:hint="eastAsia" w:asciiTheme="minorEastAsia" w:hAnsiTheme="minorEastAsia" w:eastAsiaTheme="minorEastAsia"/>
          <w:b/>
          <w:sz w:val="24"/>
          <w:szCs w:val="24"/>
        </w:rPr>
        <w:t>）</w:t>
      </w:r>
    </w:p>
    <w:p w14:paraId="5640508C">
      <w:pPr>
        <w:spacing w:line="360" w:lineRule="auto"/>
        <w:jc w:val="center"/>
        <w:rPr>
          <w:rFonts w:asciiTheme="minorEastAsia" w:hAnsiTheme="minorEastAsia" w:eastAsiaTheme="minorEastAsia"/>
          <w:b/>
          <w:sz w:val="24"/>
          <w:szCs w:val="24"/>
        </w:rPr>
      </w:pPr>
    </w:p>
    <w:p w14:paraId="2B734297">
      <w:pPr>
        <w:spacing w:line="360" w:lineRule="auto"/>
        <w:jc w:val="center"/>
        <w:rPr>
          <w:rFonts w:asciiTheme="minorEastAsia" w:hAnsiTheme="minorEastAsia" w:eastAsiaTheme="minorEastAsia"/>
          <w:b/>
          <w:sz w:val="24"/>
          <w:szCs w:val="24"/>
        </w:rPr>
      </w:pPr>
    </w:p>
    <w:p w14:paraId="206BD734">
      <w:pPr>
        <w:spacing w:line="360" w:lineRule="auto"/>
        <w:jc w:val="center"/>
        <w:rPr>
          <w:rFonts w:asciiTheme="minorEastAsia" w:hAnsiTheme="minorEastAsia" w:eastAsiaTheme="minorEastAsia"/>
          <w:b/>
          <w:sz w:val="24"/>
          <w:szCs w:val="24"/>
        </w:rPr>
      </w:pPr>
    </w:p>
    <w:p w14:paraId="2C19F911">
      <w:pPr>
        <w:spacing w:line="360" w:lineRule="auto"/>
        <w:jc w:val="center"/>
        <w:rPr>
          <w:rFonts w:asciiTheme="minorEastAsia" w:hAnsiTheme="minorEastAsia" w:eastAsiaTheme="minorEastAsia"/>
          <w:b/>
          <w:sz w:val="24"/>
          <w:szCs w:val="24"/>
        </w:rPr>
      </w:pPr>
    </w:p>
    <w:p w14:paraId="62837E37">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合</w:t>
      </w:r>
    </w:p>
    <w:p w14:paraId="14953933">
      <w:pPr>
        <w:rPr>
          <w:rFonts w:asciiTheme="minorEastAsia" w:hAnsiTheme="minorEastAsia" w:eastAsiaTheme="minorEastAsia"/>
          <w:b/>
          <w:sz w:val="72"/>
          <w:szCs w:val="72"/>
        </w:rPr>
      </w:pPr>
    </w:p>
    <w:p w14:paraId="71C2F456">
      <w:pPr>
        <w:rPr>
          <w:rFonts w:asciiTheme="minorEastAsia" w:hAnsiTheme="minorEastAsia" w:eastAsiaTheme="minorEastAsia"/>
          <w:b/>
          <w:sz w:val="72"/>
          <w:szCs w:val="72"/>
        </w:rPr>
      </w:pPr>
    </w:p>
    <w:p w14:paraId="4CDEEFA9">
      <w:pPr>
        <w:jc w:val="center"/>
        <w:rPr>
          <w:rFonts w:asciiTheme="minorEastAsia" w:hAnsiTheme="minorEastAsia" w:eastAsiaTheme="minorEastAsia"/>
          <w:b/>
          <w:sz w:val="72"/>
          <w:szCs w:val="72"/>
        </w:rPr>
      </w:pPr>
    </w:p>
    <w:p w14:paraId="4F316FFD">
      <w:pPr>
        <w:jc w:val="center"/>
        <w:rPr>
          <w:rFonts w:asciiTheme="minorEastAsia" w:hAnsiTheme="minorEastAsia" w:eastAsiaTheme="minorEastAsia"/>
          <w:b/>
          <w:bCs/>
          <w:sz w:val="44"/>
          <w:szCs w:val="44"/>
        </w:rPr>
      </w:pPr>
      <w:r>
        <w:rPr>
          <w:rFonts w:hint="eastAsia" w:asciiTheme="minorEastAsia" w:hAnsiTheme="minorEastAsia" w:eastAsiaTheme="minorEastAsia"/>
          <w:b/>
          <w:sz w:val="72"/>
          <w:szCs w:val="72"/>
        </w:rPr>
        <w:t>同</w:t>
      </w:r>
    </w:p>
    <w:p w14:paraId="6AD7BC45">
      <w:pPr>
        <w:spacing w:line="360" w:lineRule="auto"/>
        <w:jc w:val="center"/>
        <w:rPr>
          <w:rFonts w:asciiTheme="minorEastAsia" w:hAnsiTheme="minorEastAsia" w:eastAsiaTheme="minorEastAsia"/>
          <w:sz w:val="24"/>
          <w:szCs w:val="24"/>
        </w:rPr>
      </w:pPr>
    </w:p>
    <w:p w14:paraId="51C66437">
      <w:pPr>
        <w:spacing w:line="360" w:lineRule="auto"/>
        <w:jc w:val="center"/>
        <w:textAlignment w:val="top"/>
        <w:rPr>
          <w:rFonts w:asciiTheme="minorEastAsia" w:hAnsiTheme="minorEastAsia" w:eastAsiaTheme="minorEastAsia"/>
          <w:b/>
          <w:sz w:val="28"/>
          <w:szCs w:val="28"/>
        </w:rPr>
      </w:pPr>
    </w:p>
    <w:p w14:paraId="084D8406">
      <w:pPr>
        <w:spacing w:line="360" w:lineRule="auto"/>
        <w:jc w:val="center"/>
        <w:textAlignment w:val="top"/>
        <w:rPr>
          <w:rFonts w:asciiTheme="minorEastAsia" w:hAnsiTheme="minorEastAsia" w:eastAsiaTheme="minorEastAsia"/>
          <w:b/>
          <w:sz w:val="28"/>
          <w:szCs w:val="28"/>
        </w:rPr>
      </w:pPr>
    </w:p>
    <w:p w14:paraId="644D53E9">
      <w:pPr>
        <w:spacing w:line="360" w:lineRule="auto"/>
        <w:jc w:val="center"/>
        <w:textAlignment w:val="top"/>
        <w:rPr>
          <w:rFonts w:asciiTheme="minorEastAsia" w:hAnsiTheme="minorEastAsia" w:eastAsiaTheme="minorEastAsia"/>
          <w:b/>
          <w:sz w:val="28"/>
          <w:szCs w:val="28"/>
        </w:rPr>
      </w:pPr>
    </w:p>
    <w:p w14:paraId="50CCBAF3">
      <w:pPr>
        <w:spacing w:line="360" w:lineRule="auto"/>
        <w:jc w:val="center"/>
        <w:textAlignment w:val="top"/>
        <w:rPr>
          <w:rFonts w:asciiTheme="minorEastAsia" w:hAnsiTheme="minorEastAsia" w:eastAsiaTheme="minorEastAsia"/>
          <w:b/>
          <w:sz w:val="28"/>
          <w:szCs w:val="28"/>
        </w:rPr>
      </w:pPr>
    </w:p>
    <w:p w14:paraId="76935869">
      <w:pPr>
        <w:spacing w:line="360" w:lineRule="auto"/>
        <w:jc w:val="center"/>
        <w:textAlignment w:val="top"/>
        <w:rPr>
          <w:rFonts w:asciiTheme="minorEastAsia" w:hAnsiTheme="minorEastAsia" w:eastAsiaTheme="minorEastAsia"/>
          <w:b/>
          <w:sz w:val="28"/>
          <w:szCs w:val="28"/>
        </w:rPr>
      </w:pPr>
    </w:p>
    <w:p w14:paraId="0EEB349E">
      <w:pPr>
        <w:spacing w:line="360" w:lineRule="auto"/>
        <w:jc w:val="both"/>
        <w:textAlignment w:val="top"/>
        <w:rPr>
          <w:rFonts w:asciiTheme="minorEastAsia" w:hAnsiTheme="minorEastAsia" w:eastAsiaTheme="minorEastAsia"/>
          <w:b/>
          <w:sz w:val="28"/>
          <w:szCs w:val="28"/>
        </w:rPr>
      </w:pPr>
    </w:p>
    <w:p w14:paraId="2F32054E">
      <w:pPr>
        <w:spacing w:line="360" w:lineRule="auto"/>
        <w:textAlignment w:val="top"/>
        <w:rPr>
          <w:rFonts w:hint="default" w:asciiTheme="minorEastAsia" w:hAnsiTheme="minorEastAsia" w:eastAsiaTheme="minorEastAsia"/>
          <w:b/>
          <w:sz w:val="28"/>
          <w:szCs w:val="28"/>
          <w:u w:val="single"/>
          <w:lang w:val="en-US" w:eastAsia="zh-CN"/>
        </w:rPr>
      </w:pPr>
      <w:r>
        <w:rPr>
          <w:rFonts w:hint="eastAsia" w:asciiTheme="minorEastAsia" w:hAnsiTheme="minorEastAsia" w:eastAsiaTheme="minorEastAsia"/>
          <w:b/>
          <w:sz w:val="28"/>
          <w:szCs w:val="28"/>
        </w:rPr>
        <w:t>甲方：</w:t>
      </w:r>
      <w:r>
        <w:rPr>
          <w:rFonts w:hint="eastAsia" w:asciiTheme="minorEastAsia" w:hAnsiTheme="minorEastAsia" w:eastAsiaTheme="minorEastAsia"/>
          <w:b/>
          <w:sz w:val="28"/>
          <w:szCs w:val="28"/>
          <w:u w:val="single"/>
        </w:rPr>
        <w:t>深业</w:t>
      </w:r>
      <w:r>
        <w:rPr>
          <w:rFonts w:hint="eastAsia" w:asciiTheme="minorEastAsia" w:hAnsiTheme="minorEastAsia" w:eastAsiaTheme="minorEastAsia"/>
          <w:b/>
          <w:sz w:val="28"/>
          <w:szCs w:val="28"/>
          <w:u w:val="single"/>
          <w:lang w:val="en-US" w:eastAsia="zh-CN"/>
        </w:rPr>
        <w:t>置地（深圳）物业管理有限公司</w:t>
      </w:r>
    </w:p>
    <w:p w14:paraId="6C851227">
      <w:pPr>
        <w:spacing w:line="360" w:lineRule="auto"/>
        <w:textAlignment w:val="top"/>
        <w:rPr>
          <w:rFonts w:hint="default" w:ascii="宋体" w:hAnsi="宋体" w:cs="宋体"/>
          <w:color w:val="000000"/>
          <w:sz w:val="24"/>
          <w:lang w:val="en-US"/>
        </w:rPr>
        <w:sectPr>
          <w:pgSz w:w="11907" w:h="16840"/>
          <w:pgMar w:top="1417" w:right="1417" w:bottom="1417" w:left="1417" w:header="851" w:footer="992" w:gutter="0"/>
          <w:cols w:space="720" w:num="1"/>
          <w:titlePg/>
          <w:docGrid w:linePitch="462" w:charSpace="0"/>
        </w:sectPr>
      </w:pPr>
      <w:r>
        <w:rPr>
          <w:rFonts w:hint="eastAsia" w:asciiTheme="minorEastAsia" w:hAnsiTheme="minorEastAsia" w:eastAsiaTheme="minorEastAsia"/>
          <w:b/>
          <w:sz w:val="28"/>
          <w:szCs w:val="28"/>
        </w:rPr>
        <w:t>乙方：</w:t>
      </w:r>
      <w:r>
        <w:rPr>
          <w:rFonts w:hint="eastAsia" w:asciiTheme="minorEastAsia" w:hAnsiTheme="minorEastAsia" w:eastAsiaTheme="minorEastAsia"/>
          <w:b/>
          <w:sz w:val="28"/>
          <w:szCs w:val="28"/>
          <w:u w:val="single"/>
          <w:lang w:eastAsia="zh-CN"/>
        </w:rPr>
        <w:t>深圳市</w:t>
      </w:r>
      <w:r>
        <w:rPr>
          <w:rFonts w:hint="eastAsia" w:asciiTheme="minorEastAsia" w:hAnsiTheme="minorEastAsia" w:eastAsiaTheme="minorEastAsia"/>
          <w:b/>
          <w:sz w:val="28"/>
          <w:szCs w:val="28"/>
          <w:u w:val="single"/>
          <w:lang w:val="en-US" w:eastAsia="zh-CN"/>
        </w:rPr>
        <w:t>正立达物业清洁服务</w:t>
      </w:r>
      <w:r>
        <w:rPr>
          <w:rFonts w:hint="eastAsia" w:asciiTheme="minorEastAsia" w:hAnsiTheme="minorEastAsia" w:eastAsiaTheme="minorEastAsia"/>
          <w:b/>
          <w:sz w:val="28"/>
          <w:szCs w:val="28"/>
          <w:u w:val="single"/>
          <w:lang w:eastAsia="zh-CN"/>
        </w:rPr>
        <w:t>有限公司</w:t>
      </w:r>
      <w:r>
        <w:rPr>
          <w:rFonts w:hint="eastAsia" w:asciiTheme="minorEastAsia" w:hAnsiTheme="minorEastAsia" w:eastAsiaTheme="minorEastAsia"/>
          <w:b/>
          <w:sz w:val="28"/>
          <w:szCs w:val="28"/>
          <w:u w:val="single"/>
          <w:lang w:val="en-US" w:eastAsia="zh-CN"/>
        </w:rPr>
        <w:t xml:space="preserve"> </w:t>
      </w:r>
    </w:p>
    <w:p w14:paraId="49DC0997">
      <w:pPr>
        <w:spacing w:line="360" w:lineRule="auto"/>
        <w:jc w:val="center"/>
        <w:rPr>
          <w:rFonts w:hint="eastAsia" w:ascii="宋体" w:hAnsi="宋体" w:eastAsia="宋体" w:cs="Times New Roman"/>
          <w:b/>
          <w:bCs/>
          <w:kern w:val="24"/>
          <w:sz w:val="32"/>
          <w:szCs w:val="32"/>
          <w:lang w:val="en-US" w:eastAsia="zh-CN" w:bidi="ar-SA"/>
        </w:rPr>
      </w:pPr>
      <w:bookmarkStart w:id="0" w:name="OLE_LINK1"/>
      <w:r>
        <w:rPr>
          <w:rFonts w:hint="eastAsia" w:ascii="宋体" w:hAnsi="宋体" w:eastAsia="宋体" w:cs="Times New Roman"/>
          <w:b/>
          <w:bCs/>
          <w:kern w:val="24"/>
          <w:sz w:val="32"/>
          <w:szCs w:val="32"/>
          <w:lang w:val="en-US" w:eastAsia="zh-CN" w:bidi="ar-SA"/>
        </w:rPr>
        <w:t>202</w:t>
      </w:r>
      <w:r>
        <w:rPr>
          <w:rFonts w:hint="eastAsia" w:ascii="宋体" w:hAnsi="宋体" w:cs="Times New Roman"/>
          <w:b/>
          <w:bCs/>
          <w:kern w:val="24"/>
          <w:sz w:val="32"/>
          <w:szCs w:val="32"/>
          <w:lang w:val="en-US" w:eastAsia="zh-CN" w:bidi="ar-SA"/>
        </w:rPr>
        <w:t>6</w:t>
      </w:r>
      <w:r>
        <w:rPr>
          <w:rFonts w:hint="eastAsia" w:ascii="宋体" w:hAnsi="宋体" w:eastAsia="宋体" w:cs="Times New Roman"/>
          <w:b/>
          <w:bCs/>
          <w:kern w:val="24"/>
          <w:sz w:val="32"/>
          <w:szCs w:val="32"/>
          <w:lang w:val="en-US" w:eastAsia="zh-CN" w:bidi="ar-SA"/>
        </w:rPr>
        <w:t>年深业云海湾花园</w:t>
      </w:r>
      <w:bookmarkEnd w:id="0"/>
    </w:p>
    <w:p w14:paraId="4C9E8BB2">
      <w:pPr>
        <w:spacing w:line="360" w:lineRule="auto"/>
        <w:jc w:val="center"/>
        <w:rPr>
          <w:rFonts w:hint="eastAsia" w:ascii="宋体" w:hAnsi="宋体" w:eastAsia="宋体" w:cs="Times New Roman"/>
          <w:b/>
          <w:bCs/>
          <w:kern w:val="24"/>
          <w:sz w:val="32"/>
          <w:szCs w:val="32"/>
          <w:lang w:val="en-US" w:eastAsia="zh-CN" w:bidi="ar-SA"/>
        </w:rPr>
      </w:pPr>
      <w:r>
        <w:rPr>
          <w:rFonts w:hint="eastAsia" w:ascii="宋体" w:hAnsi="宋体" w:cs="Times New Roman"/>
          <w:b/>
          <w:bCs/>
          <w:kern w:val="24"/>
          <w:sz w:val="32"/>
          <w:szCs w:val="32"/>
          <w:lang w:val="en-US" w:eastAsia="zh-CN" w:bidi="ar-SA"/>
        </w:rPr>
        <w:t>应急</w:t>
      </w:r>
      <w:r>
        <w:rPr>
          <w:rFonts w:hint="eastAsia" w:ascii="宋体" w:hAnsi="宋体" w:eastAsia="宋体" w:cs="Times New Roman"/>
          <w:b/>
          <w:bCs/>
          <w:kern w:val="24"/>
          <w:sz w:val="32"/>
          <w:szCs w:val="32"/>
          <w:lang w:val="en-US" w:eastAsia="zh-CN" w:bidi="ar-SA"/>
        </w:rPr>
        <w:t>清洁服务合同</w:t>
      </w:r>
    </w:p>
    <w:p w14:paraId="18DD2E79">
      <w:pPr>
        <w:spacing w:line="360" w:lineRule="auto"/>
        <w:jc w:val="center"/>
        <w:textAlignment w:val="top"/>
        <w:rPr>
          <w:rFonts w:asciiTheme="minorEastAsia" w:hAnsiTheme="minorEastAsia" w:eastAsiaTheme="minorEastAsia"/>
          <w:b/>
          <w:sz w:val="24"/>
          <w:szCs w:val="32"/>
        </w:rPr>
      </w:pPr>
    </w:p>
    <w:p w14:paraId="42C16F49">
      <w:pPr>
        <w:pStyle w:val="7"/>
        <w:spacing w:line="440" w:lineRule="exact"/>
        <w:rPr>
          <w:rFonts w:ascii="宋体" w:hAnsi="宋体"/>
          <w:kern w:val="24"/>
          <w:sz w:val="24"/>
          <w:szCs w:val="24"/>
          <w:highlight w:val="none"/>
        </w:rPr>
      </w:pPr>
      <w:r>
        <w:rPr>
          <w:rFonts w:hint="eastAsia" w:ascii="宋体" w:hAnsi="宋体"/>
          <w:kern w:val="24"/>
          <w:sz w:val="24"/>
          <w:szCs w:val="24"/>
          <w:highlight w:val="none"/>
        </w:rPr>
        <w:t>甲方：深业</w:t>
      </w:r>
      <w:r>
        <w:rPr>
          <w:rFonts w:hint="eastAsia" w:ascii="宋体" w:hAnsi="宋体"/>
          <w:kern w:val="24"/>
          <w:sz w:val="24"/>
          <w:szCs w:val="24"/>
          <w:highlight w:val="none"/>
          <w:lang w:val="en-US" w:eastAsia="zh-CN"/>
        </w:rPr>
        <w:t>置地（深圳）物业管理有限公司</w:t>
      </w:r>
      <w:r>
        <w:rPr>
          <w:rFonts w:hint="eastAsia" w:ascii="宋体" w:hAnsi="宋体"/>
          <w:kern w:val="24"/>
          <w:sz w:val="24"/>
          <w:szCs w:val="24"/>
          <w:highlight w:val="none"/>
        </w:rPr>
        <w:t>（以下简称甲方）</w:t>
      </w:r>
    </w:p>
    <w:p w14:paraId="6D34883E">
      <w:pPr>
        <w:pStyle w:val="7"/>
        <w:spacing w:line="440" w:lineRule="exact"/>
        <w:rPr>
          <w:rFonts w:hint="eastAsia" w:ascii="宋体" w:hAnsi="宋体"/>
          <w:kern w:val="24"/>
          <w:sz w:val="24"/>
          <w:szCs w:val="24"/>
          <w:highlight w:val="none"/>
          <w:lang w:eastAsia="zh-CN"/>
        </w:rPr>
      </w:pPr>
      <w:r>
        <w:rPr>
          <w:rFonts w:hint="eastAsia" w:ascii="宋体" w:hAnsi="宋体"/>
          <w:kern w:val="24"/>
          <w:sz w:val="24"/>
          <w:szCs w:val="24"/>
          <w:highlight w:val="none"/>
        </w:rPr>
        <w:t>联系地址：深圳市南山区创新六街深业云海湾</w:t>
      </w:r>
      <w:r>
        <w:rPr>
          <w:rFonts w:hint="eastAsia" w:ascii="宋体" w:hAnsi="宋体"/>
          <w:kern w:val="24"/>
          <w:sz w:val="24"/>
          <w:szCs w:val="24"/>
          <w:highlight w:val="none"/>
          <w:lang w:eastAsia="zh-CN"/>
        </w:rPr>
        <w:t>花园</w:t>
      </w:r>
    </w:p>
    <w:p w14:paraId="60ABE5FE">
      <w:pPr>
        <w:pStyle w:val="7"/>
        <w:spacing w:line="440" w:lineRule="exact"/>
        <w:rPr>
          <w:rFonts w:hint="eastAsia" w:ascii="宋体" w:hAnsi="宋体" w:eastAsia="宋体"/>
          <w:kern w:val="24"/>
          <w:sz w:val="24"/>
          <w:szCs w:val="24"/>
          <w:highlight w:val="none"/>
          <w:lang w:val="en-US" w:eastAsia="zh-CN"/>
        </w:rPr>
      </w:pPr>
      <w:r>
        <w:rPr>
          <w:rFonts w:hint="eastAsia" w:ascii="宋体" w:hAnsi="宋体"/>
          <w:kern w:val="24"/>
          <w:sz w:val="24"/>
          <w:szCs w:val="24"/>
          <w:highlight w:val="none"/>
        </w:rPr>
        <w:t>联系人：</w:t>
      </w:r>
      <w:r>
        <w:rPr>
          <w:rFonts w:hint="eastAsia" w:ascii="宋体" w:hAnsi="宋体"/>
          <w:kern w:val="24"/>
          <w:sz w:val="24"/>
          <w:szCs w:val="24"/>
          <w:highlight w:val="none"/>
          <w:lang w:eastAsia="zh-CN"/>
        </w:rPr>
        <w:t>刘昕然</w:t>
      </w:r>
    </w:p>
    <w:p w14:paraId="5741BA5C">
      <w:pPr>
        <w:pStyle w:val="7"/>
        <w:spacing w:line="440" w:lineRule="exact"/>
        <w:rPr>
          <w:rFonts w:hint="default" w:ascii="宋体" w:hAnsi="宋体" w:eastAsia="宋体"/>
          <w:kern w:val="24"/>
          <w:sz w:val="24"/>
          <w:szCs w:val="24"/>
          <w:highlight w:val="none"/>
          <w:lang w:val="en-US" w:eastAsia="zh-CN"/>
        </w:rPr>
      </w:pPr>
      <w:r>
        <w:rPr>
          <w:rFonts w:hint="eastAsia" w:ascii="宋体" w:hAnsi="宋体"/>
          <w:kern w:val="24"/>
          <w:sz w:val="24"/>
          <w:szCs w:val="24"/>
          <w:highlight w:val="none"/>
        </w:rPr>
        <w:t>联系电话：1</w:t>
      </w:r>
      <w:r>
        <w:rPr>
          <w:rFonts w:hint="eastAsia" w:ascii="宋体" w:hAnsi="宋体"/>
          <w:kern w:val="24"/>
          <w:sz w:val="24"/>
          <w:szCs w:val="24"/>
          <w:highlight w:val="none"/>
          <w:lang w:val="en-US" w:eastAsia="zh-CN"/>
        </w:rPr>
        <w:t>3723756015</w:t>
      </w:r>
    </w:p>
    <w:p w14:paraId="41B999A9">
      <w:pPr>
        <w:pStyle w:val="7"/>
        <w:spacing w:line="440" w:lineRule="exact"/>
        <w:rPr>
          <w:rFonts w:hint="eastAsia" w:ascii="宋体" w:hAnsi="宋体"/>
          <w:kern w:val="24"/>
          <w:sz w:val="20"/>
          <w:szCs w:val="20"/>
          <w:highlight w:val="none"/>
          <w:lang w:val="en-US" w:eastAsia="zh-CN"/>
        </w:rPr>
      </w:pPr>
    </w:p>
    <w:p w14:paraId="01D117FF">
      <w:pPr>
        <w:pStyle w:val="7"/>
        <w:spacing w:line="440" w:lineRule="exact"/>
        <w:rPr>
          <w:rFonts w:ascii="宋体" w:hAnsi="宋体"/>
          <w:kern w:val="24"/>
          <w:sz w:val="24"/>
          <w:szCs w:val="24"/>
          <w:highlight w:val="none"/>
        </w:rPr>
      </w:pPr>
      <w:r>
        <w:rPr>
          <w:rFonts w:hint="eastAsia" w:ascii="宋体" w:hAnsi="宋体"/>
          <w:kern w:val="24"/>
          <w:sz w:val="24"/>
          <w:szCs w:val="24"/>
          <w:highlight w:val="none"/>
        </w:rPr>
        <w:t>乙方：</w:t>
      </w:r>
      <w:r>
        <w:rPr>
          <w:rFonts w:hint="eastAsia" w:ascii="宋体" w:hAnsi="宋体"/>
          <w:kern w:val="24"/>
          <w:sz w:val="24"/>
          <w:szCs w:val="24"/>
          <w:highlight w:val="none"/>
          <w:lang w:eastAsia="zh-CN"/>
        </w:rPr>
        <w:t>深圳市</w:t>
      </w:r>
      <w:r>
        <w:rPr>
          <w:rFonts w:hint="eastAsia" w:ascii="宋体" w:hAnsi="宋体"/>
          <w:kern w:val="24"/>
          <w:sz w:val="24"/>
          <w:szCs w:val="24"/>
          <w:highlight w:val="none"/>
          <w:lang w:val="en-US" w:eastAsia="zh-CN"/>
        </w:rPr>
        <w:t>正立达物业清洁服务</w:t>
      </w:r>
      <w:r>
        <w:rPr>
          <w:rFonts w:hint="eastAsia" w:ascii="宋体" w:hAnsi="宋体"/>
          <w:kern w:val="24"/>
          <w:sz w:val="24"/>
          <w:szCs w:val="24"/>
          <w:highlight w:val="none"/>
          <w:lang w:eastAsia="zh-CN"/>
        </w:rPr>
        <w:t>有限公司</w:t>
      </w:r>
      <w:r>
        <w:rPr>
          <w:rFonts w:hint="eastAsia" w:ascii="宋体" w:hAnsi="宋体"/>
          <w:kern w:val="24"/>
          <w:sz w:val="24"/>
          <w:szCs w:val="24"/>
          <w:highlight w:val="none"/>
        </w:rPr>
        <w:t>（以下简称乙方）</w:t>
      </w:r>
    </w:p>
    <w:p w14:paraId="5D00F327">
      <w:pPr>
        <w:pStyle w:val="7"/>
        <w:spacing w:line="440" w:lineRule="exact"/>
        <w:rPr>
          <w:rFonts w:hint="eastAsia" w:ascii="宋体" w:hAnsi="宋体" w:eastAsia="宋体"/>
          <w:kern w:val="24"/>
          <w:sz w:val="24"/>
          <w:szCs w:val="24"/>
          <w:highlight w:val="none"/>
          <w:lang w:val="en-US" w:eastAsia="zh-CN"/>
        </w:rPr>
      </w:pPr>
      <w:r>
        <w:rPr>
          <w:rFonts w:hint="eastAsia" w:ascii="宋体" w:hAnsi="宋体"/>
          <w:kern w:val="24"/>
          <w:sz w:val="24"/>
          <w:szCs w:val="24"/>
          <w:highlight w:val="none"/>
        </w:rPr>
        <w:t>联系地址：</w:t>
      </w:r>
      <w:r>
        <w:rPr>
          <w:rFonts w:hint="eastAsia" w:ascii="宋体" w:hAnsi="宋体"/>
          <w:kern w:val="24"/>
          <w:sz w:val="24"/>
          <w:szCs w:val="24"/>
          <w:highlight w:val="none"/>
          <w:lang w:eastAsia="zh-CN"/>
        </w:rPr>
        <w:t>深圳市福田区梅林街道梅丰社区梅华路105号多丽工业区科技楼3层302房</w:t>
      </w:r>
      <w:r>
        <w:rPr>
          <w:rFonts w:hint="eastAsia" w:ascii="宋体" w:hAnsi="宋体"/>
          <w:kern w:val="24"/>
          <w:sz w:val="24"/>
          <w:szCs w:val="24"/>
          <w:highlight w:val="none"/>
        </w:rPr>
        <w:t>联系人：</w:t>
      </w:r>
      <w:r>
        <w:rPr>
          <w:rFonts w:hint="eastAsia" w:ascii="宋体" w:hAnsi="宋体"/>
          <w:kern w:val="24"/>
          <w:sz w:val="24"/>
          <w:szCs w:val="24"/>
          <w:highlight w:val="none"/>
          <w:lang w:eastAsia="zh-CN"/>
        </w:rPr>
        <w:t>蔡立胜</w:t>
      </w:r>
    </w:p>
    <w:p w14:paraId="2628258E">
      <w:pPr>
        <w:pStyle w:val="7"/>
        <w:spacing w:line="440" w:lineRule="exact"/>
        <w:rPr>
          <w:rFonts w:hint="default" w:ascii="宋体" w:hAnsi="宋体" w:eastAsia="宋体"/>
          <w:kern w:val="24"/>
          <w:sz w:val="24"/>
          <w:szCs w:val="24"/>
          <w:highlight w:val="none"/>
          <w:lang w:val="en-US" w:eastAsia="zh-CN"/>
        </w:rPr>
      </w:pPr>
      <w:r>
        <w:rPr>
          <w:rFonts w:hint="eastAsia" w:ascii="宋体" w:hAnsi="宋体"/>
          <w:kern w:val="24"/>
          <w:sz w:val="24"/>
          <w:szCs w:val="24"/>
          <w:highlight w:val="none"/>
        </w:rPr>
        <w:t>联系电话：</w:t>
      </w:r>
      <w:r>
        <w:rPr>
          <w:rFonts w:hint="eastAsia" w:ascii="宋体" w:hAnsi="宋体"/>
          <w:kern w:val="24"/>
          <w:sz w:val="24"/>
          <w:szCs w:val="24"/>
          <w:highlight w:val="none"/>
          <w:lang w:val="en-US" w:eastAsia="zh-CN"/>
        </w:rPr>
        <w:t>13828841886</w:t>
      </w:r>
    </w:p>
    <w:p w14:paraId="37A78FA5">
      <w:pPr>
        <w:adjustRightInd w:val="0"/>
        <w:snapToGrid w:val="0"/>
        <w:spacing w:line="360" w:lineRule="auto"/>
        <w:rPr>
          <w:rFonts w:hint="eastAsia" w:ascii="宋体" w:hAnsi="宋体" w:cs="宋体"/>
          <w:color w:val="000000"/>
          <w:sz w:val="24"/>
          <w:highlight w:val="none"/>
        </w:rPr>
      </w:pPr>
    </w:p>
    <w:p w14:paraId="776FB83B">
      <w:pPr>
        <w:adjustRightInd w:val="0"/>
        <w:snapToGrid w:val="0"/>
        <w:spacing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根据《中华人民共和国民法典》及其他相关法律法规</w:t>
      </w:r>
      <w:bookmarkStart w:id="68" w:name="_GoBack"/>
      <w:bookmarkEnd w:id="68"/>
      <w:r>
        <w:rPr>
          <w:rFonts w:hint="eastAsia" w:ascii="宋体" w:hAnsi="宋体" w:cs="宋体"/>
          <w:color w:val="000000"/>
          <w:sz w:val="24"/>
          <w:highlight w:val="none"/>
        </w:rPr>
        <w:t>的规定，甲乙双方遵循平等、自愿、公平和诚实信用的原则，经友好协商，就</w:t>
      </w:r>
      <w:r>
        <w:rPr>
          <w:rFonts w:hint="eastAsia" w:ascii="宋体" w:hAnsi="宋体" w:cs="宋体"/>
          <w:sz w:val="24"/>
          <w:highlight w:val="none"/>
        </w:rPr>
        <w:t>深业云海湾花园项目保洁服务</w:t>
      </w:r>
      <w:r>
        <w:rPr>
          <w:rFonts w:hint="eastAsia" w:ascii="宋体" w:hAnsi="宋体" w:cs="宋体"/>
          <w:color w:val="000000"/>
          <w:sz w:val="24"/>
          <w:highlight w:val="none"/>
        </w:rPr>
        <w:t>项目，协商一致，达成以下合同条款：</w:t>
      </w:r>
    </w:p>
    <w:p w14:paraId="2B3F64B7">
      <w:pPr>
        <w:pStyle w:val="3"/>
        <w:adjustRightInd w:val="0"/>
        <w:snapToGrid w:val="0"/>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第一条：服务项目</w:t>
      </w:r>
    </w:p>
    <w:p w14:paraId="41D7847A">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1、甲方委托乙方承担</w:t>
      </w:r>
      <w:r>
        <w:rPr>
          <w:rFonts w:hint="eastAsia" w:ascii="宋体" w:hAnsi="宋体" w:eastAsia="宋体" w:cs="宋体"/>
          <w:sz w:val="24"/>
          <w:szCs w:val="24"/>
        </w:rPr>
        <w:t>深业云海湾花园</w:t>
      </w:r>
      <w:r>
        <w:rPr>
          <w:rFonts w:hint="eastAsia" w:ascii="宋体" w:hAnsi="宋体" w:eastAsia="宋体" w:cs="宋体"/>
          <w:color w:val="000000"/>
          <w:sz w:val="24"/>
          <w:szCs w:val="24"/>
        </w:rPr>
        <w:t>（以下简称“本项目”）的</w:t>
      </w:r>
      <w:r>
        <w:rPr>
          <w:rFonts w:hint="eastAsia" w:ascii="宋体" w:hAnsi="宋体" w:eastAsia="宋体" w:cs="宋体"/>
          <w:sz w:val="24"/>
          <w:szCs w:val="24"/>
          <w:lang w:val="en-US" w:eastAsia="zh-CN"/>
        </w:rPr>
        <w:t>保洁</w:t>
      </w:r>
      <w:r>
        <w:rPr>
          <w:rFonts w:hint="eastAsia" w:ascii="宋体" w:hAnsi="宋体" w:eastAsia="宋体" w:cs="宋体"/>
          <w:sz w:val="24"/>
          <w:szCs w:val="24"/>
        </w:rPr>
        <w:t>服务</w:t>
      </w:r>
      <w:r>
        <w:rPr>
          <w:rFonts w:hint="eastAsia" w:ascii="宋体" w:hAnsi="宋体" w:eastAsia="宋体" w:cs="宋体"/>
          <w:color w:val="000000"/>
          <w:sz w:val="24"/>
          <w:szCs w:val="24"/>
        </w:rPr>
        <w:t>。</w:t>
      </w:r>
    </w:p>
    <w:p w14:paraId="08C3290D">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2、项目地址：</w:t>
      </w:r>
      <w:r>
        <w:rPr>
          <w:rFonts w:hint="eastAsia" w:ascii="宋体" w:hAnsi="宋体" w:eastAsia="宋体" w:cs="宋体"/>
          <w:color w:val="000000"/>
          <w:sz w:val="24"/>
          <w:szCs w:val="24"/>
          <w:u w:val="single"/>
        </w:rPr>
        <w:t>深圳市南山区创新六街深业云海湾花园</w:t>
      </w:r>
      <w:r>
        <w:rPr>
          <w:rFonts w:hint="eastAsia" w:ascii="宋体" w:hAnsi="宋体" w:eastAsia="宋体" w:cs="宋体"/>
          <w:color w:val="000000"/>
          <w:sz w:val="24"/>
          <w:szCs w:val="24"/>
        </w:rPr>
        <w:t>；</w:t>
      </w:r>
    </w:p>
    <w:p w14:paraId="32CAF488">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3、项目类型/总建筑面积：</w:t>
      </w:r>
      <w:r>
        <w:rPr>
          <w:rFonts w:hint="eastAsia" w:ascii="宋体" w:hAnsi="宋体" w:eastAsia="宋体" w:cs="宋体"/>
          <w:color w:val="000000"/>
          <w:sz w:val="24"/>
          <w:szCs w:val="24"/>
          <w:u w:val="single"/>
        </w:rPr>
        <w:t xml:space="preserve"> 305544.52㎡</w:t>
      </w:r>
      <w:r>
        <w:rPr>
          <w:rFonts w:hint="eastAsia" w:ascii="宋体" w:hAnsi="宋体" w:eastAsia="宋体" w:cs="宋体"/>
          <w:color w:val="000000"/>
          <w:sz w:val="24"/>
          <w:szCs w:val="24"/>
        </w:rPr>
        <w:t>；</w:t>
      </w:r>
    </w:p>
    <w:p w14:paraId="2E5A642B">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4、服务范围及标准详见附件。</w:t>
      </w:r>
    </w:p>
    <w:p w14:paraId="4F753CC0">
      <w:pPr>
        <w:pStyle w:val="3"/>
        <w:adjustRightInd w:val="0"/>
        <w:snapToGrid w:val="0"/>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第二条：人员配置数量、服务期限、合同方式</w:t>
      </w:r>
    </w:p>
    <w:p w14:paraId="2DEBA810">
      <w:pPr>
        <w:pStyle w:val="8"/>
        <w:adjustRightInd w:val="0"/>
        <w:snapToGrid w:val="0"/>
        <w:spacing w:line="360" w:lineRule="auto"/>
        <w:ind w:firstLine="0" w:firstLineChars="0"/>
        <w:rPr>
          <w:rFonts w:hint="eastAsia" w:ascii="宋体" w:hAnsi="宋体" w:cs="宋体"/>
          <w:color w:val="000000"/>
          <w:sz w:val="24"/>
          <w:szCs w:val="24"/>
          <w:highlight w:val="none"/>
        </w:rPr>
      </w:pPr>
      <w:r>
        <w:rPr>
          <w:rFonts w:hint="eastAsia" w:ascii="宋体" w:hAnsi="宋体" w:cs="宋体"/>
          <w:color w:val="000000"/>
          <w:sz w:val="24"/>
          <w:szCs w:val="24"/>
          <w:highlight w:val="none"/>
        </w:rPr>
        <w:t>1、在本项目内，乙方须配置清洁人员共</w:t>
      </w:r>
      <w:r>
        <w:rPr>
          <w:rFonts w:hint="eastAsia" w:ascii="宋体" w:hAnsi="宋体" w:cs="宋体"/>
          <w:color w:val="000000"/>
          <w:sz w:val="24"/>
          <w:szCs w:val="24"/>
          <w:highlight w:val="none"/>
          <w:lang w:val="en-US" w:eastAsia="zh-CN"/>
        </w:rPr>
        <w:t>23</w:t>
      </w:r>
      <w:r>
        <w:rPr>
          <w:rFonts w:hint="eastAsia" w:ascii="宋体" w:hAnsi="宋体" w:cs="宋体"/>
          <w:color w:val="000000"/>
          <w:sz w:val="24"/>
          <w:szCs w:val="24"/>
          <w:highlight w:val="none"/>
        </w:rPr>
        <w:t>名。详见附件：人员</w:t>
      </w:r>
      <w:r>
        <w:rPr>
          <w:rFonts w:hint="eastAsia" w:ascii="宋体" w:hAnsi="宋体" w:cs="宋体"/>
          <w:color w:val="000000"/>
          <w:sz w:val="24"/>
          <w:szCs w:val="24"/>
          <w:highlight w:val="none"/>
          <w:lang w:eastAsia="zh-CN"/>
        </w:rPr>
        <w:t>报价</w:t>
      </w:r>
      <w:r>
        <w:rPr>
          <w:rFonts w:hint="eastAsia" w:ascii="宋体" w:hAnsi="宋体" w:cs="宋体"/>
          <w:color w:val="000000"/>
          <w:sz w:val="24"/>
          <w:szCs w:val="24"/>
          <w:highlight w:val="none"/>
        </w:rPr>
        <w:t>表。</w:t>
      </w:r>
    </w:p>
    <w:p w14:paraId="1611F7B4">
      <w:pPr>
        <w:adjustRightInd w:val="0"/>
        <w:snapToGrid w:val="0"/>
        <w:spacing w:line="360" w:lineRule="auto"/>
        <w:rPr>
          <w:rFonts w:hint="eastAsia" w:ascii="宋体" w:hAnsi="宋体" w:cs="宋体"/>
          <w:color w:val="000000"/>
          <w:sz w:val="24"/>
          <w:highlight w:val="none"/>
        </w:rPr>
      </w:pPr>
      <w:r>
        <w:rPr>
          <w:rFonts w:hint="eastAsia" w:ascii="宋体" w:hAnsi="宋体" w:cs="宋体"/>
          <w:color w:val="000000"/>
          <w:sz w:val="24"/>
          <w:highlight w:val="none"/>
        </w:rPr>
        <w:t>2、服务期限：</w:t>
      </w:r>
      <w:r>
        <w:rPr>
          <w:rFonts w:hint="eastAsia" w:ascii="宋体" w:hAnsi="宋体" w:cs="宋体"/>
          <w:color w:val="000000"/>
          <w:sz w:val="24"/>
          <w:highlight w:val="none"/>
          <w:lang w:val="en-US" w:eastAsia="zh-CN"/>
        </w:rPr>
        <w:t>暂定</w:t>
      </w:r>
      <w:r>
        <w:rPr>
          <w:rFonts w:hint="eastAsia" w:ascii="宋体" w:hAnsi="宋体" w:cs="宋体"/>
          <w:color w:val="000000"/>
          <w:kern w:val="0"/>
          <w:sz w:val="24"/>
          <w:highlight w:val="none"/>
          <w:u w:val="single"/>
        </w:rPr>
        <w:t>202</w:t>
      </w:r>
      <w:r>
        <w:rPr>
          <w:rFonts w:hint="eastAsia" w:ascii="宋体" w:hAnsi="宋体" w:cs="宋体"/>
          <w:color w:val="000000"/>
          <w:kern w:val="0"/>
          <w:sz w:val="24"/>
          <w:highlight w:val="none"/>
          <w:u w:val="single"/>
          <w:lang w:val="en-US" w:eastAsia="zh-CN"/>
        </w:rPr>
        <w:t>6</w:t>
      </w:r>
      <w:r>
        <w:rPr>
          <w:rFonts w:hint="eastAsia" w:ascii="宋体" w:hAnsi="宋体" w:cs="宋体"/>
          <w:color w:val="000000"/>
          <w:kern w:val="0"/>
          <w:sz w:val="24"/>
          <w:highlight w:val="none"/>
          <w:u w:val="single"/>
        </w:rPr>
        <w:t>年</w:t>
      </w:r>
      <w:r>
        <w:rPr>
          <w:rFonts w:hint="eastAsia" w:ascii="宋体" w:hAnsi="宋体" w:cs="宋体"/>
          <w:color w:val="000000"/>
          <w:kern w:val="0"/>
          <w:sz w:val="24"/>
          <w:highlight w:val="none"/>
          <w:u w:val="single"/>
          <w:lang w:val="en-US" w:eastAsia="zh-CN"/>
        </w:rPr>
        <w:t xml:space="preserve"> 4</w:t>
      </w:r>
      <w:r>
        <w:rPr>
          <w:rFonts w:hint="eastAsia" w:ascii="宋体" w:hAnsi="宋体" w:cs="宋体"/>
          <w:color w:val="000000"/>
          <w:kern w:val="0"/>
          <w:sz w:val="24"/>
          <w:highlight w:val="none"/>
          <w:u w:val="single"/>
        </w:rPr>
        <w:t>月</w:t>
      </w:r>
      <w:r>
        <w:rPr>
          <w:rFonts w:hint="eastAsia" w:ascii="宋体" w:hAnsi="宋体" w:cs="宋体"/>
          <w:color w:val="000000"/>
          <w:kern w:val="0"/>
          <w:sz w:val="24"/>
          <w:highlight w:val="none"/>
          <w:u w:val="single"/>
          <w:lang w:val="en-US" w:eastAsia="zh-CN"/>
        </w:rPr>
        <w:t>22</w:t>
      </w:r>
      <w:r>
        <w:rPr>
          <w:rFonts w:hint="eastAsia" w:ascii="宋体" w:hAnsi="宋体" w:cs="宋体"/>
          <w:color w:val="000000"/>
          <w:kern w:val="0"/>
          <w:sz w:val="24"/>
          <w:highlight w:val="none"/>
          <w:u w:val="single"/>
        </w:rPr>
        <w:t>日至2026年</w:t>
      </w:r>
      <w:r>
        <w:rPr>
          <w:rFonts w:hint="eastAsia" w:ascii="宋体" w:hAnsi="宋体" w:cs="宋体"/>
          <w:color w:val="000000"/>
          <w:kern w:val="0"/>
          <w:sz w:val="24"/>
          <w:highlight w:val="none"/>
          <w:u w:val="single"/>
          <w:lang w:val="en-US" w:eastAsia="zh-CN"/>
        </w:rPr>
        <w:t>6</w:t>
      </w:r>
      <w:r>
        <w:rPr>
          <w:rFonts w:hint="eastAsia" w:ascii="宋体" w:hAnsi="宋体" w:cs="宋体"/>
          <w:color w:val="000000"/>
          <w:kern w:val="0"/>
          <w:sz w:val="24"/>
          <w:highlight w:val="none"/>
          <w:u w:val="single"/>
        </w:rPr>
        <w:t>月</w:t>
      </w:r>
      <w:r>
        <w:rPr>
          <w:rFonts w:hint="eastAsia" w:ascii="宋体" w:hAnsi="宋体" w:cs="宋体"/>
          <w:color w:val="000000"/>
          <w:kern w:val="0"/>
          <w:sz w:val="24"/>
          <w:highlight w:val="none"/>
          <w:u w:val="single"/>
          <w:lang w:val="en-US" w:eastAsia="zh-CN"/>
        </w:rPr>
        <w:t>21</w:t>
      </w:r>
      <w:r>
        <w:rPr>
          <w:rFonts w:hint="eastAsia" w:ascii="宋体" w:hAnsi="宋体" w:cs="宋体"/>
          <w:color w:val="000000"/>
          <w:kern w:val="0"/>
          <w:sz w:val="24"/>
          <w:highlight w:val="none"/>
          <w:u w:val="single"/>
        </w:rPr>
        <w:t>日</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w:t>
      </w:r>
    </w:p>
    <w:p w14:paraId="274F4F53">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3、合同方式：按月包干，合同期内不得由于政府政策性最低工资标准上调及政策性法规变动调整服务费用。</w:t>
      </w:r>
    </w:p>
    <w:p w14:paraId="6CC962A5">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4、合同期间，上述项目若发生物业管理权变更、甲方退出物业服务，该退出项目的清洁卫生服务即时终止，本合同终止，双方互不承担违约责任。</w:t>
      </w:r>
    </w:p>
    <w:p w14:paraId="79CE838B">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5、乙方承诺派驻甲方工作的清洁卫生服务人员仪表端庄、身体健康，穿着甲方认可的工作服和佩带工作证。工作时间根据云海湾物业服务中心要求进行安排。</w:t>
      </w:r>
    </w:p>
    <w:p w14:paraId="0EA4264E">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6、乙方派往甲方工作的清洁卫生服务人员必须征得甲方的认可，人员变更时应及时通知甲方物业服务中心；遵守甲方的各种规章制度和国家的有关法律、法规，维护甲方的工作秩序，爱护公私财物，发现可疑情况及时报告甲方，并配合甲方要求的其它工作。</w:t>
      </w:r>
    </w:p>
    <w:p w14:paraId="1995AA64">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7、在合同期内，如双方协商增减现场清洁服务人员，服务单价原则以本合同为准。具体增减人数、时间、价格、服务范围等条款，双方以书面形式确认。</w:t>
      </w:r>
    </w:p>
    <w:p w14:paraId="18734724">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8、合同期满后，甲方可根据《深圳市国资委关于进一步加强市属企业采购综合监管的指导意见（试行）》及甲方的相关规定对优质服务合同的供应商实行续期奖励，优质服务合同可续期不超过24 个月，续期最多不超过两次。续期合同实质性内容不得改变。</w:t>
      </w:r>
    </w:p>
    <w:p w14:paraId="03D0AC0D">
      <w:pPr>
        <w:adjustRightInd w:val="0"/>
        <w:snapToGrid w:val="0"/>
        <w:spacing w:line="360" w:lineRule="auto"/>
        <w:rPr>
          <w:rFonts w:hint="eastAsia" w:ascii="宋体" w:hAnsi="宋体" w:cs="宋体"/>
          <w:b/>
          <w:bCs/>
          <w:color w:val="000000"/>
          <w:sz w:val="24"/>
        </w:rPr>
      </w:pPr>
      <w:r>
        <w:rPr>
          <w:rFonts w:hint="eastAsia" w:ascii="宋体" w:hAnsi="宋体" w:cs="宋体"/>
          <w:b/>
          <w:bCs/>
          <w:color w:val="000000"/>
          <w:sz w:val="24"/>
        </w:rPr>
        <w:t>第三条：费用及支付方式</w:t>
      </w:r>
    </w:p>
    <w:p w14:paraId="07C7E76B">
      <w:pPr>
        <w:pStyle w:val="8"/>
        <w:adjustRightInd w:val="0"/>
        <w:snapToGrid w:val="0"/>
        <w:spacing w:line="360" w:lineRule="auto"/>
        <w:ind w:firstLine="0" w:firstLineChars="0"/>
        <w:rPr>
          <w:rFonts w:hint="eastAsia" w:ascii="宋体" w:hAnsi="宋体" w:cs="宋体"/>
          <w:color w:val="000000"/>
          <w:sz w:val="24"/>
          <w:szCs w:val="24"/>
          <w:highlight w:val="none"/>
        </w:rPr>
      </w:pPr>
      <w:r>
        <w:rPr>
          <w:rFonts w:hint="eastAsia" w:ascii="宋体" w:hAnsi="宋体" w:cs="宋体"/>
          <w:color w:val="000000"/>
          <w:sz w:val="24"/>
          <w:szCs w:val="24"/>
          <w:highlight w:val="none"/>
        </w:rPr>
        <w:t>1、合同金额</w:t>
      </w:r>
    </w:p>
    <w:p w14:paraId="7BC01D78">
      <w:pPr>
        <w:adjustRightInd w:val="0"/>
        <w:snapToGrid w:val="0"/>
        <w:spacing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甲方每月向乙方支付服务费￥</w:t>
      </w:r>
      <w:r>
        <w:rPr>
          <w:rFonts w:hint="eastAsia" w:ascii="宋体" w:hAnsi="宋体" w:cs="宋体"/>
          <w:color w:val="000000"/>
          <w:sz w:val="24"/>
          <w:highlight w:val="none"/>
          <w:u w:val="single"/>
        </w:rPr>
        <w:t xml:space="preserve"> </w:t>
      </w:r>
      <w:r>
        <w:rPr>
          <w:rFonts w:hint="eastAsia" w:ascii="宋体" w:hAnsi="宋体"/>
          <w:sz w:val="24"/>
          <w:szCs w:val="24"/>
          <w:highlight w:val="none"/>
          <w:u w:val="single"/>
          <w:lang w:val="en-US" w:eastAsia="zh-CN"/>
        </w:rPr>
        <w:t>86480</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元（大写：</w:t>
      </w:r>
      <w:r>
        <w:rPr>
          <w:rFonts w:hint="eastAsia" w:ascii="宋体" w:hAnsi="宋体" w:cs="宋体"/>
          <w:color w:val="000000"/>
          <w:sz w:val="24"/>
          <w:highlight w:val="none"/>
          <w:u w:val="single"/>
          <w:lang w:eastAsia="zh-CN"/>
        </w:rPr>
        <w:t>捌万陆仟肆佰捌拾元</w:t>
      </w:r>
      <w:r>
        <w:rPr>
          <w:rFonts w:hint="eastAsia" w:ascii="宋体" w:hAnsi="宋体" w:cs="宋体"/>
          <w:color w:val="000000"/>
          <w:sz w:val="24"/>
          <w:highlight w:val="none"/>
          <w:u w:val="single"/>
          <w:lang w:val="en-US" w:eastAsia="zh-CN"/>
        </w:rPr>
        <w:t>整</w:t>
      </w:r>
      <w:r>
        <w:rPr>
          <w:rFonts w:hint="eastAsia" w:ascii="宋体" w:hAnsi="宋体" w:cs="宋体"/>
          <w:color w:val="000000"/>
          <w:sz w:val="24"/>
          <w:highlight w:val="none"/>
        </w:rPr>
        <w:t>）。合同总金额共计￥</w:t>
      </w:r>
      <w:r>
        <w:rPr>
          <w:rFonts w:hint="eastAsia" w:ascii="宋体" w:hAnsi="宋体" w:cs="宋体"/>
          <w:color w:val="000000"/>
          <w:sz w:val="24"/>
          <w:highlight w:val="none"/>
          <w:u w:val="single"/>
        </w:rPr>
        <w:t xml:space="preserve"> </w:t>
      </w:r>
      <w:r>
        <w:rPr>
          <w:rFonts w:hint="eastAsia" w:ascii="宋体" w:hAnsi="宋体"/>
          <w:sz w:val="24"/>
          <w:szCs w:val="24"/>
          <w:highlight w:val="none"/>
          <w:u w:val="single"/>
          <w:lang w:val="en-US" w:eastAsia="zh-CN"/>
        </w:rPr>
        <w:t>172960</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元（大写：</w:t>
      </w:r>
      <w:r>
        <w:rPr>
          <w:rFonts w:hint="eastAsia" w:ascii="宋体" w:hAnsi="宋体" w:cs="宋体"/>
          <w:color w:val="000000"/>
          <w:sz w:val="24"/>
          <w:highlight w:val="none"/>
          <w:u w:val="single"/>
          <w:lang w:val="en-US" w:eastAsia="zh-CN"/>
        </w:rPr>
        <w:t>壹拾柒万贰仟玖佰陆拾元</w:t>
      </w:r>
      <w:r>
        <w:rPr>
          <w:rFonts w:hint="eastAsia" w:ascii="宋体" w:hAnsi="宋体" w:cs="宋体"/>
          <w:color w:val="000000"/>
          <w:sz w:val="24"/>
          <w:highlight w:val="none"/>
          <w:u w:val="single"/>
        </w:rPr>
        <w:t>整</w:t>
      </w:r>
      <w:r>
        <w:rPr>
          <w:rFonts w:hint="eastAsia" w:ascii="宋体" w:hAnsi="宋体" w:cs="宋体"/>
          <w:color w:val="000000"/>
          <w:sz w:val="24"/>
          <w:highlight w:val="none"/>
        </w:rPr>
        <w:t>）。</w:t>
      </w:r>
    </w:p>
    <w:p w14:paraId="1FE9BB0B">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2、该服务费已包括甲方为乙方根据本合同约定履行全部义务所支付的全部费用，包清洁所需的作业工具、包括但不限于人员工资、福利、社保费用、商业保险、器材装备、生活用品、交通费用、节假日和休息日加班工资、企业管理费、税费以及发生工伤事故的赔偿费用等所有可能发生的费用，甲方无需另向乙方支付其他任何费用。</w:t>
      </w:r>
    </w:p>
    <w:p w14:paraId="7E576335">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3、甲方依据附件《日常清洁服务作业及质量检查标准》的要求对乙方的合同执行及服务情况进行考核，服务费与甲方考核结果（服务品质、人员满员）挂钩;</w:t>
      </w:r>
    </w:p>
    <w:p w14:paraId="57E3759C">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4、付款时间：每个月结束后，甲方及时对乙方的服务作出评价，下月</w:t>
      </w:r>
      <w:r>
        <w:rPr>
          <w:rFonts w:hint="eastAsia" w:ascii="宋体" w:hAnsi="宋体" w:eastAsia="宋体" w:cs="宋体"/>
          <w:color w:val="000000"/>
          <w:sz w:val="24"/>
          <w:szCs w:val="24"/>
          <w:u w:val="single"/>
        </w:rPr>
        <w:t xml:space="preserve">  10  </w:t>
      </w:r>
      <w:r>
        <w:rPr>
          <w:rFonts w:hint="eastAsia" w:ascii="宋体" w:hAnsi="宋体" w:eastAsia="宋体" w:cs="宋体"/>
          <w:color w:val="000000"/>
          <w:sz w:val="24"/>
          <w:szCs w:val="24"/>
        </w:rPr>
        <w:t>日前，乙方应当向甲方开具正式收费发票。在甲方单位申请付款并由甲方公司领导审批完成后，向乙方一次性付清上月服务费。以后付款时间和办法以此类推，逾期不付款每日按当月拖欠服务费总额的万分之三计算违约金。</w:t>
      </w:r>
    </w:p>
    <w:p w14:paraId="52C233F3">
      <w:pPr>
        <w:tabs>
          <w:tab w:val="left" w:pos="7755"/>
        </w:tabs>
        <w:spacing w:line="360" w:lineRule="auto"/>
        <w:rPr>
          <w:rFonts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乙方收款账户信息如下：</w:t>
      </w:r>
    </w:p>
    <w:p w14:paraId="156379DA">
      <w:pPr>
        <w:tabs>
          <w:tab w:val="left" w:pos="7755"/>
        </w:tabs>
        <w:spacing w:line="360" w:lineRule="auto"/>
        <w:rPr>
          <w:rFonts w:hint="eastAsia" w:ascii="宋体" w:hAnsi="宋体" w:eastAsia="宋体"/>
          <w:sz w:val="24"/>
          <w:szCs w:val="24"/>
          <w:highlight w:val="none"/>
          <w:lang w:val="en-US" w:eastAsia="zh-CN"/>
        </w:rPr>
      </w:pPr>
      <w:r>
        <w:rPr>
          <w:rFonts w:hint="eastAsia" w:ascii="宋体" w:hAnsi="宋体"/>
          <w:sz w:val="24"/>
          <w:szCs w:val="24"/>
          <w:highlight w:val="none"/>
        </w:rPr>
        <w:t>乙方开户行：中国建设银行深圳长盛支行</w:t>
      </w:r>
    </w:p>
    <w:p w14:paraId="448F05D8">
      <w:pPr>
        <w:tabs>
          <w:tab w:val="left" w:pos="7755"/>
        </w:tabs>
        <w:spacing w:line="360" w:lineRule="auto"/>
        <w:rPr>
          <w:rFonts w:ascii="宋体" w:hAnsi="宋体"/>
          <w:sz w:val="24"/>
          <w:szCs w:val="24"/>
          <w:highlight w:val="none"/>
        </w:rPr>
      </w:pPr>
      <w:r>
        <w:rPr>
          <w:rFonts w:hint="eastAsia" w:ascii="宋体" w:hAnsi="宋体"/>
          <w:sz w:val="24"/>
          <w:szCs w:val="24"/>
          <w:highlight w:val="none"/>
        </w:rPr>
        <w:t xml:space="preserve">银行账号：44201526200052513006 </w:t>
      </w:r>
    </w:p>
    <w:p w14:paraId="398004CF">
      <w:pPr>
        <w:tabs>
          <w:tab w:val="left" w:pos="7755"/>
        </w:tabs>
        <w:spacing w:line="360" w:lineRule="auto"/>
        <w:rPr>
          <w:rFonts w:hint="eastAsia" w:ascii="宋体" w:hAnsi="宋体"/>
          <w:sz w:val="24"/>
          <w:szCs w:val="24"/>
        </w:rPr>
      </w:pPr>
      <w:r>
        <w:rPr>
          <w:rFonts w:hint="eastAsia" w:ascii="宋体" w:hAnsi="宋体"/>
          <w:sz w:val="24"/>
          <w:szCs w:val="24"/>
        </w:rPr>
        <w:t>（若有账户信息变更，乙方需提前一个月，以书面形式通知甲方）。</w:t>
      </w:r>
    </w:p>
    <w:p w14:paraId="6000625C">
      <w:pPr>
        <w:tabs>
          <w:tab w:val="left" w:pos="7755"/>
        </w:tabs>
        <w:spacing w:line="360" w:lineRule="auto"/>
        <w:rPr>
          <w:rFonts w:ascii="宋体" w:hAnsi="宋体"/>
          <w:sz w:val="24"/>
          <w:szCs w:val="24"/>
        </w:rPr>
      </w:pPr>
      <w:r>
        <w:rPr>
          <w:rFonts w:hint="eastAsia" w:ascii="宋体" w:hAnsi="宋体"/>
          <w:sz w:val="24"/>
          <w:szCs w:val="24"/>
        </w:rPr>
        <w:t>乙方向甲方提出申请付款时，应当开具符合税收法律法规的增值税</w:t>
      </w:r>
      <w:r>
        <w:rPr>
          <w:rFonts w:ascii="宋体" w:hAnsi="宋体"/>
          <w:sz w:val="24"/>
          <w:szCs w:val="24"/>
        </w:rPr>
        <w:t>专用</w:t>
      </w:r>
      <w:r>
        <w:rPr>
          <w:rFonts w:hint="eastAsia" w:ascii="宋体" w:hAnsi="宋体"/>
          <w:sz w:val="24"/>
          <w:szCs w:val="24"/>
        </w:rPr>
        <w:t>发票；否则，甲方不予支付款项，由此造成的损失及后果由乙方承担。甲方开票信息如下：</w:t>
      </w:r>
    </w:p>
    <w:p w14:paraId="7F726D89">
      <w:pPr>
        <w:tabs>
          <w:tab w:val="left" w:pos="7755"/>
        </w:tabs>
        <w:spacing w:line="360" w:lineRule="auto"/>
        <w:rPr>
          <w:rFonts w:ascii="宋体" w:hAnsi="宋体"/>
          <w:sz w:val="24"/>
          <w:szCs w:val="24"/>
        </w:rPr>
      </w:pPr>
      <w:r>
        <w:rPr>
          <w:rFonts w:hint="eastAsia" w:ascii="宋体" w:hAnsi="宋体"/>
          <w:sz w:val="24"/>
          <w:szCs w:val="24"/>
        </w:rPr>
        <w:t>公司名称：</w:t>
      </w:r>
      <w:r>
        <w:rPr>
          <w:rFonts w:hint="eastAsia" w:ascii="宋体" w:hAnsi="宋体"/>
          <w:kern w:val="24"/>
          <w:sz w:val="24"/>
          <w:szCs w:val="24"/>
        </w:rPr>
        <w:t>深业</w:t>
      </w:r>
      <w:r>
        <w:rPr>
          <w:rFonts w:hint="eastAsia" w:ascii="宋体" w:hAnsi="宋体"/>
          <w:kern w:val="24"/>
          <w:sz w:val="24"/>
          <w:szCs w:val="24"/>
          <w:lang w:val="en-US" w:eastAsia="zh-CN"/>
        </w:rPr>
        <w:t>置地（深圳）物业管理有限公司</w:t>
      </w:r>
    </w:p>
    <w:p w14:paraId="5BC033A6">
      <w:pPr>
        <w:tabs>
          <w:tab w:val="left" w:pos="7755"/>
        </w:tabs>
        <w:spacing w:line="360" w:lineRule="auto"/>
        <w:rPr>
          <w:rFonts w:hint="eastAsia" w:ascii="宋体" w:hAnsi="宋体"/>
          <w:sz w:val="24"/>
          <w:szCs w:val="24"/>
        </w:rPr>
      </w:pPr>
      <w:r>
        <w:rPr>
          <w:rFonts w:hint="eastAsia" w:ascii="宋体" w:hAnsi="宋体"/>
          <w:sz w:val="24"/>
          <w:szCs w:val="24"/>
        </w:rPr>
        <w:t>纳税人识别号：9144030071857445X7</w:t>
      </w:r>
    </w:p>
    <w:p w14:paraId="75406B58">
      <w:pPr>
        <w:tabs>
          <w:tab w:val="left" w:pos="7755"/>
        </w:tabs>
        <w:spacing w:line="360" w:lineRule="auto"/>
        <w:rPr>
          <w:rFonts w:ascii="宋体" w:hAnsi="宋体"/>
          <w:sz w:val="24"/>
          <w:szCs w:val="24"/>
        </w:rPr>
      </w:pPr>
      <w:r>
        <w:rPr>
          <w:rFonts w:hint="eastAsia" w:ascii="宋体" w:hAnsi="宋体"/>
          <w:sz w:val="24"/>
          <w:szCs w:val="24"/>
        </w:rPr>
        <w:t>注册地址：深圳市福田区莲花街道彩虹社区彩田北路6001号深圳市有线电视枢纽大厦12层</w:t>
      </w:r>
    </w:p>
    <w:p w14:paraId="3AC5C216">
      <w:pPr>
        <w:tabs>
          <w:tab w:val="left" w:pos="7755"/>
        </w:tabs>
        <w:spacing w:line="360" w:lineRule="auto"/>
        <w:rPr>
          <w:rFonts w:hint="default" w:ascii="宋体" w:hAnsi="宋体" w:eastAsia="宋体"/>
          <w:sz w:val="24"/>
          <w:szCs w:val="24"/>
          <w:lang w:val="en-US" w:eastAsia="zh-CN"/>
        </w:rPr>
      </w:pPr>
      <w:r>
        <w:rPr>
          <w:rFonts w:hint="eastAsia" w:ascii="宋体" w:hAnsi="宋体"/>
          <w:sz w:val="24"/>
          <w:szCs w:val="24"/>
        </w:rPr>
        <w:t>联系电话：0755-88663056</w:t>
      </w:r>
    </w:p>
    <w:p w14:paraId="7C3E6623">
      <w:pPr>
        <w:tabs>
          <w:tab w:val="left" w:pos="7755"/>
        </w:tabs>
        <w:spacing w:line="360" w:lineRule="auto"/>
        <w:rPr>
          <w:rFonts w:ascii="宋体" w:hAnsi="宋体"/>
          <w:sz w:val="24"/>
          <w:szCs w:val="24"/>
        </w:rPr>
      </w:pPr>
      <w:r>
        <w:rPr>
          <w:rFonts w:hint="eastAsia" w:ascii="宋体" w:hAnsi="宋体"/>
          <w:sz w:val="24"/>
          <w:szCs w:val="24"/>
        </w:rPr>
        <w:t>开户行名称：中国农业银行股份有限公司深圳布吉支行</w:t>
      </w:r>
    </w:p>
    <w:p w14:paraId="7DA02978">
      <w:pPr>
        <w:tabs>
          <w:tab w:val="left" w:pos="7755"/>
        </w:tabs>
        <w:spacing w:line="360" w:lineRule="auto"/>
        <w:rPr>
          <w:rFonts w:hint="eastAsia" w:ascii="宋体" w:hAnsi="宋体"/>
          <w:sz w:val="24"/>
          <w:szCs w:val="24"/>
        </w:rPr>
      </w:pPr>
      <w:r>
        <w:rPr>
          <w:rFonts w:hint="eastAsia" w:ascii="宋体" w:hAnsi="宋体"/>
          <w:sz w:val="24"/>
          <w:szCs w:val="24"/>
        </w:rPr>
        <w:t>开户行账号：41025900040042535</w:t>
      </w:r>
    </w:p>
    <w:p w14:paraId="68251A50">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、乙方人员驻场使用的水电费由甲方承担。</w:t>
      </w:r>
    </w:p>
    <w:p w14:paraId="216AEA96">
      <w:pPr>
        <w:pStyle w:val="3"/>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、合同期内，如遇政府调整最低工资标准，可经双方协商进行调整；但合同期满前三个月内，如遇政府调整最低工资标准的，不予调价。</w:t>
      </w:r>
    </w:p>
    <w:p w14:paraId="7A222F15">
      <w:pPr>
        <w:pStyle w:val="8"/>
        <w:adjustRightInd w:val="0"/>
        <w:snapToGrid w:val="0"/>
        <w:spacing w:line="360" w:lineRule="auto"/>
        <w:ind w:firstLine="0" w:firstLineChars="0"/>
        <w:rPr>
          <w:rFonts w:hint="eastAsia" w:ascii="宋体" w:hAnsi="宋体" w:cs="宋体"/>
          <w:color w:val="000000"/>
          <w:sz w:val="24"/>
          <w:szCs w:val="24"/>
        </w:rPr>
      </w:pPr>
      <w:r>
        <w:rPr>
          <w:rFonts w:hint="eastAsia" w:ascii="宋体" w:hAnsi="宋体" w:cs="宋体"/>
          <w:color w:val="000000"/>
          <w:sz w:val="24"/>
          <w:szCs w:val="24"/>
          <w:lang w:val="en-US" w:eastAsia="zh-CN"/>
        </w:rPr>
        <w:t>8</w:t>
      </w:r>
      <w:r>
        <w:rPr>
          <w:rFonts w:hint="eastAsia" w:ascii="宋体" w:hAnsi="宋体" w:cs="宋体"/>
          <w:color w:val="000000"/>
          <w:sz w:val="24"/>
          <w:szCs w:val="24"/>
        </w:rPr>
        <w:t>、合同履行期间，如遇国家或地方调整增值税税率的，则自增值税税率调整政策执行之日起，尚未支付的服务费根据调整后的最新税率进行相应调整，并按调整后费用支付。具体调整公式为：税率调整后的含税价=税率调整前的不含税价×（1+调整后税率）。</w:t>
      </w:r>
    </w:p>
    <w:p w14:paraId="77281EAA">
      <w:pPr>
        <w:adjustRightInd w:val="0"/>
        <w:snapToGrid w:val="0"/>
        <w:spacing w:line="360" w:lineRule="auto"/>
        <w:jc w:val="left"/>
        <w:rPr>
          <w:rFonts w:hint="eastAsia" w:ascii="宋体" w:hAnsi="宋体" w:cs="宋体"/>
          <w:b/>
          <w:bCs/>
          <w:color w:val="000000"/>
          <w:sz w:val="24"/>
        </w:rPr>
      </w:pPr>
      <w:r>
        <w:rPr>
          <w:rFonts w:hint="eastAsia" w:ascii="宋体" w:hAnsi="宋体" w:cs="宋体"/>
          <w:b/>
          <w:bCs/>
          <w:color w:val="000000"/>
          <w:sz w:val="24"/>
        </w:rPr>
        <w:t>第四条：双方责任</w:t>
      </w:r>
    </w:p>
    <w:p w14:paraId="5101C01A">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 甲方责任</w:t>
      </w:r>
    </w:p>
    <w:p w14:paraId="40F2FD50">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（1）保证为乙方的日常清洁卫生提供必要的水电供应；</w:t>
      </w:r>
    </w:p>
    <w:p w14:paraId="07B3D6B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（2）同意为乙方提供一间工具房作为乙方存放卫生清洁机械、工具材料之用；</w:t>
      </w:r>
    </w:p>
    <w:p w14:paraId="34A7F9B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（3）负责购买公共场地设置的垃圾桶、烟灰筒、胶篓、花盆、卫生纸、皂液等；</w:t>
      </w:r>
    </w:p>
    <w:p w14:paraId="074B148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（4）负责检查、监督乙方的工作质量，验收乙方提供的清洁材料材料，要求乙方纠正存在的问题；</w:t>
      </w:r>
    </w:p>
    <w:p w14:paraId="70277E2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（5）负责检查乙方使用、保养设备的情况，发现问题可要求乙方及时处理。</w:t>
      </w:r>
    </w:p>
    <w:p w14:paraId="68560800">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2. 乙方责任</w:t>
      </w:r>
    </w:p>
    <w:p w14:paraId="1F71D615">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（1）在收到甲方通知七天内进驻甲方公司各物业并进行清洁卫生工作；</w:t>
      </w:r>
    </w:p>
    <w:p w14:paraId="7CF3773C">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（2）负责根据甲方要求制定清洁卫生标准，对日常清洁卫生工作进行管理；</w:t>
      </w:r>
    </w:p>
    <w:p w14:paraId="1F615A93">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（3）负责制定清洁卫生条例与定期保养方法在甲方认可后实施；</w:t>
      </w:r>
    </w:p>
    <w:p w14:paraId="448C5DC3">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（4）严格按照本合同所制定的各项标准完成甲方物业范围的日常清洁卫生管理工作；</w:t>
      </w:r>
    </w:p>
    <w:p w14:paraId="3BD2B2F6">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（5）加强所属员工的培训与遵纪守法教育，选派素质较高、服务态度好的清洁服务人员进驻甲方公司各物业工作。</w:t>
      </w:r>
    </w:p>
    <w:p w14:paraId="4097FA45">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（6）如有外宾参观或甲方上级或政府有关领导检查，乙方根据甲方要求，加强突击服务；</w:t>
      </w:r>
    </w:p>
    <w:p w14:paraId="3AD1367E">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（7）提供服务所需清洁机器设备、清洁工具、化学清洁剂及清洁保养技术、机器设备、工具技术等；</w:t>
      </w:r>
    </w:p>
    <w:p w14:paraId="3CC9A43E">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（8）对卫生间疏通只限于乙方提供疏通机所能及之范围，如需拆卸管道、墙壁等土建工程，另行商议价格；</w:t>
      </w:r>
    </w:p>
    <w:p w14:paraId="4556B039">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9）乙方派驻甲方的工作人员，接受甲方按双方确定的清洁作业计划、标准进行检查和改进要求。每季度若对甲方投诉（特别是服务质量问题）未予及时正确处理或解决达三次以上，甲方有权提出书面警示，要求及时正确处理、解决。</w:t>
      </w:r>
    </w:p>
    <w:p w14:paraId="2A21A7E5">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10）乙方按法规要求承担支付乙方人员之保险、工资、劳保福利及其它一切费用。对乙方人员在工作现场发生人员纠纷，乙方承诺及时处理，不影响甲方或甲方客户的工作和声誉，如造成甲方或甲方客户的损失的，由乙方负责。</w:t>
      </w:r>
    </w:p>
    <w:p w14:paraId="065C08FB">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（11）承担合同期内派出人员使用设备、药物或现场作业时造成的全部安全生产责任。</w:t>
      </w:r>
    </w:p>
    <w:p w14:paraId="64D3609D">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（12）对高空作业，乙方应按国家规定，给予全部作业人员购买人身保险，若发生伤亡事故，由乙方负责。</w:t>
      </w:r>
    </w:p>
    <w:p w14:paraId="65D1235C">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（13）在工作责任区，由于乙方人员责任损害甲方客户的权益，由乙方承担责任。</w:t>
      </w:r>
    </w:p>
    <w:p w14:paraId="7665DE49">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（14）乙方应按时发放员工工资，不得以任何理由拖欠而影响现场服务质量。</w:t>
      </w:r>
    </w:p>
    <w:p w14:paraId="2CCB441B">
      <w:pPr>
        <w:adjustRightInd w:val="0"/>
        <w:snapToGrid w:val="0"/>
        <w:spacing w:line="360" w:lineRule="auto"/>
        <w:jc w:val="left"/>
        <w:rPr>
          <w:rFonts w:hint="eastAsia" w:ascii="宋体" w:hAnsi="宋体" w:cs="宋体"/>
          <w:b/>
          <w:bCs/>
          <w:color w:val="000000"/>
          <w:sz w:val="24"/>
        </w:rPr>
      </w:pPr>
      <w:r>
        <w:rPr>
          <w:rFonts w:hint="eastAsia" w:ascii="宋体" w:hAnsi="宋体" w:cs="宋体"/>
          <w:b/>
          <w:bCs/>
          <w:color w:val="000000"/>
          <w:sz w:val="24"/>
        </w:rPr>
        <w:t>第五条：违约责任</w:t>
      </w:r>
    </w:p>
    <w:p w14:paraId="1C32816D">
      <w:pPr>
        <w:adjustRightInd w:val="0"/>
        <w:snapToGrid w:val="0"/>
        <w:spacing w:line="360" w:lineRule="auto"/>
        <w:jc w:val="left"/>
        <w:rPr>
          <w:rFonts w:hint="eastAsia" w:ascii="宋体" w:hAnsi="宋体" w:eastAsia="宋体" w:cs="宋体"/>
          <w:color w:val="000000"/>
          <w:sz w:val="24"/>
          <w:lang w:val="en-US" w:eastAsia="zh-CN"/>
        </w:rPr>
      </w:pPr>
      <w:r>
        <w:rPr>
          <w:rFonts w:hint="eastAsia" w:ascii="宋体" w:hAnsi="宋体" w:cs="宋体"/>
          <w:color w:val="000000"/>
          <w:sz w:val="24"/>
        </w:rPr>
        <w:t>（1）甲方有权在提前30日以书面形式通知乙方后单方解除本合同，合同解除后双方据实结算服务费用，甲方无需向乙方支付任何赔偿或补偿</w:t>
      </w:r>
      <w:r>
        <w:rPr>
          <w:rFonts w:hint="eastAsia" w:ascii="宋体" w:hAnsi="宋体" w:cs="宋体"/>
          <w:color w:val="000000"/>
          <w:sz w:val="24"/>
          <w:lang w:eastAsia="zh-CN"/>
        </w:rPr>
        <w:t>。</w:t>
      </w:r>
    </w:p>
    <w:p w14:paraId="17C30ED0">
      <w:pPr>
        <w:adjustRightInd w:val="0"/>
        <w:snapToGrid w:val="0"/>
        <w:spacing w:line="360" w:lineRule="auto"/>
        <w:jc w:val="left"/>
        <w:rPr>
          <w:rFonts w:hint="eastAsia" w:ascii="宋体" w:hAnsi="宋体" w:cs="宋体"/>
          <w:b/>
          <w:bCs/>
          <w:color w:val="000000"/>
          <w:sz w:val="24"/>
        </w:rPr>
      </w:pPr>
      <w:r>
        <w:rPr>
          <w:rFonts w:hint="eastAsia" w:ascii="宋体" w:hAnsi="宋体" w:cs="宋体"/>
          <w:color w:val="000000"/>
          <w:sz w:val="24"/>
        </w:rPr>
        <w:t>（2）甲方对乙方提供的清洁卫生管理服务定期进行检查评价，如果乙方提供的清洁卫生管理服务达不到甲方要求，经甲方二次以上正式书面通知仍无较大改观的甲方可视为违约，可终止合同。</w:t>
      </w:r>
    </w:p>
    <w:p w14:paraId="3BF841FA">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3</w:t>
      </w:r>
      <w:r>
        <w:rPr>
          <w:rFonts w:hint="eastAsia" w:ascii="宋体" w:hAnsi="宋体" w:cs="宋体"/>
          <w:color w:val="000000"/>
          <w:sz w:val="24"/>
        </w:rPr>
        <w:t>）如甲方超过60天支付服务费用，乙方有权解除合同并可向甲方按延迟付款每天万分之三收取逾期违约金。</w:t>
      </w:r>
    </w:p>
    <w:p w14:paraId="1A1E1CB1">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4</w:t>
      </w:r>
      <w:r>
        <w:rPr>
          <w:rFonts w:hint="eastAsia" w:ascii="宋体" w:hAnsi="宋体" w:cs="宋体"/>
          <w:color w:val="000000"/>
          <w:sz w:val="24"/>
        </w:rPr>
        <w:t>）甲方按本合同附件要求进行考核，如合同期内累计三个月服务质量评分低于80分或一个月低于60分的，甲方可终止合同，甲方不给予乙方任何补偿。</w:t>
      </w:r>
    </w:p>
    <w:p w14:paraId="7F82E58E">
      <w:pPr>
        <w:adjustRightInd w:val="0"/>
        <w:snapToGrid w:val="0"/>
        <w:spacing w:line="360" w:lineRule="auto"/>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5</w:t>
      </w:r>
      <w:r>
        <w:rPr>
          <w:rFonts w:hint="eastAsia" w:ascii="宋体" w:hAnsi="宋体" w:cs="宋体"/>
          <w:color w:val="000000"/>
          <w:sz w:val="24"/>
        </w:rPr>
        <w:t>）因乙方或乙方人员原因造成甲方或任何第三方人员伤亡、财产损失的，乙方应承担全部赔偿责任；甲方由此遭受损失的，有权向乙方追偿。</w:t>
      </w:r>
    </w:p>
    <w:p w14:paraId="08BA2B67">
      <w:pPr>
        <w:adjustRightInd w:val="0"/>
        <w:snapToGrid w:val="0"/>
        <w:spacing w:line="360" w:lineRule="auto"/>
        <w:ind w:left="1" w:firstLine="424" w:firstLineChars="177"/>
        <w:rPr>
          <w:rFonts w:hint="eastAsia" w:ascii="宋体" w:hAnsi="宋体" w:cs="宋体"/>
          <w:color w:val="000000"/>
          <w:sz w:val="24"/>
        </w:rPr>
      </w:pPr>
      <w:r>
        <w:rPr>
          <w:rFonts w:hint="eastAsia" w:ascii="宋体" w:hAnsi="宋体" w:cs="宋体"/>
          <w:color w:val="000000"/>
          <w:sz w:val="24"/>
        </w:rPr>
        <w:t>本协议所称“损失”、“一切损失”、“所有损失”，包括但不限于：（1）甲方因乙方的违约行为所遭受的直接损失和间接损失；（2）甲方为减少或弥补违约行为所遭受的直接损失和间接损失发生的合理费用；（3）甲方为要求乙方赔偿直接损失和间接损失而发生的法律费用（包括但不限于律师费、保全费、担保费、鉴定费、公证费等诉讼费用）；（4）甲方之预期收益；（5）本协议中约定的违约金不足以弥补甲方损失的，乙方应继续赔偿。</w:t>
      </w:r>
    </w:p>
    <w:p w14:paraId="5C2A625C">
      <w:pPr>
        <w:adjustRightInd w:val="0"/>
        <w:snapToGrid w:val="0"/>
        <w:spacing w:line="360" w:lineRule="auto"/>
        <w:jc w:val="left"/>
        <w:rPr>
          <w:rFonts w:hint="eastAsia" w:ascii="宋体" w:hAnsi="宋体" w:cs="宋体"/>
          <w:b/>
          <w:bCs/>
          <w:color w:val="000000"/>
          <w:sz w:val="24"/>
        </w:rPr>
      </w:pPr>
      <w:r>
        <w:rPr>
          <w:rFonts w:hint="eastAsia" w:ascii="宋体" w:hAnsi="宋体" w:cs="宋体"/>
          <w:b/>
          <w:bCs/>
          <w:color w:val="000000"/>
          <w:sz w:val="24"/>
        </w:rPr>
        <w:t>第六条：争议及其解决</w:t>
      </w:r>
    </w:p>
    <w:p w14:paraId="2286C9E5">
      <w:pPr>
        <w:adjustRightInd w:val="0"/>
        <w:snapToGrid w:val="0"/>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双方如在合作中发生分歧，应当通过友好协商解决，如协商后仍无法解决，可向甲方所在地人民法院提起诉讼。</w:t>
      </w:r>
    </w:p>
    <w:p w14:paraId="2156AC96">
      <w:pPr>
        <w:adjustRightInd w:val="0"/>
        <w:snapToGrid w:val="0"/>
        <w:spacing w:line="360" w:lineRule="auto"/>
        <w:jc w:val="left"/>
        <w:rPr>
          <w:rFonts w:hint="eastAsia" w:ascii="宋体" w:hAnsi="宋体" w:cs="宋体"/>
          <w:b/>
          <w:bCs/>
          <w:color w:val="000000"/>
          <w:sz w:val="24"/>
        </w:rPr>
      </w:pPr>
      <w:r>
        <w:rPr>
          <w:rFonts w:hint="eastAsia" w:ascii="宋体" w:hAnsi="宋体" w:cs="宋体"/>
          <w:b/>
          <w:bCs/>
          <w:color w:val="000000"/>
          <w:sz w:val="24"/>
        </w:rPr>
        <w:t>第七条：其他事项</w:t>
      </w:r>
    </w:p>
    <w:p w14:paraId="6B697F5C">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1、涉及本合同权利义务变化的或其他必要通知，应以书面形式传递，并由中国邮政特快专递（EMS）或专人送至本合同首页载明的通讯地址；EMS寄出第5日（无论对方签收与否）或对方签收日视为已送达。</w:t>
      </w:r>
    </w:p>
    <w:p w14:paraId="2BE3E5DF">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2、双方应保证通讯地址、联系方式、企业法定代表人等工商登记情况及代理人等有关资料和证件真实有效。任何一方变更本合同约定送达地址的，应提前【3】日书面通知对方，否则对方按照变更前的送达地址送达相关文件视为有效送达。</w:t>
      </w:r>
    </w:p>
    <w:p w14:paraId="61546750">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3.、双方均应遵守对方商业机密，未经许可不得提供、出售相关机密资料以及情报与他人。</w:t>
      </w:r>
    </w:p>
    <w:p w14:paraId="1F5DBF6A">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4、本合同由双方代表签字或盖章之日起生效，双方履行完合同全部义务后终止。本合同一经签订，双方应严格履行，如有未尽事宜，双方协商后可签订补充协议。补充协议与本合同附件为本合同不可分割的组成部分，与本合同具有同等法律效力。</w:t>
      </w:r>
    </w:p>
    <w:p w14:paraId="5EDE537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5、本合同空格部分填写的文字与印刷文字具有同等法律效力，空格部分填写的文字修改须双方盖有效公章后方可生效，否则视为无效。</w:t>
      </w:r>
    </w:p>
    <w:p w14:paraId="3B130423">
      <w:pPr>
        <w:adjustRightInd w:val="0"/>
        <w:snapToGrid w:val="0"/>
        <w:spacing w:line="360" w:lineRule="auto"/>
        <w:rPr>
          <w:rFonts w:hint="eastAsia" w:ascii="宋体" w:hAnsi="宋体" w:cs="宋体"/>
          <w:color w:val="000000"/>
          <w:sz w:val="24"/>
        </w:rPr>
      </w:pPr>
      <w:r>
        <w:rPr>
          <w:rFonts w:hint="eastAsia" w:ascii="宋体" w:hAnsi="宋体" w:cs="宋体"/>
          <w:color w:val="000000"/>
          <w:sz w:val="24"/>
        </w:rPr>
        <w:t>6、本合同一式</w:t>
      </w:r>
      <w:r>
        <w:rPr>
          <w:rFonts w:hint="eastAsia" w:ascii="宋体" w:hAnsi="宋体" w:cs="宋体"/>
          <w:color w:val="000000"/>
          <w:sz w:val="24"/>
          <w:u w:val="single"/>
        </w:rPr>
        <w:t xml:space="preserve"> 五 </w:t>
      </w:r>
      <w:r>
        <w:rPr>
          <w:rFonts w:hint="eastAsia" w:ascii="宋体" w:hAnsi="宋体" w:cs="宋体"/>
          <w:color w:val="000000"/>
          <w:sz w:val="24"/>
        </w:rPr>
        <w:t>份，甲方执</w:t>
      </w:r>
      <w:r>
        <w:rPr>
          <w:rFonts w:hint="eastAsia" w:ascii="宋体" w:hAnsi="宋体" w:cs="宋体"/>
          <w:color w:val="000000"/>
          <w:sz w:val="24"/>
          <w:u w:val="single"/>
        </w:rPr>
        <w:t xml:space="preserve"> 三 </w:t>
      </w:r>
      <w:r>
        <w:rPr>
          <w:rFonts w:hint="eastAsia" w:ascii="宋体" w:hAnsi="宋体" w:cs="宋体"/>
          <w:color w:val="000000"/>
          <w:sz w:val="24"/>
        </w:rPr>
        <w:t>份，乙方执</w:t>
      </w:r>
      <w:r>
        <w:rPr>
          <w:rFonts w:hint="eastAsia" w:ascii="宋体" w:hAnsi="宋体" w:cs="宋体"/>
          <w:color w:val="000000"/>
          <w:sz w:val="24"/>
          <w:u w:val="single"/>
        </w:rPr>
        <w:t xml:space="preserve"> 二 </w:t>
      </w:r>
      <w:r>
        <w:rPr>
          <w:rFonts w:hint="eastAsia" w:ascii="宋体" w:hAnsi="宋体" w:cs="宋体"/>
          <w:color w:val="000000"/>
          <w:sz w:val="24"/>
        </w:rPr>
        <w:t>份，均具同等法律效力。</w:t>
      </w:r>
    </w:p>
    <w:p w14:paraId="2FF35684">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7、本合同未尽事宜，双方另行协商签订补充协议，补充协议与本合同具有同等法律效力。</w:t>
      </w:r>
    </w:p>
    <w:p w14:paraId="554EE0DE">
      <w:pPr>
        <w:adjustRightInd w:val="0"/>
        <w:snapToGrid w:val="0"/>
        <w:spacing w:line="360" w:lineRule="auto"/>
        <w:rPr>
          <w:rFonts w:hint="eastAsia" w:ascii="宋体" w:hAnsi="宋体" w:cs="宋体"/>
          <w:color w:val="000000"/>
          <w:sz w:val="24"/>
        </w:rPr>
      </w:pPr>
      <w:bookmarkStart w:id="1" w:name="_Toc13583786"/>
      <w:r>
        <w:rPr>
          <w:rFonts w:hint="eastAsia" w:ascii="宋体" w:hAnsi="宋体" w:cs="宋体"/>
          <w:color w:val="000000"/>
          <w:sz w:val="24"/>
        </w:rPr>
        <w:t>第八条：合同附件</w:t>
      </w:r>
      <w:bookmarkEnd w:id="1"/>
    </w:p>
    <w:p w14:paraId="1333D4C2">
      <w:pPr>
        <w:adjustRightInd w:val="0"/>
        <w:snapToGrid w:val="0"/>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合同附件与本合同具有同等法律效力。（附件内容、格式各企业自行拟定）</w:t>
      </w:r>
    </w:p>
    <w:p w14:paraId="3FAFB73D">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合同附件1：《报价表》</w:t>
      </w:r>
    </w:p>
    <w:p w14:paraId="283EE5CB">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合同附件</w:t>
      </w:r>
      <w:r>
        <w:rPr>
          <w:rFonts w:hint="eastAsia" w:ascii="宋体" w:hAnsi="宋体" w:cs="宋体"/>
          <w:color w:val="000000"/>
          <w:sz w:val="24"/>
          <w:lang w:val="en-US" w:eastAsia="zh-CN"/>
        </w:rPr>
        <w:t>2</w:t>
      </w:r>
      <w:r>
        <w:rPr>
          <w:rFonts w:hint="eastAsia" w:ascii="宋体" w:hAnsi="宋体" w:cs="宋体"/>
          <w:color w:val="000000"/>
          <w:sz w:val="24"/>
        </w:rPr>
        <w:t>：《日常清洁服务作业及质量检查标准》</w:t>
      </w:r>
    </w:p>
    <w:p w14:paraId="5478C2C8">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合同附件</w:t>
      </w:r>
      <w:r>
        <w:rPr>
          <w:rFonts w:hint="eastAsia" w:ascii="宋体" w:hAnsi="宋体" w:cs="宋体"/>
          <w:color w:val="000000"/>
          <w:sz w:val="24"/>
          <w:lang w:val="en-US" w:eastAsia="zh-CN"/>
        </w:rPr>
        <w:t>3</w:t>
      </w:r>
      <w:r>
        <w:rPr>
          <w:rFonts w:hint="eastAsia" w:ascii="宋体" w:hAnsi="宋体" w:cs="宋体"/>
          <w:color w:val="000000"/>
          <w:sz w:val="24"/>
        </w:rPr>
        <w:t>：《安全管理协议》</w:t>
      </w:r>
    </w:p>
    <w:p w14:paraId="086DC69B">
      <w:pPr>
        <w:adjustRightInd w:val="0"/>
        <w:snapToGrid w:val="0"/>
        <w:spacing w:line="360" w:lineRule="auto"/>
        <w:jc w:val="left"/>
        <w:rPr>
          <w:rFonts w:hint="eastAsia" w:ascii="宋体" w:hAnsi="宋体" w:cs="宋体"/>
          <w:color w:val="000000"/>
          <w:sz w:val="24"/>
        </w:rPr>
      </w:pPr>
      <w:r>
        <w:rPr>
          <w:rFonts w:hint="eastAsia" w:ascii="宋体" w:hAnsi="宋体" w:cs="宋体"/>
          <w:color w:val="000000"/>
          <w:sz w:val="24"/>
        </w:rPr>
        <w:t>合同附件</w:t>
      </w:r>
      <w:r>
        <w:rPr>
          <w:rFonts w:hint="eastAsia" w:ascii="宋体" w:hAnsi="宋体" w:cs="宋体"/>
          <w:color w:val="000000"/>
          <w:sz w:val="24"/>
          <w:lang w:val="en-US" w:eastAsia="zh-CN"/>
        </w:rPr>
        <w:t>4</w:t>
      </w:r>
      <w:r>
        <w:rPr>
          <w:rFonts w:hint="eastAsia" w:ascii="宋体" w:hAnsi="宋体" w:cs="宋体"/>
          <w:color w:val="000000"/>
          <w:sz w:val="24"/>
        </w:rPr>
        <w:t>：《廉政诚信协议书》</w:t>
      </w:r>
    </w:p>
    <w:p w14:paraId="4BAD2234">
      <w:pPr>
        <w:adjustRightInd w:val="0"/>
        <w:snapToGrid w:val="0"/>
        <w:spacing w:line="360" w:lineRule="auto"/>
        <w:rPr>
          <w:rFonts w:ascii="宋体" w:hAnsi="宋体" w:cs="宋体"/>
          <w:color w:val="000000"/>
          <w:sz w:val="24"/>
        </w:rPr>
      </w:pPr>
    </w:p>
    <w:p w14:paraId="78423503">
      <w:pPr>
        <w:adjustRightInd w:val="0"/>
        <w:snapToGrid w:val="0"/>
        <w:spacing w:line="360" w:lineRule="auto"/>
        <w:rPr>
          <w:rFonts w:ascii="宋体" w:hAnsi="宋体" w:cs="宋体"/>
          <w:color w:val="000000"/>
          <w:sz w:val="24"/>
        </w:rPr>
      </w:pPr>
    </w:p>
    <w:p w14:paraId="2182AF8F">
      <w:pPr>
        <w:adjustRightInd w:val="0"/>
        <w:snapToGrid w:val="0"/>
        <w:spacing w:line="360" w:lineRule="auto"/>
        <w:rPr>
          <w:rFonts w:ascii="宋体" w:hAnsi="宋体" w:cs="宋体"/>
          <w:color w:val="000000"/>
          <w:sz w:val="24"/>
        </w:rPr>
      </w:pPr>
    </w:p>
    <w:p w14:paraId="4A8E9E5B">
      <w:pPr>
        <w:adjustRightInd w:val="0"/>
        <w:snapToGrid w:val="0"/>
        <w:spacing w:line="360" w:lineRule="auto"/>
        <w:rPr>
          <w:rFonts w:ascii="宋体" w:hAnsi="宋体" w:cs="宋体"/>
          <w:color w:val="000000"/>
          <w:sz w:val="24"/>
        </w:rPr>
      </w:pPr>
      <w:r>
        <w:rPr>
          <w:rFonts w:hint="eastAsia" w:ascii="宋体" w:hAnsi="宋体" w:cs="宋体"/>
          <w:color w:val="000000"/>
          <w:sz w:val="24"/>
        </w:rPr>
        <w:t>甲方：                                    乙方：</w:t>
      </w:r>
    </w:p>
    <w:p w14:paraId="6287CCD9">
      <w:pPr>
        <w:adjustRightInd w:val="0"/>
        <w:snapToGrid w:val="0"/>
        <w:spacing w:line="360" w:lineRule="auto"/>
        <w:rPr>
          <w:rFonts w:ascii="宋体" w:hAnsi="宋体" w:cs="宋体"/>
          <w:color w:val="000000"/>
          <w:sz w:val="24"/>
        </w:rPr>
      </w:pPr>
      <w:r>
        <w:rPr>
          <w:rFonts w:hint="eastAsia" w:ascii="宋体" w:hAnsi="宋体" w:cs="宋体"/>
          <w:color w:val="000000"/>
          <w:sz w:val="24"/>
        </w:rPr>
        <w:t>授权代表：                                授权代表：</w:t>
      </w:r>
    </w:p>
    <w:p w14:paraId="7074AB5F">
      <w:pPr>
        <w:adjustRightInd w:val="0"/>
        <w:snapToGrid w:val="0"/>
        <w:spacing w:line="360" w:lineRule="auto"/>
        <w:rPr>
          <w:rFonts w:hint="eastAsia" w:ascii="宋体" w:hAnsi="宋体" w:cs="宋体"/>
          <w:color w:val="000000"/>
          <w:sz w:val="24"/>
        </w:rPr>
      </w:pPr>
      <w:r>
        <w:rPr>
          <w:rFonts w:hint="eastAsia" w:ascii="宋体" w:hAnsi="宋体" w:cs="宋体"/>
          <w:color w:val="000000"/>
          <w:sz w:val="24"/>
        </w:rPr>
        <w:t>日期：    年   月    日                   日期：   年   月   日</w:t>
      </w:r>
    </w:p>
    <w:p w14:paraId="744C9F95">
      <w:pPr>
        <w:adjustRightInd w:val="0"/>
        <w:snapToGrid w:val="0"/>
        <w:spacing w:line="360" w:lineRule="auto"/>
        <w:rPr>
          <w:rFonts w:hint="eastAsia" w:ascii="宋体" w:hAnsi="宋体" w:cs="宋体"/>
          <w:color w:val="000000"/>
          <w:sz w:val="24"/>
        </w:rPr>
      </w:pPr>
      <w:r>
        <w:rPr>
          <w:rFonts w:hint="eastAsia" w:ascii="宋体" w:hAnsi="宋体" w:cs="宋体"/>
          <w:color w:val="000000"/>
          <w:sz w:val="24"/>
        </w:rPr>
        <w:t>合同附件1：《报价表》</w:t>
      </w:r>
    </w:p>
    <w:p w14:paraId="55FDCCAE">
      <w:pPr>
        <w:adjustRightInd w:val="0"/>
        <w:snapToGrid w:val="0"/>
        <w:spacing w:line="360" w:lineRule="auto"/>
        <w:rPr>
          <w:rFonts w:hint="eastAsia" w:ascii="宋体" w:hAnsi="宋体" w:cs="宋体"/>
          <w:color w:val="000000"/>
          <w:sz w:val="24"/>
          <w:highlight w:val="yellow"/>
        </w:rPr>
      </w:pPr>
      <w:r>
        <w:drawing>
          <wp:inline distT="0" distB="0" distL="114300" distR="114300">
            <wp:extent cx="5756910" cy="5894705"/>
            <wp:effectExtent l="0" t="0" r="889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756910" cy="5894705"/>
                    </a:xfrm>
                    <a:prstGeom prst="rect">
                      <a:avLst/>
                    </a:prstGeom>
                    <a:noFill/>
                    <a:ln>
                      <a:noFill/>
                    </a:ln>
                  </pic:spPr>
                </pic:pic>
              </a:graphicData>
            </a:graphic>
          </wp:inline>
        </w:drawing>
      </w:r>
    </w:p>
    <w:p w14:paraId="7DEB4537">
      <w:pPr>
        <w:pStyle w:val="2"/>
        <w:rPr>
          <w:rFonts w:hint="default" w:hAnsi="宋体" w:cs="宋体"/>
          <w:sz w:val="24"/>
          <w:szCs w:val="32"/>
        </w:rPr>
      </w:pPr>
    </w:p>
    <w:p w14:paraId="032718D6">
      <w:pPr>
        <w:rPr>
          <w:rFonts w:ascii="宋体" w:hAnsi="宋体" w:cs="宋体"/>
          <w:sz w:val="24"/>
          <w:szCs w:val="32"/>
        </w:rPr>
      </w:pPr>
    </w:p>
    <w:p w14:paraId="328F7700">
      <w:pPr>
        <w:pStyle w:val="2"/>
        <w:rPr>
          <w:rFonts w:hint="default"/>
        </w:rPr>
      </w:pPr>
    </w:p>
    <w:p w14:paraId="44A3C20C">
      <w:pPr>
        <w:rPr>
          <w:rFonts w:hint="default"/>
        </w:rPr>
      </w:pPr>
    </w:p>
    <w:p w14:paraId="6FF10B38">
      <w:pPr>
        <w:rPr>
          <w:rFonts w:hint="default"/>
        </w:rPr>
      </w:pPr>
    </w:p>
    <w:p w14:paraId="5D60D48A">
      <w:pPr>
        <w:rPr>
          <w:rFonts w:hint="default"/>
        </w:rPr>
      </w:pPr>
    </w:p>
    <w:p w14:paraId="45548F60">
      <w:pPr>
        <w:rPr>
          <w:rFonts w:hint="default"/>
        </w:rPr>
      </w:pPr>
    </w:p>
    <w:p w14:paraId="7F49D1F4">
      <w:pPr>
        <w:rPr>
          <w:rFonts w:hint="default"/>
        </w:rPr>
      </w:pPr>
    </w:p>
    <w:p w14:paraId="1D6333AB">
      <w:pPr>
        <w:rPr>
          <w:rFonts w:hint="default"/>
        </w:rPr>
      </w:pPr>
    </w:p>
    <w:p w14:paraId="078E2EFB">
      <w:pPr>
        <w:rPr>
          <w:rFonts w:hint="default"/>
        </w:rPr>
      </w:pPr>
    </w:p>
    <w:p w14:paraId="028469D0">
      <w:pPr>
        <w:rPr>
          <w:rFonts w:hint="default" w:ascii="宋体" w:hAnsi="宋体" w:cs="宋体"/>
          <w:color w:val="000000"/>
          <w:sz w:val="24"/>
        </w:rPr>
        <w:sectPr>
          <w:pgSz w:w="11907" w:h="16840"/>
          <w:pgMar w:top="1417" w:right="1417" w:bottom="1417" w:left="1417" w:header="851" w:footer="992" w:gutter="0"/>
          <w:cols w:space="720" w:num="1"/>
          <w:titlePg/>
          <w:docGrid w:linePitch="462" w:charSpace="0"/>
        </w:sectPr>
      </w:pPr>
    </w:p>
    <w:p w14:paraId="4A40BA05">
      <w:pPr>
        <w:adjustRightInd w:val="0"/>
        <w:snapToGrid w:val="0"/>
        <w:spacing w:line="360" w:lineRule="auto"/>
        <w:jc w:val="left"/>
      </w:pPr>
      <w:r>
        <w:rPr>
          <w:rFonts w:hint="eastAsia" w:ascii="宋体" w:hAnsi="宋体" w:cs="宋体"/>
          <w:color w:val="000000"/>
          <w:sz w:val="24"/>
        </w:rPr>
        <w:t>合同附件</w:t>
      </w:r>
      <w:r>
        <w:rPr>
          <w:rFonts w:hint="eastAsia" w:ascii="宋体" w:hAnsi="宋体" w:cs="宋体"/>
          <w:color w:val="000000"/>
          <w:sz w:val="24"/>
          <w:lang w:val="en-US" w:eastAsia="zh-CN"/>
        </w:rPr>
        <w:t>2</w:t>
      </w:r>
      <w:r>
        <w:rPr>
          <w:rFonts w:hint="eastAsia" w:ascii="宋体" w:hAnsi="宋体" w:cs="宋体"/>
          <w:color w:val="000000"/>
          <w:sz w:val="24"/>
        </w:rPr>
        <w:t>：《日常清洁服务作业及质量检查标准》</w:t>
      </w:r>
    </w:p>
    <w:tbl>
      <w:tblPr>
        <w:tblStyle w:val="9"/>
        <w:tblW w:w="4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160"/>
        <w:gridCol w:w="5283"/>
        <w:gridCol w:w="833"/>
        <w:gridCol w:w="771"/>
      </w:tblGrid>
      <w:tr w14:paraId="3A74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05" w:type="dxa"/>
            <w:vAlign w:val="center"/>
          </w:tcPr>
          <w:p w14:paraId="68BD152D">
            <w:pPr>
              <w:jc w:val="center"/>
              <w:rPr>
                <w:rFonts w:ascii="宋体" w:hAnsi="宋体" w:cs="宋体"/>
                <w:sz w:val="24"/>
              </w:rPr>
            </w:pPr>
            <w:r>
              <w:rPr>
                <w:rFonts w:hint="eastAsia" w:ascii="宋体" w:hAnsi="宋体" w:cs="宋体"/>
                <w:sz w:val="24"/>
              </w:rPr>
              <w:t>一级</w:t>
            </w:r>
          </w:p>
          <w:p w14:paraId="65BE5B57">
            <w:pPr>
              <w:jc w:val="center"/>
              <w:rPr>
                <w:rFonts w:ascii="宋体" w:hAnsi="宋体" w:cs="宋体"/>
                <w:sz w:val="24"/>
              </w:rPr>
            </w:pPr>
            <w:r>
              <w:rPr>
                <w:rFonts w:hint="eastAsia" w:ascii="宋体" w:hAnsi="宋体" w:cs="宋体"/>
                <w:sz w:val="24"/>
              </w:rPr>
              <w:t>指标</w:t>
            </w:r>
          </w:p>
        </w:tc>
        <w:tc>
          <w:tcPr>
            <w:tcW w:w="1160" w:type="dxa"/>
            <w:vAlign w:val="center"/>
          </w:tcPr>
          <w:p w14:paraId="57E52C6C">
            <w:pPr>
              <w:jc w:val="center"/>
              <w:rPr>
                <w:rFonts w:ascii="宋体" w:hAnsi="宋体" w:cs="宋体"/>
                <w:sz w:val="24"/>
              </w:rPr>
            </w:pPr>
            <w:r>
              <w:rPr>
                <w:rFonts w:hint="eastAsia" w:ascii="宋体" w:hAnsi="宋体" w:cs="宋体"/>
                <w:sz w:val="24"/>
              </w:rPr>
              <w:t>二级</w:t>
            </w:r>
          </w:p>
          <w:p w14:paraId="414EDC45">
            <w:pPr>
              <w:jc w:val="center"/>
              <w:rPr>
                <w:rFonts w:ascii="宋体" w:hAnsi="宋体" w:cs="宋体"/>
                <w:sz w:val="24"/>
              </w:rPr>
            </w:pPr>
            <w:r>
              <w:rPr>
                <w:rFonts w:hint="eastAsia" w:ascii="宋体" w:hAnsi="宋体" w:cs="宋体"/>
                <w:sz w:val="24"/>
              </w:rPr>
              <w:t>指标</w:t>
            </w:r>
          </w:p>
        </w:tc>
        <w:tc>
          <w:tcPr>
            <w:tcW w:w="5283" w:type="dxa"/>
            <w:vAlign w:val="center"/>
          </w:tcPr>
          <w:p w14:paraId="313AA773">
            <w:pPr>
              <w:jc w:val="center"/>
              <w:rPr>
                <w:rFonts w:ascii="宋体" w:hAnsi="宋体" w:cs="宋体"/>
                <w:sz w:val="24"/>
              </w:rPr>
            </w:pPr>
            <w:r>
              <w:rPr>
                <w:rFonts w:hint="eastAsia" w:ascii="宋体" w:hAnsi="宋体" w:cs="宋体"/>
                <w:sz w:val="24"/>
              </w:rPr>
              <w:t>检查标准</w:t>
            </w:r>
          </w:p>
        </w:tc>
        <w:tc>
          <w:tcPr>
            <w:tcW w:w="833" w:type="dxa"/>
            <w:vAlign w:val="center"/>
          </w:tcPr>
          <w:p w14:paraId="357E2FF0">
            <w:pPr>
              <w:jc w:val="center"/>
              <w:rPr>
                <w:rFonts w:ascii="宋体" w:hAnsi="宋体" w:cs="宋体"/>
                <w:sz w:val="24"/>
              </w:rPr>
            </w:pPr>
            <w:r>
              <w:rPr>
                <w:rFonts w:hint="eastAsia" w:ascii="宋体" w:hAnsi="宋体" w:cs="宋体"/>
                <w:sz w:val="24"/>
              </w:rPr>
              <w:t>检查</w:t>
            </w:r>
          </w:p>
          <w:p w14:paraId="43CD05DA">
            <w:pPr>
              <w:jc w:val="center"/>
              <w:rPr>
                <w:rFonts w:ascii="宋体" w:hAnsi="宋体" w:cs="宋体"/>
                <w:sz w:val="24"/>
              </w:rPr>
            </w:pPr>
            <w:r>
              <w:rPr>
                <w:rFonts w:hint="eastAsia" w:ascii="宋体" w:hAnsi="宋体" w:cs="宋体"/>
                <w:sz w:val="24"/>
              </w:rPr>
              <w:t>方法</w:t>
            </w:r>
          </w:p>
        </w:tc>
        <w:tc>
          <w:tcPr>
            <w:tcW w:w="771" w:type="dxa"/>
            <w:vAlign w:val="center"/>
          </w:tcPr>
          <w:p w14:paraId="2F5D8A0A">
            <w:pPr>
              <w:jc w:val="center"/>
              <w:rPr>
                <w:rFonts w:ascii="宋体" w:hAnsi="宋体" w:cs="宋体"/>
                <w:sz w:val="24"/>
              </w:rPr>
            </w:pPr>
            <w:r>
              <w:rPr>
                <w:rFonts w:hint="eastAsia" w:ascii="宋体" w:hAnsi="宋体" w:cs="宋体"/>
                <w:sz w:val="24"/>
              </w:rPr>
              <w:t>评分</w:t>
            </w:r>
          </w:p>
          <w:p w14:paraId="2B939F87">
            <w:pPr>
              <w:jc w:val="center"/>
              <w:rPr>
                <w:rFonts w:ascii="宋体" w:hAnsi="宋体" w:cs="宋体"/>
                <w:sz w:val="24"/>
              </w:rPr>
            </w:pPr>
            <w:r>
              <w:rPr>
                <w:rFonts w:hint="eastAsia" w:ascii="宋体" w:hAnsi="宋体" w:cs="宋体"/>
                <w:sz w:val="24"/>
              </w:rPr>
              <w:t>标准</w:t>
            </w:r>
          </w:p>
        </w:tc>
      </w:tr>
      <w:tr w14:paraId="1351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1105" w:type="dxa"/>
            <w:vMerge w:val="restart"/>
            <w:vAlign w:val="center"/>
          </w:tcPr>
          <w:p w14:paraId="4B6831C0">
            <w:pPr>
              <w:jc w:val="center"/>
              <w:rPr>
                <w:rFonts w:ascii="宋体" w:hAnsi="宋体" w:cs="宋体"/>
                <w:color w:val="000000"/>
                <w:sz w:val="24"/>
              </w:rPr>
            </w:pPr>
            <w:r>
              <w:rPr>
                <w:rFonts w:hint="eastAsia" w:ascii="宋体" w:hAnsi="宋体" w:cs="宋体"/>
                <w:color w:val="000000"/>
                <w:sz w:val="24"/>
              </w:rPr>
              <w:t>管理</w:t>
            </w:r>
          </w:p>
          <w:p w14:paraId="62F3A1F3">
            <w:pPr>
              <w:jc w:val="center"/>
              <w:rPr>
                <w:rFonts w:ascii="宋体" w:hAnsi="宋体" w:cs="宋体"/>
                <w:color w:val="000000"/>
                <w:sz w:val="24"/>
              </w:rPr>
            </w:pPr>
            <w:r>
              <w:rPr>
                <w:rFonts w:hint="eastAsia" w:ascii="宋体" w:hAnsi="宋体" w:cs="宋体"/>
                <w:color w:val="000000"/>
                <w:sz w:val="24"/>
              </w:rPr>
              <w:t>要求</w:t>
            </w:r>
          </w:p>
          <w:p w14:paraId="5525DC54">
            <w:pPr>
              <w:jc w:val="center"/>
              <w:rPr>
                <w:rFonts w:ascii="宋体" w:hAnsi="宋体" w:cs="宋体"/>
                <w:color w:val="000000"/>
                <w:sz w:val="24"/>
              </w:rPr>
            </w:pPr>
            <w:r>
              <w:rPr>
                <w:rFonts w:hint="eastAsia" w:ascii="宋体" w:hAnsi="宋体" w:cs="宋体"/>
                <w:color w:val="000000"/>
                <w:sz w:val="24"/>
              </w:rPr>
              <w:t>（20分）</w:t>
            </w:r>
          </w:p>
        </w:tc>
        <w:tc>
          <w:tcPr>
            <w:tcW w:w="1160" w:type="dxa"/>
            <w:vAlign w:val="center"/>
          </w:tcPr>
          <w:p w14:paraId="74371C43">
            <w:pPr>
              <w:jc w:val="center"/>
              <w:rPr>
                <w:rFonts w:ascii="宋体" w:hAnsi="宋体" w:cs="宋体"/>
                <w:color w:val="000000"/>
                <w:sz w:val="24"/>
              </w:rPr>
            </w:pPr>
            <w:r>
              <w:rPr>
                <w:rFonts w:hint="eastAsia" w:ascii="宋体" w:hAnsi="宋体" w:cs="宋体"/>
                <w:color w:val="000000"/>
                <w:sz w:val="24"/>
              </w:rPr>
              <w:t>制度</w:t>
            </w:r>
          </w:p>
          <w:p w14:paraId="5782DC24">
            <w:pPr>
              <w:jc w:val="center"/>
              <w:rPr>
                <w:rFonts w:ascii="宋体" w:hAnsi="宋体" w:cs="宋体"/>
                <w:color w:val="000000"/>
                <w:sz w:val="24"/>
              </w:rPr>
            </w:pPr>
            <w:r>
              <w:rPr>
                <w:rFonts w:hint="eastAsia" w:ascii="宋体" w:hAnsi="宋体" w:cs="宋体"/>
                <w:color w:val="000000"/>
                <w:sz w:val="24"/>
              </w:rPr>
              <w:t>记录</w:t>
            </w:r>
          </w:p>
          <w:p w14:paraId="366A1B47">
            <w:pPr>
              <w:jc w:val="center"/>
              <w:rPr>
                <w:rFonts w:ascii="宋体" w:hAnsi="宋体" w:cs="宋体"/>
                <w:color w:val="000000"/>
                <w:sz w:val="24"/>
              </w:rPr>
            </w:pPr>
            <w:r>
              <w:rPr>
                <w:rFonts w:hint="eastAsia" w:ascii="宋体" w:hAnsi="宋体" w:cs="宋体"/>
                <w:color w:val="000000"/>
                <w:sz w:val="24"/>
              </w:rPr>
              <w:t>（6分）</w:t>
            </w:r>
          </w:p>
        </w:tc>
        <w:tc>
          <w:tcPr>
            <w:tcW w:w="5283" w:type="dxa"/>
            <w:vAlign w:val="center"/>
          </w:tcPr>
          <w:p w14:paraId="6525B8E3">
            <w:pPr>
              <w:pStyle w:val="10"/>
              <w:tabs>
                <w:tab w:val="clear" w:pos="400"/>
              </w:tabs>
              <w:ind w:left="0" w:firstLine="0"/>
              <w:outlineLvl w:val="9"/>
              <w:rPr>
                <w:rFonts w:cs="宋体"/>
                <w:color w:val="000000"/>
                <w:sz w:val="24"/>
                <w:szCs w:val="24"/>
              </w:rPr>
            </w:pPr>
            <w:bookmarkStart w:id="2" w:name="_Toc19867"/>
            <w:r>
              <w:rPr>
                <w:rFonts w:hint="eastAsia" w:cs="宋体"/>
                <w:color w:val="000000"/>
                <w:sz w:val="24"/>
                <w:szCs w:val="24"/>
              </w:rPr>
              <w:t>1、保洁类管理制度、作业指导文件健全。</w:t>
            </w:r>
            <w:bookmarkEnd w:id="2"/>
          </w:p>
          <w:p w14:paraId="1A8C4FAD">
            <w:pPr>
              <w:pStyle w:val="10"/>
              <w:tabs>
                <w:tab w:val="clear" w:pos="400"/>
              </w:tabs>
              <w:ind w:left="0" w:firstLine="0"/>
              <w:outlineLvl w:val="9"/>
              <w:rPr>
                <w:rFonts w:cs="宋体"/>
                <w:color w:val="000000"/>
                <w:sz w:val="24"/>
                <w:szCs w:val="24"/>
              </w:rPr>
            </w:pPr>
            <w:bookmarkStart w:id="3" w:name="_Toc5166"/>
            <w:r>
              <w:rPr>
                <w:rFonts w:hint="eastAsia" w:cs="宋体"/>
                <w:color w:val="000000"/>
                <w:sz w:val="24"/>
                <w:szCs w:val="24"/>
              </w:rPr>
              <w:t>2、清洁卫生实行责任制，有专职的清洁人员和明确的责任范围。</w:t>
            </w:r>
            <w:bookmarkEnd w:id="3"/>
          </w:p>
          <w:p w14:paraId="6716D759">
            <w:pPr>
              <w:pStyle w:val="10"/>
              <w:tabs>
                <w:tab w:val="clear" w:pos="400"/>
              </w:tabs>
              <w:ind w:left="0" w:firstLine="0"/>
              <w:outlineLvl w:val="9"/>
              <w:rPr>
                <w:rFonts w:cs="宋体"/>
                <w:color w:val="000000"/>
                <w:sz w:val="24"/>
                <w:szCs w:val="24"/>
              </w:rPr>
            </w:pPr>
            <w:bookmarkStart w:id="4" w:name="_Toc19362"/>
            <w:r>
              <w:rPr>
                <w:rFonts w:hint="eastAsia" w:cs="宋体"/>
                <w:color w:val="000000"/>
                <w:sz w:val="24"/>
                <w:szCs w:val="24"/>
              </w:rPr>
              <w:t>3、制订保洁管理工作检查制度并予以落实，进行定期检查，检查至少每周覆盖到每个岗位。</w:t>
            </w:r>
            <w:bookmarkEnd w:id="4"/>
          </w:p>
          <w:p w14:paraId="6D2C1C77">
            <w:pPr>
              <w:pStyle w:val="10"/>
              <w:tabs>
                <w:tab w:val="clear" w:pos="400"/>
              </w:tabs>
              <w:ind w:left="0" w:firstLine="0"/>
              <w:outlineLvl w:val="9"/>
              <w:rPr>
                <w:rFonts w:cs="宋体"/>
                <w:color w:val="000000"/>
                <w:sz w:val="24"/>
                <w:szCs w:val="24"/>
              </w:rPr>
            </w:pPr>
            <w:bookmarkStart w:id="5" w:name="_Toc28012"/>
            <w:r>
              <w:rPr>
                <w:rFonts w:hint="eastAsia" w:cs="宋体"/>
                <w:color w:val="000000"/>
                <w:sz w:val="24"/>
                <w:szCs w:val="24"/>
              </w:rPr>
              <w:t>4、部门负责人月度巡查记录，按时存档。</w:t>
            </w:r>
            <w:bookmarkEnd w:id="5"/>
          </w:p>
          <w:p w14:paraId="5146A027">
            <w:pPr>
              <w:pStyle w:val="10"/>
              <w:tabs>
                <w:tab w:val="clear" w:pos="400"/>
              </w:tabs>
              <w:ind w:left="0" w:firstLine="0"/>
              <w:outlineLvl w:val="9"/>
              <w:rPr>
                <w:rFonts w:cs="宋体"/>
                <w:color w:val="000000"/>
                <w:sz w:val="24"/>
                <w:szCs w:val="24"/>
              </w:rPr>
            </w:pPr>
            <w:bookmarkStart w:id="6" w:name="_Toc12946"/>
            <w:r>
              <w:rPr>
                <w:rFonts w:hint="eastAsia" w:cs="宋体"/>
                <w:color w:val="000000"/>
                <w:sz w:val="24"/>
                <w:szCs w:val="24"/>
              </w:rPr>
              <w:t>5、根据实际情况，及时填写各类工作计划，并按时完成，及时、如实、完整填写各类质量记录，按时存档。</w:t>
            </w:r>
            <w:bookmarkEnd w:id="6"/>
          </w:p>
          <w:p w14:paraId="3A6FCD55">
            <w:pPr>
              <w:pStyle w:val="10"/>
              <w:tabs>
                <w:tab w:val="clear" w:pos="400"/>
              </w:tabs>
              <w:ind w:left="0" w:firstLine="0"/>
              <w:outlineLvl w:val="9"/>
              <w:rPr>
                <w:rFonts w:cs="宋体"/>
                <w:color w:val="000000"/>
                <w:sz w:val="24"/>
                <w:szCs w:val="24"/>
              </w:rPr>
            </w:pPr>
            <w:bookmarkStart w:id="7" w:name="_Toc6850"/>
            <w:r>
              <w:rPr>
                <w:rFonts w:hint="eastAsia" w:cs="宋体"/>
                <w:color w:val="000000"/>
                <w:sz w:val="24"/>
                <w:szCs w:val="24"/>
              </w:rPr>
              <w:t>6、执行定期例会制度，会议记录完整。</w:t>
            </w:r>
            <w:bookmarkEnd w:id="7"/>
          </w:p>
        </w:tc>
        <w:tc>
          <w:tcPr>
            <w:tcW w:w="833" w:type="dxa"/>
            <w:vAlign w:val="center"/>
          </w:tcPr>
          <w:p w14:paraId="21497B88">
            <w:pPr>
              <w:jc w:val="center"/>
              <w:rPr>
                <w:rFonts w:ascii="宋体" w:hAnsi="宋体" w:cs="宋体"/>
                <w:color w:val="000000"/>
                <w:sz w:val="24"/>
              </w:rPr>
            </w:pPr>
            <w:r>
              <w:rPr>
                <w:rFonts w:hint="eastAsia" w:ascii="宋体" w:hAnsi="宋体" w:cs="宋体"/>
                <w:color w:val="000000"/>
                <w:sz w:val="24"/>
              </w:rPr>
              <w:t>查阅</w:t>
            </w:r>
          </w:p>
          <w:p w14:paraId="1FA532FD">
            <w:pPr>
              <w:jc w:val="center"/>
              <w:rPr>
                <w:rFonts w:ascii="宋体" w:hAnsi="宋体" w:cs="宋体"/>
                <w:color w:val="000000"/>
                <w:sz w:val="24"/>
              </w:rPr>
            </w:pPr>
            <w:r>
              <w:rPr>
                <w:rFonts w:hint="eastAsia" w:ascii="宋体" w:hAnsi="宋体" w:cs="宋体"/>
                <w:color w:val="000000"/>
                <w:sz w:val="24"/>
              </w:rPr>
              <w:t>文件</w:t>
            </w:r>
          </w:p>
          <w:p w14:paraId="61B2513A">
            <w:pPr>
              <w:jc w:val="center"/>
              <w:rPr>
                <w:rFonts w:ascii="宋体" w:hAnsi="宋体" w:cs="宋体"/>
                <w:color w:val="000000"/>
                <w:sz w:val="24"/>
              </w:rPr>
            </w:pPr>
            <w:r>
              <w:rPr>
                <w:rFonts w:hint="eastAsia" w:ascii="宋体" w:hAnsi="宋体" w:cs="宋体"/>
                <w:color w:val="000000"/>
                <w:sz w:val="24"/>
              </w:rPr>
              <w:t>记录</w:t>
            </w:r>
          </w:p>
        </w:tc>
        <w:tc>
          <w:tcPr>
            <w:tcW w:w="771" w:type="dxa"/>
            <w:vAlign w:val="center"/>
          </w:tcPr>
          <w:p w14:paraId="7C27F5E7">
            <w:pPr>
              <w:jc w:val="center"/>
              <w:rPr>
                <w:rFonts w:ascii="宋体" w:hAnsi="宋体" w:cs="宋体"/>
                <w:color w:val="000000"/>
                <w:sz w:val="24"/>
              </w:rPr>
            </w:pPr>
            <w:r>
              <w:rPr>
                <w:rFonts w:hint="eastAsia" w:ascii="宋体" w:hAnsi="宋体" w:cs="宋体"/>
                <w:color w:val="000000"/>
                <w:sz w:val="24"/>
              </w:rPr>
              <w:t>一个问题点扣</w:t>
            </w:r>
          </w:p>
          <w:p w14:paraId="54D55D90">
            <w:pPr>
              <w:jc w:val="center"/>
              <w:rPr>
                <w:rFonts w:ascii="宋体" w:hAnsi="宋体" w:cs="宋体"/>
                <w:color w:val="000000"/>
                <w:sz w:val="24"/>
              </w:rPr>
            </w:pPr>
            <w:r>
              <w:rPr>
                <w:rFonts w:hint="eastAsia" w:ascii="宋体" w:hAnsi="宋体" w:cs="宋体"/>
                <w:color w:val="000000"/>
                <w:sz w:val="24"/>
              </w:rPr>
              <w:t>1分</w:t>
            </w:r>
          </w:p>
        </w:tc>
      </w:tr>
      <w:tr w14:paraId="415B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1105" w:type="dxa"/>
            <w:vMerge w:val="continue"/>
            <w:vAlign w:val="center"/>
          </w:tcPr>
          <w:p w14:paraId="68F090B8">
            <w:pPr>
              <w:jc w:val="center"/>
              <w:rPr>
                <w:rFonts w:ascii="宋体" w:hAnsi="宋体" w:cs="宋体"/>
                <w:color w:val="000000"/>
                <w:sz w:val="24"/>
              </w:rPr>
            </w:pPr>
          </w:p>
        </w:tc>
        <w:tc>
          <w:tcPr>
            <w:tcW w:w="1160" w:type="dxa"/>
            <w:tcBorders>
              <w:bottom w:val="single" w:color="auto" w:sz="4" w:space="0"/>
            </w:tcBorders>
            <w:vAlign w:val="center"/>
          </w:tcPr>
          <w:p w14:paraId="609C6992">
            <w:pPr>
              <w:jc w:val="center"/>
              <w:rPr>
                <w:rFonts w:ascii="宋体" w:hAnsi="宋体" w:cs="宋体"/>
                <w:color w:val="000000"/>
                <w:sz w:val="24"/>
              </w:rPr>
            </w:pPr>
            <w:r>
              <w:rPr>
                <w:rFonts w:hint="eastAsia" w:ascii="宋体" w:hAnsi="宋体" w:cs="宋体"/>
                <w:color w:val="000000"/>
                <w:sz w:val="24"/>
              </w:rPr>
              <w:t>工具</w:t>
            </w:r>
          </w:p>
          <w:p w14:paraId="53E88EF7">
            <w:pPr>
              <w:jc w:val="center"/>
              <w:rPr>
                <w:rFonts w:ascii="宋体" w:hAnsi="宋体" w:cs="宋体"/>
                <w:color w:val="000000"/>
                <w:sz w:val="24"/>
              </w:rPr>
            </w:pPr>
            <w:r>
              <w:rPr>
                <w:rFonts w:hint="eastAsia" w:ascii="宋体" w:hAnsi="宋体" w:cs="宋体"/>
                <w:color w:val="000000"/>
                <w:sz w:val="24"/>
              </w:rPr>
              <w:t>用品</w:t>
            </w:r>
          </w:p>
          <w:p w14:paraId="07B022D5">
            <w:pPr>
              <w:jc w:val="center"/>
              <w:rPr>
                <w:rFonts w:ascii="宋体" w:hAnsi="宋体" w:cs="宋体"/>
                <w:color w:val="000000"/>
                <w:sz w:val="24"/>
              </w:rPr>
            </w:pPr>
            <w:r>
              <w:rPr>
                <w:rFonts w:hint="eastAsia" w:ascii="宋体" w:hAnsi="宋体" w:cs="宋体"/>
                <w:color w:val="000000"/>
                <w:sz w:val="24"/>
              </w:rPr>
              <w:t>管理</w:t>
            </w:r>
          </w:p>
          <w:p w14:paraId="378136F4">
            <w:pPr>
              <w:jc w:val="center"/>
              <w:rPr>
                <w:rFonts w:ascii="宋体" w:hAnsi="宋体" w:cs="宋体"/>
                <w:color w:val="000000"/>
                <w:sz w:val="24"/>
              </w:rPr>
            </w:pPr>
            <w:r>
              <w:rPr>
                <w:rFonts w:hint="eastAsia" w:ascii="宋体" w:hAnsi="宋体" w:cs="宋体"/>
                <w:color w:val="000000"/>
                <w:sz w:val="24"/>
              </w:rPr>
              <w:t>（6分）</w:t>
            </w:r>
          </w:p>
        </w:tc>
        <w:tc>
          <w:tcPr>
            <w:tcW w:w="5283" w:type="dxa"/>
            <w:tcBorders>
              <w:bottom w:val="single" w:color="auto" w:sz="4" w:space="0"/>
            </w:tcBorders>
            <w:vAlign w:val="center"/>
          </w:tcPr>
          <w:p w14:paraId="7D6D121F">
            <w:pPr>
              <w:pStyle w:val="10"/>
              <w:tabs>
                <w:tab w:val="clear" w:pos="400"/>
              </w:tabs>
              <w:ind w:left="0" w:firstLine="0"/>
              <w:outlineLvl w:val="9"/>
              <w:rPr>
                <w:rFonts w:cs="宋体"/>
                <w:color w:val="000000"/>
                <w:sz w:val="24"/>
                <w:szCs w:val="24"/>
              </w:rPr>
            </w:pPr>
            <w:bookmarkStart w:id="8" w:name="_Toc21942"/>
            <w:r>
              <w:rPr>
                <w:rFonts w:hint="eastAsia" w:cs="宋体"/>
                <w:color w:val="000000"/>
                <w:sz w:val="24"/>
                <w:szCs w:val="24"/>
              </w:rPr>
              <w:t>1、保洁工具设备摆放整齐、保持清洁，标识清楚；管理责任到人，不随意摆放，统一存放于非人流密集处的指定场地。</w:t>
            </w:r>
            <w:bookmarkEnd w:id="8"/>
          </w:p>
          <w:p w14:paraId="26E8351D">
            <w:pPr>
              <w:pStyle w:val="10"/>
              <w:tabs>
                <w:tab w:val="clear" w:pos="400"/>
              </w:tabs>
              <w:ind w:left="0" w:firstLine="0"/>
              <w:outlineLvl w:val="9"/>
              <w:rPr>
                <w:rFonts w:cs="宋体"/>
                <w:color w:val="000000"/>
                <w:sz w:val="24"/>
                <w:szCs w:val="24"/>
              </w:rPr>
            </w:pPr>
            <w:bookmarkStart w:id="9" w:name="_Toc15103"/>
            <w:r>
              <w:rPr>
                <w:rFonts w:hint="eastAsia" w:cs="宋体"/>
                <w:color w:val="000000"/>
                <w:sz w:val="24"/>
                <w:szCs w:val="24"/>
              </w:rPr>
              <w:t>2、机械性工具、动作无异音、操作灵敏，机身清洁；机械性工具应按说明书要求进行维护保养，或与厂家签订维保合同，实施监控并记录。</w:t>
            </w:r>
            <w:bookmarkEnd w:id="9"/>
          </w:p>
          <w:p w14:paraId="039B2449">
            <w:pPr>
              <w:pStyle w:val="10"/>
              <w:tabs>
                <w:tab w:val="clear" w:pos="400"/>
              </w:tabs>
              <w:ind w:left="0" w:firstLine="0"/>
              <w:outlineLvl w:val="9"/>
              <w:rPr>
                <w:rFonts w:cs="宋体"/>
                <w:color w:val="000000"/>
                <w:sz w:val="24"/>
                <w:szCs w:val="24"/>
              </w:rPr>
            </w:pPr>
            <w:bookmarkStart w:id="10" w:name="_Toc13996"/>
            <w:r>
              <w:rPr>
                <w:rFonts w:hint="eastAsia" w:cs="宋体"/>
                <w:color w:val="000000"/>
                <w:sz w:val="24"/>
                <w:szCs w:val="24"/>
              </w:rPr>
              <w:t>3、各类清洁剂、易耗品建立以旧换新、定额使用制度，专人保管，无浪费、不正当消耗现象。</w:t>
            </w:r>
            <w:bookmarkEnd w:id="10"/>
          </w:p>
          <w:p w14:paraId="5F1C786E">
            <w:pPr>
              <w:pStyle w:val="10"/>
              <w:tabs>
                <w:tab w:val="clear" w:pos="400"/>
              </w:tabs>
              <w:ind w:left="0" w:firstLine="0"/>
              <w:outlineLvl w:val="9"/>
              <w:rPr>
                <w:rFonts w:cs="宋体"/>
                <w:color w:val="000000"/>
                <w:sz w:val="24"/>
                <w:szCs w:val="24"/>
              </w:rPr>
            </w:pPr>
            <w:bookmarkStart w:id="11" w:name="_Toc14140"/>
            <w:r>
              <w:rPr>
                <w:rFonts w:hint="eastAsia" w:cs="宋体"/>
                <w:color w:val="000000"/>
                <w:sz w:val="24"/>
                <w:szCs w:val="24"/>
              </w:rPr>
              <w:t>4、物品的领用、借阅手续完备。</w:t>
            </w:r>
            <w:bookmarkEnd w:id="11"/>
          </w:p>
        </w:tc>
        <w:tc>
          <w:tcPr>
            <w:tcW w:w="833" w:type="dxa"/>
            <w:tcBorders>
              <w:bottom w:val="single" w:color="auto" w:sz="4" w:space="0"/>
            </w:tcBorders>
            <w:vAlign w:val="center"/>
          </w:tcPr>
          <w:p w14:paraId="36CAFAF6">
            <w:pPr>
              <w:jc w:val="center"/>
              <w:rPr>
                <w:rFonts w:ascii="宋体" w:hAnsi="宋体" w:cs="宋体"/>
                <w:color w:val="000000"/>
                <w:sz w:val="24"/>
              </w:rPr>
            </w:pPr>
            <w:r>
              <w:rPr>
                <w:rFonts w:hint="eastAsia" w:ascii="宋体" w:hAnsi="宋体" w:cs="宋体"/>
                <w:color w:val="000000"/>
                <w:sz w:val="24"/>
              </w:rPr>
              <w:t>查阅</w:t>
            </w:r>
          </w:p>
          <w:p w14:paraId="61661783">
            <w:pPr>
              <w:jc w:val="center"/>
              <w:rPr>
                <w:rFonts w:ascii="宋体" w:hAnsi="宋体" w:cs="宋体"/>
                <w:color w:val="000000"/>
                <w:sz w:val="24"/>
              </w:rPr>
            </w:pPr>
            <w:r>
              <w:rPr>
                <w:rFonts w:hint="eastAsia" w:ascii="宋体" w:hAnsi="宋体" w:cs="宋体"/>
                <w:color w:val="000000"/>
                <w:sz w:val="24"/>
              </w:rPr>
              <w:t>文件</w:t>
            </w:r>
          </w:p>
          <w:p w14:paraId="4E50F834">
            <w:pPr>
              <w:jc w:val="center"/>
              <w:rPr>
                <w:rFonts w:ascii="宋体" w:hAnsi="宋体" w:cs="宋体"/>
                <w:color w:val="000000"/>
                <w:sz w:val="24"/>
              </w:rPr>
            </w:pPr>
            <w:r>
              <w:rPr>
                <w:rFonts w:hint="eastAsia" w:ascii="宋体" w:hAnsi="宋体" w:cs="宋体"/>
                <w:color w:val="000000"/>
                <w:sz w:val="24"/>
              </w:rPr>
              <w:t>记录</w:t>
            </w:r>
          </w:p>
          <w:p w14:paraId="7D3724B7">
            <w:pPr>
              <w:pStyle w:val="4"/>
              <w:ind w:firstLine="280"/>
              <w:rPr>
                <w:rFonts w:hint="default"/>
              </w:rPr>
            </w:pPr>
          </w:p>
          <w:p w14:paraId="3B4DE2B9">
            <w:pPr>
              <w:jc w:val="center"/>
              <w:rPr>
                <w:rFonts w:ascii="宋体" w:hAnsi="宋体" w:cs="宋体"/>
                <w:color w:val="000000"/>
                <w:sz w:val="24"/>
              </w:rPr>
            </w:pPr>
            <w:r>
              <w:rPr>
                <w:rFonts w:hint="eastAsia" w:ascii="宋体" w:hAnsi="宋体" w:cs="宋体"/>
                <w:color w:val="000000"/>
                <w:sz w:val="24"/>
              </w:rPr>
              <w:t>现场</w:t>
            </w:r>
          </w:p>
          <w:p w14:paraId="1972D689">
            <w:pPr>
              <w:jc w:val="center"/>
              <w:rPr>
                <w:rFonts w:ascii="宋体" w:hAnsi="宋体" w:cs="宋体"/>
                <w:color w:val="000000"/>
                <w:sz w:val="24"/>
              </w:rPr>
            </w:pPr>
            <w:r>
              <w:rPr>
                <w:rFonts w:hint="eastAsia" w:ascii="宋体" w:hAnsi="宋体" w:cs="宋体"/>
                <w:color w:val="000000"/>
                <w:sz w:val="24"/>
              </w:rPr>
              <w:t>查看</w:t>
            </w:r>
          </w:p>
        </w:tc>
        <w:tc>
          <w:tcPr>
            <w:tcW w:w="771" w:type="dxa"/>
            <w:tcBorders>
              <w:bottom w:val="single" w:color="auto" w:sz="4" w:space="0"/>
            </w:tcBorders>
            <w:vAlign w:val="center"/>
          </w:tcPr>
          <w:p w14:paraId="4D39C921">
            <w:pPr>
              <w:jc w:val="center"/>
              <w:rPr>
                <w:rFonts w:ascii="宋体" w:hAnsi="宋体" w:cs="宋体"/>
                <w:color w:val="000000"/>
                <w:sz w:val="24"/>
              </w:rPr>
            </w:pPr>
            <w:r>
              <w:rPr>
                <w:rFonts w:hint="eastAsia" w:ascii="宋体" w:hAnsi="宋体" w:cs="宋体"/>
                <w:color w:val="000000"/>
                <w:sz w:val="24"/>
              </w:rPr>
              <w:t>一个问题点扣</w:t>
            </w:r>
          </w:p>
          <w:p w14:paraId="54FA6EAD">
            <w:pPr>
              <w:jc w:val="center"/>
              <w:rPr>
                <w:rFonts w:ascii="宋体" w:hAnsi="宋体" w:cs="宋体"/>
                <w:color w:val="000000"/>
                <w:sz w:val="24"/>
              </w:rPr>
            </w:pPr>
            <w:r>
              <w:rPr>
                <w:rFonts w:hint="eastAsia" w:ascii="宋体" w:hAnsi="宋体" w:cs="宋体"/>
                <w:color w:val="000000"/>
                <w:sz w:val="24"/>
              </w:rPr>
              <w:t>1分</w:t>
            </w:r>
          </w:p>
        </w:tc>
      </w:tr>
      <w:tr w14:paraId="4482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1105" w:type="dxa"/>
            <w:vMerge w:val="continue"/>
            <w:vAlign w:val="center"/>
          </w:tcPr>
          <w:p w14:paraId="57C458B9">
            <w:pPr>
              <w:jc w:val="center"/>
              <w:rPr>
                <w:rFonts w:ascii="宋体" w:hAnsi="宋体" w:cs="宋体"/>
                <w:color w:val="000000"/>
                <w:sz w:val="24"/>
              </w:rPr>
            </w:pPr>
          </w:p>
        </w:tc>
        <w:tc>
          <w:tcPr>
            <w:tcW w:w="1160" w:type="dxa"/>
            <w:vAlign w:val="center"/>
          </w:tcPr>
          <w:p w14:paraId="36E3675C">
            <w:pPr>
              <w:jc w:val="center"/>
              <w:rPr>
                <w:rFonts w:ascii="宋体" w:hAnsi="宋体" w:cs="宋体"/>
                <w:color w:val="000000"/>
                <w:sz w:val="24"/>
              </w:rPr>
            </w:pPr>
            <w:r>
              <w:rPr>
                <w:rFonts w:hint="eastAsia" w:ascii="宋体" w:hAnsi="宋体" w:cs="宋体"/>
                <w:color w:val="000000"/>
                <w:sz w:val="24"/>
              </w:rPr>
              <w:t>作业</w:t>
            </w:r>
          </w:p>
          <w:p w14:paraId="0968AE38">
            <w:pPr>
              <w:jc w:val="center"/>
              <w:rPr>
                <w:rFonts w:ascii="宋体" w:hAnsi="宋体" w:cs="宋体"/>
                <w:color w:val="000000"/>
                <w:sz w:val="24"/>
              </w:rPr>
            </w:pPr>
            <w:r>
              <w:rPr>
                <w:rFonts w:hint="eastAsia" w:ascii="宋体" w:hAnsi="宋体" w:cs="宋体"/>
                <w:color w:val="000000"/>
                <w:sz w:val="24"/>
              </w:rPr>
              <w:t>管理</w:t>
            </w:r>
          </w:p>
          <w:p w14:paraId="119FC8C4">
            <w:pPr>
              <w:jc w:val="center"/>
              <w:rPr>
                <w:rFonts w:ascii="宋体" w:hAnsi="宋体" w:cs="宋体"/>
                <w:color w:val="000000"/>
                <w:sz w:val="24"/>
              </w:rPr>
            </w:pPr>
            <w:r>
              <w:rPr>
                <w:rFonts w:hint="eastAsia" w:ascii="宋体" w:hAnsi="宋体" w:cs="宋体"/>
                <w:color w:val="000000"/>
                <w:sz w:val="24"/>
              </w:rPr>
              <w:t>（8分）</w:t>
            </w:r>
          </w:p>
        </w:tc>
        <w:tc>
          <w:tcPr>
            <w:tcW w:w="5283" w:type="dxa"/>
            <w:vAlign w:val="center"/>
          </w:tcPr>
          <w:p w14:paraId="364D1594">
            <w:pPr>
              <w:pStyle w:val="10"/>
              <w:tabs>
                <w:tab w:val="clear" w:pos="400"/>
              </w:tabs>
              <w:ind w:left="0" w:firstLine="0"/>
              <w:outlineLvl w:val="9"/>
              <w:rPr>
                <w:rFonts w:cs="宋体"/>
                <w:color w:val="000000"/>
                <w:sz w:val="24"/>
                <w:szCs w:val="24"/>
              </w:rPr>
            </w:pPr>
            <w:bookmarkStart w:id="12" w:name="_Toc26671"/>
            <w:r>
              <w:rPr>
                <w:rFonts w:hint="eastAsia" w:cs="宋体"/>
                <w:color w:val="000000"/>
                <w:sz w:val="24"/>
                <w:szCs w:val="24"/>
              </w:rPr>
              <w:t>1、配备必要的劳动防护用品，作业（如使用药剂、分拣垃圾）时能正确穿戴、使用。</w:t>
            </w:r>
            <w:bookmarkEnd w:id="12"/>
          </w:p>
          <w:p w14:paraId="0F689D84">
            <w:pPr>
              <w:pStyle w:val="10"/>
              <w:tabs>
                <w:tab w:val="clear" w:pos="400"/>
              </w:tabs>
              <w:ind w:left="0" w:firstLine="0"/>
              <w:outlineLvl w:val="9"/>
              <w:rPr>
                <w:rFonts w:cs="宋体"/>
                <w:color w:val="000000"/>
                <w:sz w:val="24"/>
                <w:szCs w:val="24"/>
              </w:rPr>
            </w:pPr>
            <w:bookmarkStart w:id="13" w:name="_Toc22231"/>
            <w:r>
              <w:rPr>
                <w:rFonts w:hint="eastAsia" w:cs="宋体"/>
                <w:color w:val="000000"/>
                <w:sz w:val="24"/>
                <w:szCs w:val="24"/>
              </w:rPr>
              <w:t>2、对清洁过程中有安全隐患或造成不便的部位或设施，设有明显标识或采取有效防范措施。</w:t>
            </w:r>
            <w:bookmarkEnd w:id="13"/>
          </w:p>
          <w:p w14:paraId="156DC316">
            <w:pPr>
              <w:pStyle w:val="10"/>
              <w:tabs>
                <w:tab w:val="clear" w:pos="400"/>
              </w:tabs>
              <w:ind w:left="0" w:firstLine="0"/>
              <w:outlineLvl w:val="9"/>
              <w:rPr>
                <w:rFonts w:cs="宋体"/>
                <w:color w:val="000000"/>
                <w:sz w:val="24"/>
                <w:szCs w:val="24"/>
              </w:rPr>
            </w:pPr>
            <w:bookmarkStart w:id="14" w:name="_Toc9010"/>
            <w:r>
              <w:rPr>
                <w:rFonts w:hint="eastAsia" w:cs="宋体"/>
                <w:color w:val="000000"/>
                <w:sz w:val="24"/>
                <w:szCs w:val="24"/>
              </w:rPr>
              <w:t>3、节约用水，作业过程中无浪费水资源的行为。</w:t>
            </w:r>
            <w:bookmarkEnd w:id="14"/>
          </w:p>
          <w:p w14:paraId="52DB9F68">
            <w:pPr>
              <w:pStyle w:val="10"/>
              <w:tabs>
                <w:tab w:val="clear" w:pos="400"/>
              </w:tabs>
              <w:ind w:left="0" w:firstLine="0"/>
              <w:outlineLvl w:val="9"/>
              <w:rPr>
                <w:rFonts w:cs="宋体"/>
                <w:color w:val="000000"/>
                <w:sz w:val="24"/>
                <w:szCs w:val="24"/>
              </w:rPr>
            </w:pPr>
            <w:bookmarkStart w:id="15" w:name="_Toc982"/>
            <w:r>
              <w:rPr>
                <w:rFonts w:hint="eastAsia" w:cs="宋体"/>
                <w:color w:val="000000"/>
                <w:sz w:val="24"/>
                <w:szCs w:val="24"/>
              </w:rPr>
              <w:t>4、拖把、水桶等清洁工具按规定摆放，不占用通道，禁止用水桶等工具挡住电梯门，或将水桶放在电梯口附近。</w:t>
            </w:r>
            <w:bookmarkEnd w:id="15"/>
          </w:p>
          <w:p w14:paraId="6576BDAE">
            <w:pPr>
              <w:pStyle w:val="10"/>
              <w:tabs>
                <w:tab w:val="clear" w:pos="400"/>
              </w:tabs>
              <w:ind w:left="0" w:firstLine="0"/>
              <w:outlineLvl w:val="9"/>
              <w:rPr>
                <w:rFonts w:cs="宋体"/>
                <w:color w:val="000000"/>
                <w:sz w:val="24"/>
                <w:szCs w:val="24"/>
              </w:rPr>
            </w:pPr>
            <w:bookmarkStart w:id="16" w:name="_Toc9407"/>
            <w:r>
              <w:rPr>
                <w:rFonts w:hint="eastAsia" w:cs="宋体"/>
                <w:color w:val="000000"/>
                <w:sz w:val="24"/>
                <w:szCs w:val="24"/>
              </w:rPr>
              <w:t>5、洗涤剂、药品的容器要有明显的标识，使用时进行控制，不使用强腐蚀性的酸碱清洗剂。</w:t>
            </w:r>
            <w:bookmarkEnd w:id="16"/>
          </w:p>
          <w:p w14:paraId="77728A5F">
            <w:pPr>
              <w:pStyle w:val="10"/>
              <w:tabs>
                <w:tab w:val="clear" w:pos="400"/>
              </w:tabs>
              <w:ind w:left="0" w:firstLine="0"/>
              <w:outlineLvl w:val="9"/>
              <w:rPr>
                <w:rFonts w:cs="宋体"/>
                <w:color w:val="000000"/>
                <w:sz w:val="24"/>
                <w:szCs w:val="24"/>
              </w:rPr>
            </w:pPr>
            <w:bookmarkStart w:id="17" w:name="_Toc32184"/>
            <w:r>
              <w:rPr>
                <w:rFonts w:hint="eastAsia" w:cs="宋体"/>
                <w:color w:val="000000"/>
                <w:sz w:val="24"/>
                <w:szCs w:val="24"/>
              </w:rPr>
              <w:t>6、用完后的洗涤剂、酸碱容器等要集中收集、专人处理。</w:t>
            </w:r>
            <w:bookmarkEnd w:id="17"/>
          </w:p>
        </w:tc>
        <w:tc>
          <w:tcPr>
            <w:tcW w:w="833" w:type="dxa"/>
            <w:vAlign w:val="center"/>
          </w:tcPr>
          <w:p w14:paraId="50D35369">
            <w:pPr>
              <w:jc w:val="center"/>
              <w:rPr>
                <w:rFonts w:ascii="宋体" w:hAnsi="宋体" w:cs="宋体"/>
                <w:color w:val="000000"/>
                <w:sz w:val="24"/>
              </w:rPr>
            </w:pPr>
            <w:r>
              <w:rPr>
                <w:rFonts w:hint="eastAsia" w:ascii="宋体" w:hAnsi="宋体" w:cs="宋体"/>
                <w:color w:val="000000"/>
                <w:sz w:val="24"/>
              </w:rPr>
              <w:t>现场</w:t>
            </w:r>
          </w:p>
          <w:p w14:paraId="5C169E9B">
            <w:pPr>
              <w:jc w:val="center"/>
              <w:rPr>
                <w:rFonts w:ascii="宋体" w:hAnsi="宋体" w:cs="宋体"/>
                <w:color w:val="000000"/>
                <w:sz w:val="24"/>
              </w:rPr>
            </w:pPr>
            <w:r>
              <w:rPr>
                <w:rFonts w:hint="eastAsia" w:ascii="宋体" w:hAnsi="宋体" w:cs="宋体"/>
                <w:color w:val="000000"/>
                <w:sz w:val="24"/>
              </w:rPr>
              <w:t>查看</w:t>
            </w:r>
          </w:p>
        </w:tc>
        <w:tc>
          <w:tcPr>
            <w:tcW w:w="771" w:type="dxa"/>
            <w:vAlign w:val="center"/>
          </w:tcPr>
          <w:p w14:paraId="491E0FC6">
            <w:pPr>
              <w:jc w:val="center"/>
              <w:rPr>
                <w:rFonts w:ascii="宋体" w:hAnsi="宋体" w:cs="宋体"/>
                <w:color w:val="000000"/>
                <w:sz w:val="24"/>
              </w:rPr>
            </w:pPr>
            <w:r>
              <w:rPr>
                <w:rFonts w:hint="eastAsia" w:ascii="宋体" w:hAnsi="宋体" w:cs="宋体"/>
                <w:color w:val="000000"/>
                <w:sz w:val="24"/>
              </w:rPr>
              <w:t>一个问题</w:t>
            </w:r>
          </w:p>
          <w:p w14:paraId="3052255E">
            <w:pPr>
              <w:jc w:val="center"/>
              <w:rPr>
                <w:rFonts w:ascii="宋体" w:hAnsi="宋体" w:cs="宋体"/>
                <w:color w:val="000000"/>
                <w:sz w:val="24"/>
              </w:rPr>
            </w:pPr>
            <w:r>
              <w:rPr>
                <w:rFonts w:hint="eastAsia" w:ascii="宋体" w:hAnsi="宋体" w:cs="宋体"/>
                <w:color w:val="000000"/>
                <w:sz w:val="24"/>
              </w:rPr>
              <w:t>点扣</w:t>
            </w:r>
          </w:p>
          <w:p w14:paraId="6617D6A3">
            <w:pPr>
              <w:jc w:val="center"/>
              <w:rPr>
                <w:rFonts w:ascii="宋体" w:hAnsi="宋体" w:cs="宋体"/>
                <w:color w:val="000000"/>
                <w:sz w:val="24"/>
              </w:rPr>
            </w:pPr>
            <w:r>
              <w:rPr>
                <w:rFonts w:hint="eastAsia" w:ascii="宋体" w:hAnsi="宋体" w:cs="宋体"/>
                <w:color w:val="000000"/>
                <w:sz w:val="24"/>
              </w:rPr>
              <w:t>2分</w:t>
            </w:r>
          </w:p>
        </w:tc>
      </w:tr>
      <w:tr w14:paraId="0F02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7" w:hRule="atLeast"/>
          <w:jc w:val="center"/>
        </w:trPr>
        <w:tc>
          <w:tcPr>
            <w:tcW w:w="1105" w:type="dxa"/>
            <w:vMerge w:val="restart"/>
            <w:vAlign w:val="center"/>
          </w:tcPr>
          <w:p w14:paraId="2267B779">
            <w:pPr>
              <w:jc w:val="center"/>
              <w:rPr>
                <w:rFonts w:ascii="宋体" w:hAnsi="宋体" w:cs="宋体"/>
                <w:color w:val="000000"/>
                <w:sz w:val="24"/>
              </w:rPr>
            </w:pPr>
            <w:r>
              <w:rPr>
                <w:rFonts w:hint="eastAsia" w:ascii="宋体" w:hAnsi="宋体" w:cs="宋体"/>
                <w:color w:val="000000"/>
                <w:sz w:val="24"/>
              </w:rPr>
              <w:t>清洁</w:t>
            </w:r>
          </w:p>
          <w:p w14:paraId="5AAAC49F">
            <w:pPr>
              <w:jc w:val="center"/>
              <w:rPr>
                <w:rFonts w:ascii="宋体" w:hAnsi="宋体" w:cs="宋体"/>
                <w:color w:val="000000"/>
                <w:sz w:val="24"/>
              </w:rPr>
            </w:pPr>
            <w:r>
              <w:rPr>
                <w:rFonts w:hint="eastAsia" w:ascii="宋体" w:hAnsi="宋体" w:cs="宋体"/>
                <w:color w:val="000000"/>
                <w:sz w:val="24"/>
              </w:rPr>
              <w:t>卫生</w:t>
            </w:r>
          </w:p>
          <w:p w14:paraId="27F374B8">
            <w:pPr>
              <w:jc w:val="center"/>
              <w:rPr>
                <w:rFonts w:ascii="宋体" w:hAnsi="宋体" w:cs="宋体"/>
                <w:color w:val="000000"/>
                <w:sz w:val="24"/>
              </w:rPr>
            </w:pPr>
            <w:r>
              <w:rPr>
                <w:rFonts w:hint="eastAsia" w:ascii="宋体" w:hAnsi="宋体" w:cs="宋体"/>
                <w:color w:val="000000"/>
                <w:sz w:val="24"/>
              </w:rPr>
              <w:t>（70分）</w:t>
            </w:r>
          </w:p>
        </w:tc>
        <w:tc>
          <w:tcPr>
            <w:tcW w:w="1160" w:type="dxa"/>
            <w:vAlign w:val="center"/>
          </w:tcPr>
          <w:p w14:paraId="346D2018">
            <w:pPr>
              <w:jc w:val="center"/>
              <w:rPr>
                <w:rFonts w:ascii="宋体" w:hAnsi="宋体" w:cs="宋体"/>
                <w:color w:val="000000"/>
                <w:sz w:val="24"/>
              </w:rPr>
            </w:pPr>
            <w:r>
              <w:rPr>
                <w:rFonts w:hint="eastAsia" w:ascii="宋体" w:hAnsi="宋体" w:cs="宋体"/>
                <w:color w:val="000000"/>
                <w:sz w:val="24"/>
              </w:rPr>
              <w:t>楼内</w:t>
            </w:r>
          </w:p>
          <w:p w14:paraId="420984A1">
            <w:pPr>
              <w:jc w:val="left"/>
              <w:rPr>
                <w:rFonts w:ascii="宋体" w:hAnsi="宋体" w:cs="宋体"/>
                <w:color w:val="000000"/>
                <w:sz w:val="24"/>
              </w:rPr>
            </w:pPr>
            <w:r>
              <w:rPr>
                <w:rFonts w:hint="eastAsia" w:ascii="宋体" w:hAnsi="宋体" w:cs="宋体"/>
                <w:color w:val="000000"/>
                <w:sz w:val="24"/>
              </w:rPr>
              <w:t>（20分）</w:t>
            </w:r>
          </w:p>
        </w:tc>
        <w:tc>
          <w:tcPr>
            <w:tcW w:w="5283" w:type="dxa"/>
            <w:vAlign w:val="center"/>
          </w:tcPr>
          <w:p w14:paraId="2C9682A8">
            <w:pPr>
              <w:pStyle w:val="10"/>
              <w:tabs>
                <w:tab w:val="clear" w:pos="400"/>
              </w:tabs>
              <w:ind w:left="0" w:firstLine="0"/>
              <w:outlineLvl w:val="9"/>
              <w:rPr>
                <w:rFonts w:cs="宋体"/>
                <w:color w:val="000000"/>
                <w:sz w:val="24"/>
                <w:szCs w:val="24"/>
              </w:rPr>
            </w:pPr>
            <w:bookmarkStart w:id="18" w:name="_Toc29468"/>
            <w:r>
              <w:rPr>
                <w:rFonts w:hint="eastAsia" w:cs="宋体"/>
                <w:color w:val="000000"/>
                <w:sz w:val="24"/>
                <w:szCs w:val="24"/>
              </w:rPr>
              <w:t>1、公共楼梯、走道、电梯厅、大堂等公共部位无烟头纸屑、无蜘蛛网、无乱贴乱画、无擅自占用和堆放杂物现象；地面无灰尘、无污迹、无脚印，呈本色，石材地面和胶质地面定期打蜡或晶面处理，保持光亮；拖地后地面无明显水迹，空气清新。</w:t>
            </w:r>
            <w:bookmarkEnd w:id="18"/>
          </w:p>
          <w:p w14:paraId="23139990">
            <w:pPr>
              <w:pStyle w:val="10"/>
              <w:tabs>
                <w:tab w:val="clear" w:pos="400"/>
              </w:tabs>
              <w:ind w:left="0" w:firstLine="0"/>
              <w:outlineLvl w:val="9"/>
              <w:rPr>
                <w:rFonts w:cs="宋体"/>
                <w:color w:val="000000"/>
                <w:sz w:val="24"/>
                <w:szCs w:val="24"/>
              </w:rPr>
            </w:pPr>
            <w:bookmarkStart w:id="19" w:name="_Toc14263"/>
            <w:r>
              <w:rPr>
                <w:rFonts w:hint="eastAsia" w:cs="宋体"/>
                <w:color w:val="000000"/>
                <w:sz w:val="24"/>
                <w:szCs w:val="24"/>
              </w:rPr>
              <w:t>2、地下车库、消防楼梯、架空层、走廊、天台无烟头纸屑、无积水、无明显油迹、无异味、无蜘蛛网、无乱贴乱画、无擅自占用和堆放杂物现象。</w:t>
            </w:r>
            <w:bookmarkEnd w:id="19"/>
          </w:p>
          <w:p w14:paraId="1D5B6777">
            <w:pPr>
              <w:pStyle w:val="10"/>
              <w:tabs>
                <w:tab w:val="clear" w:pos="400"/>
              </w:tabs>
              <w:ind w:left="0" w:firstLine="0"/>
              <w:outlineLvl w:val="9"/>
              <w:rPr>
                <w:rFonts w:cs="宋体"/>
                <w:color w:val="000000"/>
                <w:sz w:val="24"/>
                <w:szCs w:val="24"/>
              </w:rPr>
            </w:pPr>
            <w:bookmarkStart w:id="20" w:name="_Toc19074"/>
            <w:r>
              <w:rPr>
                <w:rFonts w:hint="eastAsia" w:cs="宋体"/>
                <w:color w:val="000000"/>
                <w:sz w:val="24"/>
                <w:szCs w:val="24"/>
              </w:rPr>
              <w:t>3、人体接触不到的楼内设施设备目视无明显灰尘、无污迹、无蜘蛛网；人体能接触到的设施设备无灰尘、无污迹、无明显手印，呈本色。</w:t>
            </w:r>
            <w:bookmarkEnd w:id="20"/>
          </w:p>
          <w:p w14:paraId="0BFC7307">
            <w:pPr>
              <w:pStyle w:val="10"/>
              <w:tabs>
                <w:tab w:val="clear" w:pos="400"/>
              </w:tabs>
              <w:ind w:left="0" w:firstLine="0"/>
              <w:outlineLvl w:val="9"/>
              <w:rPr>
                <w:rFonts w:cs="宋体"/>
                <w:color w:val="000000"/>
                <w:sz w:val="24"/>
                <w:szCs w:val="24"/>
              </w:rPr>
            </w:pPr>
            <w:bookmarkStart w:id="21" w:name="_Toc17278"/>
            <w:r>
              <w:rPr>
                <w:rFonts w:hint="eastAsia" w:cs="宋体"/>
                <w:color w:val="000000"/>
                <w:sz w:val="24"/>
                <w:szCs w:val="24"/>
              </w:rPr>
              <w:t>4、距地面2M以下的玻璃，纸巾擦拭50CM无明显污迹；2M以上的玻璃目视无明显灰尘，窗框、玻璃上无污垢，无泥沙。</w:t>
            </w:r>
            <w:bookmarkEnd w:id="21"/>
          </w:p>
          <w:p w14:paraId="2A0E3823">
            <w:pPr>
              <w:pStyle w:val="10"/>
              <w:tabs>
                <w:tab w:val="clear" w:pos="400"/>
              </w:tabs>
              <w:ind w:left="0" w:firstLine="0"/>
              <w:outlineLvl w:val="9"/>
              <w:rPr>
                <w:rFonts w:cs="宋体"/>
                <w:color w:val="000000"/>
                <w:sz w:val="24"/>
                <w:szCs w:val="24"/>
              </w:rPr>
            </w:pPr>
            <w:bookmarkStart w:id="22" w:name="_Toc2782"/>
            <w:r>
              <w:rPr>
                <w:rFonts w:hint="eastAsia" w:cs="宋体"/>
                <w:color w:val="000000"/>
                <w:sz w:val="24"/>
                <w:szCs w:val="24"/>
              </w:rPr>
              <w:t>5、单元门、消防门等门无污迹、油垢、无灰尘和蛛网，单元门无明显手印。</w:t>
            </w:r>
            <w:bookmarkEnd w:id="22"/>
          </w:p>
          <w:p w14:paraId="24C8C20F">
            <w:pPr>
              <w:pStyle w:val="10"/>
              <w:tabs>
                <w:tab w:val="clear" w:pos="400"/>
              </w:tabs>
              <w:ind w:left="0" w:firstLine="0"/>
              <w:outlineLvl w:val="9"/>
              <w:rPr>
                <w:rFonts w:cs="宋体"/>
                <w:color w:val="000000"/>
                <w:sz w:val="24"/>
                <w:szCs w:val="24"/>
              </w:rPr>
            </w:pPr>
            <w:bookmarkStart w:id="23" w:name="_Toc2676"/>
            <w:r>
              <w:rPr>
                <w:rFonts w:hint="eastAsia" w:cs="宋体"/>
                <w:color w:val="000000"/>
                <w:sz w:val="24"/>
                <w:szCs w:val="24"/>
              </w:rPr>
              <w:t>6、通气百叶、风扇、空调滤网定期清洗，无明显灰尘。</w:t>
            </w:r>
            <w:bookmarkEnd w:id="23"/>
          </w:p>
          <w:p w14:paraId="0A9B5929">
            <w:pPr>
              <w:pStyle w:val="10"/>
              <w:tabs>
                <w:tab w:val="clear" w:pos="400"/>
              </w:tabs>
              <w:ind w:left="0" w:firstLine="0"/>
              <w:outlineLvl w:val="9"/>
              <w:rPr>
                <w:rFonts w:cs="宋体"/>
                <w:color w:val="000000"/>
                <w:sz w:val="24"/>
                <w:szCs w:val="24"/>
              </w:rPr>
            </w:pPr>
            <w:bookmarkStart w:id="24" w:name="_Toc1154"/>
            <w:r>
              <w:rPr>
                <w:rFonts w:hint="eastAsia" w:cs="宋体"/>
                <w:color w:val="000000"/>
                <w:sz w:val="24"/>
                <w:szCs w:val="24"/>
              </w:rPr>
              <w:t>7、墙面、天花无明显灰尘，无蛛网，无乱涂乱画。</w:t>
            </w:r>
            <w:bookmarkEnd w:id="24"/>
          </w:p>
          <w:p w14:paraId="27DF56B0">
            <w:pPr>
              <w:pStyle w:val="10"/>
              <w:tabs>
                <w:tab w:val="clear" w:pos="400"/>
              </w:tabs>
              <w:ind w:left="0" w:firstLine="0"/>
              <w:outlineLvl w:val="9"/>
              <w:rPr>
                <w:rFonts w:cs="宋体"/>
                <w:color w:val="000000"/>
                <w:sz w:val="24"/>
                <w:szCs w:val="24"/>
              </w:rPr>
            </w:pPr>
            <w:bookmarkStart w:id="25" w:name="_Toc32282"/>
            <w:r>
              <w:rPr>
                <w:rFonts w:hint="eastAsia" w:cs="宋体"/>
                <w:color w:val="000000"/>
                <w:sz w:val="24"/>
                <w:szCs w:val="24"/>
              </w:rPr>
              <w:t>8、电梯门、轿厢壁保持光亮，轿厢风扇无积尘，轿厢内无异味，轨槽内无沙粒。</w:t>
            </w:r>
            <w:bookmarkEnd w:id="25"/>
          </w:p>
        </w:tc>
        <w:tc>
          <w:tcPr>
            <w:tcW w:w="833" w:type="dxa"/>
            <w:vAlign w:val="center"/>
          </w:tcPr>
          <w:p w14:paraId="5686CE14">
            <w:pPr>
              <w:jc w:val="center"/>
              <w:rPr>
                <w:rFonts w:ascii="宋体" w:hAnsi="宋体" w:cs="宋体"/>
                <w:color w:val="000000"/>
                <w:sz w:val="24"/>
              </w:rPr>
            </w:pPr>
            <w:r>
              <w:rPr>
                <w:rFonts w:hint="eastAsia" w:ascii="宋体" w:hAnsi="宋体" w:cs="宋体"/>
                <w:color w:val="000000"/>
                <w:sz w:val="24"/>
              </w:rPr>
              <w:t>现场</w:t>
            </w:r>
          </w:p>
          <w:p w14:paraId="7924CA67">
            <w:pPr>
              <w:jc w:val="center"/>
              <w:rPr>
                <w:rFonts w:ascii="宋体" w:hAnsi="宋体" w:cs="宋体"/>
                <w:color w:val="000000"/>
                <w:sz w:val="24"/>
              </w:rPr>
            </w:pPr>
            <w:r>
              <w:rPr>
                <w:rFonts w:hint="eastAsia" w:ascii="宋体" w:hAnsi="宋体" w:cs="宋体"/>
                <w:color w:val="000000"/>
                <w:sz w:val="24"/>
              </w:rPr>
              <w:t>查看</w:t>
            </w:r>
          </w:p>
        </w:tc>
        <w:tc>
          <w:tcPr>
            <w:tcW w:w="771" w:type="dxa"/>
            <w:vAlign w:val="center"/>
          </w:tcPr>
          <w:p w14:paraId="130A53B1">
            <w:pPr>
              <w:jc w:val="center"/>
              <w:rPr>
                <w:rFonts w:ascii="宋体" w:hAnsi="宋体" w:cs="宋体"/>
                <w:color w:val="000000"/>
                <w:sz w:val="24"/>
              </w:rPr>
            </w:pPr>
            <w:r>
              <w:rPr>
                <w:rFonts w:hint="eastAsia" w:ascii="宋体" w:hAnsi="宋体" w:cs="宋体"/>
                <w:color w:val="000000"/>
                <w:sz w:val="24"/>
              </w:rPr>
              <w:t>一个问题点扣</w:t>
            </w:r>
          </w:p>
          <w:p w14:paraId="01AB3E19">
            <w:pPr>
              <w:jc w:val="center"/>
              <w:rPr>
                <w:rFonts w:ascii="宋体" w:hAnsi="宋体" w:cs="宋体"/>
                <w:color w:val="000000"/>
                <w:sz w:val="24"/>
              </w:rPr>
            </w:pPr>
            <w:r>
              <w:rPr>
                <w:rFonts w:hint="eastAsia" w:ascii="宋体" w:hAnsi="宋体" w:cs="宋体"/>
                <w:color w:val="000000"/>
                <w:sz w:val="24"/>
              </w:rPr>
              <w:t>1分</w:t>
            </w:r>
          </w:p>
        </w:tc>
      </w:tr>
      <w:tr w14:paraId="4D89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2" w:hRule="atLeast"/>
          <w:jc w:val="center"/>
        </w:trPr>
        <w:tc>
          <w:tcPr>
            <w:tcW w:w="1105" w:type="dxa"/>
            <w:vMerge w:val="continue"/>
            <w:vAlign w:val="center"/>
          </w:tcPr>
          <w:p w14:paraId="7D04835C">
            <w:pPr>
              <w:jc w:val="center"/>
              <w:rPr>
                <w:rFonts w:ascii="宋体" w:hAnsi="宋体" w:cs="宋体"/>
                <w:color w:val="000000"/>
                <w:sz w:val="24"/>
              </w:rPr>
            </w:pPr>
          </w:p>
        </w:tc>
        <w:tc>
          <w:tcPr>
            <w:tcW w:w="1160" w:type="dxa"/>
            <w:vAlign w:val="center"/>
          </w:tcPr>
          <w:p w14:paraId="2D891CAA">
            <w:pPr>
              <w:jc w:val="center"/>
              <w:rPr>
                <w:rFonts w:ascii="宋体" w:hAnsi="宋体" w:cs="宋体"/>
                <w:color w:val="000000"/>
                <w:sz w:val="24"/>
              </w:rPr>
            </w:pPr>
            <w:r>
              <w:rPr>
                <w:rFonts w:hint="eastAsia" w:ascii="宋体" w:hAnsi="宋体" w:cs="宋体"/>
                <w:color w:val="000000"/>
                <w:sz w:val="24"/>
              </w:rPr>
              <w:t>外围</w:t>
            </w:r>
          </w:p>
          <w:p w14:paraId="5DBE1451">
            <w:pPr>
              <w:jc w:val="center"/>
              <w:rPr>
                <w:rFonts w:ascii="宋体" w:hAnsi="宋体" w:cs="宋体"/>
                <w:color w:val="000000"/>
                <w:sz w:val="24"/>
              </w:rPr>
            </w:pPr>
            <w:r>
              <w:rPr>
                <w:rFonts w:hint="eastAsia" w:ascii="宋体" w:hAnsi="宋体" w:cs="宋体"/>
                <w:color w:val="000000"/>
                <w:sz w:val="24"/>
              </w:rPr>
              <w:t>及</w:t>
            </w:r>
          </w:p>
          <w:p w14:paraId="25425D5E">
            <w:pPr>
              <w:jc w:val="center"/>
              <w:rPr>
                <w:rFonts w:ascii="宋体" w:hAnsi="宋体" w:cs="宋体"/>
                <w:color w:val="000000"/>
                <w:sz w:val="24"/>
              </w:rPr>
            </w:pPr>
            <w:r>
              <w:rPr>
                <w:rFonts w:hint="eastAsia" w:ascii="宋体" w:hAnsi="宋体" w:cs="宋体"/>
                <w:color w:val="000000"/>
                <w:sz w:val="24"/>
              </w:rPr>
              <w:t>公共</w:t>
            </w:r>
          </w:p>
          <w:p w14:paraId="352DB376">
            <w:pPr>
              <w:jc w:val="center"/>
              <w:rPr>
                <w:rFonts w:ascii="宋体" w:hAnsi="宋体" w:cs="宋体"/>
                <w:color w:val="000000"/>
                <w:sz w:val="24"/>
              </w:rPr>
            </w:pPr>
            <w:r>
              <w:rPr>
                <w:rFonts w:hint="eastAsia" w:ascii="宋体" w:hAnsi="宋体" w:cs="宋体"/>
                <w:color w:val="000000"/>
                <w:sz w:val="24"/>
              </w:rPr>
              <w:t>设施</w:t>
            </w:r>
          </w:p>
          <w:p w14:paraId="23183E6D">
            <w:pPr>
              <w:jc w:val="center"/>
              <w:rPr>
                <w:rFonts w:ascii="宋体" w:hAnsi="宋体" w:cs="宋体"/>
                <w:color w:val="000000"/>
                <w:sz w:val="24"/>
              </w:rPr>
            </w:pPr>
            <w:r>
              <w:rPr>
                <w:rFonts w:hint="eastAsia" w:ascii="宋体" w:hAnsi="宋体" w:cs="宋体"/>
                <w:color w:val="000000"/>
                <w:sz w:val="24"/>
              </w:rPr>
              <w:t>（20分）</w:t>
            </w:r>
          </w:p>
        </w:tc>
        <w:tc>
          <w:tcPr>
            <w:tcW w:w="5283" w:type="dxa"/>
            <w:vAlign w:val="center"/>
          </w:tcPr>
          <w:p w14:paraId="5D1B9540">
            <w:pPr>
              <w:pStyle w:val="10"/>
              <w:tabs>
                <w:tab w:val="clear" w:pos="400"/>
              </w:tabs>
              <w:ind w:left="0" w:firstLine="0"/>
              <w:outlineLvl w:val="9"/>
              <w:rPr>
                <w:rFonts w:cs="宋体"/>
                <w:color w:val="000000"/>
                <w:sz w:val="24"/>
                <w:szCs w:val="24"/>
              </w:rPr>
            </w:pPr>
            <w:bookmarkStart w:id="26" w:name="_Toc9079"/>
            <w:r>
              <w:rPr>
                <w:rFonts w:hint="eastAsia" w:cs="宋体"/>
                <w:color w:val="000000"/>
                <w:sz w:val="24"/>
                <w:szCs w:val="24"/>
              </w:rPr>
              <w:t>1、外围道路、广场无烟头纸屑、无杂物、无明显污迹，新丢弃的纸屑等在30分钟内清扫干净。</w:t>
            </w:r>
            <w:bookmarkEnd w:id="26"/>
          </w:p>
          <w:p w14:paraId="709024F4">
            <w:pPr>
              <w:pStyle w:val="10"/>
              <w:tabs>
                <w:tab w:val="clear" w:pos="400"/>
              </w:tabs>
              <w:ind w:left="0" w:firstLine="0"/>
              <w:outlineLvl w:val="9"/>
              <w:rPr>
                <w:rFonts w:cs="宋体"/>
                <w:color w:val="000000"/>
                <w:sz w:val="24"/>
                <w:szCs w:val="24"/>
              </w:rPr>
            </w:pPr>
            <w:bookmarkStart w:id="27" w:name="_Toc24737"/>
            <w:r>
              <w:rPr>
                <w:rFonts w:hint="eastAsia" w:cs="宋体"/>
                <w:color w:val="000000"/>
                <w:sz w:val="24"/>
                <w:szCs w:val="24"/>
              </w:rPr>
              <w:t>2、绿化带内无果皮、烟头纸屑等杂物和落叶。</w:t>
            </w:r>
            <w:bookmarkEnd w:id="27"/>
          </w:p>
          <w:p w14:paraId="1645C2A2">
            <w:pPr>
              <w:pStyle w:val="10"/>
              <w:tabs>
                <w:tab w:val="clear" w:pos="400"/>
              </w:tabs>
              <w:ind w:left="0" w:firstLine="0"/>
              <w:outlineLvl w:val="9"/>
              <w:rPr>
                <w:rFonts w:cs="宋体"/>
                <w:color w:val="000000"/>
                <w:sz w:val="24"/>
                <w:szCs w:val="24"/>
              </w:rPr>
            </w:pPr>
            <w:bookmarkStart w:id="28" w:name="_Toc13907"/>
            <w:r>
              <w:rPr>
                <w:rFonts w:hint="eastAsia" w:cs="宋体"/>
                <w:color w:val="000000"/>
                <w:sz w:val="24"/>
                <w:szCs w:val="24"/>
              </w:rPr>
              <w:t>3、乔灌木，各类设施上无掉落的衣物，塑料袋等杂物。</w:t>
            </w:r>
            <w:bookmarkEnd w:id="28"/>
          </w:p>
          <w:p w14:paraId="0C17E384">
            <w:pPr>
              <w:pStyle w:val="10"/>
              <w:tabs>
                <w:tab w:val="clear" w:pos="400"/>
              </w:tabs>
              <w:ind w:left="0" w:firstLine="0"/>
              <w:outlineLvl w:val="9"/>
              <w:rPr>
                <w:rFonts w:cs="宋体"/>
                <w:color w:val="000000"/>
                <w:sz w:val="24"/>
                <w:szCs w:val="24"/>
              </w:rPr>
            </w:pPr>
            <w:bookmarkStart w:id="29" w:name="_Toc3809"/>
            <w:r>
              <w:rPr>
                <w:rFonts w:hint="eastAsia" w:cs="宋体"/>
                <w:color w:val="000000"/>
                <w:sz w:val="24"/>
                <w:szCs w:val="24"/>
              </w:rPr>
              <w:t>4、路灯杆、草坪灯上无泥沙、蛛网，高杆灯上无明显灰尘。</w:t>
            </w:r>
            <w:bookmarkEnd w:id="29"/>
          </w:p>
          <w:p w14:paraId="25B1E135">
            <w:pPr>
              <w:pStyle w:val="10"/>
              <w:tabs>
                <w:tab w:val="clear" w:pos="400"/>
              </w:tabs>
              <w:ind w:left="0" w:firstLine="0"/>
              <w:outlineLvl w:val="9"/>
              <w:rPr>
                <w:rFonts w:cs="宋体"/>
                <w:color w:val="000000"/>
                <w:sz w:val="24"/>
                <w:szCs w:val="24"/>
              </w:rPr>
            </w:pPr>
            <w:bookmarkStart w:id="30" w:name="_Toc13497"/>
            <w:r>
              <w:rPr>
                <w:rFonts w:hint="eastAsia" w:cs="宋体"/>
                <w:color w:val="000000"/>
                <w:sz w:val="24"/>
                <w:szCs w:val="24"/>
              </w:rPr>
              <w:t>5、各类标识标牌等无明显灰尘和污迹，手摸无污迹感。</w:t>
            </w:r>
            <w:bookmarkEnd w:id="30"/>
          </w:p>
          <w:p w14:paraId="5EAC79E1">
            <w:pPr>
              <w:pStyle w:val="10"/>
              <w:tabs>
                <w:tab w:val="clear" w:pos="400"/>
              </w:tabs>
              <w:ind w:left="0" w:firstLine="0"/>
              <w:outlineLvl w:val="9"/>
              <w:rPr>
                <w:rFonts w:cs="宋体"/>
                <w:color w:val="000000"/>
                <w:sz w:val="24"/>
                <w:szCs w:val="24"/>
              </w:rPr>
            </w:pPr>
            <w:bookmarkStart w:id="31" w:name="_Toc19189"/>
            <w:r>
              <w:rPr>
                <w:rFonts w:hint="eastAsia" w:cs="宋体"/>
                <w:color w:val="000000"/>
                <w:sz w:val="24"/>
                <w:szCs w:val="24"/>
                <w:lang w:val="en-US" w:eastAsia="zh-CN"/>
              </w:rPr>
              <w:t>6</w:t>
            </w:r>
            <w:r>
              <w:rPr>
                <w:rFonts w:hint="eastAsia" w:cs="宋体"/>
                <w:color w:val="000000"/>
                <w:sz w:val="24"/>
                <w:szCs w:val="24"/>
              </w:rPr>
              <w:t>、公共桌椅无污迹、灰尘，缝隙内无杂物。</w:t>
            </w:r>
            <w:bookmarkEnd w:id="31"/>
          </w:p>
          <w:p w14:paraId="35668E2A">
            <w:pPr>
              <w:pStyle w:val="10"/>
              <w:tabs>
                <w:tab w:val="clear" w:pos="400"/>
              </w:tabs>
              <w:ind w:left="0" w:firstLine="0"/>
              <w:outlineLvl w:val="9"/>
              <w:rPr>
                <w:rFonts w:cs="宋体"/>
                <w:color w:val="000000"/>
                <w:sz w:val="24"/>
                <w:szCs w:val="24"/>
              </w:rPr>
            </w:pPr>
            <w:bookmarkStart w:id="32" w:name="_Toc1503"/>
            <w:r>
              <w:rPr>
                <w:rFonts w:hint="eastAsia" w:cs="宋体"/>
                <w:color w:val="000000"/>
                <w:sz w:val="24"/>
                <w:szCs w:val="24"/>
                <w:lang w:val="en-US" w:eastAsia="zh-CN"/>
              </w:rPr>
              <w:t>7</w:t>
            </w:r>
            <w:r>
              <w:rPr>
                <w:rFonts w:hint="eastAsia" w:cs="宋体"/>
                <w:color w:val="000000"/>
                <w:sz w:val="24"/>
                <w:szCs w:val="24"/>
              </w:rPr>
              <w:t>、各类家私物品上无灰尘和污迹，定期用家私蜡进行保养；各类纺织品无异味、无灰尘。</w:t>
            </w:r>
            <w:bookmarkEnd w:id="32"/>
          </w:p>
          <w:p w14:paraId="3CCB3545">
            <w:pPr>
              <w:pStyle w:val="10"/>
              <w:tabs>
                <w:tab w:val="clear" w:pos="400"/>
              </w:tabs>
              <w:ind w:left="0" w:firstLine="0"/>
              <w:outlineLvl w:val="9"/>
              <w:rPr>
                <w:rFonts w:cs="宋体"/>
                <w:color w:val="000000"/>
                <w:sz w:val="24"/>
                <w:szCs w:val="24"/>
              </w:rPr>
            </w:pPr>
            <w:bookmarkStart w:id="33" w:name="_Toc23373"/>
            <w:r>
              <w:rPr>
                <w:rFonts w:hint="eastAsia" w:cs="宋体"/>
                <w:color w:val="000000"/>
                <w:sz w:val="24"/>
                <w:szCs w:val="24"/>
                <w:lang w:val="en-US" w:eastAsia="zh-CN"/>
              </w:rPr>
              <w:t>8</w:t>
            </w:r>
            <w:r>
              <w:rPr>
                <w:rFonts w:hint="eastAsia" w:cs="宋体"/>
                <w:color w:val="000000"/>
                <w:sz w:val="24"/>
                <w:szCs w:val="24"/>
              </w:rPr>
              <w:t>、各类园林小品无明显的灰尘，无杂物，金属雕像无锈迹、铜绿等现象。</w:t>
            </w:r>
            <w:bookmarkEnd w:id="33"/>
          </w:p>
          <w:p w14:paraId="3454BABB">
            <w:pPr>
              <w:pStyle w:val="10"/>
              <w:tabs>
                <w:tab w:val="clear" w:pos="400"/>
              </w:tabs>
              <w:ind w:left="0" w:firstLine="0"/>
              <w:outlineLvl w:val="9"/>
              <w:rPr>
                <w:rFonts w:cs="宋体"/>
                <w:color w:val="000000"/>
                <w:sz w:val="24"/>
                <w:szCs w:val="24"/>
              </w:rPr>
            </w:pPr>
            <w:bookmarkStart w:id="34" w:name="_Toc10799"/>
            <w:r>
              <w:rPr>
                <w:rFonts w:hint="eastAsia" w:cs="宋体"/>
                <w:color w:val="000000"/>
                <w:sz w:val="24"/>
                <w:szCs w:val="24"/>
                <w:lang w:val="en-US" w:eastAsia="zh-CN"/>
              </w:rPr>
              <w:t>9</w:t>
            </w:r>
            <w:r>
              <w:rPr>
                <w:rFonts w:hint="eastAsia" w:cs="宋体"/>
                <w:color w:val="000000"/>
                <w:sz w:val="24"/>
                <w:szCs w:val="24"/>
              </w:rPr>
              <w:t>、宣传栏无灰尘，灯管下晚蛛网和死蚊子，无杂物存放，通知张贴整齐。</w:t>
            </w:r>
            <w:bookmarkEnd w:id="34"/>
          </w:p>
          <w:p w14:paraId="3C50342C">
            <w:pPr>
              <w:pStyle w:val="10"/>
              <w:tabs>
                <w:tab w:val="clear" w:pos="400"/>
              </w:tabs>
              <w:ind w:left="0" w:firstLine="0"/>
              <w:outlineLvl w:val="9"/>
              <w:rPr>
                <w:rFonts w:cs="宋体"/>
                <w:color w:val="000000"/>
                <w:sz w:val="24"/>
                <w:szCs w:val="24"/>
              </w:rPr>
            </w:pPr>
            <w:bookmarkStart w:id="35" w:name="_Toc27387"/>
            <w:r>
              <w:rPr>
                <w:rFonts w:hint="eastAsia" w:cs="宋体"/>
                <w:color w:val="000000"/>
                <w:sz w:val="24"/>
                <w:szCs w:val="24"/>
              </w:rPr>
              <w:t>1</w:t>
            </w:r>
            <w:r>
              <w:rPr>
                <w:rFonts w:hint="eastAsia" w:cs="宋体"/>
                <w:color w:val="000000"/>
                <w:sz w:val="24"/>
                <w:szCs w:val="24"/>
                <w:lang w:val="en-US" w:eastAsia="zh-CN"/>
              </w:rPr>
              <w:t>0</w:t>
            </w:r>
            <w:r>
              <w:rPr>
                <w:rFonts w:hint="eastAsia" w:cs="宋体"/>
                <w:color w:val="000000"/>
                <w:sz w:val="24"/>
                <w:szCs w:val="24"/>
              </w:rPr>
              <w:t>、各类张贴画、海报张贴整齐规范，无乱张贴现象。</w:t>
            </w:r>
            <w:bookmarkEnd w:id="35"/>
          </w:p>
          <w:p w14:paraId="14A51484">
            <w:pPr>
              <w:pStyle w:val="10"/>
              <w:tabs>
                <w:tab w:val="clear" w:pos="400"/>
              </w:tabs>
              <w:ind w:left="0" w:firstLine="0"/>
              <w:outlineLvl w:val="9"/>
              <w:rPr>
                <w:rFonts w:cs="宋体"/>
                <w:color w:val="000000"/>
                <w:sz w:val="24"/>
                <w:szCs w:val="24"/>
              </w:rPr>
            </w:pPr>
            <w:bookmarkStart w:id="36" w:name="_Toc3951"/>
            <w:r>
              <w:rPr>
                <w:rFonts w:hint="eastAsia" w:cs="宋体"/>
                <w:color w:val="000000"/>
                <w:sz w:val="24"/>
                <w:szCs w:val="24"/>
              </w:rPr>
              <w:t>1</w:t>
            </w:r>
            <w:r>
              <w:rPr>
                <w:rFonts w:hint="eastAsia" w:cs="宋体"/>
                <w:color w:val="000000"/>
                <w:sz w:val="24"/>
                <w:szCs w:val="24"/>
                <w:lang w:val="en-US" w:eastAsia="zh-CN"/>
              </w:rPr>
              <w:t>1</w:t>
            </w:r>
            <w:r>
              <w:rPr>
                <w:rFonts w:hint="eastAsia" w:cs="宋体"/>
                <w:color w:val="000000"/>
                <w:sz w:val="24"/>
                <w:szCs w:val="24"/>
              </w:rPr>
              <w:t>、信报箱无灰尘，无污迹，不锈钢、木制品定期用不锈钢水、家私蜡护理。</w:t>
            </w:r>
            <w:bookmarkEnd w:id="36"/>
          </w:p>
          <w:p w14:paraId="46825BB4">
            <w:pPr>
              <w:pStyle w:val="10"/>
              <w:tabs>
                <w:tab w:val="clear" w:pos="400"/>
              </w:tabs>
              <w:ind w:left="0" w:firstLine="0"/>
              <w:outlineLvl w:val="9"/>
              <w:rPr>
                <w:rFonts w:cs="宋体"/>
                <w:color w:val="000000"/>
                <w:sz w:val="24"/>
                <w:szCs w:val="24"/>
              </w:rPr>
            </w:pPr>
            <w:bookmarkStart w:id="37" w:name="_Toc24567"/>
            <w:r>
              <w:rPr>
                <w:rFonts w:hint="eastAsia" w:cs="宋体"/>
                <w:color w:val="000000"/>
                <w:sz w:val="24"/>
                <w:szCs w:val="24"/>
              </w:rPr>
              <w:t>1</w:t>
            </w:r>
            <w:r>
              <w:rPr>
                <w:rFonts w:hint="eastAsia" w:cs="宋体"/>
                <w:color w:val="000000"/>
                <w:sz w:val="24"/>
                <w:szCs w:val="24"/>
                <w:lang w:val="en-US" w:eastAsia="zh-CN"/>
              </w:rPr>
              <w:t>2</w:t>
            </w:r>
            <w:r>
              <w:rPr>
                <w:rFonts w:hint="eastAsia" w:cs="宋体"/>
                <w:color w:val="000000"/>
                <w:sz w:val="24"/>
                <w:szCs w:val="24"/>
              </w:rPr>
              <w:t>、消防栓边无堆积物，无污迹和油迹、锈迹。</w:t>
            </w:r>
            <w:bookmarkEnd w:id="37"/>
          </w:p>
          <w:p w14:paraId="5AF4E597">
            <w:pPr>
              <w:pStyle w:val="10"/>
              <w:tabs>
                <w:tab w:val="clear" w:pos="400"/>
              </w:tabs>
              <w:ind w:left="0" w:firstLine="0"/>
              <w:outlineLvl w:val="9"/>
              <w:rPr>
                <w:rFonts w:cs="宋体"/>
                <w:color w:val="000000"/>
                <w:sz w:val="24"/>
                <w:szCs w:val="24"/>
              </w:rPr>
            </w:pPr>
            <w:bookmarkStart w:id="38" w:name="_Toc7527"/>
            <w:r>
              <w:rPr>
                <w:rFonts w:hint="eastAsia" w:cs="宋体"/>
                <w:color w:val="000000"/>
                <w:sz w:val="24"/>
                <w:szCs w:val="24"/>
              </w:rPr>
              <w:t>1</w:t>
            </w:r>
            <w:r>
              <w:rPr>
                <w:rFonts w:hint="eastAsia" w:cs="宋体"/>
                <w:color w:val="000000"/>
                <w:sz w:val="24"/>
                <w:szCs w:val="24"/>
                <w:lang w:val="en-US" w:eastAsia="zh-CN"/>
              </w:rPr>
              <w:t>3</w:t>
            </w:r>
            <w:r>
              <w:rPr>
                <w:rFonts w:hint="eastAsia" w:cs="宋体"/>
                <w:color w:val="000000"/>
                <w:sz w:val="24"/>
                <w:szCs w:val="24"/>
              </w:rPr>
              <w:t>、岗亭无乱张贴现象，无污迹和明显灰尘。</w:t>
            </w:r>
            <w:bookmarkEnd w:id="38"/>
          </w:p>
          <w:p w14:paraId="52488113">
            <w:pPr>
              <w:pStyle w:val="10"/>
              <w:tabs>
                <w:tab w:val="clear" w:pos="400"/>
              </w:tabs>
              <w:ind w:left="0" w:firstLine="0"/>
              <w:outlineLvl w:val="9"/>
              <w:rPr>
                <w:rFonts w:cs="宋体"/>
                <w:color w:val="000000"/>
                <w:sz w:val="24"/>
                <w:szCs w:val="24"/>
              </w:rPr>
            </w:pPr>
            <w:bookmarkStart w:id="39" w:name="_Toc24045"/>
            <w:r>
              <w:rPr>
                <w:rFonts w:hint="eastAsia" w:cs="宋体"/>
                <w:color w:val="000000"/>
                <w:sz w:val="24"/>
                <w:szCs w:val="24"/>
              </w:rPr>
              <w:t>1</w:t>
            </w:r>
            <w:r>
              <w:rPr>
                <w:rFonts w:hint="eastAsia" w:cs="宋体"/>
                <w:color w:val="000000"/>
                <w:sz w:val="24"/>
                <w:szCs w:val="24"/>
                <w:lang w:val="en-US" w:eastAsia="zh-CN"/>
              </w:rPr>
              <w:t>4</w:t>
            </w:r>
            <w:r>
              <w:rPr>
                <w:rFonts w:hint="eastAsia" w:cs="宋体"/>
                <w:color w:val="000000"/>
                <w:sz w:val="24"/>
                <w:szCs w:val="24"/>
              </w:rPr>
              <w:t>、人体不常接触到的部位，如管线，应无明显灰尘、油迹、杂物、蛛网。</w:t>
            </w:r>
            <w:bookmarkEnd w:id="39"/>
          </w:p>
          <w:p w14:paraId="28AE0F78">
            <w:pPr>
              <w:pStyle w:val="10"/>
              <w:tabs>
                <w:tab w:val="clear" w:pos="400"/>
              </w:tabs>
              <w:ind w:left="0" w:firstLine="0"/>
              <w:outlineLvl w:val="9"/>
              <w:rPr>
                <w:rFonts w:cs="宋体"/>
                <w:color w:val="000000"/>
                <w:sz w:val="24"/>
                <w:szCs w:val="24"/>
              </w:rPr>
            </w:pPr>
            <w:bookmarkStart w:id="40" w:name="_Toc24585"/>
            <w:r>
              <w:rPr>
                <w:rFonts w:hint="eastAsia" w:cs="宋体"/>
                <w:color w:val="000000"/>
                <w:sz w:val="24"/>
                <w:szCs w:val="24"/>
              </w:rPr>
              <w:t>1</w:t>
            </w:r>
            <w:r>
              <w:rPr>
                <w:rFonts w:hint="eastAsia" w:cs="宋体"/>
                <w:color w:val="000000"/>
                <w:sz w:val="24"/>
                <w:szCs w:val="24"/>
                <w:lang w:val="en-US" w:eastAsia="zh-CN"/>
              </w:rPr>
              <w:t>5</w:t>
            </w:r>
            <w:r>
              <w:rPr>
                <w:rFonts w:hint="eastAsia" w:cs="宋体"/>
                <w:color w:val="000000"/>
                <w:sz w:val="24"/>
                <w:szCs w:val="24"/>
              </w:rPr>
              <w:t>、喷泉水景水质不浑浊、无青苔、无明显沉淀物和漂浮物、无蚊虫滋生。</w:t>
            </w:r>
            <w:bookmarkEnd w:id="40"/>
          </w:p>
          <w:p w14:paraId="14AB306A">
            <w:pPr>
              <w:pStyle w:val="10"/>
              <w:tabs>
                <w:tab w:val="clear" w:pos="400"/>
              </w:tabs>
              <w:ind w:left="0" w:firstLine="0"/>
              <w:outlineLvl w:val="9"/>
              <w:rPr>
                <w:rFonts w:cs="宋体"/>
                <w:color w:val="000000"/>
                <w:sz w:val="24"/>
                <w:szCs w:val="24"/>
              </w:rPr>
            </w:pPr>
            <w:bookmarkStart w:id="41" w:name="_Toc17435"/>
            <w:r>
              <w:rPr>
                <w:rFonts w:hint="eastAsia" w:cs="宋体"/>
                <w:color w:val="000000"/>
                <w:sz w:val="24"/>
                <w:szCs w:val="24"/>
              </w:rPr>
              <w:t>1</w:t>
            </w:r>
            <w:r>
              <w:rPr>
                <w:rFonts w:hint="eastAsia" w:cs="宋体"/>
                <w:color w:val="000000"/>
                <w:sz w:val="24"/>
                <w:szCs w:val="24"/>
                <w:lang w:val="en-US" w:eastAsia="zh-CN"/>
              </w:rPr>
              <w:t>6</w:t>
            </w:r>
            <w:r>
              <w:rPr>
                <w:rFonts w:hint="eastAsia" w:cs="宋体"/>
                <w:color w:val="000000"/>
                <w:sz w:val="24"/>
                <w:szCs w:val="24"/>
              </w:rPr>
              <w:t>、沟渠河等水质良好，无异味、无杂物、无污水横流、无大量泡沫、无漂浮异物。</w:t>
            </w:r>
            <w:bookmarkEnd w:id="41"/>
          </w:p>
          <w:p w14:paraId="2BF17693">
            <w:pPr>
              <w:pStyle w:val="10"/>
              <w:tabs>
                <w:tab w:val="clear" w:pos="400"/>
              </w:tabs>
              <w:ind w:left="0" w:firstLine="0"/>
              <w:outlineLvl w:val="9"/>
              <w:rPr>
                <w:rFonts w:cs="宋体"/>
                <w:color w:val="000000"/>
                <w:sz w:val="24"/>
                <w:szCs w:val="24"/>
              </w:rPr>
            </w:pPr>
            <w:bookmarkStart w:id="42" w:name="_Toc30822"/>
            <w:r>
              <w:rPr>
                <w:rFonts w:hint="eastAsia" w:cs="宋体"/>
                <w:color w:val="000000"/>
                <w:sz w:val="24"/>
                <w:szCs w:val="24"/>
              </w:rPr>
              <w:t>1</w:t>
            </w:r>
            <w:r>
              <w:rPr>
                <w:rFonts w:hint="eastAsia" w:cs="宋体"/>
                <w:color w:val="000000"/>
                <w:sz w:val="24"/>
                <w:szCs w:val="24"/>
                <w:lang w:val="en-US" w:eastAsia="zh-CN"/>
              </w:rPr>
              <w:t>7</w:t>
            </w:r>
            <w:r>
              <w:rPr>
                <w:rFonts w:hint="eastAsia" w:cs="宋体"/>
                <w:color w:val="000000"/>
                <w:sz w:val="24"/>
                <w:szCs w:val="24"/>
              </w:rPr>
              <w:t>、排水沟、明沟无淤堵无蚊蝇、无杂物、无污水横流，盖板完好；排污井、暗沟部分无明显蚊蝇蟑螂活动、无堵积、沉淀物不超过管径1/5、井盖完整，覆盖紧贴，车辆碾压无噪音。</w:t>
            </w:r>
            <w:bookmarkEnd w:id="42"/>
          </w:p>
          <w:p w14:paraId="0DFC6A91">
            <w:pPr>
              <w:pStyle w:val="10"/>
              <w:tabs>
                <w:tab w:val="clear" w:pos="400"/>
              </w:tabs>
              <w:ind w:left="0" w:firstLine="0"/>
              <w:outlineLvl w:val="9"/>
              <w:rPr>
                <w:rFonts w:cs="宋体"/>
                <w:color w:val="000000"/>
                <w:sz w:val="24"/>
                <w:szCs w:val="24"/>
              </w:rPr>
            </w:pPr>
            <w:bookmarkStart w:id="43" w:name="_Toc6892"/>
            <w:r>
              <w:rPr>
                <w:rFonts w:hint="eastAsia" w:cs="宋体"/>
                <w:color w:val="000000"/>
                <w:sz w:val="24"/>
                <w:szCs w:val="24"/>
              </w:rPr>
              <w:t>1</w:t>
            </w:r>
            <w:r>
              <w:rPr>
                <w:rFonts w:hint="eastAsia" w:cs="宋体"/>
                <w:color w:val="000000"/>
                <w:sz w:val="24"/>
                <w:szCs w:val="24"/>
                <w:lang w:val="en-US" w:eastAsia="zh-CN"/>
              </w:rPr>
              <w:t>8</w:t>
            </w:r>
            <w:r>
              <w:rPr>
                <w:rFonts w:hint="eastAsia" w:cs="宋体"/>
                <w:color w:val="000000"/>
                <w:sz w:val="24"/>
                <w:szCs w:val="24"/>
              </w:rPr>
              <w:t>、下雨后地面积水、桌椅上的积水在1小时内清理干净。</w:t>
            </w:r>
            <w:bookmarkEnd w:id="43"/>
          </w:p>
          <w:p w14:paraId="7E1B79B3">
            <w:pPr>
              <w:pStyle w:val="10"/>
              <w:tabs>
                <w:tab w:val="clear" w:pos="400"/>
              </w:tabs>
              <w:ind w:left="0" w:firstLine="0"/>
              <w:outlineLvl w:val="9"/>
              <w:rPr>
                <w:rFonts w:cs="宋体"/>
                <w:color w:val="000000"/>
                <w:sz w:val="24"/>
                <w:szCs w:val="24"/>
              </w:rPr>
            </w:pPr>
            <w:bookmarkStart w:id="44" w:name="_Toc4698"/>
            <w:r>
              <w:rPr>
                <w:rFonts w:hint="eastAsia" w:cs="宋体"/>
                <w:color w:val="000000"/>
                <w:sz w:val="24"/>
                <w:szCs w:val="24"/>
                <w:lang w:val="en-US" w:eastAsia="zh-CN"/>
              </w:rPr>
              <w:t>19</w:t>
            </w:r>
            <w:r>
              <w:rPr>
                <w:rFonts w:hint="eastAsia" w:cs="宋体"/>
                <w:color w:val="000000"/>
                <w:sz w:val="24"/>
                <w:szCs w:val="24"/>
              </w:rPr>
              <w:t>、雨蓬目视无杂物、无污迹、无积水。</w:t>
            </w:r>
            <w:bookmarkEnd w:id="44"/>
          </w:p>
          <w:p w14:paraId="3419FD75">
            <w:pPr>
              <w:pStyle w:val="10"/>
              <w:tabs>
                <w:tab w:val="clear" w:pos="400"/>
              </w:tabs>
              <w:ind w:left="0" w:firstLine="0"/>
              <w:outlineLvl w:val="9"/>
              <w:rPr>
                <w:rFonts w:cs="宋体"/>
                <w:color w:val="000000"/>
                <w:sz w:val="24"/>
                <w:szCs w:val="24"/>
              </w:rPr>
            </w:pPr>
            <w:bookmarkStart w:id="45" w:name="_Toc27751"/>
            <w:r>
              <w:rPr>
                <w:rFonts w:hint="eastAsia" w:cs="宋体"/>
                <w:color w:val="000000"/>
                <w:sz w:val="24"/>
                <w:szCs w:val="24"/>
              </w:rPr>
              <w:t>2</w:t>
            </w:r>
            <w:r>
              <w:rPr>
                <w:rFonts w:hint="eastAsia" w:cs="宋体"/>
                <w:color w:val="000000"/>
                <w:sz w:val="24"/>
                <w:szCs w:val="24"/>
                <w:lang w:val="en-US" w:eastAsia="zh-CN"/>
              </w:rPr>
              <w:t>0</w:t>
            </w:r>
            <w:r>
              <w:rPr>
                <w:rFonts w:hint="eastAsia" w:cs="宋体"/>
                <w:color w:val="000000"/>
                <w:sz w:val="24"/>
                <w:szCs w:val="24"/>
              </w:rPr>
              <w:t>、无违反当地规定的饲养家禽、家畜的现象。</w:t>
            </w:r>
            <w:bookmarkEnd w:id="45"/>
          </w:p>
        </w:tc>
        <w:tc>
          <w:tcPr>
            <w:tcW w:w="833" w:type="dxa"/>
            <w:vAlign w:val="center"/>
          </w:tcPr>
          <w:p w14:paraId="44F7F08E">
            <w:pPr>
              <w:jc w:val="center"/>
              <w:rPr>
                <w:rFonts w:ascii="宋体" w:hAnsi="宋体" w:cs="宋体"/>
                <w:color w:val="000000"/>
                <w:sz w:val="24"/>
              </w:rPr>
            </w:pPr>
            <w:r>
              <w:rPr>
                <w:rFonts w:hint="eastAsia" w:ascii="宋体" w:hAnsi="宋体" w:cs="宋体"/>
                <w:color w:val="000000"/>
                <w:sz w:val="24"/>
              </w:rPr>
              <w:t>现场</w:t>
            </w:r>
          </w:p>
          <w:p w14:paraId="6C6E0F24">
            <w:pPr>
              <w:jc w:val="center"/>
              <w:rPr>
                <w:rFonts w:ascii="宋体" w:hAnsi="宋体" w:cs="宋体"/>
                <w:color w:val="000000"/>
                <w:sz w:val="24"/>
              </w:rPr>
            </w:pPr>
            <w:r>
              <w:rPr>
                <w:rFonts w:hint="eastAsia" w:ascii="宋体" w:hAnsi="宋体" w:cs="宋体"/>
                <w:color w:val="000000"/>
                <w:sz w:val="24"/>
              </w:rPr>
              <w:t>查看</w:t>
            </w:r>
          </w:p>
        </w:tc>
        <w:tc>
          <w:tcPr>
            <w:tcW w:w="771" w:type="dxa"/>
            <w:vAlign w:val="center"/>
          </w:tcPr>
          <w:p w14:paraId="0F97FFB7">
            <w:pPr>
              <w:jc w:val="center"/>
              <w:rPr>
                <w:rFonts w:ascii="宋体" w:hAnsi="宋体" w:cs="宋体"/>
                <w:color w:val="000000"/>
                <w:sz w:val="24"/>
              </w:rPr>
            </w:pPr>
            <w:r>
              <w:rPr>
                <w:rFonts w:hint="eastAsia" w:ascii="宋体" w:hAnsi="宋体" w:cs="宋体"/>
                <w:color w:val="000000"/>
                <w:sz w:val="24"/>
              </w:rPr>
              <w:t>一个问题点扣</w:t>
            </w:r>
          </w:p>
          <w:p w14:paraId="7573511D">
            <w:pPr>
              <w:jc w:val="center"/>
              <w:rPr>
                <w:rFonts w:ascii="宋体" w:hAnsi="宋体" w:cs="宋体"/>
                <w:color w:val="000000"/>
                <w:sz w:val="24"/>
              </w:rPr>
            </w:pPr>
            <w:r>
              <w:rPr>
                <w:rFonts w:hint="eastAsia" w:ascii="宋体" w:hAnsi="宋体" w:cs="宋体"/>
                <w:color w:val="000000"/>
                <w:sz w:val="24"/>
              </w:rPr>
              <w:t>1分</w:t>
            </w:r>
          </w:p>
        </w:tc>
      </w:tr>
      <w:tr w14:paraId="7239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105" w:type="dxa"/>
            <w:vMerge w:val="continue"/>
            <w:vAlign w:val="center"/>
          </w:tcPr>
          <w:p w14:paraId="085C030C">
            <w:pPr>
              <w:jc w:val="center"/>
              <w:rPr>
                <w:rFonts w:ascii="宋体" w:hAnsi="宋体" w:cs="宋体"/>
                <w:color w:val="000000"/>
                <w:sz w:val="24"/>
              </w:rPr>
            </w:pPr>
          </w:p>
        </w:tc>
        <w:tc>
          <w:tcPr>
            <w:tcW w:w="1160" w:type="dxa"/>
            <w:vAlign w:val="center"/>
          </w:tcPr>
          <w:p w14:paraId="7DC6A8C4">
            <w:pPr>
              <w:jc w:val="center"/>
              <w:rPr>
                <w:rFonts w:ascii="宋体" w:hAnsi="宋体" w:cs="宋体"/>
                <w:color w:val="000000"/>
                <w:sz w:val="24"/>
              </w:rPr>
            </w:pPr>
            <w:r>
              <w:rPr>
                <w:rFonts w:hint="eastAsia" w:ascii="宋体" w:hAnsi="宋体" w:cs="宋体"/>
                <w:color w:val="000000"/>
                <w:sz w:val="24"/>
              </w:rPr>
              <w:t>洗手间</w:t>
            </w:r>
          </w:p>
          <w:p w14:paraId="38F30A05">
            <w:pPr>
              <w:jc w:val="center"/>
              <w:rPr>
                <w:rFonts w:ascii="宋体" w:hAnsi="宋体" w:cs="宋体"/>
                <w:color w:val="000000"/>
                <w:sz w:val="24"/>
              </w:rPr>
            </w:pPr>
            <w:r>
              <w:rPr>
                <w:rFonts w:hint="eastAsia" w:ascii="宋体" w:hAnsi="宋体" w:cs="宋体"/>
                <w:color w:val="000000"/>
                <w:sz w:val="24"/>
              </w:rPr>
              <w:t>（10分）</w:t>
            </w:r>
          </w:p>
        </w:tc>
        <w:tc>
          <w:tcPr>
            <w:tcW w:w="5283" w:type="dxa"/>
            <w:vAlign w:val="center"/>
          </w:tcPr>
          <w:p w14:paraId="73C52C61">
            <w:pPr>
              <w:pStyle w:val="10"/>
              <w:tabs>
                <w:tab w:val="clear" w:pos="400"/>
              </w:tabs>
              <w:ind w:left="0" w:firstLine="0"/>
              <w:outlineLvl w:val="9"/>
              <w:rPr>
                <w:rFonts w:cs="宋体"/>
                <w:color w:val="000000"/>
                <w:sz w:val="24"/>
                <w:szCs w:val="24"/>
              </w:rPr>
            </w:pPr>
            <w:bookmarkStart w:id="46" w:name="_Toc19604"/>
            <w:r>
              <w:rPr>
                <w:rFonts w:hint="eastAsia" w:cs="宋体"/>
                <w:color w:val="000000"/>
                <w:sz w:val="24"/>
                <w:szCs w:val="24"/>
              </w:rPr>
              <w:t>1、地面墙身及隔板干净无污渍水渍灰尘，无异味。</w:t>
            </w:r>
            <w:bookmarkEnd w:id="46"/>
          </w:p>
          <w:p w14:paraId="569A0A24">
            <w:pPr>
              <w:pStyle w:val="10"/>
              <w:tabs>
                <w:tab w:val="clear" w:pos="400"/>
              </w:tabs>
              <w:ind w:left="0" w:firstLine="0"/>
              <w:outlineLvl w:val="9"/>
              <w:rPr>
                <w:rFonts w:cs="宋体"/>
                <w:color w:val="000000"/>
                <w:sz w:val="24"/>
                <w:szCs w:val="24"/>
              </w:rPr>
            </w:pPr>
            <w:bookmarkStart w:id="47" w:name="_Toc11162"/>
            <w:r>
              <w:rPr>
                <w:rFonts w:hint="eastAsia" w:cs="宋体"/>
                <w:color w:val="000000"/>
                <w:sz w:val="24"/>
                <w:szCs w:val="24"/>
              </w:rPr>
              <w:t>2、天花灯罩及风口等干净，无尘、无蜘蛛网、无污渍。</w:t>
            </w:r>
            <w:bookmarkEnd w:id="47"/>
            <w:r>
              <w:rPr>
                <w:rFonts w:hint="eastAsia" w:cs="宋体"/>
                <w:color w:val="000000"/>
                <w:sz w:val="24"/>
                <w:szCs w:val="24"/>
              </w:rPr>
              <w:t xml:space="preserve"> </w:t>
            </w:r>
          </w:p>
          <w:p w14:paraId="46A7090B">
            <w:pPr>
              <w:pStyle w:val="10"/>
              <w:tabs>
                <w:tab w:val="clear" w:pos="400"/>
              </w:tabs>
              <w:ind w:left="0" w:firstLine="0"/>
              <w:outlineLvl w:val="9"/>
              <w:rPr>
                <w:rFonts w:cs="宋体"/>
                <w:color w:val="000000"/>
                <w:sz w:val="24"/>
                <w:szCs w:val="24"/>
              </w:rPr>
            </w:pPr>
            <w:bookmarkStart w:id="48" w:name="_Toc6997"/>
            <w:r>
              <w:rPr>
                <w:rFonts w:hint="eastAsia" w:cs="宋体"/>
                <w:color w:val="000000"/>
                <w:sz w:val="24"/>
                <w:szCs w:val="24"/>
              </w:rPr>
              <w:t>3、玻璃镜面、不锈钢面板目视无灰尘、无水珠、无污垢、无手印，有光泽，半米内可照出人物影像，洗手台无水渍、无污垢、光洁。</w:t>
            </w:r>
            <w:bookmarkEnd w:id="48"/>
          </w:p>
          <w:p w14:paraId="09E6E01F">
            <w:pPr>
              <w:pStyle w:val="10"/>
              <w:tabs>
                <w:tab w:val="clear" w:pos="400"/>
              </w:tabs>
              <w:ind w:left="0" w:firstLine="0"/>
              <w:outlineLvl w:val="9"/>
              <w:rPr>
                <w:rFonts w:cs="宋体"/>
                <w:color w:val="000000"/>
                <w:sz w:val="24"/>
                <w:szCs w:val="24"/>
              </w:rPr>
            </w:pPr>
            <w:bookmarkStart w:id="49" w:name="_Toc19495"/>
            <w:r>
              <w:rPr>
                <w:rFonts w:hint="eastAsia" w:cs="宋体"/>
                <w:color w:val="000000"/>
                <w:sz w:val="24"/>
                <w:szCs w:val="24"/>
              </w:rPr>
              <w:t>4、各类便器无污、无垢、无异味，光洁明亮。</w:t>
            </w:r>
            <w:bookmarkEnd w:id="49"/>
          </w:p>
          <w:p w14:paraId="3F8EF143">
            <w:pPr>
              <w:pStyle w:val="10"/>
              <w:tabs>
                <w:tab w:val="clear" w:pos="400"/>
              </w:tabs>
              <w:ind w:left="0" w:firstLine="0"/>
              <w:outlineLvl w:val="9"/>
              <w:rPr>
                <w:rFonts w:cs="宋体"/>
                <w:color w:val="000000"/>
                <w:sz w:val="24"/>
                <w:szCs w:val="24"/>
              </w:rPr>
            </w:pPr>
            <w:bookmarkStart w:id="50" w:name="_Toc14874"/>
            <w:r>
              <w:rPr>
                <w:rFonts w:hint="eastAsia" w:cs="宋体"/>
                <w:color w:val="000000"/>
                <w:sz w:val="24"/>
                <w:szCs w:val="24"/>
              </w:rPr>
              <w:t>5、垃圾桶无污、无水渍、干净，垃圾不超过2/3容量。</w:t>
            </w:r>
            <w:bookmarkEnd w:id="50"/>
          </w:p>
          <w:p w14:paraId="59AE3932">
            <w:pPr>
              <w:pStyle w:val="10"/>
              <w:tabs>
                <w:tab w:val="clear" w:pos="400"/>
              </w:tabs>
              <w:ind w:left="0" w:firstLine="0"/>
              <w:outlineLvl w:val="9"/>
              <w:rPr>
                <w:rFonts w:cs="宋体"/>
                <w:color w:val="000000"/>
                <w:sz w:val="24"/>
                <w:szCs w:val="24"/>
              </w:rPr>
            </w:pPr>
            <w:bookmarkStart w:id="51" w:name="_Toc30322"/>
            <w:r>
              <w:rPr>
                <w:rFonts w:hint="eastAsia" w:cs="宋体"/>
                <w:color w:val="000000"/>
                <w:sz w:val="24"/>
                <w:szCs w:val="24"/>
              </w:rPr>
              <w:t>6、洗手间每1小时巡视清洁一次。</w:t>
            </w:r>
            <w:bookmarkEnd w:id="51"/>
          </w:p>
        </w:tc>
        <w:tc>
          <w:tcPr>
            <w:tcW w:w="833" w:type="dxa"/>
            <w:vAlign w:val="center"/>
          </w:tcPr>
          <w:p w14:paraId="6AE48A61">
            <w:pPr>
              <w:jc w:val="center"/>
              <w:rPr>
                <w:rFonts w:ascii="宋体" w:hAnsi="宋体" w:cs="宋体"/>
                <w:color w:val="000000"/>
                <w:sz w:val="24"/>
              </w:rPr>
            </w:pPr>
            <w:r>
              <w:rPr>
                <w:rFonts w:hint="eastAsia" w:ascii="宋体" w:hAnsi="宋体" w:cs="宋体"/>
                <w:color w:val="000000"/>
                <w:sz w:val="24"/>
              </w:rPr>
              <w:t>现场</w:t>
            </w:r>
          </w:p>
          <w:p w14:paraId="126B60B1">
            <w:pPr>
              <w:jc w:val="center"/>
              <w:rPr>
                <w:rFonts w:ascii="宋体" w:hAnsi="宋体" w:cs="宋体"/>
                <w:color w:val="000000"/>
                <w:sz w:val="24"/>
              </w:rPr>
            </w:pPr>
            <w:r>
              <w:rPr>
                <w:rFonts w:hint="eastAsia" w:ascii="宋体" w:hAnsi="宋体" w:cs="宋体"/>
                <w:color w:val="000000"/>
                <w:sz w:val="24"/>
              </w:rPr>
              <w:t>查看</w:t>
            </w:r>
          </w:p>
        </w:tc>
        <w:tc>
          <w:tcPr>
            <w:tcW w:w="771" w:type="dxa"/>
            <w:vAlign w:val="center"/>
          </w:tcPr>
          <w:p w14:paraId="44EB0464">
            <w:pPr>
              <w:jc w:val="center"/>
              <w:rPr>
                <w:rFonts w:ascii="宋体" w:hAnsi="宋体" w:cs="宋体"/>
                <w:color w:val="000000"/>
                <w:sz w:val="24"/>
              </w:rPr>
            </w:pPr>
            <w:r>
              <w:rPr>
                <w:rFonts w:hint="eastAsia" w:ascii="宋体" w:hAnsi="宋体" w:cs="宋体"/>
                <w:color w:val="000000"/>
                <w:sz w:val="24"/>
              </w:rPr>
              <w:t>一个问题点扣</w:t>
            </w:r>
          </w:p>
          <w:p w14:paraId="77DC77A5">
            <w:pPr>
              <w:jc w:val="center"/>
              <w:rPr>
                <w:rFonts w:ascii="宋体" w:hAnsi="宋体" w:cs="宋体"/>
                <w:color w:val="000000"/>
                <w:sz w:val="24"/>
              </w:rPr>
            </w:pPr>
            <w:r>
              <w:rPr>
                <w:rFonts w:hint="eastAsia" w:ascii="宋体" w:hAnsi="宋体" w:cs="宋体"/>
                <w:color w:val="000000"/>
                <w:sz w:val="24"/>
              </w:rPr>
              <w:t>1分</w:t>
            </w:r>
          </w:p>
        </w:tc>
      </w:tr>
      <w:tr w14:paraId="6997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105" w:type="dxa"/>
            <w:vMerge w:val="continue"/>
            <w:vAlign w:val="center"/>
          </w:tcPr>
          <w:p w14:paraId="747412AC">
            <w:pPr>
              <w:jc w:val="center"/>
              <w:rPr>
                <w:rFonts w:ascii="宋体" w:hAnsi="宋体" w:cs="宋体"/>
                <w:color w:val="000000"/>
                <w:sz w:val="24"/>
              </w:rPr>
            </w:pPr>
          </w:p>
        </w:tc>
        <w:tc>
          <w:tcPr>
            <w:tcW w:w="1160" w:type="dxa"/>
            <w:vAlign w:val="center"/>
          </w:tcPr>
          <w:p w14:paraId="5BB649C7">
            <w:pPr>
              <w:jc w:val="center"/>
              <w:rPr>
                <w:rFonts w:ascii="宋体" w:hAnsi="宋体" w:cs="宋体"/>
                <w:color w:val="000000"/>
                <w:sz w:val="24"/>
              </w:rPr>
            </w:pPr>
            <w:r>
              <w:rPr>
                <w:rFonts w:hint="eastAsia" w:ascii="宋体" w:hAnsi="宋体" w:cs="宋体"/>
                <w:color w:val="000000"/>
                <w:sz w:val="24"/>
              </w:rPr>
              <w:t>空置房</w:t>
            </w:r>
          </w:p>
          <w:p w14:paraId="0C02B0C7">
            <w:pPr>
              <w:jc w:val="center"/>
              <w:rPr>
                <w:rFonts w:ascii="宋体" w:hAnsi="宋体" w:cs="宋体"/>
                <w:color w:val="000000"/>
                <w:sz w:val="24"/>
              </w:rPr>
            </w:pPr>
            <w:r>
              <w:rPr>
                <w:rFonts w:hint="eastAsia" w:ascii="宋体" w:hAnsi="宋体" w:cs="宋体"/>
                <w:color w:val="000000"/>
                <w:sz w:val="24"/>
              </w:rPr>
              <w:t>及</w:t>
            </w:r>
          </w:p>
          <w:p w14:paraId="62752ED2">
            <w:pPr>
              <w:jc w:val="center"/>
              <w:rPr>
                <w:rFonts w:ascii="宋体" w:hAnsi="宋体" w:cs="宋体"/>
                <w:color w:val="000000"/>
                <w:sz w:val="24"/>
              </w:rPr>
            </w:pPr>
            <w:r>
              <w:rPr>
                <w:rFonts w:hint="eastAsia" w:ascii="宋体" w:hAnsi="宋体" w:cs="宋体"/>
                <w:color w:val="000000"/>
                <w:sz w:val="24"/>
              </w:rPr>
              <w:t>样板房</w:t>
            </w:r>
          </w:p>
          <w:p w14:paraId="07862E65">
            <w:pPr>
              <w:jc w:val="center"/>
              <w:rPr>
                <w:rFonts w:ascii="宋体" w:hAnsi="宋体" w:cs="宋体"/>
                <w:color w:val="000000"/>
                <w:sz w:val="24"/>
              </w:rPr>
            </w:pPr>
            <w:r>
              <w:rPr>
                <w:rFonts w:hint="eastAsia" w:ascii="宋体" w:hAnsi="宋体" w:cs="宋体"/>
                <w:color w:val="000000"/>
                <w:sz w:val="24"/>
              </w:rPr>
              <w:t>（10分）</w:t>
            </w:r>
          </w:p>
        </w:tc>
        <w:tc>
          <w:tcPr>
            <w:tcW w:w="5283" w:type="dxa"/>
            <w:vAlign w:val="center"/>
          </w:tcPr>
          <w:p w14:paraId="64FF016A">
            <w:pPr>
              <w:pStyle w:val="10"/>
              <w:tabs>
                <w:tab w:val="clear" w:pos="400"/>
              </w:tabs>
              <w:ind w:left="0" w:firstLine="0"/>
              <w:outlineLvl w:val="9"/>
              <w:rPr>
                <w:rFonts w:cs="宋体"/>
                <w:color w:val="000000"/>
                <w:sz w:val="24"/>
                <w:szCs w:val="24"/>
              </w:rPr>
            </w:pPr>
            <w:bookmarkStart w:id="52" w:name="_Toc4997"/>
            <w:r>
              <w:rPr>
                <w:rFonts w:hint="eastAsia" w:cs="宋体"/>
                <w:color w:val="000000"/>
                <w:sz w:val="24"/>
                <w:szCs w:val="24"/>
              </w:rPr>
              <w:t>1、建立定期清洁制度。</w:t>
            </w:r>
            <w:bookmarkEnd w:id="52"/>
          </w:p>
          <w:p w14:paraId="5210E7E5">
            <w:pPr>
              <w:pStyle w:val="10"/>
              <w:tabs>
                <w:tab w:val="clear" w:pos="400"/>
              </w:tabs>
              <w:ind w:left="0" w:firstLine="0"/>
              <w:outlineLvl w:val="9"/>
              <w:rPr>
                <w:rFonts w:cs="宋体"/>
                <w:color w:val="000000"/>
                <w:sz w:val="24"/>
                <w:szCs w:val="24"/>
              </w:rPr>
            </w:pPr>
            <w:bookmarkStart w:id="53" w:name="_Toc22503"/>
            <w:r>
              <w:rPr>
                <w:rFonts w:hint="eastAsia" w:cs="宋体"/>
                <w:color w:val="000000"/>
                <w:sz w:val="24"/>
                <w:szCs w:val="24"/>
              </w:rPr>
              <w:t>2、室内无蜘蛛网、无异味无杂物、无污渍和明显积尘。</w:t>
            </w:r>
            <w:bookmarkEnd w:id="53"/>
          </w:p>
          <w:p w14:paraId="4D7C5806">
            <w:pPr>
              <w:pStyle w:val="10"/>
              <w:tabs>
                <w:tab w:val="clear" w:pos="400"/>
              </w:tabs>
              <w:ind w:left="0" w:firstLine="0"/>
              <w:outlineLvl w:val="9"/>
              <w:rPr>
                <w:rFonts w:cs="宋体"/>
                <w:color w:val="000000"/>
                <w:sz w:val="24"/>
                <w:szCs w:val="24"/>
              </w:rPr>
            </w:pPr>
            <w:bookmarkStart w:id="54" w:name="_Toc16924"/>
            <w:r>
              <w:rPr>
                <w:rFonts w:hint="eastAsia" w:cs="宋体"/>
                <w:color w:val="000000"/>
                <w:sz w:val="24"/>
                <w:szCs w:val="24"/>
              </w:rPr>
              <w:t>3、室内灯饰、线管无泥沙、死蚊子和杂物。</w:t>
            </w:r>
            <w:bookmarkEnd w:id="54"/>
          </w:p>
          <w:p w14:paraId="12956EA6">
            <w:pPr>
              <w:pStyle w:val="10"/>
              <w:tabs>
                <w:tab w:val="clear" w:pos="400"/>
              </w:tabs>
              <w:ind w:left="0" w:firstLine="0"/>
              <w:outlineLvl w:val="9"/>
              <w:rPr>
                <w:rFonts w:cs="宋体"/>
                <w:color w:val="000000"/>
                <w:sz w:val="24"/>
                <w:szCs w:val="24"/>
              </w:rPr>
            </w:pPr>
            <w:bookmarkStart w:id="55" w:name="_Toc32480"/>
            <w:r>
              <w:rPr>
                <w:rFonts w:hint="eastAsia" w:cs="宋体"/>
                <w:color w:val="000000"/>
                <w:sz w:val="24"/>
                <w:szCs w:val="24"/>
              </w:rPr>
              <w:t>4、室内金属雕像无锈迹无铜绿和灰尘等现象。</w:t>
            </w:r>
            <w:bookmarkEnd w:id="55"/>
          </w:p>
          <w:p w14:paraId="450FDAA1">
            <w:pPr>
              <w:pStyle w:val="10"/>
              <w:tabs>
                <w:tab w:val="clear" w:pos="400"/>
              </w:tabs>
              <w:ind w:left="0" w:firstLine="0"/>
              <w:outlineLvl w:val="9"/>
              <w:rPr>
                <w:rFonts w:cs="宋体"/>
                <w:color w:val="000000"/>
                <w:sz w:val="24"/>
                <w:szCs w:val="24"/>
              </w:rPr>
            </w:pPr>
            <w:bookmarkStart w:id="56" w:name="_Toc12828"/>
            <w:r>
              <w:rPr>
                <w:rFonts w:hint="eastAsia" w:cs="宋体"/>
                <w:color w:val="000000"/>
                <w:sz w:val="24"/>
                <w:szCs w:val="24"/>
              </w:rPr>
              <w:t>5、室内墙外墙面、地脚线、地面、玻璃窗及护栏元蛛网、无灰尘无污迹；室内无杂物存放。</w:t>
            </w:r>
            <w:bookmarkEnd w:id="56"/>
          </w:p>
        </w:tc>
        <w:tc>
          <w:tcPr>
            <w:tcW w:w="833" w:type="dxa"/>
            <w:vAlign w:val="center"/>
          </w:tcPr>
          <w:p w14:paraId="17B7C200">
            <w:pPr>
              <w:jc w:val="center"/>
              <w:rPr>
                <w:rFonts w:ascii="宋体" w:hAnsi="宋体" w:cs="宋体"/>
                <w:color w:val="000000"/>
                <w:sz w:val="24"/>
              </w:rPr>
            </w:pPr>
          </w:p>
        </w:tc>
        <w:tc>
          <w:tcPr>
            <w:tcW w:w="771" w:type="dxa"/>
            <w:vAlign w:val="center"/>
          </w:tcPr>
          <w:p w14:paraId="5C210E55">
            <w:pPr>
              <w:jc w:val="center"/>
              <w:rPr>
                <w:rFonts w:ascii="宋体" w:hAnsi="宋体" w:cs="宋体"/>
                <w:color w:val="000000"/>
                <w:sz w:val="24"/>
              </w:rPr>
            </w:pPr>
            <w:r>
              <w:rPr>
                <w:rFonts w:hint="eastAsia" w:ascii="宋体" w:hAnsi="宋体" w:cs="宋体"/>
                <w:color w:val="000000"/>
                <w:sz w:val="24"/>
              </w:rPr>
              <w:t>一个问题点扣</w:t>
            </w:r>
          </w:p>
          <w:p w14:paraId="3532CFDC">
            <w:pPr>
              <w:jc w:val="center"/>
              <w:rPr>
                <w:rFonts w:ascii="宋体" w:hAnsi="宋体" w:cs="宋体"/>
                <w:color w:val="000000"/>
                <w:sz w:val="24"/>
              </w:rPr>
            </w:pPr>
            <w:r>
              <w:rPr>
                <w:rFonts w:hint="eastAsia" w:ascii="宋体" w:hAnsi="宋体" w:cs="宋体"/>
                <w:color w:val="000000"/>
                <w:sz w:val="24"/>
              </w:rPr>
              <w:t>1分</w:t>
            </w:r>
          </w:p>
        </w:tc>
      </w:tr>
      <w:tr w14:paraId="018F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05" w:type="dxa"/>
            <w:vMerge w:val="continue"/>
            <w:vAlign w:val="center"/>
          </w:tcPr>
          <w:p w14:paraId="0A0E55E4">
            <w:pPr>
              <w:jc w:val="center"/>
              <w:rPr>
                <w:rFonts w:ascii="宋体" w:hAnsi="宋体" w:cs="宋体"/>
                <w:color w:val="000000"/>
                <w:sz w:val="24"/>
              </w:rPr>
            </w:pPr>
          </w:p>
        </w:tc>
        <w:tc>
          <w:tcPr>
            <w:tcW w:w="1160" w:type="dxa"/>
            <w:vAlign w:val="center"/>
          </w:tcPr>
          <w:p w14:paraId="5E47A68A">
            <w:pPr>
              <w:jc w:val="center"/>
              <w:rPr>
                <w:rFonts w:ascii="宋体" w:hAnsi="宋体" w:cs="宋体"/>
                <w:color w:val="000000"/>
                <w:sz w:val="24"/>
              </w:rPr>
            </w:pPr>
            <w:r>
              <w:rPr>
                <w:rFonts w:hint="eastAsia" w:ascii="宋体" w:hAnsi="宋体" w:cs="宋体"/>
                <w:color w:val="000000"/>
                <w:sz w:val="24"/>
              </w:rPr>
              <w:t>办公</w:t>
            </w:r>
          </w:p>
          <w:p w14:paraId="6325DBD3">
            <w:pPr>
              <w:jc w:val="center"/>
              <w:rPr>
                <w:rFonts w:ascii="宋体" w:hAnsi="宋体" w:cs="宋体"/>
                <w:color w:val="000000"/>
                <w:sz w:val="24"/>
              </w:rPr>
            </w:pPr>
            <w:r>
              <w:rPr>
                <w:rFonts w:hint="eastAsia" w:ascii="宋体" w:hAnsi="宋体" w:cs="宋体"/>
                <w:color w:val="000000"/>
                <w:sz w:val="24"/>
              </w:rPr>
              <w:t>场所</w:t>
            </w:r>
          </w:p>
          <w:p w14:paraId="3A7658A6">
            <w:pPr>
              <w:jc w:val="center"/>
              <w:rPr>
                <w:rFonts w:ascii="宋体" w:hAnsi="宋体" w:cs="宋体"/>
                <w:color w:val="000000"/>
                <w:sz w:val="24"/>
              </w:rPr>
            </w:pPr>
            <w:r>
              <w:rPr>
                <w:rFonts w:hint="eastAsia" w:ascii="宋体" w:hAnsi="宋体" w:cs="宋体"/>
                <w:color w:val="000000"/>
                <w:sz w:val="24"/>
              </w:rPr>
              <w:t>（10分）</w:t>
            </w:r>
          </w:p>
        </w:tc>
        <w:tc>
          <w:tcPr>
            <w:tcW w:w="5283" w:type="dxa"/>
            <w:vAlign w:val="center"/>
          </w:tcPr>
          <w:p w14:paraId="05C73CAC">
            <w:pPr>
              <w:pStyle w:val="10"/>
              <w:tabs>
                <w:tab w:val="clear" w:pos="400"/>
              </w:tabs>
              <w:ind w:left="0" w:firstLine="0"/>
              <w:outlineLvl w:val="9"/>
              <w:rPr>
                <w:rFonts w:cs="宋体"/>
                <w:color w:val="000000"/>
                <w:sz w:val="24"/>
                <w:szCs w:val="24"/>
              </w:rPr>
            </w:pPr>
            <w:bookmarkStart w:id="57" w:name="_Toc2243"/>
            <w:r>
              <w:rPr>
                <w:rFonts w:hint="eastAsia" w:cs="宋体"/>
                <w:color w:val="000000"/>
                <w:sz w:val="24"/>
                <w:szCs w:val="24"/>
              </w:rPr>
              <w:t>1、地面无污迹、无水迹并符合相应材质地面清洁要求。</w:t>
            </w:r>
            <w:bookmarkEnd w:id="57"/>
          </w:p>
          <w:p w14:paraId="7A50EFDF">
            <w:pPr>
              <w:pStyle w:val="10"/>
              <w:tabs>
                <w:tab w:val="clear" w:pos="400"/>
              </w:tabs>
              <w:ind w:left="0" w:firstLine="0"/>
              <w:outlineLvl w:val="9"/>
              <w:rPr>
                <w:rFonts w:cs="宋体"/>
                <w:color w:val="000000"/>
                <w:sz w:val="24"/>
                <w:szCs w:val="24"/>
              </w:rPr>
            </w:pPr>
            <w:bookmarkStart w:id="58" w:name="_Toc27880"/>
            <w:r>
              <w:rPr>
                <w:rFonts w:hint="eastAsia" w:cs="宋体"/>
                <w:color w:val="000000"/>
                <w:sz w:val="24"/>
                <w:szCs w:val="24"/>
              </w:rPr>
              <w:t>2、墙面、天花无污迹、灰尘、蜘蛛网。</w:t>
            </w:r>
            <w:bookmarkEnd w:id="58"/>
          </w:p>
        </w:tc>
        <w:tc>
          <w:tcPr>
            <w:tcW w:w="833" w:type="dxa"/>
            <w:vAlign w:val="center"/>
          </w:tcPr>
          <w:p w14:paraId="1D294C1F">
            <w:pPr>
              <w:jc w:val="center"/>
              <w:rPr>
                <w:rFonts w:ascii="宋体" w:hAnsi="宋体" w:cs="宋体"/>
                <w:color w:val="000000"/>
                <w:sz w:val="24"/>
              </w:rPr>
            </w:pPr>
          </w:p>
        </w:tc>
        <w:tc>
          <w:tcPr>
            <w:tcW w:w="771" w:type="dxa"/>
            <w:vAlign w:val="center"/>
          </w:tcPr>
          <w:p w14:paraId="50E21D49">
            <w:pPr>
              <w:jc w:val="center"/>
              <w:rPr>
                <w:rFonts w:ascii="宋体" w:hAnsi="宋体" w:cs="宋体"/>
                <w:color w:val="000000"/>
                <w:sz w:val="24"/>
              </w:rPr>
            </w:pPr>
          </w:p>
        </w:tc>
      </w:tr>
      <w:tr w14:paraId="58EC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6" w:hRule="atLeast"/>
          <w:jc w:val="center"/>
        </w:trPr>
        <w:tc>
          <w:tcPr>
            <w:tcW w:w="1105" w:type="dxa"/>
            <w:vAlign w:val="center"/>
          </w:tcPr>
          <w:p w14:paraId="433205B5">
            <w:pPr>
              <w:jc w:val="center"/>
              <w:rPr>
                <w:rFonts w:ascii="宋体" w:hAnsi="宋体" w:cs="宋体"/>
                <w:color w:val="000000"/>
                <w:sz w:val="24"/>
              </w:rPr>
            </w:pPr>
            <w:r>
              <w:rPr>
                <w:rFonts w:hint="eastAsia" w:ascii="宋体" w:hAnsi="宋体" w:cs="宋体"/>
                <w:color w:val="000000"/>
                <w:sz w:val="24"/>
              </w:rPr>
              <w:t>垃圾</w:t>
            </w:r>
          </w:p>
          <w:p w14:paraId="4C9F8697">
            <w:pPr>
              <w:jc w:val="center"/>
              <w:rPr>
                <w:rFonts w:ascii="宋体" w:hAnsi="宋体" w:cs="宋体"/>
                <w:color w:val="000000"/>
                <w:sz w:val="24"/>
              </w:rPr>
            </w:pPr>
            <w:r>
              <w:rPr>
                <w:rFonts w:hint="eastAsia" w:ascii="宋体" w:hAnsi="宋体" w:cs="宋体"/>
                <w:color w:val="000000"/>
                <w:sz w:val="24"/>
              </w:rPr>
              <w:t>清运</w:t>
            </w:r>
          </w:p>
          <w:p w14:paraId="47DEB9D0">
            <w:pPr>
              <w:jc w:val="center"/>
              <w:rPr>
                <w:rFonts w:ascii="宋体" w:hAnsi="宋体" w:cs="宋体"/>
                <w:color w:val="000000"/>
                <w:sz w:val="24"/>
              </w:rPr>
            </w:pPr>
            <w:r>
              <w:rPr>
                <w:rFonts w:hint="eastAsia" w:ascii="宋体" w:hAnsi="宋体" w:cs="宋体"/>
                <w:color w:val="000000"/>
                <w:sz w:val="24"/>
              </w:rPr>
              <w:t>（10分）</w:t>
            </w:r>
          </w:p>
        </w:tc>
        <w:tc>
          <w:tcPr>
            <w:tcW w:w="1160" w:type="dxa"/>
            <w:vAlign w:val="center"/>
          </w:tcPr>
          <w:p w14:paraId="5A937A06">
            <w:pPr>
              <w:jc w:val="center"/>
              <w:rPr>
                <w:rFonts w:ascii="宋体" w:hAnsi="宋体" w:cs="宋体"/>
                <w:color w:val="000000"/>
                <w:sz w:val="24"/>
              </w:rPr>
            </w:pPr>
            <w:r>
              <w:rPr>
                <w:rFonts w:hint="eastAsia" w:ascii="宋体" w:hAnsi="宋体" w:cs="宋体"/>
                <w:color w:val="000000"/>
                <w:sz w:val="24"/>
              </w:rPr>
              <w:t>日常</w:t>
            </w:r>
          </w:p>
          <w:p w14:paraId="28108965">
            <w:pPr>
              <w:jc w:val="center"/>
              <w:rPr>
                <w:rFonts w:ascii="宋体" w:hAnsi="宋体" w:cs="宋体"/>
                <w:color w:val="000000"/>
                <w:sz w:val="24"/>
              </w:rPr>
            </w:pPr>
            <w:r>
              <w:rPr>
                <w:rFonts w:hint="eastAsia" w:ascii="宋体" w:hAnsi="宋体" w:cs="宋体"/>
                <w:color w:val="000000"/>
                <w:sz w:val="24"/>
              </w:rPr>
              <w:t>管理</w:t>
            </w:r>
          </w:p>
          <w:p w14:paraId="15E4E354">
            <w:pPr>
              <w:jc w:val="center"/>
              <w:rPr>
                <w:rFonts w:ascii="宋体" w:hAnsi="宋体" w:cs="宋体"/>
                <w:color w:val="000000"/>
                <w:sz w:val="24"/>
              </w:rPr>
            </w:pPr>
            <w:r>
              <w:rPr>
                <w:rFonts w:hint="eastAsia" w:ascii="宋体" w:hAnsi="宋体" w:cs="宋体"/>
                <w:color w:val="000000"/>
                <w:sz w:val="24"/>
              </w:rPr>
              <w:t>（10分）</w:t>
            </w:r>
          </w:p>
        </w:tc>
        <w:tc>
          <w:tcPr>
            <w:tcW w:w="5283" w:type="dxa"/>
            <w:vAlign w:val="center"/>
          </w:tcPr>
          <w:p w14:paraId="6822B1A8">
            <w:pPr>
              <w:pStyle w:val="10"/>
              <w:tabs>
                <w:tab w:val="clear" w:pos="400"/>
              </w:tabs>
              <w:ind w:left="0" w:firstLine="0"/>
              <w:outlineLvl w:val="9"/>
              <w:rPr>
                <w:rFonts w:cs="宋体"/>
                <w:color w:val="000000"/>
                <w:sz w:val="24"/>
                <w:szCs w:val="24"/>
              </w:rPr>
            </w:pPr>
            <w:bookmarkStart w:id="59" w:name="_Toc31697"/>
            <w:r>
              <w:rPr>
                <w:rFonts w:hint="eastAsia" w:cs="宋体"/>
                <w:color w:val="000000"/>
                <w:sz w:val="24"/>
                <w:szCs w:val="24"/>
              </w:rPr>
              <w:t>1、</w:t>
            </w:r>
            <w:r>
              <w:rPr>
                <w:rFonts w:hint="eastAsia" w:cs="宋体"/>
                <w:color w:val="000000"/>
                <w:sz w:val="24"/>
                <w:szCs w:val="24"/>
                <w:lang w:eastAsia="zh-CN"/>
              </w:rPr>
              <w:t>大楼</w:t>
            </w:r>
            <w:r>
              <w:rPr>
                <w:rFonts w:hint="eastAsia" w:cs="宋体"/>
                <w:color w:val="000000"/>
                <w:sz w:val="24"/>
                <w:szCs w:val="24"/>
              </w:rPr>
              <w:t>内垃圾箱、果皮箱、垃圾中转站等环卫设施完备设置符合功能需要，并根据有关规定做好垃圾分类工作。</w:t>
            </w:r>
            <w:bookmarkEnd w:id="59"/>
          </w:p>
          <w:p w14:paraId="71E2F316">
            <w:pPr>
              <w:pStyle w:val="10"/>
              <w:tabs>
                <w:tab w:val="clear" w:pos="400"/>
              </w:tabs>
              <w:ind w:left="0" w:firstLine="0"/>
              <w:outlineLvl w:val="9"/>
              <w:rPr>
                <w:rFonts w:cs="宋体"/>
                <w:color w:val="000000"/>
                <w:sz w:val="24"/>
                <w:szCs w:val="24"/>
              </w:rPr>
            </w:pPr>
            <w:bookmarkStart w:id="60" w:name="_Toc19254"/>
            <w:r>
              <w:rPr>
                <w:rFonts w:hint="eastAsia" w:cs="宋体"/>
                <w:color w:val="000000"/>
                <w:sz w:val="24"/>
                <w:szCs w:val="24"/>
              </w:rPr>
              <w:t>2、垃圾中转站的垃圾日产日清，收倒过程不干扰用户正常工作、生活。</w:t>
            </w:r>
            <w:bookmarkEnd w:id="60"/>
          </w:p>
          <w:p w14:paraId="0B35E569">
            <w:pPr>
              <w:pStyle w:val="10"/>
              <w:tabs>
                <w:tab w:val="clear" w:pos="400"/>
              </w:tabs>
              <w:ind w:left="0" w:firstLine="0"/>
              <w:outlineLvl w:val="9"/>
              <w:rPr>
                <w:rFonts w:cs="宋体"/>
                <w:color w:val="000000"/>
                <w:sz w:val="24"/>
                <w:szCs w:val="24"/>
              </w:rPr>
            </w:pPr>
            <w:bookmarkStart w:id="61" w:name="_Toc11804"/>
            <w:r>
              <w:rPr>
                <w:rFonts w:hint="eastAsia" w:cs="宋体"/>
                <w:color w:val="000000"/>
                <w:sz w:val="24"/>
                <w:szCs w:val="24"/>
              </w:rPr>
              <w:t>3、垃圾车辆清洁干净，摆放整齐，无强异味，停放于指定地点，每天至少彻底清洗一次。</w:t>
            </w:r>
            <w:bookmarkEnd w:id="61"/>
          </w:p>
          <w:p w14:paraId="382C7F4C">
            <w:pPr>
              <w:pStyle w:val="10"/>
              <w:tabs>
                <w:tab w:val="clear" w:pos="400"/>
              </w:tabs>
              <w:ind w:left="0" w:firstLine="0"/>
              <w:outlineLvl w:val="9"/>
              <w:rPr>
                <w:rFonts w:cs="宋体"/>
                <w:color w:val="000000"/>
                <w:sz w:val="24"/>
                <w:szCs w:val="24"/>
              </w:rPr>
            </w:pPr>
            <w:bookmarkStart w:id="62" w:name="_Toc2453"/>
            <w:r>
              <w:rPr>
                <w:rFonts w:hint="eastAsia" w:cs="宋体"/>
                <w:color w:val="000000"/>
                <w:sz w:val="24"/>
                <w:szCs w:val="24"/>
              </w:rPr>
              <w:t>4、垃圾中转站、垃圾桶（箱）无超载、无强异味、无蚊蝇滋生、无污水横流、无有碍观瞻，外表无污迹、油迹，垃圾无满溢，中转站内配备额定的灭火器。</w:t>
            </w:r>
            <w:bookmarkEnd w:id="62"/>
          </w:p>
          <w:p w14:paraId="1AAB2CC9">
            <w:pPr>
              <w:pStyle w:val="10"/>
              <w:tabs>
                <w:tab w:val="clear" w:pos="400"/>
              </w:tabs>
              <w:ind w:left="0" w:firstLine="0"/>
              <w:outlineLvl w:val="9"/>
              <w:rPr>
                <w:rFonts w:cs="宋体"/>
                <w:color w:val="000000"/>
                <w:sz w:val="24"/>
                <w:szCs w:val="24"/>
              </w:rPr>
            </w:pPr>
            <w:bookmarkStart w:id="63" w:name="_Toc17498"/>
            <w:r>
              <w:rPr>
                <w:rFonts w:hint="eastAsia" w:cs="宋体"/>
                <w:color w:val="000000"/>
                <w:sz w:val="24"/>
                <w:szCs w:val="24"/>
              </w:rPr>
              <w:t>5、</w:t>
            </w:r>
            <w:r>
              <w:rPr>
                <w:rFonts w:hint="eastAsia" w:cs="宋体"/>
                <w:color w:val="000000"/>
                <w:sz w:val="24"/>
                <w:szCs w:val="24"/>
                <w:lang w:eastAsia="zh-CN"/>
              </w:rPr>
              <w:t>大楼</w:t>
            </w:r>
            <w:r>
              <w:rPr>
                <w:rFonts w:hint="eastAsia" w:cs="宋体"/>
                <w:color w:val="000000"/>
                <w:sz w:val="24"/>
                <w:szCs w:val="24"/>
              </w:rPr>
              <w:t>内的生活垃圾至少每天上下午各清运一次，其它时间循环清运，垃圾应袋装运输。</w:t>
            </w:r>
            <w:bookmarkEnd w:id="63"/>
          </w:p>
          <w:p w14:paraId="755547BD">
            <w:pPr>
              <w:pStyle w:val="10"/>
              <w:tabs>
                <w:tab w:val="clear" w:pos="400"/>
              </w:tabs>
              <w:ind w:left="0" w:firstLine="0"/>
              <w:outlineLvl w:val="9"/>
              <w:rPr>
                <w:rFonts w:cs="宋体"/>
                <w:color w:val="000000"/>
                <w:sz w:val="24"/>
                <w:szCs w:val="24"/>
              </w:rPr>
            </w:pPr>
            <w:bookmarkStart w:id="64" w:name="_Toc24429"/>
            <w:r>
              <w:rPr>
                <w:rFonts w:hint="eastAsia" w:cs="宋体"/>
                <w:color w:val="000000"/>
                <w:sz w:val="24"/>
                <w:szCs w:val="24"/>
              </w:rPr>
              <w:t>6、建筑垃圾及时清理，不在服务现场堆放。</w:t>
            </w:r>
            <w:bookmarkEnd w:id="64"/>
          </w:p>
          <w:p w14:paraId="460E3F72">
            <w:pPr>
              <w:pStyle w:val="10"/>
              <w:tabs>
                <w:tab w:val="clear" w:pos="400"/>
              </w:tabs>
              <w:ind w:left="0" w:firstLine="0"/>
              <w:outlineLvl w:val="9"/>
              <w:rPr>
                <w:rFonts w:cs="宋体"/>
                <w:color w:val="000000"/>
                <w:sz w:val="24"/>
                <w:szCs w:val="24"/>
              </w:rPr>
            </w:pPr>
            <w:bookmarkStart w:id="65" w:name="_Toc21316"/>
            <w:r>
              <w:rPr>
                <w:rFonts w:hint="eastAsia" w:cs="宋体"/>
                <w:color w:val="000000"/>
                <w:sz w:val="24"/>
                <w:szCs w:val="24"/>
              </w:rPr>
              <w:t>7、</w:t>
            </w:r>
            <w:r>
              <w:rPr>
                <w:rFonts w:hint="eastAsia" w:cs="宋体"/>
                <w:color w:val="000000"/>
                <w:sz w:val="24"/>
                <w:szCs w:val="24"/>
                <w:lang w:eastAsia="zh-CN"/>
              </w:rPr>
              <w:t>大楼</w:t>
            </w:r>
            <w:r>
              <w:rPr>
                <w:rFonts w:hint="eastAsia" w:cs="宋体"/>
                <w:color w:val="000000"/>
                <w:sz w:val="24"/>
                <w:szCs w:val="24"/>
              </w:rPr>
              <w:t>内餐饮、医疗等商业产生的特殊垃圾不得投放在公共垃圾桶，监督商家自行清运。</w:t>
            </w:r>
            <w:bookmarkEnd w:id="65"/>
          </w:p>
          <w:p w14:paraId="51D0C39D">
            <w:pPr>
              <w:pStyle w:val="10"/>
              <w:tabs>
                <w:tab w:val="clear" w:pos="400"/>
              </w:tabs>
              <w:ind w:left="0" w:firstLine="0"/>
              <w:outlineLvl w:val="9"/>
              <w:rPr>
                <w:rFonts w:cs="宋体"/>
                <w:color w:val="000000"/>
                <w:sz w:val="24"/>
                <w:szCs w:val="24"/>
              </w:rPr>
            </w:pPr>
            <w:bookmarkStart w:id="66" w:name="_Toc29439"/>
            <w:r>
              <w:rPr>
                <w:rFonts w:hint="eastAsia" w:cs="宋体"/>
                <w:color w:val="000000"/>
                <w:sz w:val="24"/>
                <w:szCs w:val="24"/>
              </w:rPr>
              <w:t>8、定期查看化粪池内固体污物的沉积量，及时组织清掏，池内污物不多于粪池总容积的2/3。</w:t>
            </w:r>
            <w:bookmarkEnd w:id="66"/>
          </w:p>
          <w:p w14:paraId="0DE97A2A">
            <w:pPr>
              <w:pStyle w:val="10"/>
              <w:tabs>
                <w:tab w:val="clear" w:pos="400"/>
              </w:tabs>
              <w:ind w:left="0" w:firstLine="0"/>
              <w:outlineLvl w:val="9"/>
              <w:rPr>
                <w:rFonts w:cs="宋体"/>
                <w:color w:val="000000"/>
                <w:sz w:val="24"/>
                <w:szCs w:val="24"/>
              </w:rPr>
            </w:pPr>
            <w:bookmarkStart w:id="67" w:name="_Toc700"/>
            <w:r>
              <w:rPr>
                <w:rFonts w:hint="eastAsia" w:cs="宋体"/>
                <w:color w:val="000000"/>
                <w:sz w:val="24"/>
                <w:szCs w:val="24"/>
              </w:rPr>
              <w:t>9、垃圾桶、果皮箱、小斗车等环卫设施无脏污、异味、锈蚀、破损现象。</w:t>
            </w:r>
            <w:bookmarkEnd w:id="67"/>
          </w:p>
        </w:tc>
        <w:tc>
          <w:tcPr>
            <w:tcW w:w="833" w:type="dxa"/>
            <w:vAlign w:val="center"/>
          </w:tcPr>
          <w:p w14:paraId="7E2F130C">
            <w:pPr>
              <w:jc w:val="center"/>
              <w:rPr>
                <w:rFonts w:ascii="宋体" w:hAnsi="宋体" w:cs="宋体"/>
                <w:color w:val="000000"/>
                <w:sz w:val="24"/>
              </w:rPr>
            </w:pPr>
            <w:r>
              <w:rPr>
                <w:rFonts w:hint="eastAsia" w:ascii="宋体" w:hAnsi="宋体" w:cs="宋体"/>
                <w:color w:val="000000"/>
                <w:sz w:val="24"/>
              </w:rPr>
              <w:t>现场</w:t>
            </w:r>
          </w:p>
          <w:p w14:paraId="73CEF4BA">
            <w:pPr>
              <w:jc w:val="center"/>
              <w:rPr>
                <w:rFonts w:ascii="宋体" w:hAnsi="宋体" w:cs="宋体"/>
                <w:color w:val="000000"/>
                <w:sz w:val="24"/>
              </w:rPr>
            </w:pPr>
            <w:r>
              <w:rPr>
                <w:rFonts w:hint="eastAsia" w:ascii="宋体" w:hAnsi="宋体" w:cs="宋体"/>
                <w:color w:val="000000"/>
                <w:sz w:val="24"/>
              </w:rPr>
              <w:t>查看</w:t>
            </w:r>
          </w:p>
        </w:tc>
        <w:tc>
          <w:tcPr>
            <w:tcW w:w="771" w:type="dxa"/>
            <w:vAlign w:val="center"/>
          </w:tcPr>
          <w:p w14:paraId="59D0C555">
            <w:pPr>
              <w:jc w:val="center"/>
              <w:rPr>
                <w:rFonts w:ascii="宋体" w:hAnsi="宋体" w:cs="宋体"/>
                <w:color w:val="000000"/>
                <w:sz w:val="24"/>
              </w:rPr>
            </w:pPr>
            <w:r>
              <w:rPr>
                <w:rFonts w:hint="eastAsia" w:ascii="宋体" w:hAnsi="宋体" w:cs="宋体"/>
                <w:color w:val="000000"/>
                <w:sz w:val="24"/>
              </w:rPr>
              <w:t>一个问题点扣</w:t>
            </w:r>
          </w:p>
          <w:p w14:paraId="23C8AD61">
            <w:pPr>
              <w:jc w:val="center"/>
              <w:rPr>
                <w:rFonts w:ascii="宋体" w:hAnsi="宋体" w:cs="宋体"/>
                <w:color w:val="000000"/>
                <w:sz w:val="24"/>
              </w:rPr>
            </w:pPr>
            <w:r>
              <w:rPr>
                <w:rFonts w:hint="eastAsia" w:ascii="宋体" w:hAnsi="宋体" w:cs="宋体"/>
                <w:color w:val="000000"/>
                <w:sz w:val="24"/>
              </w:rPr>
              <w:t>1分</w:t>
            </w:r>
          </w:p>
        </w:tc>
      </w:tr>
    </w:tbl>
    <w:p w14:paraId="73622132">
      <w:pPr>
        <w:sectPr>
          <w:pgSz w:w="11907" w:h="16840"/>
          <w:pgMar w:top="1417" w:right="1417" w:bottom="1417" w:left="1417" w:header="851" w:footer="992" w:gutter="0"/>
          <w:cols w:space="720" w:num="1"/>
          <w:titlePg/>
          <w:docGrid w:linePitch="462" w:charSpace="0"/>
        </w:sectPr>
      </w:pPr>
    </w:p>
    <w:p w14:paraId="31B831C9">
      <w:pPr>
        <w:adjustRightInd w:val="0"/>
        <w:snapToGrid w:val="0"/>
        <w:spacing w:line="360" w:lineRule="auto"/>
        <w:jc w:val="left"/>
      </w:pPr>
      <w:r>
        <w:rPr>
          <w:rFonts w:hint="eastAsia" w:ascii="宋体" w:hAnsi="宋体" w:cs="宋体"/>
          <w:color w:val="000000"/>
          <w:sz w:val="24"/>
        </w:rPr>
        <w:t>合同附件</w:t>
      </w:r>
      <w:r>
        <w:rPr>
          <w:rFonts w:hint="eastAsia" w:ascii="宋体" w:hAnsi="宋体" w:cs="宋体"/>
          <w:color w:val="000000"/>
          <w:sz w:val="24"/>
          <w:lang w:val="en-US" w:eastAsia="zh-CN"/>
        </w:rPr>
        <w:t>3</w:t>
      </w:r>
      <w:r>
        <w:rPr>
          <w:rFonts w:hint="eastAsia" w:ascii="宋体" w:hAnsi="宋体" w:cs="宋体"/>
          <w:color w:val="000000"/>
          <w:sz w:val="24"/>
        </w:rPr>
        <w:t>：《安全管理协议》</w:t>
      </w:r>
    </w:p>
    <w:p w14:paraId="73C880FC">
      <w:pPr>
        <w:adjustRightInd w:val="0"/>
        <w:snapToGrid w:val="0"/>
        <w:spacing w:line="360" w:lineRule="auto"/>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安全管理协议</w:t>
      </w:r>
    </w:p>
    <w:p w14:paraId="285B49A9">
      <w:pPr>
        <w:adjustRightInd w:val="0"/>
        <w:snapToGrid w:val="0"/>
        <w:spacing w:line="360" w:lineRule="auto"/>
        <w:rPr>
          <w:rFonts w:asciiTheme="minorEastAsia" w:hAnsiTheme="minorEastAsia" w:eastAsiaTheme="minorEastAsia" w:cstheme="minorEastAsia"/>
          <w:sz w:val="24"/>
        </w:rPr>
      </w:pPr>
    </w:p>
    <w:p w14:paraId="2B894AB1">
      <w:pPr>
        <w:adjustRightInd w:val="0"/>
        <w:snapToGrid w:val="0"/>
        <w:spacing w:line="360" w:lineRule="auto"/>
        <w:rPr>
          <w:rFonts w:hint="eastAsia" w:ascii="宋体" w:hAnsi="宋体" w:eastAsia="宋体" w:cs="宋体"/>
          <w:b/>
          <w:bCs/>
          <w:color w:val="000000"/>
          <w:sz w:val="24"/>
          <w:szCs w:val="24"/>
          <w:lang w:eastAsia="zh-CN"/>
        </w:rPr>
      </w:pPr>
      <w:r>
        <w:rPr>
          <w:rFonts w:hint="eastAsia" w:asciiTheme="minorEastAsia" w:hAnsiTheme="minorEastAsia" w:eastAsiaTheme="minorEastAsia" w:cstheme="minorEastAsia"/>
          <w:sz w:val="24"/>
        </w:rPr>
        <w:t>甲方（全称）：</w:t>
      </w:r>
      <w:r>
        <w:rPr>
          <w:rFonts w:hint="eastAsia" w:ascii="宋体" w:hAnsi="宋体" w:cs="宋体"/>
          <w:b w:val="0"/>
          <w:bCs w:val="0"/>
          <w:color w:val="000000"/>
          <w:sz w:val="24"/>
          <w:szCs w:val="24"/>
          <w:u w:val="single"/>
          <w:lang w:eastAsia="zh-CN"/>
        </w:rPr>
        <w:t>深业置地（深圳）物业管理有限公司</w:t>
      </w:r>
    </w:p>
    <w:p w14:paraId="062DF5C2">
      <w:pPr>
        <w:adjustRightInd w:val="0"/>
        <w:snapToGrid w:val="0"/>
        <w:spacing w:line="360" w:lineRule="auto"/>
        <w:rPr>
          <w:rFonts w:asciiTheme="minorEastAsia" w:hAnsiTheme="minorEastAsia" w:eastAsiaTheme="minorEastAsia" w:cstheme="minorEastAsia"/>
          <w:color w:val="FF0000"/>
          <w:sz w:val="24"/>
          <w:u w:val="single"/>
        </w:rPr>
      </w:pPr>
      <w:r>
        <w:rPr>
          <w:rFonts w:hint="eastAsia" w:asciiTheme="minorEastAsia" w:hAnsiTheme="minorEastAsia" w:eastAsiaTheme="minorEastAsia" w:cstheme="minorEastAsia"/>
          <w:sz w:val="24"/>
        </w:rPr>
        <w:t>乙方（全称）：</w:t>
      </w:r>
      <w:r>
        <w:rPr>
          <w:rFonts w:hint="eastAsia" w:asciiTheme="minorEastAsia" w:hAnsiTheme="minorEastAsia" w:eastAsiaTheme="minorEastAsia" w:cstheme="minorEastAsia"/>
          <w:sz w:val="24"/>
          <w:u w:val="single"/>
        </w:rPr>
        <w:t>深圳市正立达物业清洁服务有限公司</w:t>
      </w:r>
    </w:p>
    <w:p w14:paraId="3ED58E8A">
      <w:pPr>
        <w:adjustRightInd w:val="0"/>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依据《中华人民共和国民法典》、《中华人民共和国安全生产法》及其他有关法律、法规，为了保证甲乙双方生产安全，防止和减少生产安全事故发生，明确双方的安全管理职责和应当采取的安全措施，经双方共同协商一致，签订本协议如下：</w:t>
      </w:r>
    </w:p>
    <w:p w14:paraId="17DA2D61">
      <w:pPr>
        <w:adjustRightInd w:val="0"/>
        <w:snapToGrid w:val="0"/>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一、甲方的责任与权利</w:t>
      </w:r>
    </w:p>
    <w:p w14:paraId="41E2771E">
      <w:pPr>
        <w:widowControl/>
        <w:adjustRightInd w:val="0"/>
        <w:snapToGrid w:val="0"/>
        <w:spacing w:line="360" w:lineRule="auto"/>
        <w:jc w:val="left"/>
        <w:rPr>
          <w:rFonts w:hint="eastAsia" w:asciiTheme="minorEastAsia" w:hAnsiTheme="minorEastAsia" w:eastAsiaTheme="minorEastAsia" w:cstheme="minorEastAsia"/>
          <w:b w:val="0"/>
          <w:bCs w:val="0"/>
          <w:sz w:val="24"/>
        </w:rPr>
      </w:pPr>
      <w:r>
        <w:rPr>
          <w:rFonts w:hint="eastAsia" w:asciiTheme="minorEastAsia" w:hAnsiTheme="minorEastAsia" w:eastAsiaTheme="minorEastAsia" w:cstheme="minorEastAsia"/>
          <w:b w:val="0"/>
          <w:bCs w:val="0"/>
          <w:sz w:val="24"/>
        </w:rPr>
        <w:t>1.资质审查与进场管理</w:t>
      </w:r>
    </w:p>
    <w:p w14:paraId="7F29AAC2">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1）有权审查乙方及保洁人员的资质（如健康证明、特种作业证书等），对不具备资质或健康条件的人员，禁止入场作业。</w:t>
      </w:r>
    </w:p>
    <w:p w14:paraId="4653361D">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2）组织乙方保洁人员进行进场安全交底，内容包括：甲方安全生产规章制度、作业区域风险点（如高空平台、化学品存放区等）、应急疏散路线、安全防护要求等，并留存交底记录。</w:t>
      </w:r>
    </w:p>
    <w:p w14:paraId="3A1AF835">
      <w:pPr>
        <w:widowControl/>
        <w:adjustRightInd w:val="0"/>
        <w:snapToGrid w:val="0"/>
        <w:spacing w:line="360" w:lineRule="auto"/>
        <w:jc w:val="left"/>
        <w:rPr>
          <w:rFonts w:hint="eastAsia" w:asciiTheme="minorEastAsia" w:hAnsiTheme="minorEastAsia" w:eastAsiaTheme="minorEastAsia" w:cstheme="minorEastAsia"/>
          <w:b w:val="0"/>
          <w:bCs w:val="0"/>
          <w:sz w:val="24"/>
        </w:rPr>
      </w:pPr>
      <w:r>
        <w:rPr>
          <w:rFonts w:hint="eastAsia" w:asciiTheme="minorEastAsia" w:hAnsiTheme="minorEastAsia" w:eastAsiaTheme="minorEastAsia" w:cstheme="minorEastAsia"/>
          <w:b w:val="0"/>
          <w:bCs w:val="0"/>
          <w:sz w:val="24"/>
        </w:rPr>
        <w:t>2.合规管理与协助</w:t>
      </w:r>
    </w:p>
    <w:p w14:paraId="3C22A7AC">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1）不得要求乙方违反安全规定作业，不得强令冒险作业或违反强制性标准。</w:t>
      </w:r>
    </w:p>
    <w:p w14:paraId="6088856B">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2）乙方提出的安全需求（如防护用品补充、设备维修等）积极提供协助。</w:t>
      </w:r>
    </w:p>
    <w:p w14:paraId="4A1FD101">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3.甲方不得要求乙方违反安全管理规定进行作业。</w:t>
      </w:r>
    </w:p>
    <w:p w14:paraId="6BB0F18A">
      <w:pPr>
        <w:widowControl/>
        <w:adjustRightInd w:val="0"/>
        <w:snapToGrid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4.甲方不得对乙方提出与安全生产法律、法规和强制性标准规定相违背的要求。</w:t>
      </w:r>
    </w:p>
    <w:p w14:paraId="4CE0CE59">
      <w:pPr>
        <w:widowControl/>
        <w:adjustRightInd w:val="0"/>
        <w:snapToGrid w:val="0"/>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5.甲方应向乙方介绍本单位安全生产、环境保护的有关制度、规定和告知相关要求，并对乙方员工进行安全教育培训并留存培训记录。</w:t>
      </w:r>
    </w:p>
    <w:p w14:paraId="32AFAD31">
      <w:pPr>
        <w:adjustRightInd w:val="0"/>
        <w:snapToGrid w:val="0"/>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二、乙方的责任与权利</w:t>
      </w:r>
    </w:p>
    <w:p w14:paraId="544D9A8E">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乙方应认真贯彻执行国家有关施工安全生产的政策、法规、国家标准、行业标准、安全技术操作规程，建立健全安全生产责任制等各项安全生产管理制度。乙方应遵守落实甲方各项安全管理要求规定，对甲方提出的问题，及时整改回复。</w:t>
      </w:r>
    </w:p>
    <w:p w14:paraId="6D19B6D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2.因乙方原因造成的生产安全事故，包括导致发生安全、火灾等事故、治安案件及刑事案件的，由乙方承担由此引发的相应责任，并承担由此给甲方及第三方造成的相应损失。</w:t>
      </w:r>
    </w:p>
    <w:p w14:paraId="40D0193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乙方需对派出的所有派遣人员进行信息安全专项培训，明确保密义务与责任。派遣人员在服务期间及服务结束后，均不得泄露因履职而知悉的甲方及服务项目相关信息，包括但不限于业主/商户个人信息、设备参数、管理数据、清洁办公区域、处理废弃文件等甲方商业秘密及敏感信息。</w:t>
      </w:r>
    </w:p>
    <w:p w14:paraId="263DC2C1">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4.乙方负责人是本项目的安全生产第一责任人，对本协议安全生产负全责。</w:t>
      </w:r>
    </w:p>
    <w:p w14:paraId="3075A004">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5.人员要求</w:t>
      </w:r>
    </w:p>
    <w:p w14:paraId="58051CEB">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5.1）用工合规性</w:t>
      </w:r>
    </w:p>
    <w:p w14:paraId="5DF5EC5C">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⑴严禁使用未成年工、职业禁忌人员（如恐高症患者不得从事平台保洁）、传染病 / 精神病史人员及身份不明人员。</w:t>
      </w:r>
    </w:p>
    <w:p w14:paraId="5CF3CA7F">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⑵所有保洁人员需提供有效健康证明（含心肺功能、血压等基础体检项目），患有高血压、心脏病等不适宜高处作业或体力劳动的人员，不得安排至相关岗位。</w:t>
      </w:r>
    </w:p>
    <w:p w14:paraId="5ABBD361">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⑶项目负责人、特种作业人员（如高空作业保洁员）需持证上岗（如高空作业证），并将证书复印件交甲方存档。</w:t>
      </w:r>
    </w:p>
    <w:p w14:paraId="7F6D9E1B">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5.2）安全培训与管理</w:t>
      </w:r>
    </w:p>
    <w:p w14:paraId="297A62C9">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⑴乙方负责人为项目安全第一责任人，需定期组织保洁人员进行安全培训（每月至少 1 次），内容包括：岗位安全操作规程、应急处置流程、劳保用品使用方法等，留存培训记录。</w:t>
      </w:r>
    </w:p>
    <w:p w14:paraId="7DB414D8">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⑵未经安全培训或考核不合格的人员，不得上岗作业。</w:t>
      </w:r>
    </w:p>
    <w:p w14:paraId="07FEFCA3">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5.3）劳保用品管理</w:t>
      </w:r>
    </w:p>
    <w:p w14:paraId="5D8A7C5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5.3.1配备与使用要求</w:t>
      </w:r>
    </w:p>
    <w:p w14:paraId="6F0CB828">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乙方需为保洁人员免费配备符合国家标准的劳保用品，包括但不限于：头部防护：安全帽（用于高空平台、机械作业区域）、草帽（用于户外露天作业防晒）；手部防护：防滑手套、耐酸碱手套（接触清洁剂时使用）；</w:t>
      </w:r>
    </w:p>
    <w:p w14:paraId="03205C7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其他：反光背心（夜间作业）、安全绳（高空作业）、防护眼镜（化学品喷洒时）等。</w:t>
      </w:r>
    </w:p>
    <w:p w14:paraId="3EB2DEE1">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⑵甲方有权监督劳保用品的配备和使用情况，对未正确穿戴者可要求立即整改。</w:t>
      </w:r>
    </w:p>
    <w:p w14:paraId="08736C23">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⑶劳保用品需定期检查、更换，严禁使用过期或破损用品。</w:t>
      </w:r>
    </w:p>
    <w:p w14:paraId="2DD5DD98">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5.4）危险作业管理</w:t>
      </w:r>
    </w:p>
    <w:p w14:paraId="39320A93">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5.4.1作业审批与防护</w:t>
      </w:r>
    </w:p>
    <w:p w14:paraId="58685739">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⑴涉及高空作业（如平台、外墙保洁）、有限空间作业（如垃圾池清理）、电气作业（如设备电路检修）等危险作业时，乙方需提前24 小时向甲方申请作业许可，提交作业方案及应急预案，经甲方审批同意后方可实施。</w:t>
      </w:r>
    </w:p>
    <w:p w14:paraId="60363550">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⑵危险作业需配备专人监护，设置明显警示标志（如 “高空作业，禁止通行”），作业人员需穿戴完整防护装备（如安全带、安全帽），严禁单人作业。</w:t>
      </w:r>
    </w:p>
    <w:p w14:paraId="4D7624DA">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⑶遇恶劣天气（如大风、暴雨）或能见度低时，禁止进行高空或户外危险作业。</w:t>
      </w:r>
    </w:p>
    <w:p w14:paraId="54E6D29C">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5.5）机械设备管理</w:t>
      </w:r>
    </w:p>
    <w:p w14:paraId="13F31690">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5.5.1设备准入与操作</w:t>
      </w:r>
    </w:p>
    <w:p w14:paraId="7B34C7E8">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⑴乙方投入使用的扫地车、垃圾压缩设备、高压清洗机等机械设备，需符合国家安全标准，具备出厂合格证、检验报告，并在入场前向甲方备案。</w:t>
      </w:r>
    </w:p>
    <w:p w14:paraId="3BED3400">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⑵设备操作人员需经专业培训合格，严格按照操作规程作业（如扫地车限速 5km/h、垃圾场设备定期检修）。</w:t>
      </w:r>
    </w:p>
    <w:p w14:paraId="473891AE">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⑶设备需定期维护保养（每周至少 1 次），做好运行记录；发现故障立即停用，维修合格后方可重新投入使用。</w:t>
      </w:r>
    </w:p>
    <w:p w14:paraId="72C712F4">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5.6）危险化学品管理</w:t>
      </w:r>
    </w:p>
    <w:p w14:paraId="092FBED4">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5.6.1清洁剂等化学品管控</w:t>
      </w:r>
    </w:p>
    <w:p w14:paraId="55F07CAD">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⑴乙方使用的清洁剂、消毒剂、杀虫剂等危险化学品，需符合《危险化学品安全管理条例》要求，提供化学品安全技术说明书（MSDS），并向甲方备案。</w:t>
      </w:r>
    </w:p>
    <w:p w14:paraId="45BC1B65">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⑵化学品需存放在专用储存柜（带锁、通风良好），由专人管理，禁止与食品、杂物混放。</w:t>
      </w:r>
    </w:p>
    <w:p w14:paraId="707772F0">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⑶保洁人员需掌握化学品的正确使用方法和应急处置措施（如皮肤接触后立即用清水冲洗），作业时需佩戴相应防护用品（如耐酸碱手套、口罩）。</w:t>
      </w:r>
    </w:p>
    <w:p w14:paraId="53309ECD">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⑷废弃化学品及容器需按环保要求分类处理，不得随意丢弃或倾倒。</w:t>
      </w:r>
    </w:p>
    <w:p w14:paraId="0DDD22BB">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5.7）其他安全责任</w:t>
      </w:r>
    </w:p>
    <w:p w14:paraId="58EC4D0B">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5.7.1事故责任与现场清理</w:t>
      </w:r>
    </w:p>
    <w:p w14:paraId="0D5AD8EE">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⑴因乙方原因导致的安全事故（如保洁人员工伤、化学品泄漏、设备故障引发的第三方损失等），由乙方承担全部责任及赔偿。</w:t>
      </w:r>
    </w:p>
    <w:p w14:paraId="48801304">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⑵每日作业结束后，乙方需清理作业现场垃圾、化学品包装物等，做到 “工完场清”；未清理导致甲方额外支出的，费用由乙方承担。</w:t>
      </w:r>
    </w:p>
    <w:p w14:paraId="09CC1EB5">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5.7.2应急预案与演练</w:t>
      </w:r>
    </w:p>
    <w:p w14:paraId="74790AF0">
      <w:pPr>
        <w:adjustRightInd w:val="0"/>
        <w:snapToGrid w:val="0"/>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sz w:val="24"/>
        </w:rPr>
        <w:t>⑴乙方需制定针对高空坠落、化学品泄漏、机械伤害等场景的专项应急预案，配备应急物资（如急救箱、消防器材、防化服），并每季度组织至少 1 次应急演练，保留记录。</w:t>
      </w:r>
      <w:r>
        <w:rPr>
          <w:rFonts w:hint="eastAsia" w:asciiTheme="minorEastAsia" w:hAnsiTheme="minorEastAsia" w:eastAsiaTheme="minorEastAsia" w:cstheme="minorEastAsia"/>
          <w:b/>
          <w:sz w:val="24"/>
        </w:rPr>
        <w:t>三、附则</w:t>
      </w:r>
    </w:p>
    <w:p w14:paraId="64E3F08B">
      <w:pPr>
        <w:adjustRightInd w:val="0"/>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本合同一式伍份，由甲方执叁份、乙方执贰份。自双方法定代表人或授权代表签字并加盖公章之日起生效。</w:t>
      </w:r>
    </w:p>
    <w:p w14:paraId="1C8BA3BA">
      <w:pPr>
        <w:adjustRightInd w:val="0"/>
        <w:snapToGrid w:val="0"/>
        <w:spacing w:line="360" w:lineRule="auto"/>
        <w:rPr>
          <w:rFonts w:asciiTheme="minorEastAsia" w:hAnsiTheme="minorEastAsia" w:eastAsiaTheme="minorEastAsia" w:cstheme="minorEastAsia"/>
          <w:sz w:val="24"/>
        </w:rPr>
      </w:pPr>
    </w:p>
    <w:p w14:paraId="56888F74">
      <w:pPr>
        <w:adjustRightInd w:val="0"/>
        <w:snapToGrid w:val="0"/>
        <w:spacing w:line="360" w:lineRule="auto"/>
        <w:rPr>
          <w:rFonts w:asciiTheme="minorEastAsia" w:hAnsiTheme="minorEastAsia" w:eastAsiaTheme="minorEastAsia" w:cstheme="minorEastAsia"/>
          <w:sz w:val="24"/>
        </w:rPr>
      </w:pPr>
    </w:p>
    <w:p w14:paraId="4F36C724">
      <w:pPr>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甲方：                                    乙方：</w:t>
      </w:r>
    </w:p>
    <w:p w14:paraId="2BAF2302">
      <w:pPr>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授权代表：                                授权代表：</w:t>
      </w:r>
    </w:p>
    <w:p w14:paraId="7ADCACD1">
      <w:pPr>
        <w:adjustRightInd w:val="0"/>
        <w:snapToGrid w:val="0"/>
        <w:spacing w:line="360" w:lineRule="auto"/>
        <w:ind w:right="-275" w:rightChars="-131"/>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sz w:val="24"/>
        </w:rPr>
        <w:t>日期：    年   月    日                   日期：   年   月   日</w:t>
      </w:r>
    </w:p>
    <w:p w14:paraId="6DA1339F">
      <w:pPr>
        <w:spacing w:line="360" w:lineRule="auto"/>
        <w:rPr>
          <w:rFonts w:asciiTheme="minorEastAsia" w:hAnsiTheme="minorEastAsia" w:eastAsiaTheme="minorEastAsia" w:cstheme="minorEastAsia"/>
          <w:sz w:val="24"/>
        </w:rPr>
        <w:sectPr>
          <w:pgSz w:w="11907" w:h="16840"/>
          <w:pgMar w:top="1417" w:right="1417" w:bottom="1417" w:left="1417" w:header="851" w:footer="992" w:gutter="0"/>
          <w:cols w:space="720" w:num="1"/>
          <w:titlePg/>
          <w:docGrid w:linePitch="462" w:charSpace="0"/>
        </w:sectPr>
      </w:pPr>
    </w:p>
    <w:p w14:paraId="355864A4">
      <w:pPr>
        <w:adjustRightInd w:val="0"/>
        <w:snapToGrid w:val="0"/>
        <w:spacing w:line="360" w:lineRule="auto"/>
        <w:jc w:val="left"/>
        <w:rPr>
          <w:rFonts w:ascii="宋体" w:hAnsi="宋体" w:cs="宋体"/>
          <w:b/>
          <w:bCs/>
          <w:sz w:val="32"/>
          <w:szCs w:val="32"/>
        </w:rPr>
      </w:pPr>
      <w:r>
        <w:rPr>
          <w:rFonts w:hint="eastAsia" w:ascii="宋体" w:hAnsi="宋体" w:cs="宋体"/>
          <w:color w:val="000000"/>
          <w:sz w:val="24"/>
        </w:rPr>
        <w:t>合同附件</w:t>
      </w:r>
      <w:r>
        <w:rPr>
          <w:rFonts w:hint="eastAsia" w:ascii="宋体" w:hAnsi="宋体" w:cs="宋体"/>
          <w:color w:val="000000"/>
          <w:sz w:val="24"/>
          <w:lang w:val="en-US" w:eastAsia="zh-CN"/>
        </w:rPr>
        <w:t>4</w:t>
      </w:r>
      <w:r>
        <w:rPr>
          <w:rFonts w:hint="eastAsia" w:ascii="宋体" w:hAnsi="宋体" w:cs="宋体"/>
          <w:color w:val="000000"/>
          <w:sz w:val="24"/>
        </w:rPr>
        <w:t>：《廉政诚信协议书》</w:t>
      </w:r>
    </w:p>
    <w:p w14:paraId="158CFBEC">
      <w:pPr>
        <w:spacing w:line="360" w:lineRule="auto"/>
        <w:jc w:val="center"/>
        <w:rPr>
          <w:rFonts w:asciiTheme="minorEastAsia" w:hAnsiTheme="minorEastAsia" w:eastAsiaTheme="minorEastAsia" w:cstheme="minorEastAsia"/>
          <w:b/>
          <w:color w:val="000000"/>
          <w:sz w:val="24"/>
          <w:lang w:val="zh-CN"/>
        </w:rPr>
      </w:pPr>
      <w:r>
        <w:rPr>
          <w:rFonts w:hint="eastAsia" w:asciiTheme="minorEastAsia" w:hAnsiTheme="minorEastAsia" w:eastAsiaTheme="minorEastAsia" w:cstheme="minorEastAsia"/>
          <w:b/>
          <w:color w:val="000000"/>
          <w:sz w:val="24"/>
          <w:lang w:val="zh-CN"/>
        </w:rPr>
        <w:t>廉政诚信协议书</w:t>
      </w:r>
    </w:p>
    <w:p w14:paraId="70BDFB65">
      <w:pPr>
        <w:spacing w:line="360" w:lineRule="auto"/>
        <w:jc w:val="center"/>
        <w:rPr>
          <w:rFonts w:asciiTheme="minorEastAsia" w:hAnsiTheme="minorEastAsia" w:eastAsiaTheme="minorEastAsia" w:cstheme="minorEastAsia"/>
          <w:b/>
          <w:color w:val="000000"/>
          <w:sz w:val="24"/>
          <w:lang w:val="zh-CN"/>
        </w:rPr>
      </w:pPr>
    </w:p>
    <w:p w14:paraId="05366D8B">
      <w:pPr>
        <w:adjustRightInd w:val="0"/>
        <w:snapToGrid w:val="0"/>
        <w:spacing w:line="360" w:lineRule="auto"/>
        <w:rPr>
          <w:rFonts w:ascii="宋体" w:hAnsi="宋体" w:cs="宋体"/>
          <w:b/>
          <w:bCs/>
          <w:color w:val="000000"/>
          <w:sz w:val="24"/>
        </w:rPr>
      </w:pPr>
      <w:r>
        <w:rPr>
          <w:rFonts w:hint="eastAsia" w:asciiTheme="minorEastAsia" w:hAnsiTheme="minorEastAsia" w:eastAsiaTheme="minorEastAsia" w:cstheme="minorEastAsia"/>
          <w:b/>
          <w:bCs/>
          <w:color w:val="000000"/>
          <w:sz w:val="24"/>
          <w:lang w:val="zh-CN"/>
        </w:rPr>
        <w:t>发包人：</w:t>
      </w:r>
      <w:r>
        <w:rPr>
          <w:rFonts w:hint="eastAsia" w:ascii="宋体" w:hAnsi="宋体" w:cs="宋体"/>
          <w:b w:val="0"/>
          <w:bCs w:val="0"/>
          <w:color w:val="000000"/>
          <w:sz w:val="24"/>
          <w:szCs w:val="24"/>
          <w:u w:val="single"/>
          <w:lang w:eastAsia="zh-CN"/>
        </w:rPr>
        <w:t>深业置地（深圳）物业管理有限公司</w:t>
      </w:r>
      <w:r>
        <w:rPr>
          <w:rFonts w:hint="eastAsia" w:ascii="宋体" w:hAnsi="宋体" w:cs="宋体"/>
          <w:sz w:val="24"/>
          <w:u w:val="single"/>
          <w:lang w:val="zh-CN" w:eastAsia="zh-CN"/>
        </w:rPr>
        <w:t>（</w:t>
      </w:r>
      <w:r>
        <w:rPr>
          <w:rFonts w:hint="eastAsia" w:asciiTheme="minorEastAsia" w:hAnsiTheme="minorEastAsia" w:eastAsiaTheme="minorEastAsia" w:cstheme="minorEastAsia"/>
          <w:color w:val="000000"/>
          <w:sz w:val="24"/>
          <w:lang w:val="zh-CN"/>
        </w:rPr>
        <w:t>简称甲方）</w:t>
      </w:r>
    </w:p>
    <w:p w14:paraId="5E95546C">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b/>
          <w:bCs/>
          <w:color w:val="000000"/>
          <w:sz w:val="24"/>
          <w:lang w:val="zh-CN"/>
        </w:rPr>
        <w:t>承包人：</w:t>
      </w:r>
      <w:r>
        <w:rPr>
          <w:rFonts w:hint="eastAsia" w:ascii="宋体" w:hAnsi="宋体"/>
          <w:kern w:val="24"/>
          <w:sz w:val="24"/>
          <w:szCs w:val="24"/>
          <w:u w:val="single"/>
          <w:lang w:eastAsia="zh-CN"/>
        </w:rPr>
        <w:t>深圳市正立达物业清洁服务有限公司</w:t>
      </w:r>
      <w:r>
        <w:rPr>
          <w:rFonts w:hint="eastAsia" w:asciiTheme="minorEastAsia" w:hAnsiTheme="minorEastAsia" w:eastAsiaTheme="minorEastAsia" w:cstheme="minorEastAsia"/>
          <w:color w:val="000000"/>
          <w:sz w:val="24"/>
          <w:lang w:val="zh-CN"/>
        </w:rPr>
        <w:t>（以下简称乙方）</w:t>
      </w:r>
    </w:p>
    <w:p w14:paraId="3EE7BD1D">
      <w:pPr>
        <w:spacing w:line="360" w:lineRule="auto"/>
        <w:ind w:firstLine="420"/>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为了加强</w:t>
      </w:r>
      <w:r>
        <w:rPr>
          <w:rFonts w:hint="eastAsia" w:asciiTheme="minorEastAsia" w:hAnsiTheme="minorEastAsia" w:eastAsiaTheme="minorEastAsia" w:cstheme="minorEastAsia"/>
          <w:color w:val="000000"/>
          <w:sz w:val="24"/>
        </w:rPr>
        <w:t>服务项目、</w:t>
      </w:r>
      <w:r>
        <w:rPr>
          <w:rFonts w:hint="eastAsia" w:asciiTheme="minorEastAsia" w:hAnsiTheme="minorEastAsia" w:eastAsiaTheme="minorEastAsia" w:cstheme="minorEastAsia"/>
          <w:color w:val="000000"/>
          <w:sz w:val="24"/>
          <w:lang w:val="zh-CN"/>
        </w:rPr>
        <w:t>工程项目建设中的廉政管理，杜绝各种不正当行为的发生，经甲乙双方同意，签订此廉政诚信协议书，作为甲乙双方共同遵守的廉政诚信行为准则：</w:t>
      </w:r>
    </w:p>
    <w:p w14:paraId="3A983203">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1、甲方人员在</w:t>
      </w:r>
      <w:r>
        <w:rPr>
          <w:rFonts w:hint="eastAsia" w:asciiTheme="minorEastAsia" w:hAnsiTheme="minorEastAsia" w:eastAsiaTheme="minorEastAsia" w:cstheme="minorEastAsia"/>
          <w:color w:val="000000"/>
          <w:sz w:val="24"/>
        </w:rPr>
        <w:t>服务项目招标、</w:t>
      </w:r>
      <w:r>
        <w:rPr>
          <w:rFonts w:hint="eastAsia" w:asciiTheme="minorEastAsia" w:hAnsiTheme="minorEastAsia" w:eastAsiaTheme="minorEastAsia" w:cstheme="minorEastAsia"/>
          <w:color w:val="000000"/>
          <w:sz w:val="24"/>
          <w:lang w:val="zh-CN"/>
        </w:rPr>
        <w:t>工程招标或</w:t>
      </w:r>
      <w:r>
        <w:rPr>
          <w:rFonts w:hint="eastAsia" w:asciiTheme="minorEastAsia" w:hAnsiTheme="minorEastAsia" w:eastAsiaTheme="minorEastAsia" w:cstheme="minorEastAsia"/>
          <w:color w:val="000000"/>
          <w:sz w:val="24"/>
        </w:rPr>
        <w:t>服务、</w:t>
      </w:r>
      <w:r>
        <w:rPr>
          <w:rFonts w:hint="eastAsia" w:asciiTheme="minorEastAsia" w:hAnsiTheme="minorEastAsia" w:eastAsiaTheme="minorEastAsia" w:cstheme="minorEastAsia"/>
          <w:color w:val="000000"/>
          <w:sz w:val="24"/>
          <w:lang w:val="zh-CN"/>
        </w:rPr>
        <w:t>工程履行过程中，不得以任何形式向投标单位或乙方索要和收受回扣等好处费。</w:t>
      </w:r>
    </w:p>
    <w:p w14:paraId="1CFF76D0">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2、甲方人员不得接受乙方的礼金、有价证劵，不得在乙方或材料设备供应商处报销任何由个人支付的费用。</w:t>
      </w:r>
    </w:p>
    <w:p w14:paraId="054216D2">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3、甲方人员不得参加乙方非正常的宴请和娱乐活动。参加乙方邀的正常宴请和会议，需经主管领导同意。</w:t>
      </w:r>
    </w:p>
    <w:p w14:paraId="23ECAE5A">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4、甲方人员不得要求乙方或者接受乙方及材料设备供应商为其住房装修、婚丧嫁娶、家属和子女的工作安排以及出国等提供方便。</w:t>
      </w:r>
    </w:p>
    <w:p w14:paraId="25C3587A">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5、双方不得相互介绍家属或者亲友等利害关系人从事与甲方工程有关的经济活动。双方各工作人员不得至对方工作人员私人住所处联系各相关事宜。</w:t>
      </w:r>
    </w:p>
    <w:p w14:paraId="30313693">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6、甲方人员不得为谋取私利擅自与乙方工作人员及承包商、材料设备供应商就工程承包、工程费用、材料设备供应、工程量变动、工程验收、工程质量问题处理进行私下商谈或者达成默契。</w:t>
      </w:r>
    </w:p>
    <w:p w14:paraId="6C57A89A">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7、乙方或材料设备供应商不得以洽谈工作、签订经济合同为借口，邀请甲方人员外出旅游和进入营业性娱乐场所。</w:t>
      </w:r>
    </w:p>
    <w:p w14:paraId="6488D010">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8、乙方或材料设备供应商不得为甲方工作人员购置或者提供通讯工具、交通工具、家电、家具和高档办公用品等物品。</w:t>
      </w:r>
    </w:p>
    <w:p w14:paraId="74787B12">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9、双方如发现对方人员有违反上述协议者，应向对方领导举报，双方不得找任何借口向对方进行报复。</w:t>
      </w:r>
    </w:p>
    <w:p w14:paraId="6617E6B3">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10、在投标活动中一经查实，立即取消乙方投标资格，没收投标保证金，且甲方保留进一步追究乙方法律责任的权利。</w:t>
      </w:r>
    </w:p>
    <w:p w14:paraId="1E923B8C">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11、在</w:t>
      </w:r>
      <w:r>
        <w:rPr>
          <w:rFonts w:hint="eastAsia" w:asciiTheme="minorEastAsia" w:hAnsiTheme="minorEastAsia" w:eastAsiaTheme="minorEastAsia" w:cstheme="minorEastAsia"/>
          <w:color w:val="000000"/>
          <w:sz w:val="24"/>
        </w:rPr>
        <w:t>服务、</w:t>
      </w:r>
      <w:r>
        <w:rPr>
          <w:rFonts w:hint="eastAsia" w:asciiTheme="minorEastAsia" w:hAnsiTheme="minorEastAsia" w:eastAsiaTheme="minorEastAsia" w:cstheme="minorEastAsia"/>
          <w:color w:val="000000"/>
          <w:sz w:val="24"/>
          <w:lang w:val="zh-CN"/>
        </w:rPr>
        <w:t>工程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7354270C">
      <w:pPr>
        <w:spacing w:line="360" w:lineRule="auto"/>
        <w:ind w:firstLine="420"/>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本廉政诚信协议作为合同附件与合同具有同等法律效力，经协议双方签署后生效。</w:t>
      </w:r>
    </w:p>
    <w:p w14:paraId="4E5FCE24">
      <w:pPr>
        <w:spacing w:line="360" w:lineRule="auto"/>
        <w:ind w:firstLine="420"/>
        <w:rPr>
          <w:rFonts w:asciiTheme="minorEastAsia" w:hAnsiTheme="minorEastAsia" w:eastAsiaTheme="minorEastAsia" w:cstheme="minorEastAsia"/>
          <w:color w:val="000000"/>
          <w:sz w:val="24"/>
          <w:lang w:val="zh-CN"/>
        </w:rPr>
      </w:pPr>
    </w:p>
    <w:p w14:paraId="58EA16F4">
      <w:pPr>
        <w:spacing w:line="360" w:lineRule="auto"/>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b/>
          <w:color w:val="000000"/>
          <w:sz w:val="24"/>
          <w:lang w:val="zh-CN"/>
        </w:rPr>
        <w:t>甲方监督举报邮箱：</w:t>
      </w:r>
      <w:r>
        <w:rPr>
          <w:rFonts w:hint="eastAsia" w:asciiTheme="minorEastAsia" w:hAnsiTheme="minorEastAsia" w:eastAsiaTheme="minorEastAsia" w:cstheme="minorEastAsia"/>
          <w:color w:val="000000"/>
          <w:sz w:val="24"/>
          <w:lang w:val="zh-CN"/>
        </w:rPr>
        <w:t xml:space="preserve"> </w:t>
      </w:r>
    </w:p>
    <w:p w14:paraId="3BEA8EB8">
      <w:pPr>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
          <w:color w:val="000000"/>
          <w:sz w:val="24"/>
          <w:lang w:val="zh-CN"/>
        </w:rPr>
        <w:t>电</w:t>
      </w:r>
      <w:r>
        <w:rPr>
          <w:rFonts w:hint="eastAsia" w:asciiTheme="minorEastAsia" w:hAnsiTheme="minorEastAsia" w:eastAsiaTheme="minorEastAsia" w:cstheme="minorEastAsia"/>
          <w:b/>
          <w:color w:val="000000"/>
          <w:sz w:val="24"/>
        </w:rPr>
        <w:t xml:space="preserve"> </w:t>
      </w:r>
      <w:r>
        <w:rPr>
          <w:rFonts w:hint="eastAsia" w:asciiTheme="minorEastAsia" w:hAnsiTheme="minorEastAsia" w:eastAsiaTheme="minorEastAsia" w:cstheme="minorEastAsia"/>
          <w:b/>
          <w:color w:val="000000"/>
          <w:sz w:val="24"/>
          <w:lang w:val="zh-CN"/>
        </w:rPr>
        <w:t>话：</w:t>
      </w:r>
    </w:p>
    <w:p w14:paraId="36540112">
      <w:pPr>
        <w:spacing w:line="360" w:lineRule="auto"/>
        <w:ind w:firstLine="420"/>
        <w:rPr>
          <w:rFonts w:asciiTheme="minorEastAsia" w:hAnsiTheme="minorEastAsia" w:eastAsiaTheme="minorEastAsia" w:cstheme="minorEastAsia"/>
          <w:color w:val="000000"/>
          <w:sz w:val="24"/>
          <w:lang w:val="zh-CN"/>
        </w:rPr>
      </w:pPr>
    </w:p>
    <w:p w14:paraId="704F2B19">
      <w:pPr>
        <w:spacing w:line="360" w:lineRule="auto"/>
        <w:ind w:firstLine="420"/>
        <w:rPr>
          <w:rFonts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(以下无正文)</w:t>
      </w:r>
    </w:p>
    <w:p w14:paraId="219EFAEA">
      <w:pPr>
        <w:spacing w:line="360" w:lineRule="auto"/>
        <w:ind w:firstLine="420"/>
        <w:rPr>
          <w:rFonts w:asciiTheme="minorEastAsia" w:hAnsiTheme="minorEastAsia" w:eastAsiaTheme="minorEastAsia" w:cstheme="minorEastAsia"/>
          <w:color w:val="000000"/>
          <w:sz w:val="24"/>
          <w:lang w:val="zh-CN"/>
        </w:rPr>
      </w:pPr>
    </w:p>
    <w:p w14:paraId="38E510B6">
      <w:pPr>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甲方（发包人）：                           乙方（承包人）： </w:t>
      </w:r>
    </w:p>
    <w:p w14:paraId="13B561DC">
      <w:pPr>
        <w:spacing w:line="360" w:lineRule="auto"/>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授权代表：                                授权代表：</w:t>
      </w:r>
    </w:p>
    <w:p w14:paraId="38544BC7">
      <w:pPr>
        <w:spacing w:line="360" w:lineRule="auto"/>
      </w:pPr>
      <w:r>
        <w:rPr>
          <w:rFonts w:hint="eastAsia" w:asciiTheme="minorEastAsia" w:hAnsiTheme="minorEastAsia" w:eastAsiaTheme="minorEastAsia" w:cstheme="minorEastAsia"/>
          <w:color w:val="000000"/>
          <w:sz w:val="24"/>
        </w:rPr>
        <w:t>日期：    年   月    日                   日期：   年   月   日</w:t>
      </w:r>
    </w:p>
    <w:p w14:paraId="35A605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616B"/>
    <w:rsid w:val="07B74F40"/>
    <w:rsid w:val="0B675067"/>
    <w:rsid w:val="10B14485"/>
    <w:rsid w:val="13B541AA"/>
    <w:rsid w:val="178A2F73"/>
    <w:rsid w:val="1C2C3A90"/>
    <w:rsid w:val="1CEE12C8"/>
    <w:rsid w:val="21906C60"/>
    <w:rsid w:val="254C3DA1"/>
    <w:rsid w:val="2E284896"/>
    <w:rsid w:val="2F493D13"/>
    <w:rsid w:val="35335B08"/>
    <w:rsid w:val="35F82831"/>
    <w:rsid w:val="374B2E2B"/>
    <w:rsid w:val="39875AFB"/>
    <w:rsid w:val="3ACB3359"/>
    <w:rsid w:val="44AF2E73"/>
    <w:rsid w:val="455D0721"/>
    <w:rsid w:val="46CA0A5C"/>
    <w:rsid w:val="49D604CB"/>
    <w:rsid w:val="502B28C5"/>
    <w:rsid w:val="51931789"/>
    <w:rsid w:val="53F044F7"/>
    <w:rsid w:val="554720C4"/>
    <w:rsid w:val="55B61849"/>
    <w:rsid w:val="5C3478F4"/>
    <w:rsid w:val="63DB5A3F"/>
    <w:rsid w:val="64FC354F"/>
    <w:rsid w:val="6EE1694D"/>
    <w:rsid w:val="7A5E1AFB"/>
    <w:rsid w:val="7B495DAA"/>
    <w:rsid w:val="7B606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3">
    <w:name w:val="Body Text 2"/>
    <w:basedOn w:val="1"/>
    <w:qFormat/>
    <w:uiPriority w:val="99"/>
    <w:rPr>
      <w:rFonts w:eastAsia="仿宋_GB2312"/>
      <w:sz w:val="30"/>
      <w:szCs w:val="30"/>
    </w:rPr>
  </w:style>
  <w:style w:type="paragraph" w:styleId="4">
    <w:name w:val="Body Text First Indent"/>
    <w:basedOn w:val="2"/>
    <w:qFormat/>
    <w:uiPriority w:val="0"/>
    <w:pPr>
      <w:ind w:firstLine="420" w:firstLineChars="100"/>
    </w:pPr>
  </w:style>
  <w:style w:type="paragraph" w:styleId="7">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8">
    <w:name w:val="List Paragraph"/>
    <w:basedOn w:val="1"/>
    <w:qFormat/>
    <w:uiPriority w:val="0"/>
    <w:pPr>
      <w:ind w:firstLine="420" w:firstLineChars="200"/>
    </w:pPr>
    <w:rPr>
      <w:rFonts w:ascii="Calibri" w:hAnsi="Calibri"/>
      <w:szCs w:val="22"/>
    </w:rPr>
  </w:style>
  <w:style w:type="table" w:customStyle="1" w:styleId="9">
    <w:name w:val="网格型3"/>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检查标准1"/>
    <w:basedOn w:val="1"/>
    <w:qFormat/>
    <w:uiPriority w:val="0"/>
    <w:pPr>
      <w:tabs>
        <w:tab w:val="left" w:pos="400"/>
      </w:tabs>
      <w:ind w:left="420" w:hanging="420"/>
      <w:outlineLvl w:val="0"/>
    </w:pPr>
    <w:rPr>
      <w:rFonts w:ascii="宋体" w:hAnsi="宋体"/>
      <w:bCs/>
      <w:kern w:val="44"/>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9646</Words>
  <Characters>9888</Characters>
  <Lines>0</Lines>
  <Paragraphs>0</Paragraphs>
  <TotalTime>12</TotalTime>
  <ScaleCrop>false</ScaleCrop>
  <LinksUpToDate>false</LinksUpToDate>
  <CharactersWithSpaces>10238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2025-11-25T01:09:00Z</dcterms:created>
  <dc:creator>User</dc:creator>
  <cp:lastModifiedBy>吃橘子不吐橘子皮</cp:lastModifiedBy>
  <dcterms:modified xsi:type="dcterms:W3CDTF">2026-03-26T08:20:12Z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eyJoZGlkIjoiYWM2NTY2ZDBjYTViZWVkNmM1MTE1ZjA2NDllZGEwYTkiLCJ1c2VySWQiOiIzMDczMjYzNzUifQ==</vt:lpwstr>
  </property>
  <property fmtid="{D5CDD505-2E9C-101B-9397-08002B2CF9AE}" pid="4" name="ICV">
    <vt:lpwstr>B08C110F6C194D13ACCE7B5C7B5FCF82_12</vt:lpwstr>
  </property>
</Properties>
</file>