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F6A0A">
      <w:pPr>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color w:val="000000"/>
          <w:sz w:val="21"/>
          <w:szCs w:val="21"/>
          <w:lang w:val="en-US" w:eastAsia="zh-CN"/>
        </w:rPr>
      </w:pPr>
      <w:r>
        <w:rPr>
          <w:rFonts w:hint="eastAsia" w:ascii="宋体" w:hAnsi="宋体" w:eastAsia="宋体" w:cs="宋体"/>
          <w:b/>
          <w:color w:val="000000"/>
          <w:sz w:val="21"/>
          <w:szCs w:val="21"/>
          <w:lang w:val="en-US" w:eastAsia="zh-CN"/>
        </w:rPr>
        <w:t>深圳市深水龙华水务有限公司</w:t>
      </w:r>
    </w:p>
    <w:p w14:paraId="2B990714">
      <w:pPr>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sz w:val="21"/>
          <w:szCs w:val="21"/>
        </w:rPr>
      </w:pPr>
      <w:r>
        <w:rPr>
          <w:rFonts w:hint="eastAsia" w:ascii="宋体" w:hAnsi="宋体" w:eastAsia="宋体" w:cs="宋体"/>
          <w:b/>
          <w:color w:val="000000"/>
          <w:sz w:val="21"/>
          <w:szCs w:val="21"/>
          <w:lang w:val="en-US" w:eastAsia="zh-CN"/>
        </w:rPr>
        <w:t>2026年</w:t>
      </w:r>
      <w:r>
        <w:rPr>
          <w:rFonts w:hint="eastAsia" w:ascii="宋体" w:hAnsi="宋体" w:eastAsia="宋体" w:cs="宋体"/>
          <w:b/>
          <w:color w:val="000000"/>
          <w:sz w:val="21"/>
          <w:szCs w:val="21"/>
        </w:rPr>
        <w:t>红木山水厂格栅机改造项目采购询价文件</w:t>
      </w:r>
    </w:p>
    <w:p w14:paraId="33132DBA">
      <w:pPr>
        <w:numPr>
          <w:ilvl w:val="0"/>
          <w:numId w:val="7"/>
        </w:numPr>
        <w:bidi w:val="0"/>
        <w:spacing w:line="240" w:lineRule="auto"/>
        <w:ind w:left="0" w:leftChars="0" w:firstLine="0" w:firstLineChars="0"/>
        <w:rPr>
          <w:rFonts w:hint="eastAsia"/>
          <w:b/>
          <w:bCs/>
          <w:sz w:val="21"/>
          <w:szCs w:val="21"/>
        </w:rPr>
      </w:pPr>
      <w:r>
        <w:rPr>
          <w:rFonts w:hint="eastAsia"/>
          <w:b/>
          <w:bCs/>
          <w:sz w:val="21"/>
          <w:szCs w:val="21"/>
        </w:rPr>
        <w:t>项目概况</w:t>
      </w:r>
    </w:p>
    <w:p w14:paraId="202C6DB1">
      <w:pPr>
        <w:pageBreakBefore w:val="0"/>
        <w:widowControl/>
        <w:numPr>
          <w:ilvl w:val="0"/>
          <w:numId w:val="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default" w:ascii="宋体" w:hAnsi="宋体" w:eastAsia="宋体" w:cs="宋体"/>
          <w:b/>
          <w:color w:val="000000"/>
          <w:sz w:val="21"/>
          <w:szCs w:val="21"/>
          <w:lang w:val="en-US" w:eastAsia="zh-CN"/>
        </w:rPr>
      </w:pPr>
      <w:r>
        <w:rPr>
          <w:rFonts w:hint="eastAsia" w:ascii="宋体" w:hAnsi="宋体" w:eastAsia="宋体" w:cs="宋体"/>
          <w:b/>
          <w:color w:val="000000"/>
          <w:sz w:val="21"/>
          <w:szCs w:val="21"/>
        </w:rPr>
        <w:t>项目地点：</w:t>
      </w:r>
      <w:r>
        <w:rPr>
          <w:rFonts w:hint="eastAsia" w:ascii="宋体" w:hAnsi="宋体" w:eastAsia="宋体" w:cs="宋体"/>
          <w:b w:val="0"/>
          <w:bCs/>
          <w:color w:val="000000"/>
          <w:sz w:val="21"/>
          <w:szCs w:val="21"/>
          <w:lang w:val="en-US" w:eastAsia="zh-CN"/>
        </w:rPr>
        <w:t>深圳市龙华区</w:t>
      </w:r>
    </w:p>
    <w:p w14:paraId="61AA4226">
      <w:pPr>
        <w:pageBreakBefore w:val="0"/>
        <w:widowControl/>
        <w:numPr>
          <w:ilvl w:val="0"/>
          <w:numId w:val="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采购方式：</w:t>
      </w:r>
      <w:r>
        <w:rPr>
          <w:rFonts w:hint="eastAsia" w:ascii="宋体" w:hAnsi="宋体" w:eastAsia="宋体" w:cs="宋体"/>
          <w:b w:val="0"/>
          <w:bCs/>
          <w:color w:val="000000"/>
          <w:sz w:val="21"/>
          <w:szCs w:val="21"/>
        </w:rPr>
        <w:t>公开</w:t>
      </w:r>
      <w:r>
        <w:rPr>
          <w:rFonts w:hint="eastAsia" w:ascii="宋体" w:hAnsi="宋体" w:eastAsia="宋体" w:cs="宋体"/>
          <w:b w:val="0"/>
          <w:bCs/>
          <w:color w:val="000000"/>
          <w:sz w:val="21"/>
          <w:szCs w:val="21"/>
          <w:lang w:val="en-US" w:eastAsia="zh-CN"/>
        </w:rPr>
        <w:t>招标</w:t>
      </w:r>
    </w:p>
    <w:p w14:paraId="4900BBDF">
      <w:pPr>
        <w:pageBreakBefore w:val="0"/>
        <w:widowControl/>
        <w:numPr>
          <w:ilvl w:val="0"/>
          <w:numId w:val="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询价目的：</w:t>
      </w:r>
      <w:r>
        <w:rPr>
          <w:rFonts w:hint="eastAsia" w:ascii="宋体" w:hAnsi="宋体" w:eastAsia="宋体" w:cs="宋体"/>
          <w:b w:val="0"/>
          <w:bCs/>
          <w:color w:val="000000"/>
          <w:sz w:val="21"/>
          <w:szCs w:val="21"/>
        </w:rPr>
        <w:t>为合理确定本项目采购控制价提供市场询价依据，欢迎具备相应资格和能力的供应商按本询价文件要求进行报价。</w:t>
      </w:r>
    </w:p>
    <w:p w14:paraId="1B4E22CE">
      <w:pPr>
        <w:pageBreakBefore w:val="0"/>
        <w:widowControl/>
        <w:numPr>
          <w:ilvl w:val="0"/>
          <w:numId w:val="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color w:val="000000"/>
          <w:sz w:val="21"/>
          <w:szCs w:val="21"/>
        </w:rPr>
      </w:pPr>
      <w:r>
        <w:rPr>
          <w:rFonts w:hint="eastAsia" w:ascii="宋体" w:hAnsi="宋体" w:eastAsia="宋体" w:cs="宋体"/>
          <w:b/>
          <w:color w:val="000000"/>
          <w:sz w:val="21"/>
          <w:szCs w:val="21"/>
        </w:rPr>
        <w:t>采购范围：</w:t>
      </w:r>
      <w:r>
        <w:rPr>
          <w:rFonts w:hint="eastAsia" w:ascii="宋体" w:hAnsi="宋体" w:eastAsia="宋体" w:cs="宋体"/>
          <w:b w:val="0"/>
          <w:bCs/>
          <w:color w:val="000000"/>
          <w:sz w:val="21"/>
          <w:szCs w:val="21"/>
        </w:rPr>
        <w:t>本项目为“交钥匙”工程，涵盖旋转滤网主机及全套配套设备的设计、制造、供货、安装、调试、培训与质保服务，同步完成鸿蒙智能格栅控制系统的硬件供货、系统集成与联调，实现格栅系统从定时控制向智能按需控制的升级。</w:t>
      </w:r>
    </w:p>
    <w:p w14:paraId="07F44419">
      <w:pPr>
        <w:numPr>
          <w:ilvl w:val="0"/>
          <w:numId w:val="7"/>
        </w:numPr>
        <w:bidi w:val="0"/>
        <w:spacing w:line="240" w:lineRule="auto"/>
        <w:ind w:left="0" w:leftChars="0" w:firstLine="0" w:firstLineChars="0"/>
        <w:rPr>
          <w:rFonts w:hint="eastAsia" w:ascii="Arial" w:hAnsi="Arial" w:eastAsia="宋体"/>
          <w:b/>
          <w:bCs/>
          <w:sz w:val="21"/>
          <w:szCs w:val="21"/>
        </w:rPr>
      </w:pPr>
      <w:r>
        <w:rPr>
          <w:rFonts w:hint="eastAsia" w:ascii="Arial" w:hAnsi="Arial" w:eastAsia="宋体"/>
          <w:b/>
          <w:bCs/>
          <w:sz w:val="21"/>
          <w:szCs w:val="21"/>
        </w:rPr>
        <w:t>报价范围及说明</w:t>
      </w:r>
    </w:p>
    <w:p w14:paraId="11849FC9">
      <w:pPr>
        <w:pageBreakBefore w:val="0"/>
        <w:widowControl/>
        <w:numPr>
          <w:ilvl w:val="0"/>
          <w:numId w:val="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★报价为固定总价，包含设备设计、制造、工厂试验、保险、包装、运输、工地交货、安装指导、调试、备品备件、专用工具、技术资料、培训、质保服务、税费等全部费用。</w:t>
      </w:r>
    </w:p>
    <w:p w14:paraId="4DAA1171">
      <w:pPr>
        <w:pageBreakBefore w:val="0"/>
        <w:widowControl/>
        <w:numPr>
          <w:ilvl w:val="0"/>
          <w:numId w:val="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★备品备件及专用工具价格须包含在主设备报价中，不得单独列项报价。</w:t>
      </w:r>
    </w:p>
    <w:p w14:paraId="15BDDE70">
      <w:pPr>
        <w:pageBreakBefore w:val="0"/>
        <w:widowControl/>
        <w:numPr>
          <w:ilvl w:val="0"/>
          <w:numId w:val="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本清单不视为详尽无遗，供应商须补充满足工艺运行的全部附件、材料与配套设备，合同价格不作调整。</w:t>
      </w:r>
    </w:p>
    <w:p w14:paraId="2CB0A7CA">
      <w:pPr>
        <w:pageBreakBefore w:val="0"/>
        <w:widowControl/>
        <w:numPr>
          <w:ilvl w:val="0"/>
          <w:numId w:val="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安装前供应商须校核土建基础与预埋尺寸，对不合格条件提出整改指导；自用水管道接驳须配合水厂现有管线条件施工。</w:t>
      </w:r>
    </w:p>
    <w:p w14:paraId="3D75841E">
      <w:pPr>
        <w:pageBreakBefore w:val="0"/>
        <w:widowControl/>
        <w:numPr>
          <w:ilvl w:val="0"/>
          <w:numId w:val="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报价币种为人民币，报价有效期自报价截止之日起不少于60天。</w:t>
      </w:r>
    </w:p>
    <w:p w14:paraId="07F1C8F9">
      <w:pPr>
        <w:numPr>
          <w:ilvl w:val="0"/>
          <w:numId w:val="7"/>
        </w:numPr>
        <w:bidi w:val="0"/>
        <w:spacing w:line="240" w:lineRule="auto"/>
        <w:ind w:left="0" w:leftChars="0" w:firstLine="0" w:firstLineChars="0"/>
        <w:rPr>
          <w:rFonts w:hint="eastAsia" w:ascii="Arial" w:hAnsi="Arial" w:eastAsia="宋体"/>
          <w:b/>
          <w:bCs/>
          <w:sz w:val="21"/>
          <w:szCs w:val="21"/>
        </w:rPr>
      </w:pPr>
      <w:r>
        <w:rPr>
          <w:rFonts w:hint="eastAsia" w:ascii="Arial" w:hAnsi="Arial" w:eastAsia="宋体"/>
          <w:b/>
          <w:bCs/>
          <w:sz w:val="21"/>
          <w:szCs w:val="21"/>
        </w:rPr>
        <w:t>货物需求一览表及报价表</w:t>
      </w:r>
    </w:p>
    <w:p w14:paraId="7CE4F285">
      <w:pPr>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报价人须按下表逐项报价，报价单价与合价均含本询价文件所要求的全部费用</w:t>
      </w:r>
      <w:r>
        <w:rPr>
          <w:rFonts w:hint="eastAsia" w:ascii="宋体" w:hAnsi="宋体" w:cs="宋体"/>
          <w:b w:val="0"/>
          <w:color w:val="000000"/>
          <w:sz w:val="21"/>
          <w:szCs w:val="21"/>
          <w:lang w:val="en-US" w:eastAsia="zh-CN"/>
        </w:rPr>
        <w:t>并含税</w:t>
      </w:r>
      <w:r>
        <w:rPr>
          <w:rFonts w:hint="eastAsia" w:ascii="宋体" w:hAnsi="宋体" w:eastAsia="宋体" w:cs="宋体"/>
          <w:b w:val="0"/>
          <w:color w:val="000000"/>
          <w:sz w:val="21"/>
          <w:szCs w:val="21"/>
        </w:rPr>
        <w:t>；合价＝单价×数量，总报价为全部合价之和。</w:t>
      </w:r>
    </w:p>
    <w:tbl>
      <w:tblPr>
        <w:tblStyle w:val="33"/>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566"/>
        <w:gridCol w:w="1359"/>
        <w:gridCol w:w="3048"/>
        <w:gridCol w:w="1384"/>
        <w:gridCol w:w="393"/>
        <w:gridCol w:w="427"/>
        <w:gridCol w:w="1026"/>
        <w:gridCol w:w="1085"/>
      </w:tblGrid>
      <w:tr w14:paraId="3E7263A5">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shd w:val="clear" w:color="auto" w:fill="D9D9D9"/>
            <w:vAlign w:val="center"/>
          </w:tcPr>
          <w:p w14:paraId="6E934C6C">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序号</w:t>
            </w:r>
          </w:p>
        </w:tc>
        <w:tc>
          <w:tcPr>
            <w:tcW w:w="1359" w:type="dxa"/>
            <w:shd w:val="clear" w:color="auto" w:fill="D9D9D9"/>
            <w:vAlign w:val="center"/>
          </w:tcPr>
          <w:p w14:paraId="721E73D8">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设备名称</w:t>
            </w:r>
          </w:p>
        </w:tc>
        <w:tc>
          <w:tcPr>
            <w:tcW w:w="3048" w:type="dxa"/>
            <w:shd w:val="clear" w:color="auto" w:fill="D9D9D9"/>
            <w:vAlign w:val="center"/>
          </w:tcPr>
          <w:p w14:paraId="0F223C7A">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主要规格参数</w:t>
            </w:r>
          </w:p>
        </w:tc>
        <w:tc>
          <w:tcPr>
            <w:tcW w:w="1384" w:type="dxa"/>
            <w:shd w:val="clear" w:color="auto" w:fill="D9D9D9"/>
            <w:vAlign w:val="center"/>
          </w:tcPr>
          <w:p w14:paraId="6F9935A7">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材质</w:t>
            </w:r>
          </w:p>
        </w:tc>
        <w:tc>
          <w:tcPr>
            <w:tcW w:w="393" w:type="dxa"/>
            <w:shd w:val="clear" w:color="auto" w:fill="D9D9D9"/>
            <w:vAlign w:val="center"/>
          </w:tcPr>
          <w:p w14:paraId="28C50F80">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单位</w:t>
            </w:r>
          </w:p>
        </w:tc>
        <w:tc>
          <w:tcPr>
            <w:tcW w:w="427" w:type="dxa"/>
            <w:shd w:val="clear" w:color="auto" w:fill="D9D9D9"/>
            <w:vAlign w:val="center"/>
          </w:tcPr>
          <w:p w14:paraId="3BDEC633">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数量</w:t>
            </w:r>
          </w:p>
        </w:tc>
        <w:tc>
          <w:tcPr>
            <w:tcW w:w="1026" w:type="dxa"/>
            <w:shd w:val="clear" w:color="auto" w:fill="D9D9D9"/>
            <w:vAlign w:val="center"/>
          </w:tcPr>
          <w:p w14:paraId="7766A886">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报价单价</w:t>
            </w:r>
            <w:r>
              <w:rPr>
                <w:rFonts w:hint="eastAsia" w:ascii="宋体" w:hAnsi="宋体" w:eastAsia="宋体" w:cs="宋体"/>
                <w:sz w:val="20"/>
                <w:szCs w:val="20"/>
              </w:rPr>
              <w:br w:type="textWrapping"/>
            </w:r>
            <w:r>
              <w:rPr>
                <w:rFonts w:hint="eastAsia" w:ascii="宋体" w:hAnsi="宋体" w:eastAsia="宋体" w:cs="宋体"/>
                <w:sz w:val="20"/>
                <w:szCs w:val="20"/>
              </w:rPr>
              <w:t>（元）</w:t>
            </w:r>
          </w:p>
        </w:tc>
        <w:tc>
          <w:tcPr>
            <w:tcW w:w="1085" w:type="dxa"/>
            <w:shd w:val="clear" w:color="auto" w:fill="D9D9D9"/>
            <w:vAlign w:val="center"/>
          </w:tcPr>
          <w:p w14:paraId="0905ADF9">
            <w:pPr>
              <w:bidi w:val="0"/>
              <w:spacing w:line="240" w:lineRule="auto"/>
              <w:jc w:val="center"/>
              <w:rPr>
                <w:rFonts w:hint="eastAsia" w:ascii="宋体" w:hAnsi="宋体" w:eastAsia="宋体" w:cs="宋体"/>
                <w:sz w:val="20"/>
                <w:szCs w:val="20"/>
              </w:rPr>
            </w:pPr>
            <w:r>
              <w:rPr>
                <w:rFonts w:hint="eastAsia" w:ascii="宋体" w:hAnsi="宋体" w:eastAsia="宋体" w:cs="宋体"/>
                <w:sz w:val="20"/>
                <w:szCs w:val="20"/>
              </w:rPr>
              <w:t>报价合价</w:t>
            </w:r>
            <w:r>
              <w:rPr>
                <w:rFonts w:hint="eastAsia" w:ascii="宋体" w:hAnsi="宋体" w:eastAsia="宋体" w:cs="宋体"/>
                <w:sz w:val="20"/>
                <w:szCs w:val="20"/>
              </w:rPr>
              <w:br w:type="textWrapping"/>
            </w:r>
            <w:r>
              <w:rPr>
                <w:rFonts w:hint="eastAsia" w:ascii="宋体" w:hAnsi="宋体" w:eastAsia="宋体" w:cs="宋体"/>
                <w:sz w:val="20"/>
                <w:szCs w:val="20"/>
              </w:rPr>
              <w:t>（元）</w:t>
            </w:r>
          </w:p>
        </w:tc>
      </w:tr>
      <w:tr w14:paraId="3E417F9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1B0722D2">
            <w:pPr>
              <w:bidi w:val="0"/>
              <w:spacing w:line="240" w:lineRule="auto"/>
              <w:rPr>
                <w:rFonts w:hint="eastAsia" w:ascii="宋体" w:hAnsi="宋体" w:eastAsia="宋体" w:cs="宋体"/>
                <w:sz w:val="20"/>
                <w:szCs w:val="20"/>
              </w:rPr>
            </w:pPr>
            <w:r>
              <w:rPr>
                <w:rFonts w:hint="eastAsia" w:ascii="宋体" w:hAnsi="宋体" w:eastAsia="宋体" w:cs="宋体"/>
                <w:sz w:val="20"/>
                <w:szCs w:val="20"/>
              </w:rPr>
              <w:t>1</w:t>
            </w:r>
          </w:p>
        </w:tc>
        <w:tc>
          <w:tcPr>
            <w:tcW w:w="1359" w:type="dxa"/>
            <w:vAlign w:val="center"/>
          </w:tcPr>
          <w:p w14:paraId="2E830E33">
            <w:pPr>
              <w:bidi w:val="0"/>
              <w:spacing w:line="240" w:lineRule="auto"/>
              <w:rPr>
                <w:rFonts w:hint="eastAsia" w:ascii="宋体" w:hAnsi="宋体" w:eastAsia="宋体" w:cs="宋体"/>
                <w:sz w:val="20"/>
                <w:szCs w:val="20"/>
              </w:rPr>
            </w:pPr>
            <w:r>
              <w:rPr>
                <w:rFonts w:hint="eastAsia" w:ascii="宋体" w:hAnsi="宋体" w:eastAsia="宋体" w:cs="宋体"/>
                <w:sz w:val="20"/>
                <w:szCs w:val="20"/>
              </w:rPr>
              <w:t>旋转滤网</w:t>
            </w:r>
          </w:p>
        </w:tc>
        <w:tc>
          <w:tcPr>
            <w:tcW w:w="3048" w:type="dxa"/>
            <w:vAlign w:val="center"/>
          </w:tcPr>
          <w:p w14:paraId="336FAA52">
            <w:pPr>
              <w:bidi w:val="0"/>
              <w:spacing w:line="240" w:lineRule="auto"/>
              <w:rPr>
                <w:rFonts w:hint="eastAsia" w:ascii="宋体" w:hAnsi="宋体" w:eastAsia="宋体" w:cs="宋体"/>
                <w:sz w:val="20"/>
                <w:szCs w:val="20"/>
              </w:rPr>
            </w:pPr>
            <w:r>
              <w:rPr>
                <w:rFonts w:hint="eastAsia" w:ascii="宋体" w:hAnsi="宋体" w:eastAsia="宋体" w:cs="宋体"/>
                <w:sz w:val="20"/>
                <w:szCs w:val="20"/>
              </w:rPr>
              <w:t>名义高度7360mm，侧宽1500mm，迎水宽度1360mm，进水口宽930mm，使用深度5120mm，出渣口高度760mm，网眼直径5mm，功率0.5-1kW；单套过流能力≥20万m³/d</w:t>
            </w:r>
          </w:p>
        </w:tc>
        <w:tc>
          <w:tcPr>
            <w:tcW w:w="1384" w:type="dxa"/>
            <w:vAlign w:val="center"/>
          </w:tcPr>
          <w:p w14:paraId="11C45AE7">
            <w:pPr>
              <w:bidi w:val="0"/>
              <w:spacing w:line="240" w:lineRule="auto"/>
              <w:rPr>
                <w:rFonts w:hint="eastAsia" w:ascii="宋体" w:hAnsi="宋体" w:eastAsia="宋体" w:cs="宋体"/>
                <w:sz w:val="20"/>
                <w:szCs w:val="20"/>
              </w:rPr>
            </w:pPr>
            <w:r>
              <w:rPr>
                <w:rFonts w:hint="eastAsia" w:ascii="宋体" w:hAnsi="宋体" w:eastAsia="宋体" w:cs="宋体"/>
                <w:sz w:val="20"/>
                <w:szCs w:val="20"/>
              </w:rPr>
              <w:t>SUS304不锈钢</w:t>
            </w:r>
          </w:p>
        </w:tc>
        <w:tc>
          <w:tcPr>
            <w:tcW w:w="393" w:type="dxa"/>
            <w:vAlign w:val="center"/>
          </w:tcPr>
          <w:p w14:paraId="3F889A36">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76867794">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369BBE19">
            <w:pPr>
              <w:bidi w:val="0"/>
              <w:spacing w:line="240" w:lineRule="auto"/>
              <w:rPr>
                <w:rFonts w:hint="eastAsia" w:ascii="宋体" w:hAnsi="宋体" w:eastAsia="宋体" w:cs="宋体"/>
                <w:sz w:val="20"/>
                <w:szCs w:val="20"/>
              </w:rPr>
            </w:pPr>
          </w:p>
        </w:tc>
        <w:tc>
          <w:tcPr>
            <w:tcW w:w="1085" w:type="dxa"/>
            <w:vAlign w:val="center"/>
          </w:tcPr>
          <w:p w14:paraId="26D2E893">
            <w:pPr>
              <w:bidi w:val="0"/>
              <w:spacing w:line="240" w:lineRule="auto"/>
              <w:rPr>
                <w:rFonts w:hint="eastAsia" w:ascii="宋体" w:hAnsi="宋体" w:eastAsia="宋体" w:cs="宋体"/>
                <w:sz w:val="20"/>
                <w:szCs w:val="20"/>
              </w:rPr>
            </w:pPr>
          </w:p>
        </w:tc>
      </w:tr>
      <w:tr w14:paraId="68B5F3C3">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63A73667">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359" w:type="dxa"/>
            <w:vAlign w:val="center"/>
          </w:tcPr>
          <w:p w14:paraId="35346DD5">
            <w:pPr>
              <w:bidi w:val="0"/>
              <w:spacing w:line="240" w:lineRule="auto"/>
              <w:rPr>
                <w:rFonts w:hint="eastAsia" w:ascii="宋体" w:hAnsi="宋体" w:eastAsia="宋体" w:cs="宋体"/>
                <w:sz w:val="20"/>
                <w:szCs w:val="20"/>
              </w:rPr>
            </w:pPr>
            <w:r>
              <w:rPr>
                <w:rFonts w:hint="eastAsia" w:ascii="宋体" w:hAnsi="宋体" w:eastAsia="宋体" w:cs="宋体"/>
                <w:sz w:val="20"/>
                <w:szCs w:val="20"/>
              </w:rPr>
              <w:t>电动固液分离机</w:t>
            </w:r>
          </w:p>
        </w:tc>
        <w:tc>
          <w:tcPr>
            <w:tcW w:w="3048" w:type="dxa"/>
            <w:vAlign w:val="center"/>
          </w:tcPr>
          <w:p w14:paraId="6CDB7FF1">
            <w:pPr>
              <w:bidi w:val="0"/>
              <w:spacing w:line="240" w:lineRule="auto"/>
              <w:rPr>
                <w:rFonts w:hint="eastAsia" w:ascii="宋体" w:hAnsi="宋体" w:eastAsia="宋体" w:cs="宋体"/>
                <w:sz w:val="20"/>
                <w:szCs w:val="20"/>
              </w:rPr>
            </w:pPr>
            <w:r>
              <w:rPr>
                <w:rFonts w:hint="eastAsia" w:ascii="宋体" w:hAnsi="宋体" w:eastAsia="宋体" w:cs="宋体"/>
                <w:sz w:val="20"/>
                <w:szCs w:val="20"/>
              </w:rPr>
              <w:t>宽760mm，功率0.18-0.37kW，栅条间距5mm，梯形格栅条结构</w:t>
            </w:r>
          </w:p>
        </w:tc>
        <w:tc>
          <w:tcPr>
            <w:tcW w:w="1384" w:type="dxa"/>
            <w:vAlign w:val="center"/>
          </w:tcPr>
          <w:p w14:paraId="24E19479">
            <w:pPr>
              <w:bidi w:val="0"/>
              <w:spacing w:line="240" w:lineRule="auto"/>
              <w:rPr>
                <w:rFonts w:hint="eastAsia" w:ascii="宋体" w:hAnsi="宋体" w:eastAsia="宋体" w:cs="宋体"/>
                <w:sz w:val="20"/>
                <w:szCs w:val="20"/>
              </w:rPr>
            </w:pPr>
            <w:r>
              <w:rPr>
                <w:rFonts w:hint="eastAsia" w:ascii="宋体" w:hAnsi="宋体" w:eastAsia="宋体" w:cs="宋体"/>
                <w:sz w:val="20"/>
                <w:szCs w:val="20"/>
              </w:rPr>
              <w:t>SUS304不锈钢</w:t>
            </w:r>
          </w:p>
        </w:tc>
        <w:tc>
          <w:tcPr>
            <w:tcW w:w="393" w:type="dxa"/>
            <w:vAlign w:val="center"/>
          </w:tcPr>
          <w:p w14:paraId="2621B0B0">
            <w:pPr>
              <w:bidi w:val="0"/>
              <w:spacing w:line="240" w:lineRule="auto"/>
              <w:rPr>
                <w:rFonts w:hint="eastAsia" w:ascii="宋体" w:hAnsi="宋体" w:eastAsia="宋体" w:cs="宋体"/>
                <w:sz w:val="20"/>
                <w:szCs w:val="20"/>
              </w:rPr>
            </w:pPr>
            <w:r>
              <w:rPr>
                <w:rFonts w:hint="eastAsia" w:ascii="宋体" w:hAnsi="宋体" w:eastAsia="宋体" w:cs="宋体"/>
                <w:sz w:val="20"/>
                <w:szCs w:val="20"/>
              </w:rPr>
              <w:t>台</w:t>
            </w:r>
          </w:p>
        </w:tc>
        <w:tc>
          <w:tcPr>
            <w:tcW w:w="427" w:type="dxa"/>
            <w:vAlign w:val="center"/>
          </w:tcPr>
          <w:p w14:paraId="5C38A93D">
            <w:pPr>
              <w:bidi w:val="0"/>
              <w:spacing w:line="240" w:lineRule="auto"/>
              <w:rPr>
                <w:rFonts w:hint="eastAsia" w:ascii="宋体" w:hAnsi="宋体" w:eastAsia="宋体" w:cs="宋体"/>
                <w:sz w:val="20"/>
                <w:szCs w:val="20"/>
              </w:rPr>
            </w:pPr>
            <w:r>
              <w:rPr>
                <w:rFonts w:hint="eastAsia" w:ascii="宋体" w:hAnsi="宋体" w:eastAsia="宋体" w:cs="宋体"/>
                <w:sz w:val="20"/>
                <w:szCs w:val="20"/>
              </w:rPr>
              <w:t>1</w:t>
            </w:r>
          </w:p>
        </w:tc>
        <w:tc>
          <w:tcPr>
            <w:tcW w:w="1026" w:type="dxa"/>
            <w:vAlign w:val="center"/>
          </w:tcPr>
          <w:p w14:paraId="4A4B7020">
            <w:pPr>
              <w:bidi w:val="0"/>
              <w:spacing w:line="240" w:lineRule="auto"/>
              <w:rPr>
                <w:rFonts w:hint="eastAsia" w:ascii="宋体" w:hAnsi="宋体" w:eastAsia="宋体" w:cs="宋体"/>
                <w:sz w:val="20"/>
                <w:szCs w:val="20"/>
              </w:rPr>
            </w:pPr>
          </w:p>
        </w:tc>
        <w:tc>
          <w:tcPr>
            <w:tcW w:w="1085" w:type="dxa"/>
            <w:vAlign w:val="center"/>
          </w:tcPr>
          <w:p w14:paraId="73E2E9F5">
            <w:pPr>
              <w:bidi w:val="0"/>
              <w:spacing w:line="240" w:lineRule="auto"/>
              <w:rPr>
                <w:rFonts w:hint="eastAsia" w:ascii="宋体" w:hAnsi="宋体" w:eastAsia="宋体" w:cs="宋体"/>
                <w:sz w:val="20"/>
                <w:szCs w:val="20"/>
              </w:rPr>
            </w:pPr>
          </w:p>
        </w:tc>
      </w:tr>
      <w:tr w14:paraId="1DB838D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566" w:type="dxa"/>
            <w:vAlign w:val="center"/>
          </w:tcPr>
          <w:p w14:paraId="3AF8220E">
            <w:pPr>
              <w:bidi w:val="0"/>
              <w:spacing w:line="240" w:lineRule="auto"/>
              <w:rPr>
                <w:rFonts w:hint="eastAsia" w:ascii="宋体" w:hAnsi="宋体" w:eastAsia="宋体" w:cs="宋体"/>
                <w:sz w:val="20"/>
                <w:szCs w:val="20"/>
              </w:rPr>
            </w:pPr>
            <w:r>
              <w:rPr>
                <w:rFonts w:hint="eastAsia" w:ascii="宋体" w:hAnsi="宋体" w:eastAsia="宋体" w:cs="宋体"/>
                <w:sz w:val="20"/>
                <w:szCs w:val="20"/>
              </w:rPr>
              <w:t>3</w:t>
            </w:r>
          </w:p>
        </w:tc>
        <w:tc>
          <w:tcPr>
            <w:tcW w:w="1359" w:type="dxa"/>
            <w:vAlign w:val="center"/>
          </w:tcPr>
          <w:p w14:paraId="0042F0BF">
            <w:pPr>
              <w:bidi w:val="0"/>
              <w:spacing w:line="240" w:lineRule="auto"/>
              <w:rPr>
                <w:rFonts w:hint="eastAsia" w:ascii="宋体" w:hAnsi="宋体" w:eastAsia="宋体" w:cs="宋体"/>
                <w:sz w:val="20"/>
                <w:szCs w:val="20"/>
              </w:rPr>
            </w:pPr>
            <w:r>
              <w:rPr>
                <w:rFonts w:hint="eastAsia" w:ascii="宋体" w:hAnsi="宋体" w:eastAsia="宋体" w:cs="宋体"/>
                <w:sz w:val="20"/>
                <w:szCs w:val="20"/>
              </w:rPr>
              <w:t>反冲洗系统</w:t>
            </w:r>
          </w:p>
        </w:tc>
        <w:tc>
          <w:tcPr>
            <w:tcW w:w="3048" w:type="dxa"/>
            <w:vAlign w:val="center"/>
          </w:tcPr>
          <w:p w14:paraId="1564DAA4">
            <w:pPr>
              <w:bidi w:val="0"/>
              <w:spacing w:line="240" w:lineRule="auto"/>
              <w:rPr>
                <w:rFonts w:hint="eastAsia" w:ascii="宋体" w:hAnsi="宋体" w:eastAsia="宋体" w:cs="宋体"/>
                <w:sz w:val="20"/>
                <w:szCs w:val="20"/>
              </w:rPr>
            </w:pPr>
            <w:r>
              <w:rPr>
                <w:rFonts w:hint="eastAsia" w:ascii="宋体" w:hAnsi="宋体" w:eastAsia="宋体" w:cs="宋体"/>
                <w:sz w:val="20"/>
                <w:szCs w:val="20"/>
              </w:rPr>
              <w:t>含冲洗主管、分支管件、定向喷嘴、调节阀</w:t>
            </w:r>
          </w:p>
        </w:tc>
        <w:tc>
          <w:tcPr>
            <w:tcW w:w="1384" w:type="dxa"/>
            <w:vAlign w:val="center"/>
          </w:tcPr>
          <w:p w14:paraId="21EF10FE">
            <w:pPr>
              <w:bidi w:val="0"/>
              <w:spacing w:line="240" w:lineRule="auto"/>
              <w:rPr>
                <w:rFonts w:hint="eastAsia" w:ascii="宋体" w:hAnsi="宋体" w:eastAsia="宋体" w:cs="宋体"/>
                <w:sz w:val="20"/>
                <w:szCs w:val="20"/>
              </w:rPr>
            </w:pPr>
            <w:r>
              <w:rPr>
                <w:rFonts w:hint="eastAsia" w:ascii="宋体" w:hAnsi="宋体" w:eastAsia="宋体" w:cs="宋体"/>
                <w:sz w:val="20"/>
                <w:szCs w:val="20"/>
              </w:rPr>
              <w:t>SUS304不锈钢</w:t>
            </w:r>
          </w:p>
        </w:tc>
        <w:tc>
          <w:tcPr>
            <w:tcW w:w="393" w:type="dxa"/>
            <w:vAlign w:val="center"/>
          </w:tcPr>
          <w:p w14:paraId="2A791AD7">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60927B01">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05EF8A77">
            <w:pPr>
              <w:bidi w:val="0"/>
              <w:spacing w:line="240" w:lineRule="auto"/>
              <w:rPr>
                <w:rFonts w:hint="eastAsia" w:ascii="宋体" w:hAnsi="宋体" w:eastAsia="宋体" w:cs="宋体"/>
                <w:sz w:val="20"/>
                <w:szCs w:val="20"/>
              </w:rPr>
            </w:pPr>
          </w:p>
        </w:tc>
        <w:tc>
          <w:tcPr>
            <w:tcW w:w="1085" w:type="dxa"/>
            <w:vAlign w:val="center"/>
          </w:tcPr>
          <w:p w14:paraId="49888D45">
            <w:pPr>
              <w:bidi w:val="0"/>
              <w:spacing w:line="240" w:lineRule="auto"/>
              <w:rPr>
                <w:rFonts w:hint="eastAsia" w:ascii="宋体" w:hAnsi="宋体" w:eastAsia="宋体" w:cs="宋体"/>
                <w:sz w:val="20"/>
                <w:szCs w:val="20"/>
              </w:rPr>
            </w:pPr>
          </w:p>
        </w:tc>
      </w:tr>
      <w:tr w14:paraId="7E3207B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566" w:type="dxa"/>
            <w:vAlign w:val="center"/>
          </w:tcPr>
          <w:p w14:paraId="6276E758">
            <w:pPr>
              <w:bidi w:val="0"/>
              <w:spacing w:line="240" w:lineRule="auto"/>
              <w:rPr>
                <w:rFonts w:hint="eastAsia" w:ascii="宋体" w:hAnsi="宋体" w:eastAsia="宋体" w:cs="宋体"/>
                <w:sz w:val="20"/>
                <w:szCs w:val="20"/>
              </w:rPr>
            </w:pPr>
            <w:r>
              <w:rPr>
                <w:rFonts w:hint="eastAsia" w:ascii="宋体" w:hAnsi="宋体" w:eastAsia="宋体" w:cs="宋体"/>
                <w:sz w:val="20"/>
                <w:szCs w:val="20"/>
              </w:rPr>
              <w:t>4</w:t>
            </w:r>
          </w:p>
        </w:tc>
        <w:tc>
          <w:tcPr>
            <w:tcW w:w="1359" w:type="dxa"/>
            <w:vAlign w:val="center"/>
          </w:tcPr>
          <w:p w14:paraId="013B3EF7">
            <w:pPr>
              <w:bidi w:val="0"/>
              <w:spacing w:line="240" w:lineRule="auto"/>
              <w:rPr>
                <w:rFonts w:hint="eastAsia" w:ascii="宋体" w:hAnsi="宋体" w:eastAsia="宋体" w:cs="宋体"/>
                <w:sz w:val="20"/>
                <w:szCs w:val="20"/>
              </w:rPr>
            </w:pPr>
            <w:r>
              <w:rPr>
                <w:rFonts w:hint="eastAsia" w:ascii="宋体" w:hAnsi="宋体" w:eastAsia="宋体" w:cs="宋体"/>
                <w:sz w:val="20"/>
                <w:szCs w:val="20"/>
              </w:rPr>
              <w:t>自用水冲洗组件</w:t>
            </w:r>
          </w:p>
        </w:tc>
        <w:tc>
          <w:tcPr>
            <w:tcW w:w="3048" w:type="dxa"/>
            <w:vAlign w:val="center"/>
          </w:tcPr>
          <w:p w14:paraId="42B27BB3">
            <w:pPr>
              <w:bidi w:val="0"/>
              <w:spacing w:line="240" w:lineRule="auto"/>
              <w:rPr>
                <w:rFonts w:hint="eastAsia" w:ascii="宋体" w:hAnsi="宋体" w:eastAsia="宋体" w:cs="宋体"/>
                <w:sz w:val="20"/>
                <w:szCs w:val="20"/>
              </w:rPr>
            </w:pPr>
            <w:r>
              <w:rPr>
                <w:rFonts w:hint="eastAsia" w:ascii="宋体" w:hAnsi="宋体" w:eastAsia="宋体" w:cs="宋体"/>
                <w:sz w:val="20"/>
                <w:szCs w:val="20"/>
              </w:rPr>
              <w:t>每套含DN40电动球阀1台、外接管道及全套连接件</w:t>
            </w:r>
          </w:p>
        </w:tc>
        <w:tc>
          <w:tcPr>
            <w:tcW w:w="1384" w:type="dxa"/>
            <w:vAlign w:val="center"/>
          </w:tcPr>
          <w:p w14:paraId="06F15C6C">
            <w:pPr>
              <w:bidi w:val="0"/>
              <w:spacing w:line="240" w:lineRule="auto"/>
              <w:rPr>
                <w:rFonts w:hint="eastAsia" w:ascii="宋体" w:hAnsi="宋体" w:eastAsia="宋体" w:cs="宋体"/>
                <w:sz w:val="20"/>
                <w:szCs w:val="20"/>
              </w:rPr>
            </w:pPr>
            <w:r>
              <w:rPr>
                <w:rFonts w:hint="eastAsia" w:ascii="宋体" w:hAnsi="宋体" w:eastAsia="宋体" w:cs="宋体"/>
                <w:sz w:val="20"/>
                <w:szCs w:val="20"/>
              </w:rPr>
              <w:t>阀体SUS304不锈钢；管道为PVC或SUS304不锈钢</w:t>
            </w:r>
          </w:p>
        </w:tc>
        <w:tc>
          <w:tcPr>
            <w:tcW w:w="393" w:type="dxa"/>
            <w:vAlign w:val="center"/>
          </w:tcPr>
          <w:p w14:paraId="1A0BD8C6">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637B108E">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151B042A">
            <w:pPr>
              <w:bidi w:val="0"/>
              <w:spacing w:line="240" w:lineRule="auto"/>
              <w:rPr>
                <w:rFonts w:hint="eastAsia" w:ascii="宋体" w:hAnsi="宋体" w:eastAsia="宋体" w:cs="宋体"/>
                <w:sz w:val="20"/>
                <w:szCs w:val="20"/>
              </w:rPr>
            </w:pPr>
          </w:p>
        </w:tc>
        <w:tc>
          <w:tcPr>
            <w:tcW w:w="1085" w:type="dxa"/>
            <w:vAlign w:val="center"/>
          </w:tcPr>
          <w:p w14:paraId="2693B669">
            <w:pPr>
              <w:bidi w:val="0"/>
              <w:spacing w:line="240" w:lineRule="auto"/>
              <w:rPr>
                <w:rFonts w:hint="eastAsia" w:ascii="宋体" w:hAnsi="宋体" w:eastAsia="宋体" w:cs="宋体"/>
                <w:sz w:val="20"/>
                <w:szCs w:val="20"/>
              </w:rPr>
            </w:pPr>
          </w:p>
        </w:tc>
      </w:tr>
      <w:tr w14:paraId="6718837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068C3952">
            <w:pPr>
              <w:bidi w:val="0"/>
              <w:spacing w:line="240" w:lineRule="auto"/>
              <w:rPr>
                <w:rFonts w:hint="eastAsia" w:ascii="宋体" w:hAnsi="宋体" w:eastAsia="宋体" w:cs="宋体"/>
                <w:sz w:val="20"/>
                <w:szCs w:val="20"/>
              </w:rPr>
            </w:pPr>
            <w:r>
              <w:rPr>
                <w:rFonts w:hint="eastAsia" w:ascii="宋体" w:hAnsi="宋体" w:eastAsia="宋体" w:cs="宋体"/>
                <w:sz w:val="20"/>
                <w:szCs w:val="20"/>
              </w:rPr>
              <w:t>5</w:t>
            </w:r>
          </w:p>
        </w:tc>
        <w:tc>
          <w:tcPr>
            <w:tcW w:w="1359" w:type="dxa"/>
            <w:vAlign w:val="center"/>
          </w:tcPr>
          <w:p w14:paraId="3853EFF0">
            <w:pPr>
              <w:bidi w:val="0"/>
              <w:spacing w:line="240" w:lineRule="auto"/>
              <w:rPr>
                <w:rFonts w:hint="eastAsia" w:ascii="宋体" w:hAnsi="宋体" w:eastAsia="宋体" w:cs="宋体"/>
                <w:sz w:val="20"/>
                <w:szCs w:val="20"/>
              </w:rPr>
            </w:pPr>
            <w:r>
              <w:rPr>
                <w:rFonts w:hint="eastAsia" w:ascii="宋体" w:hAnsi="宋体" w:eastAsia="宋体" w:cs="宋体"/>
                <w:sz w:val="20"/>
                <w:szCs w:val="20"/>
              </w:rPr>
              <w:t>滤渣收集槽</w:t>
            </w:r>
          </w:p>
        </w:tc>
        <w:tc>
          <w:tcPr>
            <w:tcW w:w="3048" w:type="dxa"/>
            <w:vAlign w:val="center"/>
          </w:tcPr>
          <w:p w14:paraId="43C54448">
            <w:pPr>
              <w:bidi w:val="0"/>
              <w:spacing w:line="240" w:lineRule="auto"/>
              <w:rPr>
                <w:rFonts w:hint="eastAsia" w:ascii="宋体" w:hAnsi="宋体" w:eastAsia="宋体" w:cs="宋体"/>
                <w:sz w:val="20"/>
                <w:szCs w:val="20"/>
              </w:rPr>
            </w:pPr>
            <w:r>
              <w:rPr>
                <w:rFonts w:hint="eastAsia" w:ascii="宋体" w:hAnsi="宋体" w:eastAsia="宋体" w:cs="宋体"/>
                <w:sz w:val="20"/>
                <w:szCs w:val="20"/>
              </w:rPr>
              <w:t>与土建配套，带封盖</w:t>
            </w:r>
          </w:p>
        </w:tc>
        <w:tc>
          <w:tcPr>
            <w:tcW w:w="1384" w:type="dxa"/>
            <w:vAlign w:val="center"/>
          </w:tcPr>
          <w:p w14:paraId="25DF513E">
            <w:pPr>
              <w:bidi w:val="0"/>
              <w:spacing w:line="240" w:lineRule="auto"/>
              <w:rPr>
                <w:rFonts w:hint="eastAsia" w:ascii="宋体" w:hAnsi="宋体" w:eastAsia="宋体" w:cs="宋体"/>
                <w:sz w:val="20"/>
                <w:szCs w:val="20"/>
              </w:rPr>
            </w:pPr>
            <w:r>
              <w:rPr>
                <w:rFonts w:hint="eastAsia" w:ascii="宋体" w:hAnsi="宋体" w:eastAsia="宋体" w:cs="宋体"/>
                <w:sz w:val="20"/>
                <w:szCs w:val="20"/>
              </w:rPr>
              <w:t>SUS304不锈钢</w:t>
            </w:r>
          </w:p>
        </w:tc>
        <w:tc>
          <w:tcPr>
            <w:tcW w:w="393" w:type="dxa"/>
            <w:vAlign w:val="center"/>
          </w:tcPr>
          <w:p w14:paraId="5D2835AE">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15632333">
            <w:pPr>
              <w:bidi w:val="0"/>
              <w:spacing w:line="240" w:lineRule="auto"/>
              <w:rPr>
                <w:rFonts w:hint="eastAsia" w:ascii="宋体" w:hAnsi="宋体" w:eastAsia="宋体" w:cs="宋体"/>
                <w:sz w:val="20"/>
                <w:szCs w:val="20"/>
              </w:rPr>
            </w:pPr>
            <w:r>
              <w:rPr>
                <w:rFonts w:hint="eastAsia" w:ascii="宋体" w:hAnsi="宋体" w:eastAsia="宋体" w:cs="宋体"/>
                <w:sz w:val="20"/>
                <w:szCs w:val="20"/>
              </w:rPr>
              <w:t>1</w:t>
            </w:r>
          </w:p>
        </w:tc>
        <w:tc>
          <w:tcPr>
            <w:tcW w:w="1026" w:type="dxa"/>
            <w:vAlign w:val="center"/>
          </w:tcPr>
          <w:p w14:paraId="01FD334C">
            <w:pPr>
              <w:bidi w:val="0"/>
              <w:spacing w:line="240" w:lineRule="auto"/>
              <w:rPr>
                <w:rFonts w:hint="eastAsia" w:ascii="宋体" w:hAnsi="宋体" w:eastAsia="宋体" w:cs="宋体"/>
                <w:sz w:val="20"/>
                <w:szCs w:val="20"/>
              </w:rPr>
            </w:pPr>
          </w:p>
        </w:tc>
        <w:tc>
          <w:tcPr>
            <w:tcW w:w="1085" w:type="dxa"/>
            <w:vAlign w:val="center"/>
          </w:tcPr>
          <w:p w14:paraId="11F7CCB4">
            <w:pPr>
              <w:bidi w:val="0"/>
              <w:spacing w:line="240" w:lineRule="auto"/>
              <w:rPr>
                <w:rFonts w:hint="eastAsia" w:ascii="宋体" w:hAnsi="宋体" w:eastAsia="宋体" w:cs="宋体"/>
                <w:sz w:val="20"/>
                <w:szCs w:val="20"/>
              </w:rPr>
            </w:pPr>
          </w:p>
        </w:tc>
      </w:tr>
      <w:tr w14:paraId="24CAD8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21AB715E">
            <w:pPr>
              <w:bidi w:val="0"/>
              <w:spacing w:line="240" w:lineRule="auto"/>
              <w:rPr>
                <w:rFonts w:hint="eastAsia" w:ascii="宋体" w:hAnsi="宋体" w:eastAsia="宋体" w:cs="宋体"/>
                <w:sz w:val="20"/>
                <w:szCs w:val="20"/>
              </w:rPr>
            </w:pPr>
            <w:r>
              <w:rPr>
                <w:rFonts w:hint="eastAsia" w:ascii="宋体" w:hAnsi="宋体" w:eastAsia="宋体" w:cs="宋体"/>
                <w:sz w:val="20"/>
                <w:szCs w:val="20"/>
              </w:rPr>
              <w:t>6</w:t>
            </w:r>
          </w:p>
        </w:tc>
        <w:tc>
          <w:tcPr>
            <w:tcW w:w="1359" w:type="dxa"/>
            <w:vAlign w:val="center"/>
          </w:tcPr>
          <w:p w14:paraId="0A15A1DF">
            <w:pPr>
              <w:bidi w:val="0"/>
              <w:spacing w:line="240" w:lineRule="auto"/>
              <w:rPr>
                <w:rFonts w:hint="eastAsia" w:ascii="宋体" w:hAnsi="宋体" w:eastAsia="宋体" w:cs="宋体"/>
                <w:sz w:val="20"/>
                <w:szCs w:val="20"/>
              </w:rPr>
            </w:pPr>
            <w:r>
              <w:rPr>
                <w:rFonts w:hint="eastAsia" w:ascii="宋体" w:hAnsi="宋体" w:eastAsia="宋体" w:cs="宋体"/>
                <w:sz w:val="20"/>
                <w:szCs w:val="20"/>
              </w:rPr>
              <w:t>鸿蒙智能终端柜</w:t>
            </w:r>
          </w:p>
        </w:tc>
        <w:tc>
          <w:tcPr>
            <w:tcW w:w="3048" w:type="dxa"/>
            <w:vAlign w:val="center"/>
          </w:tcPr>
          <w:p w14:paraId="7E38D96D">
            <w:pPr>
              <w:bidi w:val="0"/>
              <w:spacing w:line="240" w:lineRule="auto"/>
              <w:rPr>
                <w:rFonts w:hint="eastAsia" w:ascii="宋体" w:hAnsi="宋体" w:eastAsia="宋体" w:cs="宋体"/>
                <w:sz w:val="20"/>
                <w:szCs w:val="20"/>
              </w:rPr>
            </w:pPr>
            <w:r>
              <w:rPr>
                <w:rFonts w:hint="eastAsia" w:ascii="宋体" w:hAnsi="宋体" w:eastAsia="宋体" w:cs="宋体"/>
                <w:sz w:val="20"/>
                <w:szCs w:val="20"/>
              </w:rPr>
              <w:t>户外防雨型，集成鸿蒙智控器、IO模块及电气元件，防护等级IP55，柜厚≥1.5mm，含10寸触摸屏</w:t>
            </w:r>
          </w:p>
        </w:tc>
        <w:tc>
          <w:tcPr>
            <w:tcW w:w="1384" w:type="dxa"/>
            <w:vAlign w:val="center"/>
          </w:tcPr>
          <w:p w14:paraId="6BFC07B6">
            <w:pPr>
              <w:bidi w:val="0"/>
              <w:spacing w:line="240" w:lineRule="auto"/>
              <w:rPr>
                <w:rFonts w:hint="eastAsia" w:ascii="宋体" w:hAnsi="宋体" w:eastAsia="宋体" w:cs="宋体"/>
                <w:sz w:val="20"/>
                <w:szCs w:val="20"/>
              </w:rPr>
            </w:pPr>
            <w:r>
              <w:rPr>
                <w:rFonts w:hint="eastAsia" w:ascii="宋体" w:hAnsi="宋体" w:eastAsia="宋体" w:cs="宋体"/>
                <w:sz w:val="20"/>
                <w:szCs w:val="20"/>
              </w:rPr>
              <w:t>SUS304不锈钢</w:t>
            </w:r>
          </w:p>
        </w:tc>
        <w:tc>
          <w:tcPr>
            <w:tcW w:w="393" w:type="dxa"/>
            <w:vAlign w:val="center"/>
          </w:tcPr>
          <w:p w14:paraId="1F7096F4">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58EEB278">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1F2E750E">
            <w:pPr>
              <w:bidi w:val="0"/>
              <w:spacing w:line="240" w:lineRule="auto"/>
              <w:rPr>
                <w:rFonts w:hint="eastAsia" w:ascii="宋体" w:hAnsi="宋体" w:eastAsia="宋体" w:cs="宋体"/>
                <w:sz w:val="20"/>
                <w:szCs w:val="20"/>
              </w:rPr>
            </w:pPr>
          </w:p>
        </w:tc>
        <w:tc>
          <w:tcPr>
            <w:tcW w:w="1085" w:type="dxa"/>
            <w:vAlign w:val="center"/>
          </w:tcPr>
          <w:p w14:paraId="5665BFAE">
            <w:pPr>
              <w:bidi w:val="0"/>
              <w:spacing w:line="240" w:lineRule="auto"/>
              <w:rPr>
                <w:rFonts w:hint="eastAsia" w:ascii="宋体" w:hAnsi="宋体" w:eastAsia="宋体" w:cs="宋体"/>
                <w:sz w:val="20"/>
                <w:szCs w:val="20"/>
              </w:rPr>
            </w:pPr>
          </w:p>
        </w:tc>
      </w:tr>
      <w:tr w14:paraId="25246BCF">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03EC6514">
            <w:pPr>
              <w:bidi w:val="0"/>
              <w:spacing w:line="240" w:lineRule="auto"/>
              <w:rPr>
                <w:rFonts w:hint="eastAsia" w:ascii="宋体" w:hAnsi="宋体" w:eastAsia="宋体" w:cs="宋体"/>
                <w:sz w:val="20"/>
                <w:szCs w:val="20"/>
              </w:rPr>
            </w:pPr>
            <w:r>
              <w:rPr>
                <w:rFonts w:hint="eastAsia" w:ascii="宋体" w:hAnsi="宋体" w:eastAsia="宋体" w:cs="宋体"/>
                <w:sz w:val="20"/>
                <w:szCs w:val="20"/>
              </w:rPr>
              <w:t>7</w:t>
            </w:r>
          </w:p>
        </w:tc>
        <w:tc>
          <w:tcPr>
            <w:tcW w:w="1359" w:type="dxa"/>
            <w:vAlign w:val="center"/>
          </w:tcPr>
          <w:p w14:paraId="3704453D">
            <w:pPr>
              <w:bidi w:val="0"/>
              <w:spacing w:line="240" w:lineRule="auto"/>
              <w:rPr>
                <w:rFonts w:hint="eastAsia" w:ascii="宋体" w:hAnsi="宋体" w:eastAsia="宋体" w:cs="宋体"/>
                <w:sz w:val="20"/>
                <w:szCs w:val="20"/>
              </w:rPr>
            </w:pPr>
            <w:r>
              <w:rPr>
                <w:rFonts w:hint="eastAsia" w:ascii="宋体" w:hAnsi="宋体" w:eastAsia="宋体" w:cs="宋体"/>
                <w:sz w:val="20"/>
                <w:szCs w:val="20"/>
              </w:rPr>
              <w:t>鸿蒙智控器</w:t>
            </w:r>
          </w:p>
        </w:tc>
        <w:tc>
          <w:tcPr>
            <w:tcW w:w="3048" w:type="dxa"/>
            <w:vAlign w:val="center"/>
          </w:tcPr>
          <w:p w14:paraId="342318B5">
            <w:pPr>
              <w:bidi w:val="0"/>
              <w:spacing w:line="240" w:lineRule="auto"/>
              <w:rPr>
                <w:rFonts w:hint="eastAsia" w:ascii="宋体" w:hAnsi="宋体" w:eastAsia="宋体" w:cs="宋体"/>
                <w:sz w:val="20"/>
                <w:szCs w:val="20"/>
              </w:rPr>
            </w:pPr>
            <w:r>
              <w:rPr>
                <w:rFonts w:hint="eastAsia" w:ascii="宋体" w:hAnsi="宋体" w:eastAsia="宋体" w:cs="宋体"/>
                <w:sz w:val="20"/>
                <w:szCs w:val="20"/>
              </w:rPr>
              <w:t>工业级，基于国产RISC-V架构芯片，通过OpenHarmony兼容性认证，支持多设备接入、边缘计算、数据采集与下控</w:t>
            </w:r>
          </w:p>
        </w:tc>
        <w:tc>
          <w:tcPr>
            <w:tcW w:w="1384" w:type="dxa"/>
            <w:vAlign w:val="center"/>
          </w:tcPr>
          <w:p w14:paraId="24129A93">
            <w:pPr>
              <w:bidi w:val="0"/>
              <w:spacing w:line="240" w:lineRule="auto"/>
              <w:rPr>
                <w:rFonts w:hint="eastAsia" w:ascii="宋体" w:hAnsi="宋体" w:eastAsia="宋体" w:cs="宋体"/>
                <w:sz w:val="20"/>
                <w:szCs w:val="20"/>
              </w:rPr>
            </w:pPr>
            <w:r>
              <w:rPr>
                <w:rFonts w:hint="eastAsia" w:ascii="宋体" w:hAnsi="宋体" w:eastAsia="宋体" w:cs="宋体"/>
                <w:sz w:val="20"/>
                <w:szCs w:val="20"/>
              </w:rPr>
              <w:t>工业级</w:t>
            </w:r>
          </w:p>
        </w:tc>
        <w:tc>
          <w:tcPr>
            <w:tcW w:w="393" w:type="dxa"/>
            <w:vAlign w:val="center"/>
          </w:tcPr>
          <w:p w14:paraId="5E234F87">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3651C15A">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770933BE">
            <w:pPr>
              <w:bidi w:val="0"/>
              <w:spacing w:line="240" w:lineRule="auto"/>
              <w:rPr>
                <w:rFonts w:hint="eastAsia" w:ascii="宋体" w:hAnsi="宋体" w:eastAsia="宋体" w:cs="宋体"/>
                <w:sz w:val="20"/>
                <w:szCs w:val="20"/>
              </w:rPr>
            </w:pPr>
          </w:p>
        </w:tc>
        <w:tc>
          <w:tcPr>
            <w:tcW w:w="1085" w:type="dxa"/>
            <w:vAlign w:val="center"/>
          </w:tcPr>
          <w:p w14:paraId="42057F17">
            <w:pPr>
              <w:bidi w:val="0"/>
              <w:spacing w:line="240" w:lineRule="auto"/>
              <w:rPr>
                <w:rFonts w:hint="eastAsia" w:ascii="宋体" w:hAnsi="宋体" w:eastAsia="宋体" w:cs="宋体"/>
                <w:sz w:val="20"/>
                <w:szCs w:val="20"/>
              </w:rPr>
            </w:pPr>
          </w:p>
        </w:tc>
      </w:tr>
      <w:tr w14:paraId="21AEEBD9">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56AF2864">
            <w:pPr>
              <w:bidi w:val="0"/>
              <w:spacing w:line="240" w:lineRule="auto"/>
              <w:rPr>
                <w:rFonts w:hint="eastAsia" w:ascii="宋体" w:hAnsi="宋体" w:eastAsia="宋体" w:cs="宋体"/>
                <w:sz w:val="20"/>
                <w:szCs w:val="20"/>
              </w:rPr>
            </w:pPr>
            <w:r>
              <w:rPr>
                <w:rFonts w:hint="eastAsia" w:ascii="宋体" w:hAnsi="宋体" w:eastAsia="宋体" w:cs="宋体"/>
                <w:sz w:val="20"/>
                <w:szCs w:val="20"/>
              </w:rPr>
              <w:t>8</w:t>
            </w:r>
          </w:p>
        </w:tc>
        <w:tc>
          <w:tcPr>
            <w:tcW w:w="1359" w:type="dxa"/>
            <w:vAlign w:val="center"/>
          </w:tcPr>
          <w:p w14:paraId="6727B77E">
            <w:pPr>
              <w:bidi w:val="0"/>
              <w:spacing w:line="240" w:lineRule="auto"/>
              <w:rPr>
                <w:rFonts w:hint="eastAsia" w:ascii="宋体" w:hAnsi="宋体" w:eastAsia="宋体" w:cs="宋体"/>
                <w:sz w:val="20"/>
                <w:szCs w:val="20"/>
              </w:rPr>
            </w:pPr>
            <w:r>
              <w:rPr>
                <w:rFonts w:hint="eastAsia" w:ascii="宋体" w:hAnsi="宋体" w:eastAsia="宋体" w:cs="宋体"/>
                <w:sz w:val="20"/>
                <w:szCs w:val="20"/>
              </w:rPr>
              <w:t>AI高清摄像头</w:t>
            </w:r>
          </w:p>
        </w:tc>
        <w:tc>
          <w:tcPr>
            <w:tcW w:w="3048" w:type="dxa"/>
            <w:vAlign w:val="center"/>
          </w:tcPr>
          <w:p w14:paraId="4A3893A6">
            <w:pPr>
              <w:bidi w:val="0"/>
              <w:spacing w:line="240" w:lineRule="auto"/>
              <w:rPr>
                <w:rFonts w:hint="eastAsia" w:ascii="宋体" w:hAnsi="宋体" w:eastAsia="宋体" w:cs="宋体"/>
                <w:sz w:val="20"/>
                <w:szCs w:val="20"/>
              </w:rPr>
            </w:pPr>
            <w:r>
              <w:rPr>
                <w:rFonts w:hint="eastAsia" w:ascii="宋体" w:hAnsi="宋体" w:eastAsia="宋体" w:cs="宋体"/>
                <w:sz w:val="20"/>
                <w:szCs w:val="20"/>
              </w:rPr>
              <w:t>≥200万像素，防水防尘</w:t>
            </w:r>
          </w:p>
        </w:tc>
        <w:tc>
          <w:tcPr>
            <w:tcW w:w="1384" w:type="dxa"/>
            <w:vAlign w:val="center"/>
          </w:tcPr>
          <w:p w14:paraId="076E601B">
            <w:pPr>
              <w:bidi w:val="0"/>
              <w:spacing w:line="240" w:lineRule="auto"/>
              <w:rPr>
                <w:rFonts w:hint="eastAsia" w:ascii="宋体" w:hAnsi="宋体" w:eastAsia="宋体" w:cs="宋体"/>
                <w:sz w:val="20"/>
                <w:szCs w:val="20"/>
              </w:rPr>
            </w:pPr>
            <w:r>
              <w:rPr>
                <w:rFonts w:hint="eastAsia" w:ascii="宋体" w:hAnsi="宋体" w:eastAsia="宋体" w:cs="宋体"/>
                <w:sz w:val="20"/>
                <w:szCs w:val="20"/>
              </w:rPr>
              <w:t>工业级</w:t>
            </w:r>
          </w:p>
        </w:tc>
        <w:tc>
          <w:tcPr>
            <w:tcW w:w="393" w:type="dxa"/>
            <w:vAlign w:val="center"/>
          </w:tcPr>
          <w:p w14:paraId="4156F9A1">
            <w:pPr>
              <w:bidi w:val="0"/>
              <w:spacing w:line="240" w:lineRule="auto"/>
              <w:rPr>
                <w:rFonts w:hint="eastAsia" w:ascii="宋体" w:hAnsi="宋体" w:eastAsia="宋体" w:cs="宋体"/>
                <w:sz w:val="20"/>
                <w:szCs w:val="20"/>
              </w:rPr>
            </w:pPr>
            <w:r>
              <w:rPr>
                <w:rFonts w:hint="eastAsia" w:ascii="宋体" w:hAnsi="宋体" w:eastAsia="宋体" w:cs="宋体"/>
                <w:sz w:val="20"/>
                <w:szCs w:val="20"/>
              </w:rPr>
              <w:t>台</w:t>
            </w:r>
          </w:p>
        </w:tc>
        <w:tc>
          <w:tcPr>
            <w:tcW w:w="427" w:type="dxa"/>
            <w:vAlign w:val="center"/>
          </w:tcPr>
          <w:p w14:paraId="321FFBB6">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40D822F2">
            <w:pPr>
              <w:bidi w:val="0"/>
              <w:spacing w:line="240" w:lineRule="auto"/>
              <w:rPr>
                <w:rFonts w:hint="eastAsia" w:ascii="宋体" w:hAnsi="宋体" w:eastAsia="宋体" w:cs="宋体"/>
                <w:sz w:val="20"/>
                <w:szCs w:val="20"/>
              </w:rPr>
            </w:pPr>
          </w:p>
        </w:tc>
        <w:tc>
          <w:tcPr>
            <w:tcW w:w="1085" w:type="dxa"/>
            <w:vAlign w:val="center"/>
          </w:tcPr>
          <w:p w14:paraId="769E8BBA">
            <w:pPr>
              <w:bidi w:val="0"/>
              <w:spacing w:line="240" w:lineRule="auto"/>
              <w:rPr>
                <w:rFonts w:hint="eastAsia" w:ascii="宋体" w:hAnsi="宋体" w:eastAsia="宋体" w:cs="宋体"/>
                <w:sz w:val="20"/>
                <w:szCs w:val="20"/>
              </w:rPr>
            </w:pPr>
          </w:p>
        </w:tc>
      </w:tr>
      <w:tr w14:paraId="3D29FA94">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566" w:type="dxa"/>
            <w:vAlign w:val="center"/>
          </w:tcPr>
          <w:p w14:paraId="1E8B5333">
            <w:pPr>
              <w:bidi w:val="0"/>
              <w:spacing w:line="240" w:lineRule="auto"/>
              <w:rPr>
                <w:rFonts w:hint="eastAsia" w:ascii="宋体" w:hAnsi="宋体" w:eastAsia="宋体" w:cs="宋体"/>
                <w:sz w:val="20"/>
                <w:szCs w:val="20"/>
              </w:rPr>
            </w:pPr>
            <w:r>
              <w:rPr>
                <w:rFonts w:hint="eastAsia" w:ascii="宋体" w:hAnsi="宋体" w:eastAsia="宋体" w:cs="宋体"/>
                <w:sz w:val="20"/>
                <w:szCs w:val="20"/>
              </w:rPr>
              <w:t>9</w:t>
            </w:r>
          </w:p>
        </w:tc>
        <w:tc>
          <w:tcPr>
            <w:tcW w:w="1359" w:type="dxa"/>
            <w:vAlign w:val="center"/>
          </w:tcPr>
          <w:p w14:paraId="55A05788">
            <w:pPr>
              <w:bidi w:val="0"/>
              <w:spacing w:line="240" w:lineRule="auto"/>
              <w:rPr>
                <w:rFonts w:hint="eastAsia" w:ascii="宋体" w:hAnsi="宋体" w:eastAsia="宋体" w:cs="宋体"/>
                <w:sz w:val="20"/>
                <w:szCs w:val="20"/>
              </w:rPr>
            </w:pPr>
            <w:r>
              <w:rPr>
                <w:rFonts w:hint="eastAsia" w:ascii="宋体" w:hAnsi="宋体" w:eastAsia="宋体" w:cs="宋体"/>
                <w:sz w:val="20"/>
                <w:szCs w:val="20"/>
              </w:rPr>
              <w:t>超声波液位计</w:t>
            </w:r>
          </w:p>
        </w:tc>
        <w:tc>
          <w:tcPr>
            <w:tcW w:w="3048" w:type="dxa"/>
            <w:vAlign w:val="center"/>
          </w:tcPr>
          <w:p w14:paraId="637F80A1">
            <w:pPr>
              <w:bidi w:val="0"/>
              <w:spacing w:line="240" w:lineRule="auto"/>
              <w:rPr>
                <w:rFonts w:hint="eastAsia" w:ascii="宋体" w:hAnsi="宋体" w:eastAsia="宋体" w:cs="宋体"/>
                <w:sz w:val="20"/>
                <w:szCs w:val="20"/>
              </w:rPr>
            </w:pPr>
            <w:r>
              <w:rPr>
                <w:rFonts w:hint="eastAsia" w:ascii="宋体" w:hAnsi="宋体" w:eastAsia="宋体" w:cs="宋体"/>
                <w:sz w:val="20"/>
                <w:szCs w:val="20"/>
              </w:rPr>
              <w:t>量程0-8m，精度±0.5%FS，4-20mA输出</w:t>
            </w:r>
          </w:p>
        </w:tc>
        <w:tc>
          <w:tcPr>
            <w:tcW w:w="1384" w:type="dxa"/>
            <w:vAlign w:val="center"/>
          </w:tcPr>
          <w:p w14:paraId="2353CAB5">
            <w:pPr>
              <w:bidi w:val="0"/>
              <w:spacing w:line="240" w:lineRule="auto"/>
              <w:rPr>
                <w:rFonts w:hint="eastAsia" w:ascii="宋体" w:hAnsi="宋体" w:eastAsia="宋体" w:cs="宋体"/>
                <w:sz w:val="20"/>
                <w:szCs w:val="20"/>
              </w:rPr>
            </w:pPr>
            <w:r>
              <w:rPr>
                <w:rFonts w:hint="eastAsia" w:ascii="宋体" w:hAnsi="宋体" w:eastAsia="宋体" w:cs="宋体"/>
                <w:sz w:val="20"/>
                <w:szCs w:val="20"/>
              </w:rPr>
              <w:t>工业级</w:t>
            </w:r>
          </w:p>
        </w:tc>
        <w:tc>
          <w:tcPr>
            <w:tcW w:w="393" w:type="dxa"/>
            <w:vAlign w:val="center"/>
          </w:tcPr>
          <w:p w14:paraId="46883247">
            <w:pPr>
              <w:bidi w:val="0"/>
              <w:spacing w:line="240" w:lineRule="auto"/>
              <w:rPr>
                <w:rFonts w:hint="eastAsia" w:ascii="宋体" w:hAnsi="宋体" w:eastAsia="宋体" w:cs="宋体"/>
                <w:sz w:val="20"/>
                <w:szCs w:val="20"/>
              </w:rPr>
            </w:pPr>
            <w:r>
              <w:rPr>
                <w:rFonts w:hint="eastAsia" w:ascii="宋体" w:hAnsi="宋体" w:eastAsia="宋体" w:cs="宋体"/>
                <w:sz w:val="20"/>
                <w:szCs w:val="20"/>
              </w:rPr>
              <w:t>套</w:t>
            </w:r>
          </w:p>
        </w:tc>
        <w:tc>
          <w:tcPr>
            <w:tcW w:w="427" w:type="dxa"/>
            <w:vAlign w:val="center"/>
          </w:tcPr>
          <w:p w14:paraId="33C1B986">
            <w:pPr>
              <w:bidi w:val="0"/>
              <w:spacing w:line="240" w:lineRule="auto"/>
              <w:rPr>
                <w:rFonts w:hint="eastAsia" w:ascii="宋体" w:hAnsi="宋体" w:eastAsia="宋体" w:cs="宋体"/>
                <w:sz w:val="20"/>
                <w:szCs w:val="20"/>
              </w:rPr>
            </w:pPr>
            <w:r>
              <w:rPr>
                <w:rFonts w:hint="eastAsia" w:ascii="宋体" w:hAnsi="宋体" w:eastAsia="宋体" w:cs="宋体"/>
                <w:sz w:val="20"/>
                <w:szCs w:val="20"/>
              </w:rPr>
              <w:t>2</w:t>
            </w:r>
          </w:p>
        </w:tc>
        <w:tc>
          <w:tcPr>
            <w:tcW w:w="1026" w:type="dxa"/>
            <w:vAlign w:val="center"/>
          </w:tcPr>
          <w:p w14:paraId="2A10458D">
            <w:pPr>
              <w:bidi w:val="0"/>
              <w:spacing w:line="240" w:lineRule="auto"/>
              <w:rPr>
                <w:rFonts w:hint="eastAsia" w:ascii="宋体" w:hAnsi="宋体" w:eastAsia="宋体" w:cs="宋体"/>
                <w:sz w:val="20"/>
                <w:szCs w:val="20"/>
              </w:rPr>
            </w:pPr>
          </w:p>
        </w:tc>
        <w:tc>
          <w:tcPr>
            <w:tcW w:w="1085" w:type="dxa"/>
            <w:vAlign w:val="center"/>
          </w:tcPr>
          <w:p w14:paraId="5739D9E9">
            <w:pPr>
              <w:bidi w:val="0"/>
              <w:spacing w:line="240" w:lineRule="auto"/>
              <w:rPr>
                <w:rFonts w:hint="eastAsia" w:ascii="宋体" w:hAnsi="宋体" w:eastAsia="宋体" w:cs="宋体"/>
                <w:sz w:val="20"/>
                <w:szCs w:val="20"/>
              </w:rPr>
            </w:pPr>
          </w:p>
        </w:tc>
      </w:tr>
      <w:tr w14:paraId="26C632D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177" w:type="dxa"/>
            <w:gridSpan w:val="6"/>
            <w:vAlign w:val="center"/>
          </w:tcPr>
          <w:p w14:paraId="191F4BD9">
            <w:pPr>
              <w:bidi w:val="0"/>
              <w:spacing w:line="240" w:lineRule="auto"/>
              <w:rPr>
                <w:rFonts w:hint="eastAsia" w:ascii="宋体" w:hAnsi="宋体" w:eastAsia="宋体" w:cs="宋体"/>
                <w:sz w:val="20"/>
                <w:szCs w:val="20"/>
              </w:rPr>
            </w:pPr>
            <w:r>
              <w:rPr>
                <w:rFonts w:hint="eastAsia" w:ascii="宋体" w:hAnsi="宋体" w:eastAsia="宋体" w:cs="宋体"/>
                <w:sz w:val="20"/>
                <w:szCs w:val="20"/>
              </w:rPr>
              <w:t>总报价（含全部费用）</w:t>
            </w:r>
          </w:p>
        </w:tc>
        <w:tc>
          <w:tcPr>
            <w:tcW w:w="1026" w:type="dxa"/>
            <w:vAlign w:val="center"/>
          </w:tcPr>
          <w:p w14:paraId="2DE4421E">
            <w:pPr>
              <w:bidi w:val="0"/>
              <w:spacing w:line="240" w:lineRule="auto"/>
              <w:rPr>
                <w:rFonts w:hint="eastAsia" w:ascii="宋体" w:hAnsi="宋体" w:eastAsia="宋体" w:cs="宋体"/>
                <w:sz w:val="20"/>
                <w:szCs w:val="20"/>
              </w:rPr>
            </w:pPr>
            <w:r>
              <w:rPr>
                <w:rFonts w:hint="eastAsia" w:ascii="宋体" w:hAnsi="宋体" w:eastAsia="宋体" w:cs="宋体"/>
                <w:sz w:val="20"/>
                <w:szCs w:val="20"/>
              </w:rPr>
              <w:t>小写：</w:t>
            </w:r>
          </w:p>
        </w:tc>
        <w:tc>
          <w:tcPr>
            <w:tcW w:w="1085" w:type="dxa"/>
            <w:vAlign w:val="center"/>
          </w:tcPr>
          <w:p w14:paraId="4B142E5B">
            <w:pPr>
              <w:bidi w:val="0"/>
              <w:spacing w:line="240" w:lineRule="auto"/>
              <w:rPr>
                <w:rFonts w:hint="eastAsia" w:ascii="宋体" w:hAnsi="宋体" w:eastAsia="宋体" w:cs="宋体"/>
                <w:sz w:val="20"/>
                <w:szCs w:val="20"/>
              </w:rPr>
            </w:pPr>
            <w:r>
              <w:rPr>
                <w:rFonts w:hint="eastAsia" w:ascii="宋体" w:hAnsi="宋体" w:eastAsia="宋体" w:cs="宋体"/>
                <w:sz w:val="20"/>
                <w:szCs w:val="20"/>
              </w:rPr>
              <w:t>大写：</w:t>
            </w:r>
          </w:p>
        </w:tc>
      </w:tr>
    </w:tbl>
    <w:p w14:paraId="738D408B">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主要技术要求</w:t>
      </w:r>
    </w:p>
    <w:p w14:paraId="024D003E">
      <w:pPr>
        <w:keepNext w:val="0"/>
        <w:keepLines w:val="0"/>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本项目核心设备技术要求如下，完整技术细节详见《附件4：物清单及技术要求》（随询价文件一并提供，报价人应自行核对）。</w:t>
      </w:r>
    </w:p>
    <w:p w14:paraId="646571DC">
      <w:pPr>
        <w:keepNext w:val="0"/>
        <w:keepLines w:val="0"/>
        <w:pageBreakBefore w:val="0"/>
        <w:widowControl/>
        <w:numPr>
          <w:ilvl w:val="0"/>
          <w:numId w:val="10"/>
        </w:numPr>
        <w:kinsoku/>
        <w:wordWrap/>
        <w:overflowPunct/>
        <w:topLinePunct w:val="0"/>
        <w:autoSpaceDE/>
        <w:autoSpaceDN/>
        <w:bidi w:val="0"/>
        <w:adjustRightInd/>
        <w:snapToGrid/>
        <w:spacing w:line="240" w:lineRule="auto"/>
        <w:ind w:left="0" w:leftChars="0" w:firstLine="0" w:firstLineChars="0"/>
        <w:textAlignment w:val="auto"/>
        <w:rPr>
          <w:rFonts w:hint="eastAsia"/>
          <w:b/>
          <w:bCs/>
          <w:sz w:val="21"/>
          <w:szCs w:val="21"/>
        </w:rPr>
      </w:pPr>
      <w:r>
        <w:rPr>
          <w:rFonts w:hint="eastAsia"/>
          <w:b/>
          <w:bCs/>
          <w:sz w:val="21"/>
          <w:szCs w:val="21"/>
        </w:rPr>
        <w:t>旋转滤网机</w:t>
      </w:r>
      <w:bookmarkStart w:id="0" w:name="_GoBack"/>
      <w:bookmarkEnd w:id="0"/>
    </w:p>
    <w:p w14:paraId="5759187A">
      <w:pPr>
        <w:pageBreakBefore w:val="0"/>
        <w:widowControl/>
        <w:numPr>
          <w:ilvl w:val="0"/>
          <w:numId w:val="11"/>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★所有水上、水下及与滤渣接触的部件均采用SUS304不锈钢，不锈钢焊接部件表面经酸洗钝化处理；</w:t>
      </w:r>
    </w:p>
    <w:p w14:paraId="0D10D191">
      <w:pPr>
        <w:pageBreakBefore w:val="0"/>
        <w:widowControl/>
        <w:numPr>
          <w:ilvl w:val="0"/>
          <w:numId w:val="11"/>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主机架侧板及保持架采用厚度8mm的304不锈钢钢板，304不锈钢轨道厚度不低于15mm，塑料轨道采用900万分子量以上超高分子聚乙烯材质（厚度不低于15mm），304不锈钢链条采用链板、滚轮、销套、销轴冲压结构组装（销套、销轴为双相不锈钢材质，链板厚度6mm），304不锈钢折弯网板厚度2mm（网板孔隙率不低于0.5）。</w:t>
      </w:r>
    </w:p>
    <w:p w14:paraId="70FC722A">
      <w:pPr>
        <w:pageBreakBefore w:val="0"/>
        <w:widowControl/>
        <w:numPr>
          <w:ilvl w:val="0"/>
          <w:numId w:val="11"/>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★单台过流能力≥20万m³/d，网眼直径5mm；设备无故障工作时间≥10000小时，大修周期≥5年，整机使用寿命≥15年。</w:t>
      </w:r>
    </w:p>
    <w:p w14:paraId="1F5C1CEA">
      <w:pPr>
        <w:pageBreakBefore w:val="0"/>
        <w:widowControl/>
        <w:numPr>
          <w:ilvl w:val="0"/>
          <w:numId w:val="11"/>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传动机构减速机推荐SEW、NORD等同档次品牌，防护等级IP65，F级绝缘，配置自复位机械式过力矩保护装置；密封机构采用双动态密封结构，完全分隔净水侧与污水侧；配置高压反冲洗系统及自用水冲洗支路（每套配DN40电动球阀1台，纳入整机控制系统联动启闭）。</w:t>
      </w:r>
    </w:p>
    <w:p w14:paraId="763D37D4">
      <w:pPr>
        <w:pageBreakBefore w:val="0"/>
        <w:widowControl/>
        <w:numPr>
          <w:ilvl w:val="0"/>
          <w:numId w:val="11"/>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导流组件、流渣槽组件均采用304不锈钢，结构及尺寸须满足工艺运行要求。</w:t>
      </w:r>
    </w:p>
    <w:p w14:paraId="1740E4CE">
      <w:pPr>
        <w:keepNext w:val="0"/>
        <w:keepLines w:val="0"/>
        <w:pageBreakBefore w:val="0"/>
        <w:widowControl/>
        <w:numPr>
          <w:ilvl w:val="0"/>
          <w:numId w:val="10"/>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电动固液分离机</w:t>
      </w:r>
    </w:p>
    <w:p w14:paraId="02A1202E">
      <w:pPr>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▲整体SUS304不锈钢材质，栅条间距5mm，梯形格栅条结构；与旋转滤网联动启停，实现渣水连续分离。</w:t>
      </w:r>
    </w:p>
    <w:p w14:paraId="30C34250">
      <w:pPr>
        <w:keepNext w:val="0"/>
        <w:keepLines w:val="0"/>
        <w:pageBreakBefore w:val="0"/>
        <w:widowControl/>
        <w:numPr>
          <w:ilvl w:val="0"/>
          <w:numId w:val="10"/>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鸿蒙智能格栅控制系统</w:t>
      </w:r>
    </w:p>
    <w:p w14:paraId="00D22B35">
      <w:pPr>
        <w:pageBreakBefore w:val="0"/>
        <w:widowControl/>
        <w:numPr>
          <w:ilvl w:val="0"/>
          <w:numId w:val="12"/>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★系统以鸿蒙智控器作为核心控制单元，替代传统PLC架构，构建“鸿蒙智控器＋边缘计算”的一体化控制体系；系统软件采用设备实时控制层、边缘智能控制层、远程监控交互层三层架构设计。</w:t>
      </w:r>
    </w:p>
    <w:p w14:paraId="25D96B34">
      <w:pPr>
        <w:pageBreakBefore w:val="0"/>
        <w:widowControl/>
        <w:numPr>
          <w:ilvl w:val="0"/>
          <w:numId w:val="12"/>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具备就地手动、就地自动（边缘计算）、定时控制、远程监控四种控制模式，各模式可灵活切换并互锁保护；具备水位差及时间控制、多参数联动边缘计算、特殊工况智能响应、设备故障预诊断、AI视觉联动、分布式协同（鸿蒙分布式软总线）等核心功能。</w:t>
      </w:r>
    </w:p>
    <w:p w14:paraId="5F6F310A">
      <w:pPr>
        <w:pageBreakBefore w:val="0"/>
        <w:widowControl/>
        <w:numPr>
          <w:ilvl w:val="0"/>
          <w:numId w:val="12"/>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中标人应提供格栅机鸿蒙控制软件完整源代码及相关开发文档，配合完成鸿蒙化软硬件产品的XTS认证相关工作，并提供鸿蒙智控器的OpenHarmony兼容性认证证明。</w:t>
      </w:r>
    </w:p>
    <w:p w14:paraId="598E2D9A">
      <w:pPr>
        <w:keepNext w:val="0"/>
        <w:keepLines w:val="0"/>
        <w:pageBreakBefore w:val="0"/>
        <w:widowControl/>
        <w:numPr>
          <w:ilvl w:val="0"/>
          <w:numId w:val="10"/>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电气与自控系统</w:t>
      </w:r>
    </w:p>
    <w:p w14:paraId="390B6200">
      <w:pPr>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★柜体采用SUS304不锈钢，厚度≥1.5mm，户外防雨型，防护等级IP55；主要元器件采用西门子、ABB、施耐德等同档次品牌；系统预留标准以太网通讯接口，支持与水厂自控系统无缝对接。</w:t>
      </w:r>
    </w:p>
    <w:p w14:paraId="032E659D">
      <w:pPr>
        <w:keepNext w:val="0"/>
        <w:keepLines w:val="0"/>
        <w:pageBreakBefore w:val="0"/>
        <w:widowControl/>
        <w:numPr>
          <w:ilvl w:val="0"/>
          <w:numId w:val="10"/>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供货服务与验收</w:t>
      </w:r>
    </w:p>
    <w:p w14:paraId="7B83B642">
      <w:pPr>
        <w:pageBreakBefore w:val="0"/>
        <w:widowControl/>
        <w:numPr>
          <w:ilvl w:val="0"/>
          <w:numId w:val="13"/>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技术资料：提供设备说明书、安装图纸、合格证、检测报告、鸿蒙智控器软件完整源代码及软件架构设计文档、接口说明文档、智能系统操作与维护手册等全套资料。</w:t>
      </w:r>
    </w:p>
    <w:p w14:paraId="3E27EA89">
      <w:pPr>
        <w:pageBreakBefore w:val="0"/>
        <w:widowControl/>
        <w:numPr>
          <w:ilvl w:val="0"/>
          <w:numId w:val="13"/>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安装调试：负责指导设备安装与管道接驳，完成单机调试、系统联调，确保设备与智能系统正常运行，满足工艺指标。</w:t>
      </w:r>
    </w:p>
    <w:p w14:paraId="335A4594">
      <w:pPr>
        <w:pageBreakBefore w:val="0"/>
        <w:widowControl/>
        <w:numPr>
          <w:ilvl w:val="0"/>
          <w:numId w:val="13"/>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lang w:val="en-US" w:eastAsia="zh-CN"/>
        </w:rPr>
        <w:t>人</w:t>
      </w:r>
      <w:r>
        <w:rPr>
          <w:rFonts w:hint="eastAsia" w:ascii="宋体" w:hAnsi="宋体" w:eastAsia="宋体" w:cs="宋体"/>
          <w:b w:val="0"/>
          <w:color w:val="000000"/>
          <w:sz w:val="21"/>
          <w:szCs w:val="21"/>
        </w:rPr>
        <w:t>员培训：为采购人提供设备操作、日常维护、故障排查、智能系统操作等培训。</w:t>
      </w:r>
    </w:p>
    <w:p w14:paraId="3D76CC9D">
      <w:pPr>
        <w:pageBreakBefore w:val="0"/>
        <w:widowControl/>
        <w:numPr>
          <w:ilvl w:val="0"/>
          <w:numId w:val="13"/>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质保要求：★整体质保期不低于2年，自项目验收合格之日起计算；质保期内免费维修更换非人为损坏零部件，提供7×24小时技术响应，故障响应≤2小时，现场到场≤24小时。</w:t>
      </w:r>
    </w:p>
    <w:p w14:paraId="37A8369B">
      <w:pPr>
        <w:pageBreakBefore w:val="0"/>
        <w:widowControl/>
        <w:numPr>
          <w:ilvl w:val="0"/>
          <w:numId w:val="13"/>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验收标准：出厂前提供工厂检验报告，安装调试完成后按询价/招标文件、报价文件及国家相关规范进行竣工验收；采购人有权组织工厂监造，相关费用包含在合同价内。</w:t>
      </w:r>
    </w:p>
    <w:p w14:paraId="353D614E">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商务要求</w:t>
      </w:r>
    </w:p>
    <w:p w14:paraId="0FF3EC77">
      <w:pPr>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付款方式</w:t>
      </w:r>
    </w:p>
    <w:p w14:paraId="3B5EF7D8">
      <w:pPr>
        <w:pageBreakBefore w:val="0"/>
        <w:widowControl/>
        <w:numPr>
          <w:ilvl w:val="0"/>
          <w:numId w:val="15"/>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预付款：自本合同签订完毕且甲方收到乙方开具的增值税普通发票后</w:t>
      </w:r>
      <w:r>
        <w:rPr>
          <w:rFonts w:hint="eastAsia" w:ascii="宋体" w:hAnsi="宋体" w:eastAsia="宋体" w:cs="宋体"/>
          <w:b w:val="0"/>
          <w:color w:val="000000"/>
          <w:sz w:val="21"/>
          <w:szCs w:val="21"/>
          <w:lang w:val="en-US" w:eastAsia="zh-CN"/>
        </w:rPr>
        <w:t>20</w:t>
      </w:r>
      <w:r>
        <w:rPr>
          <w:rFonts w:hint="eastAsia" w:ascii="宋体" w:hAnsi="宋体" w:eastAsia="宋体" w:cs="宋体"/>
          <w:b w:val="0"/>
          <w:color w:val="000000"/>
          <w:sz w:val="21"/>
          <w:szCs w:val="21"/>
        </w:rPr>
        <w:t>个工作日内，甲方向乙方支付合同总价的30%。</w:t>
      </w:r>
    </w:p>
    <w:p w14:paraId="13660ADA">
      <w:pPr>
        <w:pageBreakBefore w:val="0"/>
        <w:widowControl/>
        <w:numPr>
          <w:ilvl w:val="0"/>
          <w:numId w:val="15"/>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验收款：乙方将合同货物全部运抵交货地点并安装经甲方核对无误，经试运行并最终验收通过后，且甲方收到乙方开具的增值税普通发票后20个工作日内，甲方向乙方支付合同总价的40%。</w:t>
      </w:r>
    </w:p>
    <w:p w14:paraId="2CF9735D">
      <w:pPr>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质保要求</w:t>
      </w:r>
    </w:p>
    <w:p w14:paraId="4809341C">
      <w:pPr>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整体质保期不低于2年，自项目验收合格之日起计算，具体详见本询价文件第四部分“供货服务与验收”。</w:t>
      </w:r>
    </w:p>
    <w:p w14:paraId="578EC3A3">
      <w:pPr>
        <w:keepNext w:val="0"/>
        <w:keepLines w:val="0"/>
        <w:pageBreakBefore w:val="0"/>
        <w:widowControl/>
        <w:numPr>
          <w:ilvl w:val="0"/>
          <w:numId w:val="14"/>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交货期</w:t>
      </w:r>
    </w:p>
    <w:p w14:paraId="56475AD2">
      <w:pPr>
        <w:pageBreakBefore w:val="0"/>
        <w:widowControl/>
        <w:kinsoku/>
        <w:wordWrap/>
        <w:overflowPunct/>
        <w:topLinePunct w:val="0"/>
        <w:autoSpaceDE/>
        <w:autoSpaceDN/>
        <w:bidi w:val="0"/>
        <w:adjustRightInd/>
        <w:snapToGrid/>
        <w:spacing w:before="0" w:after="0" w:line="240" w:lineRule="auto"/>
        <w:ind w:firstLine="480"/>
        <w:jc w:val="both"/>
        <w:textAlignment w:val="auto"/>
        <w:rPr>
          <w:rFonts w:hint="eastAsia" w:ascii="宋体" w:hAnsi="宋体" w:eastAsia="宋体" w:cs="宋体"/>
          <w:sz w:val="21"/>
          <w:szCs w:val="21"/>
        </w:rPr>
      </w:pPr>
      <w:r>
        <w:rPr>
          <w:rFonts w:hint="eastAsia" w:ascii="宋体" w:hAnsi="宋体" w:eastAsia="宋体" w:cs="宋体"/>
          <w:b w:val="0"/>
          <w:color w:val="000000"/>
          <w:sz w:val="21"/>
          <w:szCs w:val="21"/>
        </w:rPr>
        <w:t>请报价人在报价文件中明确设备交货周期及安装调试周期。</w:t>
      </w:r>
    </w:p>
    <w:p w14:paraId="0AC9E2E3">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供应商资格要求</w:t>
      </w:r>
    </w:p>
    <w:p w14:paraId="49719E27">
      <w:pPr>
        <w:pageBreakBefore w:val="0"/>
        <w:widowControl/>
        <w:numPr>
          <w:ilvl w:val="0"/>
          <w:numId w:val="16"/>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具有独立承担民事责任能力的中华人民共和国境内注册的法人或其他组织，持有有效的营业执照；</w:t>
      </w:r>
    </w:p>
    <w:p w14:paraId="1E4BD6A4">
      <w:pPr>
        <w:pageBreakBefore w:val="0"/>
        <w:widowControl/>
        <w:numPr>
          <w:ilvl w:val="0"/>
          <w:numId w:val="16"/>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具备旋转滤网（格栅机）及配套智能控制系统设备的制造或供货能力，具有同类或类似项目供货业绩；</w:t>
      </w:r>
    </w:p>
    <w:p w14:paraId="28982DB4">
      <w:pPr>
        <w:pageBreakBefore w:val="0"/>
        <w:widowControl/>
        <w:numPr>
          <w:ilvl w:val="0"/>
          <w:numId w:val="16"/>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具备履行合同所必需的设备和专业技术能力，财务状况良好；</w:t>
      </w:r>
    </w:p>
    <w:p w14:paraId="76BA1B11">
      <w:pPr>
        <w:pageBreakBefore w:val="0"/>
        <w:widowControl/>
        <w:numPr>
          <w:ilvl w:val="0"/>
          <w:numId w:val="16"/>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rPr>
      </w:pPr>
      <w:r>
        <w:rPr>
          <w:rFonts w:hint="eastAsia" w:ascii="宋体" w:hAnsi="宋体" w:eastAsia="宋体" w:cs="宋体"/>
          <w:b w:val="0"/>
          <w:color w:val="000000"/>
          <w:sz w:val="21"/>
          <w:szCs w:val="21"/>
        </w:rPr>
        <w:t>未被列入“信用中国”网站失信被执行人名单、重大税收违法失信主体名单及政府采购严重违法失信行为记录名单；</w:t>
      </w:r>
    </w:p>
    <w:p w14:paraId="7345C803">
      <w:pPr>
        <w:pageBreakBefore w:val="0"/>
        <w:widowControl/>
        <w:numPr>
          <w:ilvl w:val="0"/>
          <w:numId w:val="16"/>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本项目不接受联合体报价（如有调整，以采购单位要求为准）。</w:t>
      </w:r>
    </w:p>
    <w:p w14:paraId="410E947C">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报价文件编制要求</w:t>
      </w:r>
    </w:p>
    <w:p w14:paraId="45542F80">
      <w:pPr>
        <w:pageBreakBefore w:val="0"/>
        <w:widowControl/>
        <w:numPr>
          <w:ilvl w:val="0"/>
          <w:numId w:val="17"/>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报价文件须加盖报价人公章，内容真实、完整、有效；</w:t>
      </w:r>
    </w:p>
    <w:p w14:paraId="5907372E">
      <w:pPr>
        <w:pageBreakBefore w:val="0"/>
        <w:widowControl/>
        <w:numPr>
          <w:ilvl w:val="0"/>
          <w:numId w:val="17"/>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报价文件应包含但不限于：报价函、报价表（本询价文件第三部分）；</w:t>
      </w:r>
    </w:p>
    <w:p w14:paraId="5264B6E2">
      <w:pPr>
        <w:pageBreakBefore w:val="0"/>
        <w:widowControl/>
        <w:numPr>
          <w:ilvl w:val="0"/>
          <w:numId w:val="17"/>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报价文件须按本询价文件要求编制，未按要求提供的报价文件，采购单位有权不予受理。</w:t>
      </w:r>
    </w:p>
    <w:p w14:paraId="5827E07D">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rPr>
        <w:t>提交方式及截止时间</w:t>
      </w:r>
    </w:p>
    <w:p w14:paraId="7E390EBB">
      <w:pPr>
        <w:pageBreakBefore w:val="0"/>
        <w:widowControl/>
        <w:numPr>
          <w:ilvl w:val="0"/>
          <w:numId w:val="1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提交方式：请各供应商将报价文件PDF盖章版于2026年9月3日10:00前在平台提交，或发送至指定电子邮箱：348555843@qq.com；联 系 人：张东峰13682623599</w:t>
      </w:r>
    </w:p>
    <w:p w14:paraId="2F9292DE">
      <w:pPr>
        <w:pageBreakBefore w:val="0"/>
        <w:widowControl/>
        <w:numPr>
          <w:ilvl w:val="0"/>
          <w:numId w:val="1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邮件标题统一按照规范格式命名：【红木山水厂格栅机改造项目】＋供应商全称；</w:t>
      </w:r>
    </w:p>
    <w:p w14:paraId="43FFABEF">
      <w:pPr>
        <w:pageBreakBefore w:val="0"/>
        <w:widowControl/>
        <w:numPr>
          <w:ilvl w:val="0"/>
          <w:numId w:val="18"/>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逾期提交、未按要求命名或不符合本询价文件要求的报价文件，采购单位有权不予受理。</w:t>
      </w:r>
    </w:p>
    <w:p w14:paraId="43069251">
      <w:pPr>
        <w:keepNext w:val="0"/>
        <w:keepLines w:val="0"/>
        <w:pageBreakBefore w:val="0"/>
        <w:widowControl/>
        <w:numPr>
          <w:ilvl w:val="0"/>
          <w:numId w:val="7"/>
        </w:numPr>
        <w:kinsoku/>
        <w:wordWrap/>
        <w:overflowPunct/>
        <w:topLinePunct w:val="0"/>
        <w:autoSpaceDE/>
        <w:autoSpaceDN/>
        <w:bidi w:val="0"/>
        <w:adjustRightInd/>
        <w:snapToGrid/>
        <w:spacing w:line="240" w:lineRule="auto"/>
        <w:ind w:left="0" w:leftChars="0" w:firstLine="0" w:firstLineChars="0"/>
        <w:textAlignment w:val="auto"/>
        <w:rPr>
          <w:rFonts w:hint="eastAsia" w:ascii="Arial" w:hAnsi="Arial" w:eastAsia="宋体"/>
          <w:b/>
          <w:bCs/>
          <w:sz w:val="21"/>
          <w:szCs w:val="21"/>
        </w:rPr>
      </w:pPr>
      <w:r>
        <w:rPr>
          <w:rFonts w:hint="eastAsia" w:ascii="Arial" w:hAnsi="Arial" w:eastAsia="宋体"/>
          <w:b/>
          <w:bCs/>
          <w:sz w:val="21"/>
          <w:szCs w:val="21"/>
          <w:lang w:val="en-US" w:eastAsia="zh-CN"/>
        </w:rPr>
        <w:t>其它重要说明</w:t>
      </w:r>
    </w:p>
    <w:p w14:paraId="0B6AFD8D">
      <w:pPr>
        <w:pageBreakBefore w:val="0"/>
        <w:widowControl/>
        <w:numPr>
          <w:ilvl w:val="0"/>
          <w:numId w:val="1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本次询价仅用于测算项目采购控制价，不属于正式招标采购流程，采购单位不承诺与任何提交报价的供应商签订正式服务合同；</w:t>
      </w:r>
    </w:p>
    <w:p w14:paraId="5FB1B741">
      <w:pPr>
        <w:pageBreakBefore w:val="0"/>
        <w:widowControl/>
        <w:numPr>
          <w:ilvl w:val="0"/>
          <w:numId w:val="1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所有供应商提交的报价文件不予退还，采购单位对供应商提供的企业资料严格保密，仅用于本次价格测算工作；</w:t>
      </w:r>
    </w:p>
    <w:p w14:paraId="39040211">
      <w:pPr>
        <w:pageBreakBefore w:val="0"/>
        <w:widowControl/>
        <w:numPr>
          <w:ilvl w:val="0"/>
          <w:numId w:val="1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供应商提交报价文件，即代表完全阅读、理解并自愿接受本询价文件全部条款及后续正式合同全部约定内容；</w:t>
      </w:r>
    </w:p>
    <w:p w14:paraId="7C150CF9">
      <w:pPr>
        <w:pageBreakBefore w:val="0"/>
        <w:widowControl/>
        <w:numPr>
          <w:ilvl w:val="0"/>
          <w:numId w:val="19"/>
        </w:numPr>
        <w:kinsoku/>
        <w:wordWrap/>
        <w:overflowPunct/>
        <w:topLinePunct w:val="0"/>
        <w:autoSpaceDE/>
        <w:autoSpaceDN/>
        <w:bidi w:val="0"/>
        <w:adjustRightInd/>
        <w:snapToGrid/>
        <w:spacing w:before="0" w:after="0" w:line="240" w:lineRule="auto"/>
        <w:ind w:left="0" w:leftChars="0" w:firstLine="480" w:firstLineChars="0"/>
        <w:jc w:val="both"/>
        <w:textAlignment w:val="auto"/>
        <w:rPr>
          <w:rFonts w:hint="eastAsia" w:ascii="宋体" w:hAnsi="宋体" w:eastAsia="宋体" w:cs="宋体"/>
          <w:b w:val="0"/>
          <w:color w:val="000000"/>
          <w:sz w:val="21"/>
          <w:szCs w:val="21"/>
          <w:highlight w:val="none"/>
        </w:rPr>
      </w:pPr>
      <w:r>
        <w:rPr>
          <w:rFonts w:hint="eastAsia" w:ascii="宋体" w:hAnsi="宋体" w:eastAsia="宋体" w:cs="宋体"/>
          <w:b w:val="0"/>
          <w:color w:val="000000"/>
          <w:sz w:val="21"/>
          <w:szCs w:val="21"/>
          <w:highlight w:val="none"/>
        </w:rPr>
        <w:t>本项目全过程形成的标准编制文稿、技术资料等全部工作成果知识产权归深圳市深水龙华水务有限公司所有。</w:t>
      </w:r>
      <w:r>
        <w:rPr>
          <w:rFonts w:hint="eastAsia" w:ascii="宋体" w:hAnsi="宋体" w:eastAsia="宋体" w:cs="宋体"/>
          <w:b w:val="0"/>
          <w:color w:val="000000"/>
          <w:sz w:val="21"/>
          <w:szCs w:val="21"/>
          <w:highlight w:val="none"/>
          <w:lang w:val="en-US" w:eastAsia="zh-CN"/>
        </w:rPr>
        <w:t xml:space="preserve">  </w:t>
      </w:r>
    </w:p>
    <w:p w14:paraId="521D1FCF">
      <w:pPr>
        <w:pageBreakBefore w:val="0"/>
        <w:widowControl/>
        <w:numPr>
          <w:ilvl w:val="0"/>
          <w:numId w:val="0"/>
        </w:numPr>
        <w:kinsoku/>
        <w:wordWrap/>
        <w:overflowPunct/>
        <w:topLinePunct w:val="0"/>
        <w:autoSpaceDE/>
        <w:autoSpaceDN/>
        <w:bidi w:val="0"/>
        <w:adjustRightInd/>
        <w:snapToGrid/>
        <w:spacing w:before="0" w:after="0" w:line="240" w:lineRule="auto"/>
        <w:ind w:left="480" w:leftChars="0"/>
        <w:jc w:val="both"/>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sz w:val="21"/>
          <w:szCs w:val="21"/>
          <w:highlight w:val="none"/>
          <w:lang w:val="en-US" w:eastAsia="zh-CN"/>
        </w:rPr>
        <w:t xml:space="preserve"> </w:t>
      </w:r>
    </w:p>
    <w:p w14:paraId="2CCF05C0">
      <w:pPr>
        <w:pageBreakBefore w:val="0"/>
        <w:widowControl/>
        <w:numPr>
          <w:ilvl w:val="0"/>
          <w:numId w:val="0"/>
        </w:numPr>
        <w:kinsoku/>
        <w:wordWrap/>
        <w:overflowPunct/>
        <w:topLinePunct w:val="0"/>
        <w:autoSpaceDE/>
        <w:autoSpaceDN/>
        <w:bidi w:val="0"/>
        <w:adjustRightInd/>
        <w:snapToGrid/>
        <w:spacing w:before="0" w:after="0" w:line="240" w:lineRule="auto"/>
        <w:ind w:left="480" w:leftChars="0"/>
        <w:jc w:val="both"/>
        <w:textAlignment w:val="auto"/>
        <w:rPr>
          <w:rFonts w:hint="default" w:ascii="宋体" w:hAnsi="宋体" w:eastAsia="宋体" w:cs="宋体"/>
          <w:b w:val="0"/>
          <w:color w:val="000000"/>
          <w:sz w:val="21"/>
          <w:szCs w:val="21"/>
          <w:highlight w:val="none"/>
          <w:lang w:val="en-US" w:eastAsia="zh-CN"/>
        </w:rPr>
      </w:pPr>
      <w:r>
        <w:rPr>
          <w:rFonts w:hint="eastAsia" w:ascii="宋体" w:hAnsi="宋体" w:eastAsia="宋体" w:cs="宋体"/>
          <w:b w:val="0"/>
          <w:color w:val="000000"/>
          <w:sz w:val="21"/>
          <w:szCs w:val="21"/>
          <w:highlight w:val="none"/>
          <w:lang w:val="en-US" w:eastAsia="zh-CN"/>
        </w:rPr>
        <w:t xml:space="preserve"> </w:t>
      </w:r>
    </w:p>
    <w:p w14:paraId="70419E5B">
      <w:pPr>
        <w:pageBreakBefore w:val="0"/>
        <w:widowControl/>
        <w:numPr>
          <w:ilvl w:val="0"/>
          <w:numId w:val="0"/>
        </w:numPr>
        <w:kinsoku/>
        <w:wordWrap/>
        <w:overflowPunct/>
        <w:topLinePunct w:val="0"/>
        <w:autoSpaceDE/>
        <w:autoSpaceDN/>
        <w:bidi w:val="0"/>
        <w:adjustRightInd/>
        <w:snapToGrid/>
        <w:spacing w:before="0" w:after="0" w:line="240" w:lineRule="auto"/>
        <w:ind w:left="480" w:leftChars="0"/>
        <w:jc w:val="both"/>
        <w:textAlignment w:val="auto"/>
        <w:rPr>
          <w:rFonts w:hint="eastAsia" w:ascii="宋体" w:hAnsi="宋体" w:eastAsia="宋体" w:cs="宋体"/>
          <w:b w:val="0"/>
          <w:color w:val="000000"/>
          <w:sz w:val="21"/>
          <w:szCs w:val="21"/>
          <w:highlight w:val="none"/>
          <w:lang w:val="en-US" w:eastAsia="zh-CN"/>
        </w:rPr>
      </w:pPr>
      <w:r>
        <w:rPr>
          <w:rFonts w:hint="eastAsia" w:ascii="宋体" w:hAnsi="宋体" w:eastAsia="宋体" w:cs="宋体"/>
          <w:b w:val="0"/>
          <w:color w:val="000000"/>
          <w:sz w:val="21"/>
          <w:szCs w:val="21"/>
          <w:highlight w:val="none"/>
          <w:lang w:val="en-US" w:eastAsia="zh-CN"/>
        </w:rPr>
        <w:t xml:space="preserve">                                        深圳市深水龙华水务有限公司</w:t>
      </w:r>
    </w:p>
    <w:p w14:paraId="782535A8">
      <w:pPr>
        <w:pageBreakBefore w:val="0"/>
        <w:widowControl/>
        <w:numPr>
          <w:ilvl w:val="0"/>
          <w:numId w:val="0"/>
        </w:numPr>
        <w:kinsoku/>
        <w:wordWrap/>
        <w:overflowPunct/>
        <w:topLinePunct w:val="0"/>
        <w:autoSpaceDE/>
        <w:autoSpaceDN/>
        <w:bidi w:val="0"/>
        <w:adjustRightInd/>
        <w:snapToGrid/>
        <w:spacing w:before="0" w:after="0" w:line="240" w:lineRule="auto"/>
        <w:ind w:left="480" w:leftChars="0"/>
        <w:jc w:val="both"/>
        <w:textAlignment w:val="auto"/>
        <w:rPr>
          <w:rFonts w:hint="default" w:ascii="宋体" w:hAnsi="宋体" w:eastAsia="宋体" w:cs="宋体"/>
          <w:b w:val="0"/>
          <w:color w:val="000000"/>
          <w:sz w:val="21"/>
          <w:szCs w:val="21"/>
          <w:highlight w:val="none"/>
          <w:lang w:val="en-US" w:eastAsia="zh-CN"/>
        </w:rPr>
      </w:pPr>
      <w:r>
        <w:rPr>
          <w:rFonts w:hint="eastAsia" w:ascii="宋体" w:hAnsi="宋体" w:eastAsia="宋体" w:cs="宋体"/>
          <w:b w:val="0"/>
          <w:color w:val="000000"/>
          <w:sz w:val="21"/>
          <w:szCs w:val="21"/>
          <w:highlight w:val="none"/>
          <w:lang w:val="en-US" w:eastAsia="zh-CN"/>
        </w:rPr>
        <w:t xml:space="preserve">                                              2026年8月26日</w:t>
      </w: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46B434"/>
    <w:multiLevelType w:val="singleLevel"/>
    <w:tmpl w:val="A346B434"/>
    <w:lvl w:ilvl="0" w:tentative="0">
      <w:start w:val="1"/>
      <w:numFmt w:val="decimal"/>
      <w:lvlText w:val="%1."/>
      <w:lvlJc w:val="left"/>
      <w:pPr>
        <w:ind w:left="425" w:hanging="425"/>
      </w:pPr>
      <w:rPr>
        <w:rFonts w:hint="default"/>
      </w:rPr>
    </w:lvl>
  </w:abstractNum>
  <w:abstractNum w:abstractNumId="1">
    <w:nsid w:val="AC0516B9"/>
    <w:multiLevelType w:val="singleLevel"/>
    <w:tmpl w:val="AC0516B9"/>
    <w:lvl w:ilvl="0" w:tentative="0">
      <w:start w:val="1"/>
      <w:numFmt w:val="decimal"/>
      <w:lvlText w:val="%1."/>
      <w:lvlJc w:val="left"/>
      <w:pPr>
        <w:ind w:left="425" w:hanging="425"/>
      </w:pPr>
      <w:rPr>
        <w:rFonts w:hint="default"/>
      </w:rPr>
    </w:lvl>
  </w:abstractNum>
  <w:abstractNum w:abstractNumId="2">
    <w:nsid w:val="F4A18247"/>
    <w:multiLevelType w:val="singleLevel"/>
    <w:tmpl w:val="F4A18247"/>
    <w:lvl w:ilvl="0" w:tentative="0">
      <w:start w:val="1"/>
      <w:numFmt w:val="decimal"/>
      <w:lvlText w:val="%1."/>
      <w:lvlJc w:val="left"/>
      <w:pPr>
        <w:ind w:left="425" w:hanging="425"/>
      </w:pPr>
      <w:rPr>
        <w:rFonts w:hint="default"/>
      </w:rPr>
    </w:lvl>
  </w:abstractNum>
  <w:abstractNum w:abstractNumId="3">
    <w:nsid w:val="FB4DB6CD"/>
    <w:multiLevelType w:val="singleLevel"/>
    <w:tmpl w:val="FB4DB6CD"/>
    <w:lvl w:ilvl="0" w:tentative="0">
      <w:start w:val="1"/>
      <w:numFmt w:val="decimal"/>
      <w:lvlText w:val="%1."/>
      <w:lvlJc w:val="left"/>
      <w:pPr>
        <w:ind w:left="425" w:hanging="425"/>
      </w:pPr>
      <w:rPr>
        <w:rFonts w:hint="default"/>
      </w:rPr>
    </w:lvl>
  </w:abstractNum>
  <w:abstractNum w:abstractNumId="4">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5">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6">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7">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8">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9">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10">
    <w:nsid w:val="002C70D7"/>
    <w:multiLevelType w:val="singleLevel"/>
    <w:tmpl w:val="002C70D7"/>
    <w:lvl w:ilvl="0" w:tentative="0">
      <w:start w:val="1"/>
      <w:numFmt w:val="decimal"/>
      <w:suff w:val="nothing"/>
      <w:lvlText w:val="%1."/>
      <w:lvlJc w:val="left"/>
      <w:pPr>
        <w:ind w:left="425" w:hanging="425"/>
      </w:pPr>
      <w:rPr>
        <w:rFonts w:hint="default"/>
      </w:rPr>
    </w:lvl>
  </w:abstractNum>
  <w:abstractNum w:abstractNumId="11">
    <w:nsid w:val="025BFE14"/>
    <w:multiLevelType w:val="singleLevel"/>
    <w:tmpl w:val="025BFE14"/>
    <w:lvl w:ilvl="0" w:tentative="0">
      <w:start w:val="1"/>
      <w:numFmt w:val="decimal"/>
      <w:lvlText w:val="%1."/>
      <w:lvlJc w:val="left"/>
      <w:pPr>
        <w:ind w:left="425" w:hanging="425"/>
      </w:pPr>
      <w:rPr>
        <w:rFonts w:hint="default"/>
      </w:rPr>
    </w:lvl>
  </w:abstractNum>
  <w:abstractNum w:abstractNumId="12">
    <w:nsid w:val="083B6BA9"/>
    <w:multiLevelType w:val="singleLevel"/>
    <w:tmpl w:val="083B6BA9"/>
    <w:lvl w:ilvl="0" w:tentative="0">
      <w:start w:val="1"/>
      <w:numFmt w:val="decimal"/>
      <w:lvlText w:val="%1."/>
      <w:lvlJc w:val="left"/>
      <w:pPr>
        <w:ind w:left="425" w:hanging="425"/>
      </w:pPr>
      <w:rPr>
        <w:rFonts w:hint="default"/>
      </w:rPr>
    </w:lvl>
  </w:abstractNum>
  <w:abstractNum w:abstractNumId="13">
    <w:nsid w:val="0DBAF3DD"/>
    <w:multiLevelType w:val="singleLevel"/>
    <w:tmpl w:val="0DBAF3DD"/>
    <w:lvl w:ilvl="0" w:tentative="0">
      <w:start w:val="1"/>
      <w:numFmt w:val="decimal"/>
      <w:lvlText w:val="%1."/>
      <w:lvlJc w:val="left"/>
      <w:pPr>
        <w:ind w:left="425" w:hanging="425"/>
      </w:pPr>
      <w:rPr>
        <w:rFonts w:hint="default"/>
      </w:rPr>
    </w:lvl>
  </w:abstractNum>
  <w:abstractNum w:abstractNumId="14">
    <w:nsid w:val="15BA5712"/>
    <w:multiLevelType w:val="singleLevel"/>
    <w:tmpl w:val="15BA5712"/>
    <w:lvl w:ilvl="0" w:tentative="0">
      <w:start w:val="1"/>
      <w:numFmt w:val="decimal"/>
      <w:lvlText w:val="%1."/>
      <w:lvlJc w:val="left"/>
      <w:pPr>
        <w:ind w:left="425" w:hanging="425"/>
      </w:pPr>
      <w:rPr>
        <w:rFonts w:hint="default"/>
      </w:rPr>
    </w:lvl>
  </w:abstractNum>
  <w:abstractNum w:abstractNumId="15">
    <w:nsid w:val="19EA9E71"/>
    <w:multiLevelType w:val="singleLevel"/>
    <w:tmpl w:val="19EA9E71"/>
    <w:lvl w:ilvl="0" w:tentative="0">
      <w:start w:val="1"/>
      <w:numFmt w:val="chineseCounting"/>
      <w:suff w:val="nothing"/>
      <w:lvlText w:val="（%1）"/>
      <w:lvlJc w:val="left"/>
      <w:pPr>
        <w:ind w:left="0" w:firstLine="420"/>
      </w:pPr>
      <w:rPr>
        <w:rFonts w:hint="eastAsia"/>
      </w:rPr>
    </w:lvl>
  </w:abstractNum>
  <w:abstractNum w:abstractNumId="16">
    <w:nsid w:val="3A7F143F"/>
    <w:multiLevelType w:val="singleLevel"/>
    <w:tmpl w:val="3A7F143F"/>
    <w:lvl w:ilvl="0" w:tentative="0">
      <w:start w:val="1"/>
      <w:numFmt w:val="chineseCounting"/>
      <w:suff w:val="nothing"/>
      <w:lvlText w:val="%1、"/>
      <w:lvlJc w:val="left"/>
      <w:pPr>
        <w:ind w:left="0" w:firstLine="420"/>
      </w:pPr>
      <w:rPr>
        <w:rFonts w:hint="eastAsia"/>
      </w:rPr>
    </w:lvl>
  </w:abstractNum>
  <w:abstractNum w:abstractNumId="17">
    <w:nsid w:val="7423CD68"/>
    <w:multiLevelType w:val="singleLevel"/>
    <w:tmpl w:val="7423CD68"/>
    <w:lvl w:ilvl="0" w:tentative="0">
      <w:start w:val="1"/>
      <w:numFmt w:val="decimal"/>
      <w:lvlText w:val="%1."/>
      <w:lvlJc w:val="left"/>
      <w:pPr>
        <w:ind w:left="425" w:hanging="425"/>
      </w:pPr>
      <w:rPr>
        <w:rFonts w:hint="default"/>
      </w:rPr>
    </w:lvl>
  </w:abstractNum>
  <w:abstractNum w:abstractNumId="18">
    <w:nsid w:val="78384DA1"/>
    <w:multiLevelType w:val="singleLevel"/>
    <w:tmpl w:val="78384DA1"/>
    <w:lvl w:ilvl="0" w:tentative="0">
      <w:start w:val="1"/>
      <w:numFmt w:val="chineseCounting"/>
      <w:suff w:val="nothing"/>
      <w:lvlText w:val="（%1）"/>
      <w:lvlJc w:val="left"/>
      <w:pPr>
        <w:ind w:left="0" w:firstLine="420"/>
      </w:pPr>
      <w:rPr>
        <w:rFonts w:hint="eastAsia"/>
      </w:rPr>
    </w:lvl>
  </w:abstractNum>
  <w:num w:numId="1">
    <w:abstractNumId w:val="5"/>
  </w:num>
  <w:num w:numId="2">
    <w:abstractNumId w:val="8"/>
  </w:num>
  <w:num w:numId="3">
    <w:abstractNumId w:val="9"/>
  </w:num>
  <w:num w:numId="4">
    <w:abstractNumId w:val="6"/>
  </w:num>
  <w:num w:numId="5">
    <w:abstractNumId w:val="4"/>
  </w:num>
  <w:num w:numId="6">
    <w:abstractNumId w:val="7"/>
  </w:num>
  <w:num w:numId="7">
    <w:abstractNumId w:val="16"/>
  </w:num>
  <w:num w:numId="8">
    <w:abstractNumId w:val="10"/>
  </w:num>
  <w:num w:numId="9">
    <w:abstractNumId w:val="11"/>
  </w:num>
  <w:num w:numId="10">
    <w:abstractNumId w:val="15"/>
  </w:num>
  <w:num w:numId="11">
    <w:abstractNumId w:val="14"/>
  </w:num>
  <w:num w:numId="12">
    <w:abstractNumId w:val="0"/>
  </w:num>
  <w:num w:numId="13">
    <w:abstractNumId w:val="12"/>
  </w:num>
  <w:num w:numId="14">
    <w:abstractNumId w:val="18"/>
  </w:num>
  <w:num w:numId="15">
    <w:abstractNumId w:val="2"/>
  </w:num>
  <w:num w:numId="16">
    <w:abstractNumId w:val="13"/>
  </w:num>
  <w:num w:numId="17">
    <w:abstractNumId w:val="1"/>
  </w:num>
  <w:num w:numId="18">
    <w:abstractNumId w:val="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A6C0249"/>
    <w:rsid w:val="3D3F4EA8"/>
    <w:rsid w:val="58C828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unhideWhenUsed="0" w:uiPriority="67" w:semiHidden="0" w:name="Medium Grid 1"/>
    <w:lsdException w:qFormat="1"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pPr>
    <w:rPr>
      <w:rFonts w:ascii="Arial" w:hAnsi="Arial" w:eastAsia="宋体"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annotation text"/>
    <w:basedOn w:val="1"/>
    <w:semiHidden/>
    <w:unhideWhenUsed/>
    <w:uiPriority w:val="99"/>
    <w:pPr>
      <w:jc w:val="left"/>
    </w:pPr>
  </w:style>
  <w:style w:type="paragraph" w:styleId="18">
    <w:name w:val="Body Text 3"/>
    <w:basedOn w:val="1"/>
    <w:link w:val="147"/>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5"/>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7"/>
    <w:unhideWhenUsed/>
    <w:qFormat/>
    <w:uiPriority w:val="99"/>
    <w:pPr>
      <w:tabs>
        <w:tab w:val="center" w:pos="4680"/>
        <w:tab w:val="right" w:pos="9360"/>
      </w:tabs>
      <w:spacing w:after="0" w:line="240" w:lineRule="auto"/>
    </w:pPr>
  </w:style>
  <w:style w:type="paragraph" w:styleId="26">
    <w:name w:val="header"/>
    <w:basedOn w:val="1"/>
    <w:link w:val="136"/>
    <w:unhideWhenUsed/>
    <w:qFormat/>
    <w:uiPriority w:val="99"/>
    <w:pPr>
      <w:tabs>
        <w:tab w:val="center" w:pos="4680"/>
        <w:tab w:val="right" w:pos="9360"/>
      </w:tabs>
      <w:spacing w:after="0" w:line="240" w:lineRule="auto"/>
    </w:pPr>
  </w:style>
  <w:style w:type="paragraph" w:styleId="27">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6"/>
    <w:qFormat/>
    <w:uiPriority w:val="99"/>
  </w:style>
  <w:style w:type="character" w:customStyle="1" w:styleId="137">
    <w:name w:val="Footer Char"/>
    <w:basedOn w:val="133"/>
    <w:link w:val="25"/>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20"/>
    <w:qFormat/>
    <w:uiPriority w:val="99"/>
  </w:style>
  <w:style w:type="character" w:customStyle="1" w:styleId="146">
    <w:name w:val="Body Text 2 Char"/>
    <w:basedOn w:val="133"/>
    <w:link w:val="29"/>
    <w:qFormat/>
    <w:uiPriority w:val="99"/>
  </w:style>
  <w:style w:type="character" w:customStyle="1" w:styleId="147">
    <w:name w:val="Body Text 3 Char"/>
    <w:basedOn w:val="133"/>
    <w:link w:val="18"/>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3000</Words>
  <Characters>3275</Characters>
  <Lines>0</Lines>
  <Paragraphs>0</Paragraphs>
  <TotalTime>2</TotalTime>
  <ScaleCrop>false</ScaleCrop>
  <LinksUpToDate>false</LinksUpToDate>
  <CharactersWithSpaces>3367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张东峰</cp:lastModifiedBy>
  <dcterms:modified xsi:type="dcterms:W3CDTF">2026-08-27T06:32:16Z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eyJoZGlkIjoiNWNhZDcyNjJjNTQyNzhjNjBjM2ZjMDQ2YjlkZWI4ZDkiLCJ1c2VySWQiOiI0MzI1NDc0MTkifQ==</vt:lpwstr>
  </property>
  <property fmtid="{D5CDD505-2E9C-101B-9397-08002B2CF9AE}" pid="3" name="KSOProductBuildVer">
    <vt:lpwstr>2052-12.1.0.28043</vt:lpwstr>
  </property>
  <property fmtid="{D5CDD505-2E9C-101B-9397-08002B2CF9AE}" pid="4" name="ICV">
    <vt:lpwstr>BFF7FD761FA44AC3BB8887DF52BE7F77_13</vt:lpwstr>
  </property>
</Properties>
</file>