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0 -->
  <w:body>
    <w:p w14:paraId="64A45441">
      <w:pPr>
        <w:widowControl w:val="0"/>
        <w:spacing w:before="0" w:after="0" w:line="360" w:lineRule="auto"/>
        <w:jc w:val="center"/>
        <w:rPr>
          <w:rFonts w:ascii="仿宋" w:eastAsia="仿宋" w:hAnsi="仿宋" w:cs="仿宋" w:hint="eastAsia"/>
          <w:b/>
          <w:bCs/>
          <w:kern w:val="2"/>
          <w:sz w:val="36"/>
          <w:szCs w:val="32"/>
          <w:lang w:eastAsia="zh-CN"/>
        </w:rPr>
      </w:pPr>
    </w:p>
    <w:p w14:paraId="6AF2BD5D">
      <w:pPr>
        <w:widowControl w:val="0"/>
        <w:spacing w:line="360" w:lineRule="auto"/>
        <w:jc w:val="center"/>
        <w:rPr>
          <w:rFonts w:ascii="仿宋" w:eastAsia="仿宋" w:hAnsi="仿宋" w:cs="仿宋" w:hint="eastAsia"/>
          <w:kern w:val="2"/>
          <w:sz w:val="48"/>
          <w:szCs w:val="44"/>
          <w:lang w:eastAsia="zh-CN"/>
        </w:rPr>
      </w:pPr>
    </w:p>
    <w:p w14:paraId="24E397AC">
      <w:pPr>
        <w:widowControl w:val="0"/>
        <w:spacing w:line="480" w:lineRule="auto"/>
        <w:jc w:val="center"/>
        <w:rPr>
          <w:rFonts w:ascii="仿宋" w:eastAsia="仿宋" w:hAnsi="仿宋" w:cs="仿宋" w:hint="eastAsia"/>
          <w:kern w:val="2"/>
          <w:sz w:val="48"/>
          <w:szCs w:val="44"/>
          <w:lang w:eastAsia="zh-CN"/>
        </w:rPr>
      </w:pPr>
    </w:p>
    <w:p w14:paraId="3FE201B8">
      <w:pPr>
        <w:widowControl w:val="0"/>
        <w:spacing w:line="480" w:lineRule="auto"/>
        <w:jc w:val="center"/>
        <w:rPr>
          <w:rFonts w:ascii="仿宋" w:eastAsia="仿宋" w:hAnsi="仿宋" w:cs="仿宋" w:hint="eastAsia"/>
          <w:kern w:val="2"/>
          <w:sz w:val="52"/>
          <w:szCs w:val="48"/>
          <w:lang w:eastAsia="zh-CN"/>
        </w:rPr>
      </w:pPr>
      <w:r>
        <w:rPr>
          <w:rFonts w:ascii="仿宋" w:eastAsia="仿宋" w:hAnsi="仿宋" w:cs="仿宋" w:hint="eastAsia"/>
          <w:kern w:val="2"/>
          <w:sz w:val="52"/>
          <w:szCs w:val="48"/>
          <w:lang w:eastAsia="zh-CN"/>
        </w:rPr>
        <w:t>深圳市龙华区教育系统</w:t>
      </w:r>
    </w:p>
    <w:p w14:paraId="073C72A3">
      <w:pPr>
        <w:widowControl w:val="0"/>
        <w:spacing w:line="480" w:lineRule="auto"/>
        <w:jc w:val="center"/>
        <w:rPr>
          <w:rFonts w:ascii="仿宋" w:eastAsia="仿宋" w:hAnsi="仿宋" w:cs="仿宋" w:hint="eastAsia"/>
          <w:kern w:val="2"/>
          <w:sz w:val="52"/>
          <w:szCs w:val="48"/>
          <w:lang w:eastAsia="zh-CN"/>
        </w:rPr>
      </w:pPr>
      <w:r>
        <w:rPr>
          <w:rFonts w:ascii="仿宋" w:eastAsia="仿宋" w:hAnsi="仿宋" w:cs="仿宋" w:hint="eastAsia"/>
          <w:kern w:val="2"/>
          <w:sz w:val="52"/>
          <w:szCs w:val="48"/>
          <w:lang w:eastAsia="zh-CN"/>
        </w:rPr>
        <w:t>自行采购项目招标文件</w:t>
      </w:r>
    </w:p>
    <w:p w14:paraId="43E12681">
      <w:pPr>
        <w:widowControl w:val="0"/>
        <w:spacing w:line="480" w:lineRule="auto"/>
        <w:jc w:val="center"/>
        <w:rPr>
          <w:rFonts w:ascii="仿宋" w:eastAsia="仿宋" w:hAnsi="仿宋" w:cs="仿宋" w:hint="eastAsia"/>
          <w:kern w:val="2"/>
          <w:sz w:val="44"/>
          <w:szCs w:val="40"/>
          <w:lang w:eastAsia="zh-CN"/>
        </w:rPr>
      </w:pPr>
      <w:r>
        <w:rPr>
          <w:rFonts w:ascii="仿宋" w:eastAsia="仿宋" w:hAnsi="仿宋" w:cs="仿宋" w:hint="eastAsia"/>
          <w:kern w:val="2"/>
          <w:sz w:val="44"/>
          <w:szCs w:val="40"/>
          <w:lang w:eastAsia="zh-CN"/>
        </w:rPr>
        <w:t>（服务类）</w:t>
      </w:r>
    </w:p>
    <w:p w14:paraId="0C52E89A">
      <w:pPr>
        <w:widowControl w:val="0"/>
        <w:spacing w:line="360" w:lineRule="auto"/>
        <w:jc w:val="both"/>
        <w:rPr>
          <w:rFonts w:ascii="仿宋" w:eastAsia="仿宋" w:hAnsi="仿宋" w:cs="仿宋" w:hint="eastAsia"/>
          <w:b/>
          <w:bCs/>
          <w:kern w:val="2"/>
          <w:sz w:val="36"/>
          <w:szCs w:val="32"/>
          <w:lang w:eastAsia="zh-CN"/>
        </w:rPr>
      </w:pPr>
    </w:p>
    <w:p w14:paraId="4D769A1E">
      <w:pPr>
        <w:widowControl w:val="0"/>
        <w:spacing w:line="360" w:lineRule="auto"/>
        <w:jc w:val="center"/>
        <w:rPr>
          <w:rFonts w:ascii="仿宋" w:eastAsia="仿宋" w:hAnsi="仿宋" w:cs="仿宋" w:hint="eastAsia"/>
          <w:b/>
          <w:bCs/>
          <w:kern w:val="2"/>
          <w:sz w:val="36"/>
          <w:szCs w:val="32"/>
          <w:lang w:eastAsia="zh-CN"/>
        </w:rPr>
      </w:pPr>
    </w:p>
    <w:p w14:paraId="70F0BFDA">
      <w:pPr>
        <w:widowControl w:val="0"/>
        <w:spacing w:line="360" w:lineRule="auto"/>
        <w:jc w:val="center"/>
        <w:rPr>
          <w:rFonts w:ascii="仿宋" w:eastAsia="仿宋" w:hAnsi="仿宋" w:cs="仿宋" w:hint="eastAsia"/>
          <w:b/>
          <w:bCs/>
          <w:kern w:val="2"/>
          <w:sz w:val="36"/>
          <w:szCs w:val="32"/>
          <w:lang w:eastAsia="zh-CN"/>
        </w:rPr>
      </w:pPr>
    </w:p>
    <w:p w14:paraId="7AE0B923">
      <w:pPr>
        <w:widowControl w:val="0"/>
        <w:spacing w:line="360" w:lineRule="auto"/>
        <w:jc w:val="center"/>
        <w:rPr>
          <w:rFonts w:ascii="仿宋" w:eastAsia="仿宋" w:hAnsi="仿宋" w:cs="仿宋" w:hint="eastAsia"/>
          <w:b/>
          <w:bCs/>
          <w:kern w:val="2"/>
          <w:sz w:val="36"/>
          <w:szCs w:val="32"/>
          <w:lang w:eastAsia="zh-CN"/>
        </w:rPr>
      </w:pPr>
    </w:p>
    <w:p w14:paraId="6A214ECE">
      <w:pPr>
        <w:widowControl w:val="0"/>
        <w:spacing w:line="360" w:lineRule="auto"/>
        <w:jc w:val="center"/>
        <w:rPr>
          <w:rFonts w:ascii="仿宋" w:eastAsia="仿宋" w:hAnsi="仿宋" w:cs="仿宋" w:hint="eastAsia"/>
          <w:b/>
          <w:bCs/>
          <w:kern w:val="2"/>
          <w:sz w:val="36"/>
          <w:szCs w:val="32"/>
          <w:lang w:eastAsia="zh-CN"/>
        </w:rPr>
      </w:pPr>
      <w:r>
        <w:rPr>
          <w:rFonts w:ascii="仿宋" w:eastAsia="仿宋" w:hAnsi="仿宋" w:cs="仿宋" w:hint="eastAsia"/>
          <w:b/>
          <w:bCs/>
          <w:kern w:val="2"/>
          <w:sz w:val="36"/>
          <w:szCs w:val="32"/>
          <w:lang w:eastAsia="zh-CN"/>
        </w:rPr>
        <w:t>深圳·龙华</w:t>
      </w:r>
    </w:p>
    <w:p w14:paraId="7E235FA9">
      <w:pPr>
        <w:widowControl w:val="0"/>
        <w:spacing w:line="360" w:lineRule="auto"/>
        <w:jc w:val="both"/>
        <w:rPr>
          <w:rFonts w:ascii="仿宋" w:eastAsia="仿宋" w:hAnsi="仿宋" w:cs="仿宋" w:hint="eastAsia"/>
          <w:kern w:val="2"/>
          <w:sz w:val="21"/>
          <w:lang w:eastAsia="zh-CN"/>
        </w:rPr>
      </w:pPr>
    </w:p>
    <w:p w14:paraId="39DD060D">
      <w:pPr>
        <w:widowControl w:val="0"/>
        <w:spacing w:line="360" w:lineRule="auto"/>
        <w:jc w:val="both"/>
        <w:rPr>
          <w:rFonts w:ascii="仿宋" w:eastAsia="仿宋" w:hAnsi="仿宋" w:cs="仿宋" w:hint="eastAsia"/>
          <w:kern w:val="2"/>
          <w:sz w:val="21"/>
          <w:lang w:eastAsia="zh-CN"/>
        </w:rPr>
      </w:pPr>
    </w:p>
    <w:p w14:paraId="497BD353">
      <w:pPr>
        <w:widowControl w:val="0"/>
        <w:spacing w:line="360" w:lineRule="auto"/>
        <w:jc w:val="both"/>
        <w:rPr>
          <w:rFonts w:ascii="仿宋" w:eastAsia="仿宋" w:hAnsi="仿宋" w:cs="仿宋" w:hint="eastAsia"/>
          <w:kern w:val="2"/>
          <w:sz w:val="21"/>
          <w:lang w:eastAsia="zh-CN"/>
        </w:rPr>
      </w:pPr>
    </w:p>
    <w:p w14:paraId="397870C0">
      <w:pPr>
        <w:widowControl w:val="0"/>
        <w:spacing w:line="360" w:lineRule="auto"/>
        <w:jc w:val="both"/>
        <w:rPr>
          <w:rFonts w:ascii="仿宋" w:eastAsia="仿宋" w:hAnsi="仿宋" w:cs="仿宋" w:hint="eastAsia"/>
          <w:kern w:val="2"/>
          <w:sz w:val="21"/>
          <w:lang w:eastAsia="zh-CN"/>
        </w:rPr>
      </w:pPr>
    </w:p>
    <w:p w14:paraId="5F172967">
      <w:pPr>
        <w:widowControl w:val="0"/>
        <w:spacing w:line="360" w:lineRule="auto"/>
        <w:jc w:val="both"/>
        <w:rPr>
          <w:rFonts w:ascii="仿宋" w:eastAsia="仿宋" w:hAnsi="仿宋" w:cs="仿宋" w:hint="eastAsia"/>
          <w:kern w:val="2"/>
          <w:sz w:val="21"/>
          <w:lang w:eastAsia="zh-CN"/>
        </w:rPr>
      </w:pPr>
    </w:p>
    <w:p w14:paraId="3AFD7126">
      <w:pPr>
        <w:widowControl w:val="0"/>
        <w:spacing w:line="360" w:lineRule="auto"/>
        <w:jc w:val="center"/>
        <w:rPr>
          <w:rFonts w:ascii="仿宋" w:eastAsia="仿宋" w:hAnsi="仿宋" w:cs="仿宋" w:hint="eastAsia"/>
          <w:b/>
          <w:bCs/>
          <w:kern w:val="2"/>
          <w:szCs w:val="32"/>
          <w:lang w:eastAsia="zh-CN"/>
        </w:rPr>
      </w:pPr>
    </w:p>
    <w:p w14:paraId="3D988F5A">
      <w:pPr>
        <w:widowControl w:val="0"/>
        <w:spacing w:line="360" w:lineRule="auto"/>
        <w:jc w:val="both"/>
        <w:rPr>
          <w:rFonts w:ascii="仿宋" w:eastAsia="仿宋" w:hAnsi="仿宋" w:cs="仿宋" w:hint="eastAsia"/>
          <w:b/>
          <w:bCs/>
          <w:kern w:val="2"/>
          <w:szCs w:val="32"/>
          <w:lang w:eastAsia="zh-CN"/>
        </w:rPr>
      </w:pPr>
    </w:p>
    <w:p w14:paraId="10AC3B31">
      <w:pPr>
        <w:widowControl w:val="0"/>
        <w:spacing w:line="360" w:lineRule="auto"/>
        <w:jc w:val="both"/>
        <w:rPr>
          <w:rFonts w:ascii="仿宋" w:eastAsia="仿宋" w:hAnsi="仿宋" w:cs="仿宋" w:hint="eastAsia"/>
          <w:b/>
          <w:bCs/>
          <w:kern w:val="2"/>
          <w:szCs w:val="32"/>
          <w:lang w:eastAsia="zh-CN"/>
        </w:rPr>
      </w:pPr>
    </w:p>
    <w:p w14:paraId="2578A059">
      <w:pPr>
        <w:widowControl w:val="0"/>
        <w:spacing w:line="360" w:lineRule="auto"/>
        <w:jc w:val="center"/>
        <w:rPr>
          <w:rFonts w:ascii="仿宋" w:eastAsia="仿宋" w:hAnsi="仿宋" w:cs="仿宋" w:hint="eastAsia"/>
          <w:b/>
          <w:bCs/>
          <w:kern w:val="2"/>
          <w:sz w:val="32"/>
          <w:szCs w:val="40"/>
          <w:lang w:eastAsia="zh-CN"/>
        </w:rPr>
      </w:pPr>
      <w:r>
        <w:rPr>
          <w:rFonts w:ascii="仿宋" w:eastAsia="仿宋" w:hAnsi="仿宋" w:cs="仿宋" w:hint="eastAsia"/>
          <w:b/>
          <w:bCs/>
          <w:kern w:val="2"/>
          <w:sz w:val="32"/>
          <w:szCs w:val="40"/>
          <w:lang w:eastAsia="zh-CN"/>
        </w:rPr>
        <w:t xml:space="preserve">采购人：深圳市龙华区书香小学  </w:t>
      </w:r>
    </w:p>
    <w:p w14:paraId="771BD8F3">
      <w:pPr>
        <w:widowControl w:val="0"/>
        <w:spacing w:line="360" w:lineRule="auto"/>
        <w:jc w:val="center"/>
        <w:rPr>
          <w:rFonts w:ascii="仿宋" w:eastAsia="仿宋" w:hAnsi="仿宋" w:cs="仿宋" w:hint="eastAsia"/>
          <w:b/>
          <w:bCs/>
          <w:kern w:val="2"/>
          <w:sz w:val="32"/>
          <w:szCs w:val="40"/>
          <w:lang w:eastAsia="zh-CN"/>
        </w:rPr>
      </w:pPr>
      <w:r>
        <w:rPr>
          <w:rFonts w:ascii="仿宋" w:eastAsia="仿宋" w:hAnsi="仿宋" w:cs="仿宋" w:hint="eastAsia"/>
          <w:b/>
          <w:bCs/>
          <w:kern w:val="2"/>
          <w:sz w:val="32"/>
          <w:szCs w:val="40"/>
          <w:lang w:eastAsia="zh-CN"/>
        </w:rPr>
        <w:t>采购代理机构：广东五装建设工程有限公司</w:t>
      </w:r>
    </w:p>
    <w:p w14:paraId="243A9A98">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378D69F9">
      <w:pPr>
        <w:widowControl w:val="0"/>
        <w:bidi w:val="0"/>
        <w:spacing w:line="360" w:lineRule="auto"/>
        <w:jc w:val="center"/>
        <w:rPr>
          <w:rFonts w:ascii="仿宋" w:eastAsia="仿宋" w:hAnsi="仿宋" w:cs="仿宋" w:hint="eastAsia"/>
          <w:kern w:val="2"/>
          <w:sz w:val="40"/>
          <w:szCs w:val="48"/>
          <w:lang w:eastAsia="zh-CN"/>
        </w:rPr>
      </w:pPr>
      <w:r>
        <w:rPr>
          <w:rFonts w:ascii="仿宋" w:eastAsia="仿宋" w:hAnsi="仿宋" w:cs="仿宋" w:hint="eastAsia"/>
          <w:kern w:val="2"/>
          <w:sz w:val="40"/>
          <w:szCs w:val="48"/>
          <w:lang w:eastAsia="zh-CN"/>
        </w:rPr>
        <w:t xml:space="preserve"> 2026年食堂管理服务</w:t>
      </w:r>
    </w:p>
    <w:p w14:paraId="7D047F79">
      <w:pPr>
        <w:widowControl w:val="0"/>
        <w:bidi w:val="0"/>
        <w:spacing w:line="360" w:lineRule="auto"/>
        <w:jc w:val="center"/>
        <w:rPr>
          <w:rFonts w:ascii="仿宋" w:eastAsia="仿宋" w:hAnsi="仿宋" w:cs="仿宋" w:hint="eastAsia"/>
          <w:kern w:val="2"/>
          <w:sz w:val="40"/>
          <w:szCs w:val="48"/>
          <w:lang w:eastAsia="zh-CN"/>
        </w:rPr>
      </w:pPr>
      <w:r>
        <w:rPr>
          <w:rFonts w:ascii="仿宋" w:eastAsia="仿宋" w:hAnsi="仿宋" w:cs="仿宋" w:hint="eastAsia"/>
          <w:kern w:val="2"/>
          <w:sz w:val="40"/>
          <w:szCs w:val="48"/>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119"/>
        <w:gridCol w:w="7837"/>
      </w:tblGrid>
      <w:tr w14:paraId="153FB98C">
        <w:tblPrEx>
          <w:tblW w:w="5000" w:type="pct"/>
          <w:jc w:val="center"/>
          <w:tblCellSpacing w:w="0" w:type="dxa"/>
          <w:tblLayout w:type="fixed"/>
          <w:tblCellMar>
            <w:top w:w="45" w:type="dxa"/>
            <w:left w:w="45" w:type="dxa"/>
            <w:bottom w:w="45" w:type="dxa"/>
            <w:right w:w="45" w:type="dxa"/>
          </w:tblCellMar>
        </w:tblPrEx>
        <w:trPr>
          <w:trHeight w:val="515"/>
          <w:tblCellSpacing w:w="0" w:type="dxa"/>
          <w:jc w:val="center"/>
        </w:trPr>
        <w:tc>
          <w:tcPr>
            <w:tcW w:w="1864" w:type="dxa"/>
            <w:noWrap w:val="0"/>
            <w:vAlign w:val="center"/>
          </w:tcPr>
          <w:p w14:paraId="2943D7E8">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项目编号：</w:t>
            </w:r>
          </w:p>
        </w:tc>
        <w:tc>
          <w:tcPr>
            <w:tcW w:w="6895" w:type="dxa"/>
            <w:noWrap w:val="0"/>
            <w:vAlign w:val="center"/>
          </w:tcPr>
          <w:p w14:paraId="7BFA19A5">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LHAZXDL-2025-00843</w:t>
            </w:r>
          </w:p>
        </w:tc>
      </w:tr>
      <w:tr w14:paraId="20D6B9F0">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1864" w:type="dxa"/>
            <w:noWrap w:val="0"/>
            <w:vAlign w:val="center"/>
          </w:tcPr>
          <w:p w14:paraId="53A4BD7D">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项目名称：</w:t>
            </w:r>
          </w:p>
        </w:tc>
        <w:tc>
          <w:tcPr>
            <w:tcW w:w="6895" w:type="dxa"/>
            <w:noWrap w:val="0"/>
            <w:vAlign w:val="center"/>
          </w:tcPr>
          <w:p w14:paraId="6241BA38">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2026年食堂管理服务</w:t>
            </w:r>
          </w:p>
        </w:tc>
      </w:tr>
      <w:tr w14:paraId="3D8D41A0">
        <w:tblPrEx>
          <w:tblW w:w="5000" w:type="pct"/>
          <w:jc w:val="center"/>
          <w:tblCellSpacing w:w="0" w:type="dxa"/>
          <w:tblLayout w:type="fixed"/>
          <w:tblCellMar>
            <w:top w:w="45" w:type="dxa"/>
            <w:left w:w="45" w:type="dxa"/>
            <w:bottom w:w="45" w:type="dxa"/>
            <w:right w:w="45" w:type="dxa"/>
          </w:tblCellMar>
        </w:tblPrEx>
        <w:trPr>
          <w:trHeight w:val="515"/>
          <w:tblCellSpacing w:w="0" w:type="dxa"/>
          <w:jc w:val="center"/>
        </w:trPr>
        <w:tc>
          <w:tcPr>
            <w:tcW w:w="1864" w:type="dxa"/>
            <w:noWrap w:val="0"/>
            <w:vAlign w:val="center"/>
          </w:tcPr>
          <w:p w14:paraId="71BEE1A4">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项目类型：</w:t>
            </w:r>
          </w:p>
        </w:tc>
        <w:tc>
          <w:tcPr>
            <w:tcW w:w="6895" w:type="dxa"/>
            <w:noWrap w:val="0"/>
            <w:vAlign w:val="center"/>
          </w:tcPr>
          <w:p w14:paraId="1AD96988">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服务类</w:t>
            </w:r>
          </w:p>
        </w:tc>
      </w:tr>
      <w:tr w14:paraId="4F3A7072">
        <w:tblPrEx>
          <w:tblW w:w="5000" w:type="pct"/>
          <w:jc w:val="center"/>
          <w:tblCellSpacing w:w="0" w:type="dxa"/>
          <w:tblLayout w:type="fixed"/>
          <w:tblCellMar>
            <w:top w:w="45" w:type="dxa"/>
            <w:left w:w="45" w:type="dxa"/>
            <w:bottom w:w="45" w:type="dxa"/>
            <w:right w:w="45" w:type="dxa"/>
          </w:tblCellMar>
        </w:tblPrEx>
        <w:trPr>
          <w:trHeight w:val="515"/>
          <w:tblCellSpacing w:w="0" w:type="dxa"/>
          <w:jc w:val="center"/>
        </w:trPr>
        <w:tc>
          <w:tcPr>
            <w:tcW w:w="1864" w:type="dxa"/>
            <w:noWrap w:val="0"/>
            <w:vAlign w:val="center"/>
          </w:tcPr>
          <w:p w14:paraId="5D5C222C">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采购方式：</w:t>
            </w:r>
          </w:p>
        </w:tc>
        <w:tc>
          <w:tcPr>
            <w:tcW w:w="6895" w:type="dxa"/>
            <w:noWrap w:val="0"/>
            <w:vAlign w:val="center"/>
          </w:tcPr>
          <w:p w14:paraId="3AB81B40">
            <w:pPr>
              <w:widowControl w:val="0"/>
              <w:spacing w:line="360" w:lineRule="auto"/>
              <w:jc w:val="both"/>
              <w:rPr>
                <w:rFonts w:ascii="仿宋" w:eastAsia="仿宋" w:hAnsi="仿宋" w:cs="仿宋" w:hint="eastAsia"/>
                <w:kern w:val="2"/>
                <w:sz w:val="28"/>
                <w:szCs w:val="28"/>
                <w:lang w:eastAsia="zh-CN"/>
              </w:rPr>
            </w:pPr>
            <w:bookmarkStart w:id="0" w:name="采购方式1"/>
            <w:r>
              <w:rPr>
                <w:rFonts w:ascii="仿宋" w:eastAsia="仿宋" w:hAnsi="仿宋" w:cs="仿宋" w:hint="eastAsia"/>
                <w:kern w:val="2"/>
                <w:sz w:val="28"/>
                <w:szCs w:val="28"/>
                <w:lang w:eastAsia="zh-CN"/>
              </w:rPr>
              <w:t>自行采购</w:t>
            </w:r>
            <w:bookmarkEnd w:id="0"/>
            <w:r>
              <w:rPr>
                <w:rFonts w:ascii="仿宋" w:eastAsia="仿宋" w:hAnsi="仿宋" w:cs="仿宋" w:hint="eastAsia"/>
                <w:kern w:val="2"/>
                <w:sz w:val="28"/>
                <w:szCs w:val="28"/>
                <w:lang w:eastAsia="zh-CN"/>
              </w:rPr>
              <w:t>（公开招标）</w:t>
            </w:r>
          </w:p>
        </w:tc>
      </w:tr>
      <w:tr w14:paraId="5E8959F2">
        <w:tblPrEx>
          <w:tblW w:w="5000" w:type="pct"/>
          <w:jc w:val="center"/>
          <w:tblCellSpacing w:w="0" w:type="dxa"/>
          <w:tblLayout w:type="fixed"/>
          <w:tblCellMar>
            <w:top w:w="45" w:type="dxa"/>
            <w:left w:w="45" w:type="dxa"/>
            <w:bottom w:w="45" w:type="dxa"/>
            <w:right w:w="45" w:type="dxa"/>
          </w:tblCellMar>
        </w:tblPrEx>
        <w:trPr>
          <w:trHeight w:val="515"/>
          <w:tblCellSpacing w:w="0" w:type="dxa"/>
          <w:jc w:val="center"/>
        </w:trPr>
        <w:tc>
          <w:tcPr>
            <w:tcW w:w="1864" w:type="dxa"/>
            <w:noWrap w:val="0"/>
            <w:vAlign w:val="center"/>
          </w:tcPr>
          <w:p w14:paraId="1DDA1BD1">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货币类型：</w:t>
            </w:r>
          </w:p>
        </w:tc>
        <w:tc>
          <w:tcPr>
            <w:tcW w:w="6895" w:type="dxa"/>
            <w:noWrap w:val="0"/>
            <w:vAlign w:val="center"/>
          </w:tcPr>
          <w:p w14:paraId="10D9ECF1">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人民币</w:t>
            </w:r>
          </w:p>
        </w:tc>
      </w:tr>
      <w:tr w14:paraId="171B9F43">
        <w:tblPrEx>
          <w:tblW w:w="5000" w:type="pct"/>
          <w:jc w:val="center"/>
          <w:tblCellSpacing w:w="0" w:type="dxa"/>
          <w:tblLayout w:type="fixed"/>
          <w:tblCellMar>
            <w:top w:w="45" w:type="dxa"/>
            <w:left w:w="45" w:type="dxa"/>
            <w:bottom w:w="45" w:type="dxa"/>
            <w:right w:w="45" w:type="dxa"/>
          </w:tblCellMar>
        </w:tblPrEx>
        <w:trPr>
          <w:trHeight w:val="677"/>
          <w:tblCellSpacing w:w="0" w:type="dxa"/>
          <w:jc w:val="center"/>
        </w:trPr>
        <w:tc>
          <w:tcPr>
            <w:tcW w:w="1864" w:type="dxa"/>
            <w:noWrap w:val="0"/>
            <w:vAlign w:val="center"/>
          </w:tcPr>
          <w:p w14:paraId="45BC1F5C">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资格入围及评审方法：</w:t>
            </w:r>
          </w:p>
        </w:tc>
        <w:tc>
          <w:tcPr>
            <w:tcW w:w="6895" w:type="dxa"/>
            <w:noWrap w:val="0"/>
            <w:vAlign w:val="center"/>
          </w:tcPr>
          <w:p w14:paraId="0DE13D91">
            <w:pPr>
              <w:widowControl w:val="0"/>
              <w:spacing w:line="360" w:lineRule="auto"/>
              <w:jc w:val="both"/>
              <w:rPr>
                <w:rFonts w:ascii="仿宋" w:eastAsia="仿宋" w:hAnsi="仿宋" w:cs="仿宋" w:hint="eastAsia"/>
                <w:kern w:val="2"/>
                <w:sz w:val="28"/>
                <w:szCs w:val="28"/>
                <w:lang w:eastAsia="zh-CN"/>
              </w:rPr>
            </w:pPr>
            <w:r>
              <w:rPr>
                <w:rFonts w:ascii="仿宋" w:eastAsia="仿宋" w:hAnsi="仿宋" w:cs="仿宋" w:hint="eastAsia"/>
                <w:kern w:val="2"/>
                <w:sz w:val="28"/>
                <w:szCs w:val="28"/>
                <w:lang w:eastAsia="zh-CN"/>
              </w:rPr>
              <w:t>综合评分法</w:t>
            </w:r>
          </w:p>
        </w:tc>
      </w:tr>
    </w:tbl>
    <w:p w14:paraId="782B5B19">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4431EB4D">
      <w:pPr>
        <w:keepNext/>
        <w:keepLines/>
        <w:widowControl w:val="0"/>
        <w:bidi w:val="0"/>
        <w:spacing w:beforeLines="0" w:beforeAutospacing="0" w:afterLines="0" w:afterAutospacing="0" w:line="360" w:lineRule="auto"/>
        <w:jc w:val="center"/>
        <w:outlineLvl w:val="1"/>
        <w:rPr>
          <w:rFonts w:ascii="仿宋" w:eastAsia="仿宋" w:hAnsi="仿宋" w:cs="仿宋" w:hint="eastAsia"/>
          <w:b/>
          <w:kern w:val="2"/>
          <w:sz w:val="32"/>
          <w:lang w:eastAsia="zh-CN"/>
        </w:rPr>
      </w:pPr>
      <w:bookmarkStart w:id="1" w:name="_Toc6257"/>
      <w:r>
        <w:rPr>
          <w:rFonts w:ascii="仿宋" w:eastAsia="仿宋" w:hAnsi="仿宋" w:cs="仿宋" w:hint="eastAsia"/>
          <w:b/>
          <w:kern w:val="2"/>
          <w:sz w:val="32"/>
          <w:lang w:eastAsia="zh-CN"/>
        </w:rPr>
        <w:t>资格性审查表</w:t>
      </w:r>
      <w:bookmarkEnd w:id="1"/>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1"/>
        <w:gridCol w:w="9271"/>
      </w:tblGrid>
      <w:tr w14:paraId="4616762F">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14:paraId="7C4C7037">
            <w:pPr>
              <w:keepNext w:val="0"/>
              <w:keepLines w:val="0"/>
              <w:widowControl/>
              <w:suppressLineNumbers w:val="0"/>
              <w:spacing w:line="360" w:lineRule="auto"/>
              <w:jc w:val="center"/>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序号</w:t>
            </w:r>
          </w:p>
        </w:tc>
        <w:tc>
          <w:tcPr>
            <w:tcW w:w="8348"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14:paraId="10739C6E">
            <w:pPr>
              <w:keepNext w:val="0"/>
              <w:keepLines w:val="0"/>
              <w:widowControl/>
              <w:suppressLineNumbers w:val="0"/>
              <w:spacing w:line="360" w:lineRule="auto"/>
              <w:jc w:val="center"/>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内容</w:t>
            </w:r>
          </w:p>
        </w:tc>
      </w:tr>
      <w:tr w14:paraId="3467DEAF">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top"/>
          </w:tcPr>
          <w:p w14:paraId="714A5878">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1</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0807C945">
            <w:pPr>
              <w:keepNext w:val="0"/>
              <w:keepLines w:val="0"/>
              <w:widowControl/>
              <w:suppressLineNumbers w:val="0"/>
              <w:spacing w:line="360" w:lineRule="auto"/>
              <w:jc w:val="left"/>
              <w:textAlignment w:val="top"/>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tc>
      </w:tr>
      <w:tr w14:paraId="543496AC">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top"/>
          </w:tcPr>
          <w:p w14:paraId="4B132443">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2</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57592EBB">
            <w:pPr>
              <w:keepNext w:val="0"/>
              <w:keepLines w:val="0"/>
              <w:widowControl/>
              <w:suppressLineNumbers w:val="0"/>
              <w:spacing w:line="360" w:lineRule="auto"/>
              <w:jc w:val="left"/>
              <w:textAlignment w:val="top"/>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本项目不接受联合体投标，不接受投标人选用进口产品参与投标</w:t>
            </w:r>
          </w:p>
        </w:tc>
      </w:tr>
      <w:tr w14:paraId="1EA02E0D">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top"/>
          </w:tcPr>
          <w:p w14:paraId="656E0BDF">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3</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519C7F50">
            <w:pPr>
              <w:keepNext w:val="0"/>
              <w:keepLines w:val="0"/>
              <w:widowControl/>
              <w:suppressLineNumbers w:val="0"/>
              <w:spacing w:line="360" w:lineRule="auto"/>
              <w:jc w:val="left"/>
              <w:textAlignment w:val="top"/>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参与本项目投标前三年内，在经营活动中没有重大违法记录（由供应商在《龙华区教育局自行采购投标及履约承诺函》中作出声明）</w:t>
            </w:r>
          </w:p>
        </w:tc>
      </w:tr>
      <w:tr w14:paraId="1CDD90F8">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top"/>
          </w:tcPr>
          <w:p w14:paraId="46CB84E9">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4</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1A770C86">
            <w:pPr>
              <w:keepNext w:val="0"/>
              <w:keepLines w:val="0"/>
              <w:widowControl/>
              <w:suppressLineNumbers w:val="0"/>
              <w:spacing w:line="360" w:lineRule="auto"/>
              <w:jc w:val="left"/>
              <w:textAlignment w:val="top"/>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参与本项目政府采购活动时不存在被有关部门禁止参与政府采购活动且在有效期内的情况（由供应商在《龙华区教育局自行采购投标及履约承诺函》中作出声明）</w:t>
            </w:r>
          </w:p>
        </w:tc>
      </w:tr>
      <w:tr w14:paraId="392CBDB6">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top"/>
          </w:tcPr>
          <w:p w14:paraId="13CB2205">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5</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6C47D977">
            <w:pPr>
              <w:keepNext w:val="0"/>
              <w:keepLines w:val="0"/>
              <w:widowControl/>
              <w:suppressLineNumbers w:val="0"/>
              <w:spacing w:line="360" w:lineRule="auto"/>
              <w:jc w:val="left"/>
              <w:textAlignment w:val="top"/>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具备《中华人民共和国政府采购法》第二十二条第一款的条件（由供应商在《龙华区教育局自行采购投标及履约承诺函》中作出声明）</w:t>
            </w:r>
          </w:p>
        </w:tc>
      </w:tr>
      <w:tr w14:paraId="68D84ED8">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top"/>
          </w:tcPr>
          <w:p w14:paraId="0D801FFA">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6</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1A4BAA8F">
            <w:pPr>
              <w:keepNext w:val="0"/>
              <w:keepLines w:val="0"/>
              <w:widowControl/>
              <w:suppressLineNumbers w:val="0"/>
              <w:spacing w:line="360" w:lineRule="auto"/>
              <w:jc w:val="left"/>
              <w:textAlignment w:val="top"/>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未被列入失信被执行人、重大税收违法案件当事人名单（税收违法黑名单）、政府采购严重违法失信行为记录名单（由供应商在《龙华区教育局自行采购投标及履约承诺函》中作出声明 ）。注：“信用中国”、“中国政府采购网”、“深圳信用网”以及“深圳市政府采购监管网”为供应商信用信息的查询渠道，相关信息以开标当日的查询结果为准；</w:t>
            </w:r>
          </w:p>
        </w:tc>
      </w:tr>
      <w:tr w14:paraId="083056A5">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top"/>
          </w:tcPr>
          <w:p w14:paraId="4E8CE159">
            <w:pPr>
              <w:keepNext w:val="0"/>
              <w:keepLines w:val="0"/>
              <w:widowControl/>
              <w:suppressLineNumbers w:val="0"/>
              <w:spacing w:line="360" w:lineRule="auto"/>
              <w:jc w:val="center"/>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7</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64C2EBE8">
            <w:pPr>
              <w:keepNext w:val="0"/>
              <w:keepLines w:val="0"/>
              <w:widowControl/>
              <w:suppressLineNumbers w:val="0"/>
              <w:spacing w:line="360" w:lineRule="auto"/>
              <w:jc w:val="left"/>
              <w:textAlignment w:val="top"/>
              <w:rPr>
                <w:rFonts w:ascii="仿宋" w:eastAsia="仿宋" w:hAnsi="仿宋" w:cs="仿宋" w:hint="eastAsia"/>
                <w:kern w:val="2"/>
                <w:sz w:val="21"/>
                <w:szCs w:val="21"/>
                <w:lang w:eastAsia="zh-CN"/>
              </w:rPr>
            </w:pPr>
            <w:r>
              <w:rPr>
                <w:rFonts w:ascii="仿宋" w:eastAsia="仿宋" w:hAnsi="仿宋" w:cs="仿宋" w:hint="eastAsia"/>
                <w:kern w:val="2"/>
                <w:sz w:val="21"/>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仿宋" w:eastAsia="仿宋" w:hAnsi="仿宋" w:cs="仿宋" w:hint="eastAsia"/>
                <w:kern w:val="2"/>
                <w:sz w:val="21"/>
                <w:szCs w:val="21"/>
                <w:lang w:eastAsia="zh-CN"/>
              </w:rPr>
              <w:t>（由供应商在《龙华区教育局自行采购投标及履约承诺函》中作出声明并根据实际填写“</w:t>
            </w:r>
            <w:r>
              <w:rPr>
                <w:rFonts w:ascii="仿宋" w:eastAsia="仿宋" w:hAnsi="仿宋" w:cs="仿宋" w:hint="eastAsia"/>
                <w:kern w:val="2"/>
                <w:sz w:val="21"/>
                <w:szCs w:val="21"/>
                <w:lang w:val="en-US" w:eastAsia="zh-CN"/>
              </w:rPr>
              <w:t>供应商基本情况表</w:t>
            </w:r>
            <w:r>
              <w:rPr>
                <w:rFonts w:ascii="仿宋" w:eastAsia="仿宋" w:hAnsi="仿宋" w:cs="仿宋" w:hint="eastAsia"/>
                <w:kern w:val="2"/>
                <w:sz w:val="21"/>
                <w:szCs w:val="21"/>
                <w:lang w:eastAsia="zh-CN"/>
              </w:rPr>
              <w:t xml:space="preserve"> ”（详见采购文件相应章节））</w:t>
            </w:r>
          </w:p>
        </w:tc>
      </w:tr>
      <w:tr w14:paraId="1C3E5017">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top"/>
          </w:tcPr>
          <w:p w14:paraId="1432A146">
            <w:pPr>
              <w:keepNext w:val="0"/>
              <w:keepLines w:val="0"/>
              <w:widowControl/>
              <w:suppressLineNumbers w:val="0"/>
              <w:spacing w:line="360" w:lineRule="auto"/>
              <w:jc w:val="center"/>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8</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43BBA596">
            <w:pPr>
              <w:keepNext w:val="0"/>
              <w:keepLines w:val="0"/>
              <w:widowControl/>
              <w:suppressLineNumbers w:val="0"/>
              <w:spacing w:line="360" w:lineRule="auto"/>
              <w:jc w:val="left"/>
              <w:textAlignment w:val="top"/>
              <w:rPr>
                <w:rFonts w:ascii="仿宋" w:eastAsia="仿宋" w:hAnsi="仿宋" w:cs="仿宋" w:hint="eastAsia"/>
                <w:sz w:val="21"/>
                <w:szCs w:val="21"/>
                <w:lang w:eastAsia="zh-CN" w:bidi="ar"/>
              </w:rPr>
            </w:pPr>
            <w:r>
              <w:rPr>
                <w:rFonts w:ascii="仿宋" w:eastAsia="仿宋" w:hAnsi="仿宋" w:cs="仿宋" w:hint="eastAsia"/>
                <w:b/>
                <w:bCs/>
                <w:sz w:val="21"/>
                <w:szCs w:val="21"/>
                <w:highlight w:val="yellow"/>
                <w:lang w:eastAsia="zh-CN" w:bidi="ar"/>
              </w:rPr>
              <w:t>本项目是（否）专门面向中小企业采购：否。</w:t>
            </w:r>
          </w:p>
        </w:tc>
      </w:tr>
    </w:tbl>
    <w:p w14:paraId="7AA2CE57">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2826B34A">
      <w:pPr>
        <w:keepNext/>
        <w:keepLines/>
        <w:widowControl w:val="0"/>
        <w:bidi w:val="0"/>
        <w:spacing w:beforeLines="0" w:beforeAutospacing="0" w:afterLines="0" w:afterAutospacing="0" w:line="360" w:lineRule="auto"/>
        <w:jc w:val="center"/>
        <w:outlineLvl w:val="1"/>
        <w:rPr>
          <w:rFonts w:ascii="仿宋" w:eastAsia="仿宋" w:hAnsi="仿宋" w:cs="仿宋" w:hint="eastAsia"/>
          <w:b/>
          <w:kern w:val="2"/>
          <w:sz w:val="32"/>
          <w:lang w:eastAsia="zh-CN"/>
        </w:rPr>
      </w:pPr>
      <w:bookmarkStart w:id="2" w:name="_Toc18466"/>
      <w:r>
        <w:rPr>
          <w:rFonts w:ascii="仿宋" w:eastAsia="仿宋" w:hAnsi="仿宋" w:cs="仿宋" w:hint="eastAsia"/>
          <w:b/>
          <w:kern w:val="2"/>
          <w:sz w:val="32"/>
          <w:lang w:eastAsia="zh-CN"/>
        </w:rPr>
        <w:t>符合性审查表</w:t>
      </w:r>
      <w:bookmarkEnd w:id="2"/>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1"/>
        <w:gridCol w:w="9271"/>
      </w:tblGrid>
      <w:tr w14:paraId="29CBAF2C">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14:paraId="22B7ED2F">
            <w:pPr>
              <w:keepNext w:val="0"/>
              <w:keepLines w:val="0"/>
              <w:widowControl/>
              <w:suppressLineNumbers w:val="0"/>
              <w:spacing w:line="360" w:lineRule="auto"/>
              <w:jc w:val="center"/>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序号</w:t>
            </w:r>
          </w:p>
        </w:tc>
        <w:tc>
          <w:tcPr>
            <w:tcW w:w="8348"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14:paraId="05A6F39E">
            <w:pPr>
              <w:keepNext w:val="0"/>
              <w:keepLines w:val="0"/>
              <w:widowControl/>
              <w:suppressLineNumbers w:val="0"/>
              <w:spacing w:line="360" w:lineRule="auto"/>
              <w:jc w:val="center"/>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内容</w:t>
            </w:r>
          </w:p>
        </w:tc>
      </w:tr>
      <w:tr w14:paraId="4192C249">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52E00D8A">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1</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7696F09C">
            <w:pPr>
              <w:keepNext w:val="0"/>
              <w:keepLines w:val="0"/>
              <w:widowControl/>
              <w:suppressLineNumbers w:val="0"/>
              <w:spacing w:line="360" w:lineRule="auto"/>
              <w:jc w:val="left"/>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不得将一个包的内容拆开投标；</w:t>
            </w:r>
          </w:p>
        </w:tc>
      </w:tr>
      <w:tr w14:paraId="5B2D1DCC">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0E88BFE2">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2</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59E3C711">
            <w:pPr>
              <w:keepNext w:val="0"/>
              <w:keepLines w:val="0"/>
              <w:widowControl/>
              <w:suppressLineNumbers w:val="0"/>
              <w:spacing w:line="360" w:lineRule="auto"/>
              <w:jc w:val="left"/>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对同一项目投标时，不得提供两套以上的投标方案（招标文件另有规定的除外）；</w:t>
            </w:r>
          </w:p>
        </w:tc>
      </w:tr>
      <w:tr w14:paraId="3463C7E1">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5020DB40">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3</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6A802222">
            <w:pPr>
              <w:keepNext w:val="0"/>
              <w:keepLines w:val="0"/>
              <w:widowControl/>
              <w:suppressLineNumbers w:val="0"/>
              <w:spacing w:line="360" w:lineRule="auto"/>
              <w:jc w:val="left"/>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投标总价或分项报价高于预算限额的，同一项目出现两个及以上报价，按规定又无法确定哪个是有效报价，投标人的报价低于其成本，且不能做出合理说明，投标报价有严重缺漏项目；</w:t>
            </w:r>
          </w:p>
        </w:tc>
      </w:tr>
      <w:tr w14:paraId="346724BC">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558C254B">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4</w:t>
            </w:r>
          </w:p>
        </w:tc>
        <w:tc>
          <w:tcPr>
            <w:tcW w:w="8348" w:type="dxa"/>
            <w:tcBorders>
              <w:top w:val="single" w:sz="8" w:space="0" w:color="000000"/>
              <w:left w:val="single" w:sz="8" w:space="0" w:color="000000"/>
              <w:bottom w:val="single" w:sz="8" w:space="0" w:color="000000"/>
              <w:right w:val="single" w:sz="8" w:space="0" w:color="000000"/>
            </w:tcBorders>
            <w:shd w:val="clear" w:color="auto" w:fill="auto"/>
            <w:noWrap w:val="0"/>
            <w:vAlign w:val="top"/>
          </w:tcPr>
          <w:p w14:paraId="31D25AD7">
            <w:pPr>
              <w:keepNext w:val="0"/>
              <w:keepLines w:val="0"/>
              <w:widowControl/>
              <w:suppressLineNumbers w:val="0"/>
              <w:spacing w:line="360" w:lineRule="auto"/>
              <w:jc w:val="left"/>
              <w:rPr>
                <w:rFonts w:ascii="仿宋" w:eastAsia="仿宋" w:hAnsi="仿宋" w:cs="仿宋" w:hint="eastAsia"/>
                <w:kern w:val="2"/>
                <w:sz w:val="21"/>
                <w:lang w:eastAsia="zh-CN"/>
              </w:rPr>
            </w:pPr>
            <w:r>
              <w:rPr>
                <w:rFonts w:ascii="仿宋" w:eastAsia="仿宋" w:hAnsi="仿宋" w:cs="仿宋" w:hint="eastAsia"/>
                <w:color w:val="000000"/>
                <w:sz w:val="21"/>
                <w:szCs w:val="21"/>
                <w:lang w:eastAsia="zh-CN" w:bidi="ar"/>
              </w:rPr>
              <w:t>未按招标文件所提供的样式填写《投标函》；未按招标文件所提供的《龙华区教育系统自</w:t>
            </w:r>
          </w:p>
          <w:p w14:paraId="3898E2FE">
            <w:pPr>
              <w:keepNext w:val="0"/>
              <w:keepLines w:val="0"/>
              <w:widowControl/>
              <w:suppressLineNumbers w:val="0"/>
              <w:spacing w:line="360" w:lineRule="auto"/>
              <w:jc w:val="left"/>
              <w:rPr>
                <w:rFonts w:ascii="仿宋" w:eastAsia="仿宋" w:hAnsi="仿宋" w:cs="仿宋" w:hint="eastAsia"/>
                <w:sz w:val="21"/>
                <w:szCs w:val="21"/>
                <w:lang w:eastAsia="zh-CN" w:bidi="ar"/>
              </w:rPr>
            </w:pPr>
            <w:r>
              <w:rPr>
                <w:rFonts w:ascii="仿宋" w:eastAsia="仿宋" w:hAnsi="仿宋" w:cs="仿宋" w:hint="eastAsia"/>
                <w:color w:val="000000"/>
                <w:sz w:val="21"/>
                <w:szCs w:val="21"/>
                <w:lang w:eastAsia="zh-CN" w:bidi="ar"/>
              </w:rPr>
              <w:t>行采购投标及履约承诺函》进行承诺；未按招标文件对投标文件组成的要求提供投标文件；</w:t>
            </w:r>
          </w:p>
        </w:tc>
      </w:tr>
      <w:tr w14:paraId="396C15D7">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2394F8BB">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5</w:t>
            </w:r>
          </w:p>
        </w:tc>
        <w:tc>
          <w:tcPr>
            <w:tcW w:w="8348" w:type="dxa"/>
            <w:tcBorders>
              <w:top w:val="single" w:sz="8" w:space="0" w:color="000000"/>
              <w:left w:val="single" w:sz="8" w:space="0" w:color="000000"/>
              <w:bottom w:val="single" w:sz="8" w:space="0" w:color="000000"/>
              <w:right w:val="single" w:sz="8" w:space="0" w:color="000000"/>
            </w:tcBorders>
            <w:noWrap w:val="0"/>
            <w:vAlign w:val="center"/>
          </w:tcPr>
          <w:p w14:paraId="2C7D1D32">
            <w:pPr>
              <w:widowControl w:val="0"/>
              <w:spacing w:line="360" w:lineRule="auto"/>
              <w:jc w:val="both"/>
              <w:rPr>
                <w:rFonts w:ascii="仿宋" w:eastAsia="仿宋" w:hAnsi="仿宋" w:cs="仿宋" w:hint="eastAsia"/>
                <w:sz w:val="21"/>
                <w:szCs w:val="21"/>
                <w:lang w:eastAsia="zh-CN" w:bidi="ar"/>
              </w:rPr>
            </w:pPr>
            <w:r>
              <w:rPr>
                <w:rFonts w:ascii="仿宋" w:eastAsia="仿宋" w:hAnsi="仿宋" w:cs="仿宋" w:hint="eastAsia"/>
                <w:kern w:val="2"/>
                <w:sz w:val="21"/>
                <w:szCs w:val="21"/>
                <w:lang w:eastAsia="zh-CN"/>
              </w:rPr>
              <w:t>投标文件载明的服务期不满足招标文件规定的期限；</w:t>
            </w:r>
          </w:p>
        </w:tc>
      </w:tr>
      <w:tr w14:paraId="3AD2209C">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7C5CF941">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6</w:t>
            </w:r>
          </w:p>
        </w:tc>
        <w:tc>
          <w:tcPr>
            <w:tcW w:w="8348" w:type="dxa"/>
            <w:tcBorders>
              <w:top w:val="single" w:sz="8" w:space="0" w:color="000000"/>
              <w:left w:val="single" w:sz="8" w:space="0" w:color="000000"/>
              <w:bottom w:val="single" w:sz="8" w:space="0" w:color="000000"/>
              <w:right w:val="single" w:sz="8" w:space="0" w:color="000000"/>
            </w:tcBorders>
            <w:noWrap w:val="0"/>
            <w:vAlign w:val="center"/>
          </w:tcPr>
          <w:p w14:paraId="06464FDE">
            <w:pPr>
              <w:widowControl w:val="0"/>
              <w:spacing w:line="360" w:lineRule="auto"/>
              <w:jc w:val="both"/>
              <w:rPr>
                <w:rFonts w:ascii="仿宋" w:eastAsia="仿宋" w:hAnsi="仿宋" w:cs="仿宋" w:hint="eastAsia"/>
                <w:sz w:val="21"/>
                <w:szCs w:val="21"/>
                <w:lang w:eastAsia="zh-CN" w:bidi="ar"/>
              </w:rPr>
            </w:pPr>
            <w:r>
              <w:rPr>
                <w:rFonts w:ascii="仿宋" w:eastAsia="仿宋" w:hAnsi="仿宋" w:cs="仿宋" w:hint="eastAsia"/>
                <w:kern w:val="2"/>
                <w:sz w:val="21"/>
                <w:szCs w:val="21"/>
                <w:lang w:eastAsia="zh-CN"/>
              </w:rPr>
              <w:t>未按招标文件附件所提供的样式和要求完整填写投标文件的；</w:t>
            </w:r>
          </w:p>
        </w:tc>
      </w:tr>
      <w:tr w14:paraId="3DE60686">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2BBC70C1">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sz w:val="21"/>
                <w:szCs w:val="21"/>
                <w:lang w:eastAsia="zh-CN" w:bidi="ar"/>
              </w:rPr>
              <w:t>7</w:t>
            </w:r>
          </w:p>
        </w:tc>
        <w:tc>
          <w:tcPr>
            <w:tcW w:w="8348" w:type="dxa"/>
            <w:tcBorders>
              <w:top w:val="single" w:sz="8" w:space="0" w:color="000000"/>
              <w:left w:val="single" w:sz="8" w:space="0" w:color="000000"/>
              <w:bottom w:val="single" w:sz="8" w:space="0" w:color="000000"/>
              <w:right w:val="single" w:sz="8" w:space="0" w:color="000000"/>
            </w:tcBorders>
            <w:noWrap w:val="0"/>
            <w:vAlign w:val="center"/>
          </w:tcPr>
          <w:p w14:paraId="716EED8B">
            <w:pPr>
              <w:widowControl w:val="0"/>
              <w:spacing w:line="360" w:lineRule="auto"/>
              <w:jc w:val="both"/>
              <w:rPr>
                <w:rFonts w:ascii="仿宋" w:eastAsia="仿宋" w:hAnsi="仿宋" w:cs="仿宋" w:hint="eastAsia"/>
                <w:sz w:val="21"/>
                <w:szCs w:val="21"/>
                <w:lang w:eastAsia="zh-CN" w:bidi="ar"/>
              </w:rPr>
            </w:pPr>
            <w:r>
              <w:rPr>
                <w:rFonts w:ascii="仿宋" w:eastAsia="仿宋" w:hAnsi="仿宋" w:cs="仿宋" w:hint="eastAsia"/>
                <w:kern w:val="2"/>
                <w:sz w:val="21"/>
                <w:szCs w:val="21"/>
                <w:lang w:eastAsia="zh-CN"/>
              </w:rPr>
              <w:t>未按招标文件要求提供法定代表人资格证明书和法定代表人授权书的；</w:t>
            </w:r>
          </w:p>
        </w:tc>
      </w:tr>
      <w:tr w14:paraId="010F4951">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67C04F32">
            <w:pPr>
              <w:keepNext w:val="0"/>
              <w:keepLines w:val="0"/>
              <w:widowControl/>
              <w:suppressLineNumbers w:val="0"/>
              <w:spacing w:line="360" w:lineRule="auto"/>
              <w:jc w:val="center"/>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8</w:t>
            </w:r>
          </w:p>
        </w:tc>
        <w:tc>
          <w:tcPr>
            <w:tcW w:w="8348" w:type="dxa"/>
            <w:tcBorders>
              <w:top w:val="single" w:sz="8" w:space="0" w:color="000000"/>
              <w:left w:val="single" w:sz="8" w:space="0" w:color="000000"/>
              <w:bottom w:val="single" w:sz="8" w:space="0" w:color="000000"/>
              <w:right w:val="single" w:sz="8" w:space="0" w:color="000000"/>
            </w:tcBorders>
            <w:noWrap w:val="0"/>
            <w:vAlign w:val="center"/>
          </w:tcPr>
          <w:p w14:paraId="01201C34">
            <w:pPr>
              <w:widowControl w:val="0"/>
              <w:spacing w:line="360" w:lineRule="auto"/>
              <w:jc w:val="both"/>
              <w:rPr>
                <w:rFonts w:ascii="仿宋" w:eastAsia="仿宋" w:hAnsi="仿宋" w:cs="仿宋" w:hint="eastAsia"/>
                <w:sz w:val="21"/>
                <w:szCs w:val="21"/>
                <w:lang w:eastAsia="zh-CN" w:bidi="ar"/>
              </w:rPr>
            </w:pPr>
            <w:r>
              <w:rPr>
                <w:rFonts w:ascii="仿宋" w:eastAsia="仿宋" w:hAnsi="仿宋" w:cs="仿宋" w:hint="eastAsia"/>
                <w:kern w:val="2"/>
                <w:sz w:val="21"/>
                <w:lang w:eastAsia="zh-CN"/>
              </w:rPr>
              <w:t>对招标文件中带</w:t>
            </w:r>
            <w:r>
              <w:rPr>
                <w:rFonts w:ascii="仿宋" w:eastAsia="仿宋" w:hAnsi="仿宋" w:cs="仿宋" w:hint="eastAsia"/>
                <w:b/>
                <w:kern w:val="2"/>
                <w:sz w:val="21"/>
                <w:szCs w:val="21"/>
                <w:lang w:eastAsia="zh-CN"/>
              </w:rPr>
              <w:t>★</w:t>
            </w:r>
            <w:r>
              <w:rPr>
                <w:rFonts w:ascii="仿宋" w:eastAsia="仿宋" w:hAnsi="仿宋" w:cs="仿宋" w:hint="eastAsia"/>
                <w:kern w:val="2"/>
                <w:sz w:val="21"/>
                <w:lang w:eastAsia="zh-CN"/>
              </w:rPr>
              <w:t>号条款的响应有负偏离；</w:t>
            </w:r>
          </w:p>
        </w:tc>
      </w:tr>
      <w:tr w14:paraId="49A73B1D">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0FA63456">
            <w:pPr>
              <w:keepNext w:val="0"/>
              <w:keepLines w:val="0"/>
              <w:widowControl/>
              <w:suppressLineNumbers w:val="0"/>
              <w:spacing w:line="360" w:lineRule="auto"/>
              <w:jc w:val="center"/>
              <w:textAlignment w:val="top"/>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9</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26176250">
            <w:pPr>
              <w:keepNext w:val="0"/>
              <w:keepLines w:val="0"/>
              <w:widowControl/>
              <w:suppressLineNumbers w:val="0"/>
              <w:spacing w:line="360" w:lineRule="auto"/>
              <w:jc w:val="left"/>
              <w:rPr>
                <w:rFonts w:ascii="仿宋" w:eastAsia="仿宋" w:hAnsi="仿宋" w:cs="仿宋" w:hint="eastAsia"/>
                <w:sz w:val="21"/>
                <w:szCs w:val="21"/>
                <w:lang w:eastAsia="zh-CN" w:bidi="ar"/>
              </w:rPr>
            </w:pPr>
            <w:r>
              <w:rPr>
                <w:rFonts w:ascii="仿宋" w:eastAsia="仿宋" w:hAnsi="仿宋" w:cs="仿宋" w:hint="eastAsia"/>
                <w:color w:val="000000"/>
                <w:sz w:val="21"/>
                <w:szCs w:val="21"/>
                <w:lang w:eastAsia="zh-CN" w:bidi="ar"/>
              </w:rPr>
              <w:t xml:space="preserve">投标文件存在列放位置错误，导致属于信息公开情形的没有被公开； </w:t>
            </w:r>
          </w:p>
        </w:tc>
      </w:tr>
      <w:tr w14:paraId="28CCACBD">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444DB661">
            <w:pPr>
              <w:keepNext w:val="0"/>
              <w:keepLines w:val="0"/>
              <w:widowControl/>
              <w:suppressLineNumbers w:val="0"/>
              <w:spacing w:line="360" w:lineRule="auto"/>
              <w:jc w:val="center"/>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10</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41C623BE">
            <w:pPr>
              <w:keepNext w:val="0"/>
              <w:keepLines w:val="0"/>
              <w:widowControl/>
              <w:suppressLineNumbers w:val="0"/>
              <w:spacing w:line="360" w:lineRule="auto"/>
              <w:jc w:val="left"/>
              <w:rPr>
                <w:rFonts w:ascii="仿宋" w:eastAsia="仿宋" w:hAnsi="仿宋" w:cs="仿宋" w:hint="eastAsia"/>
                <w:sz w:val="21"/>
                <w:szCs w:val="21"/>
                <w:lang w:eastAsia="zh-CN" w:bidi="ar"/>
              </w:rPr>
            </w:pPr>
            <w:r>
              <w:rPr>
                <w:rFonts w:ascii="仿宋" w:eastAsia="仿宋" w:hAnsi="仿宋" w:cs="仿宋" w:hint="eastAsia"/>
                <w:color w:val="000000"/>
                <w:sz w:val="21"/>
                <w:szCs w:val="21"/>
                <w:lang w:eastAsia="zh-CN" w:bidi="ar"/>
              </w:rPr>
              <w:t xml:space="preserve">投标文件电子文档不得带病毒； </w:t>
            </w:r>
          </w:p>
        </w:tc>
      </w:tr>
      <w:tr w14:paraId="7E87D597">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03F8D0B2">
            <w:pPr>
              <w:keepNext w:val="0"/>
              <w:keepLines w:val="0"/>
              <w:widowControl/>
              <w:suppressLineNumbers w:val="0"/>
              <w:spacing w:line="360" w:lineRule="auto"/>
              <w:jc w:val="center"/>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11</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5A31DA56">
            <w:pPr>
              <w:keepNext w:val="0"/>
              <w:keepLines w:val="0"/>
              <w:widowControl/>
              <w:suppressLineNumbers w:val="0"/>
              <w:spacing w:line="360" w:lineRule="auto"/>
              <w:jc w:val="left"/>
              <w:rPr>
                <w:rFonts w:ascii="仿宋" w:eastAsia="仿宋" w:hAnsi="仿宋" w:cs="仿宋" w:hint="eastAsia"/>
                <w:sz w:val="21"/>
                <w:szCs w:val="21"/>
                <w:lang w:eastAsia="zh-CN" w:bidi="ar"/>
              </w:rPr>
            </w:pPr>
            <w:r>
              <w:rPr>
                <w:rFonts w:ascii="仿宋" w:eastAsia="仿宋" w:hAnsi="仿宋" w:cs="仿宋" w:hint="eastAsia"/>
                <w:color w:val="000000"/>
                <w:sz w:val="21"/>
                <w:szCs w:val="21"/>
                <w:lang w:eastAsia="zh-CN" w:bidi="ar"/>
              </w:rPr>
              <w:t xml:space="preserve">投标文件用不属于本公司的电子密钥或电子营业执照进行加密的； </w:t>
            </w:r>
          </w:p>
        </w:tc>
      </w:tr>
      <w:tr w14:paraId="5621839F">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20BC3032">
            <w:pPr>
              <w:keepNext w:val="0"/>
              <w:keepLines w:val="0"/>
              <w:widowControl/>
              <w:suppressLineNumbers w:val="0"/>
              <w:spacing w:line="360" w:lineRule="auto"/>
              <w:jc w:val="center"/>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12</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08E1F888">
            <w:pPr>
              <w:keepNext w:val="0"/>
              <w:keepLines w:val="0"/>
              <w:widowControl/>
              <w:suppressLineNumbers w:val="0"/>
              <w:spacing w:line="360" w:lineRule="auto"/>
              <w:jc w:val="left"/>
              <w:rPr>
                <w:rFonts w:ascii="仿宋" w:eastAsia="仿宋" w:hAnsi="仿宋" w:cs="仿宋" w:hint="eastAsia"/>
                <w:sz w:val="21"/>
                <w:szCs w:val="21"/>
                <w:lang w:eastAsia="zh-CN" w:bidi="ar"/>
              </w:rPr>
            </w:pPr>
            <w:r>
              <w:rPr>
                <w:rFonts w:ascii="仿宋" w:eastAsia="仿宋" w:hAnsi="仿宋" w:cs="仿宋" w:hint="eastAsia"/>
                <w:color w:val="000000"/>
                <w:sz w:val="21"/>
                <w:szCs w:val="21"/>
                <w:lang w:eastAsia="zh-CN" w:bidi="ar"/>
              </w:rPr>
              <w:t xml:space="preserve">经核实，不同投标供应商的投标文件由同一电子设备编制、加密或者上传的； </w:t>
            </w:r>
          </w:p>
        </w:tc>
      </w:tr>
      <w:tr w14:paraId="6F0D97DC">
        <w:tblPrEx>
          <w:tblW w:w="5000" w:type="pct"/>
          <w:jc w:val="center"/>
          <w:tblLayout w:type="fixed"/>
          <w:tblCellMar>
            <w:top w:w="20" w:type="dxa"/>
            <w:left w:w="108" w:type="dxa"/>
            <w:bottom w:w="20" w:type="dxa"/>
            <w:right w:w="108" w:type="dxa"/>
          </w:tblCellMar>
        </w:tblPrEx>
        <w:trPr>
          <w:jc w:val="center"/>
        </w:trPr>
        <w:tc>
          <w:tcPr>
            <w:tcW w:w="730" w:type="dxa"/>
            <w:tcBorders>
              <w:top w:val="single" w:sz="8" w:space="0" w:color="000000"/>
              <w:left w:val="single" w:sz="8" w:space="0" w:color="000000"/>
              <w:bottom w:val="single" w:sz="8" w:space="0" w:color="000000"/>
              <w:right w:val="single" w:sz="8" w:space="0" w:color="000000"/>
            </w:tcBorders>
            <w:noWrap w:val="0"/>
            <w:vAlign w:val="center"/>
          </w:tcPr>
          <w:p w14:paraId="53F7C5A1">
            <w:pPr>
              <w:keepNext w:val="0"/>
              <w:keepLines w:val="0"/>
              <w:widowControl/>
              <w:suppressLineNumbers w:val="0"/>
              <w:spacing w:line="360" w:lineRule="auto"/>
              <w:jc w:val="center"/>
              <w:textAlignment w:val="top"/>
              <w:rPr>
                <w:rFonts w:ascii="仿宋" w:eastAsia="仿宋" w:hAnsi="仿宋" w:cs="仿宋" w:hint="eastAsia"/>
                <w:sz w:val="21"/>
                <w:szCs w:val="21"/>
                <w:lang w:eastAsia="zh-CN" w:bidi="ar"/>
              </w:rPr>
            </w:pPr>
            <w:r>
              <w:rPr>
                <w:rFonts w:ascii="仿宋" w:eastAsia="仿宋" w:hAnsi="仿宋" w:cs="仿宋" w:hint="eastAsia"/>
                <w:sz w:val="21"/>
                <w:szCs w:val="21"/>
                <w:lang w:eastAsia="zh-CN" w:bidi="ar"/>
              </w:rPr>
              <w:t>13</w:t>
            </w:r>
          </w:p>
        </w:tc>
        <w:tc>
          <w:tcPr>
            <w:tcW w:w="8348" w:type="dxa"/>
            <w:tcBorders>
              <w:top w:val="single" w:sz="8" w:space="0" w:color="000000"/>
              <w:left w:val="single" w:sz="8" w:space="0" w:color="000000"/>
              <w:bottom w:val="single" w:sz="8" w:space="0" w:color="000000"/>
              <w:right w:val="single" w:sz="8" w:space="0" w:color="000000"/>
            </w:tcBorders>
            <w:noWrap w:val="0"/>
            <w:vAlign w:val="top"/>
          </w:tcPr>
          <w:p w14:paraId="1D712748">
            <w:pPr>
              <w:keepNext w:val="0"/>
              <w:keepLines w:val="0"/>
              <w:widowControl/>
              <w:suppressLineNumbers w:val="0"/>
              <w:spacing w:line="360" w:lineRule="auto"/>
              <w:jc w:val="left"/>
              <w:rPr>
                <w:rFonts w:ascii="仿宋" w:eastAsia="仿宋" w:hAnsi="仿宋" w:cs="仿宋" w:hint="eastAsia"/>
                <w:sz w:val="21"/>
                <w:szCs w:val="21"/>
                <w:lang w:eastAsia="zh-CN" w:bidi="ar"/>
              </w:rPr>
            </w:pPr>
            <w:r>
              <w:rPr>
                <w:rFonts w:ascii="仿宋" w:eastAsia="仿宋" w:hAnsi="仿宋" w:cs="仿宋" w:hint="eastAsia"/>
                <w:color w:val="000000"/>
                <w:sz w:val="21"/>
                <w:szCs w:val="21"/>
                <w:lang w:eastAsia="zh-CN" w:bidi="ar"/>
              </w:rPr>
              <w:t>法律、法规、规章、规范性文件规定的其他情形。</w:t>
            </w:r>
          </w:p>
        </w:tc>
      </w:tr>
    </w:tbl>
    <w:p w14:paraId="2DAADDC7">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15E3C9EE">
      <w:pPr>
        <w:keepNext/>
        <w:keepLines/>
        <w:widowControl w:val="0"/>
        <w:bidi w:val="0"/>
        <w:spacing w:beforeLines="0" w:beforeAutospacing="0" w:afterLines="0" w:afterAutospacing="0" w:line="360" w:lineRule="auto"/>
        <w:jc w:val="center"/>
        <w:outlineLvl w:val="1"/>
        <w:rPr>
          <w:rFonts w:ascii="仿宋" w:eastAsia="仿宋" w:hAnsi="仿宋" w:cs="仿宋" w:hint="eastAsia"/>
          <w:b/>
          <w:kern w:val="2"/>
          <w:sz w:val="32"/>
          <w:lang w:eastAsia="zh-CN"/>
        </w:rPr>
      </w:pPr>
      <w:bookmarkStart w:id="3" w:name="_Toc2353"/>
      <w:r>
        <w:rPr>
          <w:rFonts w:ascii="仿宋" w:eastAsia="仿宋" w:hAnsi="仿宋" w:cs="仿宋" w:hint="eastAsia"/>
          <w:b/>
          <w:kern w:val="2"/>
          <w:sz w:val="32"/>
          <w:lang w:eastAsia="zh-CN"/>
        </w:rPr>
        <w:t>评审信息</w:t>
      </w:r>
      <w:bookmarkEnd w:id="3"/>
    </w:p>
    <w:p w14:paraId="1452BE42">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评审方法：综合评分法，是指投标文件满足采购文件全部实质性要求，且按照评审因素的量化指标评审得分最高的投标人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6B5AC137">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价格分计算方法：</w:t>
      </w:r>
    </w:p>
    <w:p w14:paraId="1F8D3381">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采用低价优先法计算，即满足采购文件要求且投标价格最低的投标报价为评审基准价，其价格分为满分。其他投标人的价格分统一按照下列公式计算：</w:t>
      </w:r>
    </w:p>
    <w:p w14:paraId="6AE57539">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投标报价得分=(评审基准价／投标报价)×100 </w:t>
      </w:r>
    </w:p>
    <w:p w14:paraId="54152340">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评审总得分＝F1×A1＋F2×A2＋……＋Fn×An </w:t>
      </w:r>
    </w:p>
    <w:p w14:paraId="12981239">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F1、F2……Fn分别为各项评审因素的得分；</w:t>
      </w:r>
    </w:p>
    <w:p w14:paraId="59DD669E">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A1、A2、……An 分别为各项评审因素所占的权重(A1＋A2＋……＋An＝1)。</w:t>
      </w:r>
    </w:p>
    <w:p w14:paraId="3E5C28AD">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评审过程中，不得去掉报价中的最高报价和最低报价。</w:t>
      </w:r>
    </w:p>
    <w:p w14:paraId="4D13397F">
      <w:pPr>
        <w:widowControl w:val="0"/>
        <w:bidi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此方法适用于货物类、服务类、工程服务类项目。</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2"/>
        <w:gridCol w:w="741"/>
        <w:gridCol w:w="1533"/>
        <w:gridCol w:w="575"/>
        <w:gridCol w:w="6491"/>
      </w:tblGrid>
      <w:tr w14:paraId="24F589B0">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42"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14:paraId="5DE0EBC8">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序号</w:t>
            </w:r>
          </w:p>
        </w:tc>
        <w:tc>
          <w:tcPr>
            <w:tcW w:w="2849"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14:paraId="458855F7">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评分项</w:t>
            </w:r>
          </w:p>
        </w:tc>
        <w:tc>
          <w:tcPr>
            <w:tcW w:w="6491"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14:paraId="2673A149">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权重</w:t>
            </w:r>
          </w:p>
        </w:tc>
      </w:tr>
      <w:tr w14:paraId="3CF414F3">
        <w:tblPrEx>
          <w:tblW w:w="5000" w:type="pct"/>
          <w:jc w:val="center"/>
          <w:tblLayout w:type="fixed"/>
          <w:tblCellMar>
            <w:top w:w="20" w:type="dxa"/>
            <w:left w:w="108" w:type="dxa"/>
            <w:bottom w:w="20" w:type="dxa"/>
            <w:right w:w="108" w:type="dxa"/>
          </w:tblCellMar>
        </w:tblPrEx>
        <w:trPr>
          <w:jc w:val="center"/>
        </w:trPr>
        <w:tc>
          <w:tcPr>
            <w:tcW w:w="742" w:type="dxa"/>
            <w:tcBorders>
              <w:top w:val="single" w:sz="8" w:space="0" w:color="000000"/>
              <w:left w:val="single" w:sz="8" w:space="0" w:color="000000"/>
              <w:bottom w:val="single" w:sz="8" w:space="0" w:color="000000"/>
              <w:right w:val="single" w:sz="8" w:space="0" w:color="000000"/>
            </w:tcBorders>
            <w:noWrap w:val="0"/>
            <w:vAlign w:val="top"/>
          </w:tcPr>
          <w:p w14:paraId="35A2E747">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1</w:t>
            </w:r>
          </w:p>
        </w:tc>
        <w:tc>
          <w:tcPr>
            <w:tcW w:w="2849" w:type="dxa"/>
            <w:gridSpan w:val="3"/>
            <w:tcBorders>
              <w:top w:val="single" w:sz="8" w:space="0" w:color="000000"/>
              <w:left w:val="single" w:sz="8" w:space="0" w:color="000000"/>
              <w:bottom w:val="single" w:sz="8" w:space="0" w:color="000000"/>
              <w:right w:val="single" w:sz="8" w:space="0" w:color="000000"/>
            </w:tcBorders>
            <w:noWrap w:val="0"/>
            <w:vAlign w:val="top"/>
          </w:tcPr>
          <w:p w14:paraId="01D669D8">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价格</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30CA0C3A">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10</w:t>
            </w:r>
          </w:p>
        </w:tc>
      </w:tr>
      <w:tr w14:paraId="7203DDF3">
        <w:tblPrEx>
          <w:tblW w:w="5000" w:type="pct"/>
          <w:jc w:val="center"/>
          <w:tblLayout w:type="fixed"/>
          <w:tblCellMar>
            <w:top w:w="20" w:type="dxa"/>
            <w:left w:w="108" w:type="dxa"/>
            <w:bottom w:w="20" w:type="dxa"/>
            <w:right w:w="108" w:type="dxa"/>
          </w:tblCellMar>
        </w:tblPrEx>
        <w:trPr>
          <w:jc w:val="center"/>
        </w:trPr>
        <w:tc>
          <w:tcPr>
            <w:tcW w:w="742" w:type="dxa"/>
            <w:vMerge w:val="restart"/>
            <w:tcBorders>
              <w:top w:val="single" w:sz="8" w:space="0" w:color="000000"/>
              <w:left w:val="single" w:sz="8" w:space="0" w:color="000000"/>
              <w:bottom w:val="single" w:sz="8" w:space="0" w:color="000000"/>
              <w:right w:val="single" w:sz="8" w:space="0" w:color="000000"/>
            </w:tcBorders>
            <w:noWrap w:val="0"/>
            <w:vAlign w:val="top"/>
          </w:tcPr>
          <w:p w14:paraId="138C372C">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2</w:t>
            </w:r>
          </w:p>
        </w:tc>
        <w:tc>
          <w:tcPr>
            <w:tcW w:w="2849" w:type="dxa"/>
            <w:gridSpan w:val="3"/>
            <w:tcBorders>
              <w:top w:val="single" w:sz="8" w:space="0" w:color="000000"/>
              <w:left w:val="single" w:sz="8" w:space="0" w:color="000000"/>
              <w:bottom w:val="single" w:sz="8" w:space="0" w:color="000000"/>
              <w:right w:val="single" w:sz="8" w:space="0" w:color="000000"/>
            </w:tcBorders>
            <w:noWrap w:val="0"/>
            <w:vAlign w:val="top"/>
          </w:tcPr>
          <w:p w14:paraId="65D18337">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技术部分</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31BC9084">
            <w:pPr>
              <w:widowControl w:val="0"/>
              <w:wordWrap/>
              <w:spacing w:line="240" w:lineRule="auto"/>
              <w:jc w:val="center"/>
              <w:rPr>
                <w:rFonts w:ascii="仿宋" w:eastAsia="仿宋" w:hAnsi="仿宋" w:cs="仿宋" w:hint="eastAsia"/>
                <w:kern w:val="2"/>
                <w:sz w:val="24"/>
                <w:szCs w:val="24"/>
                <w:lang w:val="en-US" w:eastAsia="zh-CN"/>
              </w:rPr>
            </w:pPr>
            <w:r>
              <w:rPr>
                <w:rFonts w:ascii="仿宋" w:eastAsia="仿宋" w:hAnsi="仿宋" w:cs="仿宋" w:hint="eastAsia"/>
                <w:kern w:val="2"/>
                <w:sz w:val="24"/>
                <w:szCs w:val="24"/>
                <w:lang w:val="en-US" w:eastAsia="zh-CN"/>
              </w:rPr>
              <w:t>51</w:t>
            </w:r>
          </w:p>
        </w:tc>
      </w:tr>
      <w:tr w14:paraId="3ED3D709">
        <w:tblPrEx>
          <w:tblW w:w="5000" w:type="pct"/>
          <w:jc w:val="center"/>
          <w:tblLayout w:type="fixed"/>
          <w:tblCellMar>
            <w:top w:w="20" w:type="dxa"/>
            <w:left w:w="108" w:type="dxa"/>
            <w:bottom w:w="20" w:type="dxa"/>
            <w:right w:w="108" w:type="dxa"/>
          </w:tblCellMar>
        </w:tblPrEx>
        <w:trPr>
          <w:jc w:val="center"/>
        </w:trPr>
        <w:tc>
          <w:tcPr>
            <w:tcW w:w="742"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14:paraId="397878DE">
            <w:pPr>
              <w:widowControl w:val="0"/>
              <w:spacing w:line="240" w:lineRule="auto"/>
              <w:jc w:val="center"/>
              <w:rPr>
                <w:rFonts w:ascii="仿宋" w:eastAsia="仿宋" w:hAnsi="仿宋" w:cs="仿宋" w:hint="eastAsia"/>
                <w:kern w:val="2"/>
                <w:sz w:val="24"/>
                <w:szCs w:val="24"/>
                <w:lang w:eastAsia="zh-CN"/>
              </w:rPr>
            </w:pPr>
          </w:p>
        </w:tc>
        <w:tc>
          <w:tcPr>
            <w:tcW w:w="74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14:paraId="36682F74">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序号</w:t>
            </w:r>
          </w:p>
        </w:tc>
        <w:tc>
          <w:tcPr>
            <w:tcW w:w="1533"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14:paraId="5B6550A2">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评分因素</w:t>
            </w:r>
          </w:p>
        </w:tc>
        <w:tc>
          <w:tcPr>
            <w:tcW w:w="575"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14:paraId="01EC6C89">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权重(%)</w:t>
            </w:r>
          </w:p>
        </w:tc>
        <w:tc>
          <w:tcPr>
            <w:tcW w:w="649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14:paraId="5FF6BD29">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评分准则</w:t>
            </w:r>
          </w:p>
        </w:tc>
      </w:tr>
      <w:tr w14:paraId="74490841">
        <w:tblPrEx>
          <w:tblW w:w="5000" w:type="pct"/>
          <w:jc w:val="center"/>
          <w:tblLayout w:type="fixed"/>
          <w:tblCellMar>
            <w:top w:w="20" w:type="dxa"/>
            <w:left w:w="108" w:type="dxa"/>
            <w:bottom w:w="20" w:type="dxa"/>
            <w:right w:w="108" w:type="dxa"/>
          </w:tblCellMar>
        </w:tblPrEx>
        <w:trPr>
          <w:jc w:val="center"/>
        </w:trPr>
        <w:tc>
          <w:tcPr>
            <w:tcW w:w="742" w:type="dxa"/>
            <w:vMerge/>
            <w:tcBorders>
              <w:top w:val="single" w:sz="8" w:space="0" w:color="000000"/>
              <w:left w:val="single" w:sz="8" w:space="0" w:color="000000"/>
              <w:bottom w:val="single" w:sz="8" w:space="0" w:color="000000"/>
              <w:right w:val="single" w:sz="8" w:space="0" w:color="000000"/>
            </w:tcBorders>
            <w:noWrap w:val="0"/>
            <w:vAlign w:val="center"/>
          </w:tcPr>
          <w:p w14:paraId="3B365EB8">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4DD34D49">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1</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6A8F289D">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实施方案</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15216F75">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410E8E3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40AB6FD9">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7DB1CF5E">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1BCAA79B">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5E5358F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44129FA2">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431B659">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8</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63B709DE">
            <w:pPr>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 xml:space="preserve">评分内容： </w:t>
            </w:r>
          </w:p>
          <w:p w14:paraId="08EE862C">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投标人</w:t>
            </w:r>
            <w:r>
              <w:rPr>
                <w:rFonts w:ascii="仿宋" w:eastAsia="仿宋" w:hAnsi="仿宋" w:cs="仿宋" w:hint="eastAsia"/>
                <w:sz w:val="24"/>
                <w:szCs w:val="24"/>
                <w:lang w:val="en-US" w:eastAsia="zh-CN" w:bidi="ar"/>
              </w:rPr>
              <w:t>根据项目</w:t>
            </w:r>
            <w:r>
              <w:rPr>
                <w:rFonts w:ascii="仿宋" w:eastAsia="仿宋" w:hAnsi="仿宋" w:cs="仿宋" w:hint="eastAsia"/>
                <w:sz w:val="24"/>
                <w:szCs w:val="24"/>
                <w:lang w:eastAsia="zh-CN" w:bidi="ar"/>
              </w:rPr>
              <w:t>提供食堂服务方案，</w:t>
            </w:r>
            <w:r>
              <w:rPr>
                <w:rFonts w:ascii="仿宋" w:eastAsia="仿宋" w:hAnsi="仿宋" w:cs="仿宋" w:hint="eastAsia"/>
                <w:spacing w:val="9"/>
                <w:kern w:val="2"/>
                <w:sz w:val="24"/>
                <w:szCs w:val="24"/>
                <w:lang w:eastAsia="zh-CN"/>
              </w:rPr>
              <w:t>包括但不限于以下内容</w:t>
            </w:r>
            <w:r>
              <w:rPr>
                <w:rFonts w:ascii="仿宋" w:eastAsia="仿宋" w:hAnsi="仿宋" w:cs="仿宋" w:hint="eastAsia"/>
                <w:sz w:val="24"/>
                <w:szCs w:val="24"/>
                <w:lang w:eastAsia="zh-CN" w:bidi="ar"/>
              </w:rPr>
              <w:t>：</w:t>
            </w:r>
          </w:p>
          <w:p w14:paraId="30A23784">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1.食堂运营方案</w:t>
            </w:r>
          </w:p>
          <w:p w14:paraId="689607AF">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2.食堂安全管理等。</w:t>
            </w:r>
          </w:p>
          <w:p w14:paraId="4A511D2E">
            <w:pPr>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评分依据：</w:t>
            </w:r>
          </w:p>
          <w:p w14:paraId="5ED8941F">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1.</w:t>
            </w:r>
            <w:r>
              <w:rPr>
                <w:rFonts w:ascii="仿宋" w:eastAsia="仿宋" w:hAnsi="仿宋" w:cs="仿宋" w:hint="eastAsia"/>
                <w:spacing w:val="9"/>
                <w:kern w:val="2"/>
                <w:sz w:val="24"/>
                <w:szCs w:val="24"/>
                <w:lang w:val="en-US" w:eastAsia="zh-CN"/>
              </w:rPr>
              <w:t>以上内容全部满足得3分，每缺一项扣1.5分；</w:t>
            </w:r>
          </w:p>
          <w:p w14:paraId="728D9AD8">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2、在此基础上，评审委员会根据各投标人的具体响应情况按照以下评审标准进一步评审：</w:t>
            </w:r>
          </w:p>
          <w:p w14:paraId="2AEA42C5">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评审为优（方案设计内容全面，工作内容目标指向性强，整体方案展现高度系统性、科学性和定制化）的加</w:t>
            </w:r>
            <w:r>
              <w:rPr>
                <w:rFonts w:ascii="仿宋" w:eastAsia="仿宋" w:hAnsi="仿宋" w:cs="仿宋" w:hint="eastAsia"/>
                <w:spacing w:val="9"/>
                <w:kern w:val="2"/>
                <w:sz w:val="24"/>
                <w:szCs w:val="24"/>
                <w:lang w:val="en-US" w:eastAsia="zh-CN"/>
              </w:rPr>
              <w:t>5</w:t>
            </w:r>
            <w:r>
              <w:rPr>
                <w:rFonts w:ascii="仿宋" w:eastAsia="仿宋" w:hAnsi="仿宋" w:cs="仿宋" w:hint="eastAsia"/>
                <w:spacing w:val="9"/>
                <w:kern w:val="2"/>
                <w:sz w:val="24"/>
                <w:szCs w:val="24"/>
                <w:lang w:eastAsia="zh-CN"/>
              </w:rPr>
              <w:t>分；</w:t>
            </w:r>
          </w:p>
          <w:p w14:paraId="38F9BF1E">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评审为良（方案设计较详尽，基本契合项目需求，目标指向性较强，整体方案展现良好的系统性、科学性和定制化）的加2分；</w:t>
            </w:r>
          </w:p>
          <w:p w14:paraId="55DE72A0">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评审为中（方案设计基本满足项目需求，有明确的工作目标，但方案的系统性、科学性和定制化一般）的 加1分；</w:t>
            </w:r>
          </w:p>
          <w:p w14:paraId="3A42DB02">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spacing w:val="9"/>
                <w:kern w:val="2"/>
                <w:sz w:val="24"/>
                <w:szCs w:val="24"/>
                <w:lang w:eastAsia="zh-CN"/>
              </w:rPr>
              <w:t>3、评审为差（如不满足项目要求的）的不加分。</w:t>
            </w:r>
          </w:p>
        </w:tc>
      </w:tr>
      <w:tr w14:paraId="549E47E0">
        <w:tblPrEx>
          <w:tblW w:w="5000" w:type="pct"/>
          <w:jc w:val="center"/>
          <w:tblLayout w:type="fixed"/>
          <w:tblCellMar>
            <w:top w:w="20" w:type="dxa"/>
            <w:left w:w="108" w:type="dxa"/>
            <w:bottom w:w="20" w:type="dxa"/>
            <w:right w:w="108" w:type="dxa"/>
          </w:tblCellMar>
        </w:tblPrEx>
        <w:trPr>
          <w:jc w:val="center"/>
        </w:trPr>
        <w:tc>
          <w:tcPr>
            <w:tcW w:w="742" w:type="dxa"/>
            <w:vMerge/>
            <w:tcBorders>
              <w:top w:val="single" w:sz="8" w:space="0" w:color="000000"/>
              <w:left w:val="single" w:sz="8" w:space="0" w:color="000000"/>
              <w:bottom w:val="single" w:sz="8" w:space="0" w:color="000000"/>
              <w:right w:val="single" w:sz="8" w:space="0" w:color="000000"/>
            </w:tcBorders>
            <w:noWrap w:val="0"/>
            <w:vAlign w:val="center"/>
          </w:tcPr>
          <w:p w14:paraId="3B1C476E">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16D547D2">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2</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0C8F9186">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项目重点难点分析、应对措施及相关的合理化建议</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7D71404D">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0F98BB8E">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3398EA7D">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3B7D43F4">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6124E4BB">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4A34F7DB">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05AC7C4F">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35C6D88">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5B01523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135BE79F">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67D0A54">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8</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77ADA614">
            <w:pPr>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 xml:space="preserve">评分内容： </w:t>
            </w:r>
          </w:p>
          <w:p w14:paraId="73316ACD">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投标人</w:t>
            </w:r>
            <w:r>
              <w:rPr>
                <w:rFonts w:ascii="仿宋" w:eastAsia="仿宋" w:hAnsi="仿宋" w:cs="仿宋" w:hint="eastAsia"/>
                <w:sz w:val="24"/>
                <w:szCs w:val="24"/>
                <w:lang w:val="en-US" w:eastAsia="zh-CN" w:bidi="ar"/>
              </w:rPr>
              <w:t>根据项目</w:t>
            </w:r>
            <w:r>
              <w:rPr>
                <w:rFonts w:ascii="仿宋" w:eastAsia="仿宋" w:hAnsi="仿宋" w:cs="仿宋" w:hint="eastAsia"/>
                <w:sz w:val="24"/>
                <w:szCs w:val="24"/>
                <w:lang w:eastAsia="zh-CN" w:bidi="ar"/>
              </w:rPr>
              <w:t>提供相关重点难点分析、应对措施及相关合理化建议，</w:t>
            </w:r>
            <w:r>
              <w:rPr>
                <w:rFonts w:ascii="仿宋" w:eastAsia="仿宋" w:hAnsi="仿宋" w:cs="仿宋" w:hint="eastAsia"/>
                <w:spacing w:val="9"/>
                <w:kern w:val="2"/>
                <w:sz w:val="24"/>
                <w:szCs w:val="24"/>
                <w:lang w:eastAsia="zh-CN"/>
              </w:rPr>
              <w:t>包括但不限于以下内容</w:t>
            </w:r>
            <w:r>
              <w:rPr>
                <w:rFonts w:ascii="仿宋" w:eastAsia="仿宋" w:hAnsi="仿宋" w:cs="仿宋" w:hint="eastAsia"/>
                <w:sz w:val="24"/>
                <w:szCs w:val="24"/>
                <w:lang w:eastAsia="zh-CN" w:bidi="ar"/>
              </w:rPr>
              <w:t xml:space="preserve">： </w:t>
            </w:r>
          </w:p>
          <w:p w14:paraId="5F0FFBA3">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1.原材料验收标准；</w:t>
            </w:r>
          </w:p>
          <w:p w14:paraId="4EC9835D">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2.菜品加工流程；</w:t>
            </w:r>
          </w:p>
          <w:p w14:paraId="11BC93F0">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3.食品留样制度；</w:t>
            </w:r>
          </w:p>
          <w:p w14:paraId="4AF5B5C7">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 xml:space="preserve">4.内控制度建立。 </w:t>
            </w:r>
          </w:p>
          <w:p w14:paraId="725BF96B">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（二）评分依据：</w:t>
            </w:r>
          </w:p>
          <w:p w14:paraId="5604AB25">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1.</w:t>
            </w:r>
            <w:r>
              <w:rPr>
                <w:rFonts w:ascii="仿宋" w:eastAsia="仿宋" w:hAnsi="仿宋" w:cs="仿宋" w:hint="eastAsia"/>
                <w:kern w:val="2"/>
                <w:sz w:val="24"/>
                <w:szCs w:val="24"/>
                <w:lang w:val="en-US" w:eastAsia="zh-CN"/>
              </w:rPr>
              <w:t>以上内容全部满足得4分，每缺一项扣1分；</w:t>
            </w:r>
          </w:p>
          <w:p w14:paraId="421C651B">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2、在此基础上，评审委员会根据各投标人的具体响应情况按照以下评审标准进一步评审：</w:t>
            </w:r>
          </w:p>
          <w:p w14:paraId="6CB6EE72">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评审为优（方案设计内容全面，工作内容目标指向性强，整体方案展现高度系统性、科学性和定制化）的加</w:t>
            </w:r>
            <w:r>
              <w:rPr>
                <w:rFonts w:ascii="仿宋" w:eastAsia="仿宋" w:hAnsi="仿宋" w:cs="仿宋" w:hint="eastAsia"/>
                <w:kern w:val="2"/>
                <w:sz w:val="24"/>
                <w:szCs w:val="24"/>
                <w:lang w:val="en-US" w:eastAsia="zh-CN"/>
              </w:rPr>
              <w:t>4</w:t>
            </w:r>
            <w:r>
              <w:rPr>
                <w:rFonts w:ascii="仿宋" w:eastAsia="仿宋" w:hAnsi="仿宋" w:cs="仿宋" w:hint="eastAsia"/>
                <w:kern w:val="2"/>
                <w:sz w:val="24"/>
                <w:szCs w:val="24"/>
                <w:lang w:eastAsia="zh-CN"/>
              </w:rPr>
              <w:t>分；</w:t>
            </w:r>
          </w:p>
          <w:p w14:paraId="731C68DC">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评审为良（方案设计较详尽，基本契合项目需求，目标指向性较强，整体方案展现良好的系统性、科学性和定制化）的加2分；</w:t>
            </w:r>
          </w:p>
          <w:p w14:paraId="2AA268E8">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评审为中（方案设计基本满足项目需求，有明确的工作目标，但方案的系统性、科学性和定制化一般）的加1分；</w:t>
            </w:r>
          </w:p>
          <w:p w14:paraId="782FFF7A">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评审为差（如不满足项目要求的）的不加分。</w:t>
            </w:r>
          </w:p>
        </w:tc>
      </w:tr>
      <w:tr w14:paraId="69B7DEC5">
        <w:tblPrEx>
          <w:tblW w:w="5000" w:type="pct"/>
          <w:jc w:val="center"/>
          <w:tblLayout w:type="fixed"/>
          <w:tblCellMar>
            <w:top w:w="20" w:type="dxa"/>
            <w:left w:w="108" w:type="dxa"/>
            <w:bottom w:w="20" w:type="dxa"/>
            <w:right w:w="108" w:type="dxa"/>
          </w:tblCellMar>
        </w:tblPrEx>
        <w:trPr>
          <w:jc w:val="center"/>
        </w:trPr>
        <w:tc>
          <w:tcPr>
            <w:tcW w:w="742" w:type="dxa"/>
            <w:vMerge/>
            <w:tcBorders>
              <w:top w:val="single" w:sz="8" w:space="0" w:color="000000"/>
              <w:left w:val="single" w:sz="8" w:space="0" w:color="000000"/>
              <w:bottom w:val="single" w:sz="8" w:space="0" w:color="000000"/>
              <w:right w:val="single" w:sz="8" w:space="0" w:color="000000"/>
            </w:tcBorders>
            <w:noWrap w:val="0"/>
            <w:vAlign w:val="center"/>
          </w:tcPr>
          <w:p w14:paraId="63ABADBE">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705ADC25">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3</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538B6190">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质量保障措施及方案</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05EF9E84">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38B4088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63C8E6A4">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545A2703">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05725F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652CE5E0">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369E8FBA">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6EDC052C">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33DB1C29">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18699091">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37106434">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8</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6E85F991">
            <w:pPr>
              <w:keepNext w:val="0"/>
              <w:keepLines w:val="0"/>
              <w:widowControl/>
              <w:numPr>
                <w:ilvl w:val="0"/>
                <w:numId w:val="3"/>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评分内容：</w:t>
            </w:r>
          </w:p>
          <w:p w14:paraId="08FCCE30">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投标人</w:t>
            </w:r>
            <w:r>
              <w:rPr>
                <w:rFonts w:ascii="仿宋" w:eastAsia="仿宋" w:hAnsi="仿宋" w:cs="仿宋" w:hint="eastAsia"/>
                <w:sz w:val="24"/>
                <w:szCs w:val="24"/>
                <w:lang w:val="en-US" w:eastAsia="zh-CN" w:bidi="ar"/>
              </w:rPr>
              <w:t>根据项目</w:t>
            </w:r>
            <w:r>
              <w:rPr>
                <w:rFonts w:ascii="仿宋" w:eastAsia="仿宋" w:hAnsi="仿宋" w:cs="仿宋" w:hint="eastAsia"/>
                <w:sz w:val="24"/>
                <w:szCs w:val="24"/>
                <w:lang w:eastAsia="zh-CN" w:bidi="ar"/>
              </w:rPr>
              <w:t>质量保障措施及方案，</w:t>
            </w:r>
            <w:r>
              <w:rPr>
                <w:rFonts w:ascii="仿宋" w:eastAsia="仿宋" w:hAnsi="仿宋" w:cs="仿宋" w:hint="eastAsia"/>
                <w:spacing w:val="9"/>
                <w:kern w:val="2"/>
                <w:sz w:val="24"/>
                <w:szCs w:val="24"/>
                <w:lang w:eastAsia="zh-CN"/>
              </w:rPr>
              <w:t>包括但不限于以下内容</w:t>
            </w:r>
            <w:r>
              <w:rPr>
                <w:rFonts w:ascii="仿宋" w:eastAsia="仿宋" w:hAnsi="仿宋" w:cs="仿宋" w:hint="eastAsia"/>
                <w:sz w:val="24"/>
                <w:szCs w:val="24"/>
                <w:lang w:eastAsia="zh-CN" w:bidi="ar"/>
              </w:rPr>
              <w:t>：</w:t>
            </w:r>
          </w:p>
          <w:p w14:paraId="3E776858">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 xml:space="preserve">1.餐饮服务质量保障措施 </w:t>
            </w:r>
          </w:p>
          <w:p w14:paraId="56FAF2A4">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2.应急保障措施（包含食品安全事故、停电停水、燃气泄漏、消防安全等方面有具体的应急保障能力方案。）</w:t>
            </w:r>
          </w:p>
          <w:p w14:paraId="5E2B5A0F">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（二）评分依据：</w:t>
            </w:r>
          </w:p>
          <w:p w14:paraId="7581A321">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1.</w:t>
            </w:r>
            <w:r>
              <w:rPr>
                <w:rFonts w:ascii="仿宋" w:eastAsia="仿宋" w:hAnsi="仿宋" w:cs="仿宋" w:hint="eastAsia"/>
                <w:kern w:val="2"/>
                <w:sz w:val="24"/>
                <w:szCs w:val="24"/>
                <w:lang w:val="en-US" w:eastAsia="zh-CN"/>
              </w:rPr>
              <w:t>以上内容全部满足得3分，每缺一项扣1.5分；</w:t>
            </w:r>
          </w:p>
          <w:p w14:paraId="146E6601">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2、在此基础上，评审委员会根据各投标人的具体响应情况按照以下评审标准进一步评审：</w:t>
            </w:r>
          </w:p>
          <w:p w14:paraId="0084D144">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评审为优（方案设计内容全面，工作内容目标指向性强，整体方案展现高度系统性、科学性和定制化）的加</w:t>
            </w:r>
            <w:r>
              <w:rPr>
                <w:rFonts w:ascii="仿宋" w:eastAsia="仿宋" w:hAnsi="仿宋" w:cs="仿宋" w:hint="eastAsia"/>
                <w:spacing w:val="9"/>
                <w:kern w:val="2"/>
                <w:sz w:val="24"/>
                <w:szCs w:val="24"/>
                <w:lang w:val="en-US" w:eastAsia="zh-CN"/>
              </w:rPr>
              <w:t>5</w:t>
            </w:r>
            <w:r>
              <w:rPr>
                <w:rFonts w:ascii="仿宋" w:eastAsia="仿宋" w:hAnsi="仿宋" w:cs="仿宋" w:hint="eastAsia"/>
                <w:spacing w:val="9"/>
                <w:kern w:val="2"/>
                <w:sz w:val="24"/>
                <w:szCs w:val="24"/>
                <w:lang w:eastAsia="zh-CN"/>
              </w:rPr>
              <w:t>分；</w:t>
            </w:r>
          </w:p>
          <w:p w14:paraId="5765092D">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评审为良（方案设计较详尽，基本契合项目需求，目标指向性较强，整体方案展现良好的系统性、科学性和定制化）的加</w:t>
            </w:r>
            <w:r>
              <w:rPr>
                <w:rFonts w:ascii="仿宋" w:eastAsia="仿宋" w:hAnsi="仿宋" w:cs="仿宋" w:hint="eastAsia"/>
                <w:spacing w:val="9"/>
                <w:kern w:val="2"/>
                <w:sz w:val="24"/>
                <w:szCs w:val="24"/>
                <w:lang w:val="en-US" w:eastAsia="zh-CN"/>
              </w:rPr>
              <w:t>2</w:t>
            </w:r>
            <w:r>
              <w:rPr>
                <w:rFonts w:ascii="仿宋" w:eastAsia="仿宋" w:hAnsi="仿宋" w:cs="仿宋" w:hint="eastAsia"/>
                <w:spacing w:val="9"/>
                <w:kern w:val="2"/>
                <w:sz w:val="24"/>
                <w:szCs w:val="24"/>
                <w:lang w:eastAsia="zh-CN"/>
              </w:rPr>
              <w:t>分；</w:t>
            </w:r>
          </w:p>
          <w:p w14:paraId="689B5338">
            <w:pPr>
              <w:widowControl/>
              <w:adjustRightInd w:val="0"/>
              <w:snapToGrid w:val="0"/>
              <w:spacing w:before="0" w:beforeAutospacing="0" w:after="0" w:afterAutospacing="0" w:line="240" w:lineRule="auto"/>
              <w:jc w:val="left"/>
              <w:rPr>
                <w:rFonts w:ascii="仿宋" w:eastAsia="仿宋" w:hAnsi="仿宋" w:cs="仿宋" w:hint="eastAsia"/>
                <w:spacing w:val="9"/>
                <w:kern w:val="2"/>
                <w:sz w:val="24"/>
                <w:szCs w:val="24"/>
                <w:lang w:eastAsia="zh-CN"/>
              </w:rPr>
            </w:pPr>
            <w:r>
              <w:rPr>
                <w:rFonts w:ascii="仿宋" w:eastAsia="仿宋" w:hAnsi="仿宋" w:cs="仿宋" w:hint="eastAsia"/>
                <w:spacing w:val="9"/>
                <w:kern w:val="2"/>
                <w:sz w:val="24"/>
                <w:szCs w:val="24"/>
                <w:lang w:eastAsia="zh-CN"/>
              </w:rPr>
              <w:t>评审为中（方案设计基本满足项目需求，有明确的工作目标，但方案的系统性、科学性和定制化一般）的加1分；</w:t>
            </w:r>
          </w:p>
          <w:p w14:paraId="4140CC55">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spacing w:val="9"/>
                <w:kern w:val="2"/>
                <w:sz w:val="24"/>
                <w:szCs w:val="24"/>
                <w:lang w:eastAsia="zh-CN"/>
              </w:rPr>
              <w:t>3、评审为差（如不满足项目要求的）的不加分。</w:t>
            </w:r>
          </w:p>
        </w:tc>
      </w:tr>
      <w:tr w14:paraId="58B510C6">
        <w:tblPrEx>
          <w:tblW w:w="5000" w:type="pct"/>
          <w:jc w:val="center"/>
          <w:tblLayout w:type="fixed"/>
          <w:tblCellMar>
            <w:top w:w="20" w:type="dxa"/>
            <w:left w:w="108" w:type="dxa"/>
            <w:bottom w:w="20" w:type="dxa"/>
            <w:right w:w="108" w:type="dxa"/>
          </w:tblCellMar>
        </w:tblPrEx>
        <w:trPr>
          <w:jc w:val="center"/>
        </w:trPr>
        <w:tc>
          <w:tcPr>
            <w:tcW w:w="742" w:type="dxa"/>
            <w:vMerge/>
            <w:tcBorders>
              <w:top w:val="single" w:sz="8" w:space="0" w:color="000000"/>
              <w:left w:val="single" w:sz="8" w:space="0" w:color="000000"/>
              <w:bottom w:val="single" w:sz="8" w:space="0" w:color="000000"/>
              <w:right w:val="single" w:sz="8" w:space="0" w:color="000000"/>
            </w:tcBorders>
            <w:noWrap w:val="0"/>
            <w:vAlign w:val="center"/>
          </w:tcPr>
          <w:p w14:paraId="2B001D0C">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2815F022">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4</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09D415D1">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项目完成（服务期满）后的服务承诺</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1C90F881">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p>
          <w:p w14:paraId="7C5D6CC0">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p>
          <w:p w14:paraId="508C4625">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p>
          <w:p w14:paraId="0E1F6761">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p>
          <w:p w14:paraId="67C69BFB">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val="en-US" w:eastAsia="zh-CN"/>
              </w:rPr>
              <w:t>3</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1B95A2DB">
            <w:pPr>
              <w:keepNext w:val="0"/>
              <w:keepLines w:val="0"/>
              <w:widowControl/>
              <w:numPr>
                <w:ilvl w:val="0"/>
                <w:numId w:val="4"/>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b/>
                <w:bCs/>
                <w:sz w:val="24"/>
                <w:szCs w:val="24"/>
                <w:lang w:eastAsia="zh-CN" w:bidi="ar"/>
              </w:rPr>
            </w:pPr>
            <w:r>
              <w:rPr>
                <w:rFonts w:ascii="仿宋" w:eastAsia="仿宋" w:hAnsi="仿宋" w:cs="仿宋" w:hint="eastAsia"/>
                <w:b/>
                <w:bCs/>
                <w:sz w:val="24"/>
                <w:szCs w:val="24"/>
                <w:lang w:eastAsia="zh-CN" w:bidi="ar"/>
              </w:rPr>
              <w:t xml:space="preserve">评分内容： </w:t>
            </w:r>
          </w:p>
          <w:p w14:paraId="5C6EF774">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firstLine="480" w:firstLineChars="200"/>
              <w:jc w:val="left"/>
              <w:textAlignment w:val="top"/>
              <w:rPr>
                <w:rFonts w:ascii="仿宋" w:eastAsia="仿宋" w:hAnsi="仿宋" w:cs="仿宋" w:hint="eastAsia"/>
                <w:sz w:val="24"/>
                <w:szCs w:val="24"/>
                <w:lang w:eastAsia="zh-CN"/>
              </w:rPr>
            </w:pPr>
            <w:r>
              <w:rPr>
                <w:rFonts w:ascii="仿宋" w:eastAsia="仿宋" w:hAnsi="仿宋" w:cs="仿宋" w:hint="eastAsia"/>
                <w:sz w:val="24"/>
                <w:szCs w:val="24"/>
                <w:lang w:eastAsia="zh-CN" w:bidi="ar"/>
              </w:rPr>
              <w:t>投标</w:t>
            </w:r>
            <w:r>
              <w:rPr>
                <w:rFonts w:ascii="仿宋" w:eastAsia="仿宋" w:hAnsi="仿宋" w:cs="仿宋" w:hint="eastAsia"/>
                <w:sz w:val="24"/>
                <w:szCs w:val="24"/>
                <w:lang w:val="en-US" w:eastAsia="zh-CN" w:bidi="ar"/>
              </w:rPr>
              <w:t>人须提供如下承诺：在服务项目完成后10个工作日内，积极配合采购方完成物资交接等相关工作。若未能按时完成交接任务，将被视为违约行为，投标人需向采购方支付中选价10%的违约金，并赔偿由此产生的其他损失。</w:t>
            </w:r>
          </w:p>
          <w:p w14:paraId="6CB9B4DB">
            <w:pPr>
              <w:keepNext w:val="0"/>
              <w:keepLines w:val="0"/>
              <w:widowControl/>
              <w:numPr>
                <w:ilvl w:val="0"/>
                <w:numId w:val="4"/>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eastAsia"/>
                <w:b/>
                <w:bCs/>
                <w:sz w:val="24"/>
                <w:szCs w:val="24"/>
                <w:lang w:eastAsia="zh-CN" w:bidi="ar"/>
              </w:rPr>
            </w:pPr>
            <w:r>
              <w:rPr>
                <w:rFonts w:ascii="仿宋" w:eastAsia="仿宋" w:hAnsi="仿宋" w:cs="仿宋" w:hint="eastAsia"/>
                <w:b/>
                <w:bCs/>
                <w:sz w:val="24"/>
                <w:szCs w:val="24"/>
                <w:lang w:eastAsia="zh-CN" w:bidi="ar"/>
              </w:rPr>
              <w:t xml:space="preserve">评分依据： </w:t>
            </w:r>
          </w:p>
          <w:p w14:paraId="2B53CBF0">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提供服务期满后的服务承诺函（格式自拟），按要求提供得</w:t>
            </w:r>
            <w:r>
              <w:rPr>
                <w:rFonts w:ascii="仿宋" w:eastAsia="仿宋" w:hAnsi="仿宋" w:cs="仿宋" w:hint="eastAsia"/>
                <w:sz w:val="24"/>
                <w:szCs w:val="24"/>
                <w:lang w:val="en-US" w:eastAsia="zh-CN" w:bidi="ar"/>
              </w:rPr>
              <w:t>3</w:t>
            </w:r>
            <w:r>
              <w:rPr>
                <w:rFonts w:ascii="仿宋" w:eastAsia="仿宋" w:hAnsi="仿宋" w:cs="仿宋" w:hint="eastAsia"/>
                <w:sz w:val="24"/>
                <w:szCs w:val="24"/>
                <w:lang w:eastAsia="zh-CN" w:bidi="ar"/>
              </w:rPr>
              <w:t>分；未按要求提供或提供不清晰导致专家无法判断的不得分。</w:t>
            </w:r>
          </w:p>
        </w:tc>
      </w:tr>
      <w:tr w14:paraId="1C519395">
        <w:tblPrEx>
          <w:tblW w:w="5000" w:type="pct"/>
          <w:jc w:val="center"/>
          <w:tblLayout w:type="fixed"/>
          <w:tblCellMar>
            <w:top w:w="20" w:type="dxa"/>
            <w:left w:w="108" w:type="dxa"/>
            <w:bottom w:w="20" w:type="dxa"/>
            <w:right w:w="108" w:type="dxa"/>
          </w:tblCellMar>
        </w:tblPrEx>
        <w:trPr>
          <w:jc w:val="center"/>
        </w:trPr>
        <w:tc>
          <w:tcPr>
            <w:tcW w:w="742" w:type="dxa"/>
            <w:vMerge/>
            <w:tcBorders>
              <w:top w:val="single" w:sz="8" w:space="0" w:color="000000"/>
              <w:left w:val="single" w:sz="8" w:space="0" w:color="000000"/>
              <w:bottom w:val="single" w:sz="8" w:space="0" w:color="000000"/>
              <w:right w:val="single" w:sz="8" w:space="0" w:color="000000"/>
            </w:tcBorders>
            <w:noWrap w:val="0"/>
            <w:vAlign w:val="center"/>
          </w:tcPr>
          <w:p w14:paraId="745B3422">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64E06611">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5</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4D0EC370">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违约承诺</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4BF22572">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735D0F9C">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0FC423C">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62188E4E">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16EA00DC">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016B3397">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val="en-US" w:eastAsia="zh-CN" w:bidi="ar"/>
              </w:rPr>
              <w:t>3</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26B2A0EE">
            <w:pPr>
              <w:keepNext w:val="0"/>
              <w:keepLines w:val="0"/>
              <w:widowControl/>
              <w:numPr>
                <w:ilvl w:val="0"/>
                <w:numId w:val="5"/>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b/>
                <w:bCs/>
                <w:sz w:val="24"/>
                <w:szCs w:val="24"/>
                <w:lang w:eastAsia="zh-CN" w:bidi="ar"/>
              </w:rPr>
              <w:t>评分内容：</w:t>
            </w:r>
            <w:r>
              <w:rPr>
                <w:rFonts w:ascii="仿宋" w:eastAsia="仿宋" w:hAnsi="仿宋" w:cs="仿宋" w:hint="eastAsia"/>
                <w:sz w:val="24"/>
                <w:szCs w:val="24"/>
                <w:lang w:eastAsia="zh-CN" w:bidi="ar"/>
              </w:rPr>
              <w:t xml:space="preserve"> </w:t>
            </w:r>
          </w:p>
          <w:p w14:paraId="1D0A532E">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240" w:firstLineChars="100"/>
              <w:jc w:val="left"/>
              <w:textAlignment w:val="top"/>
              <w:rPr>
                <w:rFonts w:ascii="仿宋" w:eastAsia="仿宋" w:hAnsi="仿宋" w:cs="仿宋" w:hint="eastAsia"/>
                <w:sz w:val="24"/>
                <w:szCs w:val="24"/>
                <w:lang w:eastAsia="zh-CN"/>
              </w:rPr>
            </w:pPr>
            <w:r>
              <w:rPr>
                <w:rFonts w:ascii="仿宋" w:eastAsia="仿宋" w:hAnsi="仿宋" w:cs="仿宋" w:hint="eastAsia"/>
                <w:sz w:val="24"/>
                <w:szCs w:val="24"/>
                <w:lang w:eastAsia="zh-CN" w:bidi="ar"/>
              </w:rPr>
              <w:t>投标</w:t>
            </w:r>
            <w:r>
              <w:rPr>
                <w:rFonts w:ascii="仿宋" w:eastAsia="仿宋" w:hAnsi="仿宋" w:cs="仿宋" w:hint="eastAsia"/>
                <w:sz w:val="24"/>
                <w:szCs w:val="24"/>
                <w:lang w:val="en-US" w:eastAsia="zh-CN" w:bidi="ar"/>
              </w:rPr>
              <w:t>人须提供如下承诺：自合同签订之日起7个工作日内，须按时启动合同约定的各项服务，包括人员配置、服务方案等相关工作。若未能按期开展，将被视为根本性违约，采购方有权立即解除与其签订的采购合同，并依照招标结果依次递延至其他候选供应商。此外，投标人还需向采购方支付中选金额5%的违约金，并赔偿由此产生的其他损失。</w:t>
            </w:r>
          </w:p>
          <w:p w14:paraId="1717F29C">
            <w:pPr>
              <w:keepNext w:val="0"/>
              <w:keepLines w:val="0"/>
              <w:widowControl/>
              <w:numPr>
                <w:ilvl w:val="0"/>
                <w:numId w:val="5"/>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评分依据：</w:t>
            </w:r>
          </w:p>
          <w:p w14:paraId="1CAE8DAB">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240" w:leftChars="0" w:firstLineChars="100"/>
              <w:jc w:val="left"/>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提供违约承诺函（格式自拟），按要求提供得</w:t>
            </w:r>
            <w:r>
              <w:rPr>
                <w:rFonts w:ascii="仿宋" w:eastAsia="仿宋" w:hAnsi="仿宋" w:cs="仿宋" w:hint="eastAsia"/>
                <w:sz w:val="24"/>
                <w:szCs w:val="24"/>
                <w:lang w:val="en-US" w:eastAsia="zh-CN" w:bidi="ar"/>
              </w:rPr>
              <w:t>3</w:t>
            </w:r>
            <w:r>
              <w:rPr>
                <w:rFonts w:ascii="仿宋" w:eastAsia="仿宋" w:hAnsi="仿宋" w:cs="仿宋" w:hint="eastAsia"/>
                <w:sz w:val="24"/>
                <w:szCs w:val="24"/>
                <w:lang w:eastAsia="zh-CN" w:bidi="ar"/>
              </w:rPr>
              <w:t xml:space="preserve">分。 未按要求提供或提供不清晰导致专家无法判断的不得分 </w:t>
            </w:r>
          </w:p>
        </w:tc>
      </w:tr>
      <w:tr w14:paraId="25132153">
        <w:tblPrEx>
          <w:tblW w:w="5000" w:type="pct"/>
          <w:jc w:val="center"/>
          <w:tblLayout w:type="fixed"/>
          <w:tblCellMar>
            <w:top w:w="20" w:type="dxa"/>
            <w:left w:w="108" w:type="dxa"/>
            <w:bottom w:w="20" w:type="dxa"/>
            <w:right w:w="108" w:type="dxa"/>
          </w:tblCellMar>
        </w:tblPrEx>
        <w:trPr>
          <w:jc w:val="center"/>
        </w:trPr>
        <w:tc>
          <w:tcPr>
            <w:tcW w:w="742" w:type="dxa"/>
            <w:vMerge/>
            <w:tcBorders>
              <w:top w:val="single" w:sz="8" w:space="0" w:color="000000"/>
              <w:left w:val="single" w:sz="8" w:space="0" w:color="000000"/>
              <w:bottom w:val="single" w:sz="8" w:space="0" w:color="000000"/>
              <w:right w:val="single" w:sz="8" w:space="0" w:color="000000"/>
            </w:tcBorders>
            <w:noWrap w:val="0"/>
            <w:vAlign w:val="center"/>
          </w:tcPr>
          <w:p w14:paraId="2DC00B8E">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217CA25F">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6</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467D92C2">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项目负责人情况（仅限1人）</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124B07B7">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9794CC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191F524C">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07961371">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4531815A">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68E3A5B5">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C01B7CA">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A59FA4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8E2A74B">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216E9A4F">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7CA3258D">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1C89B238">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36E3B0B1">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12153F94">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4E47869F">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7E195309">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014E1E41">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9</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385BE39D">
            <w:pPr>
              <w:keepNext w:val="0"/>
              <w:keepLines w:val="0"/>
              <w:widowControl/>
              <w:numPr>
                <w:ilvl w:val="0"/>
                <w:numId w:val="6"/>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b/>
                <w:bCs/>
                <w:sz w:val="24"/>
                <w:szCs w:val="24"/>
                <w:lang w:eastAsia="zh-CN" w:bidi="ar"/>
              </w:rPr>
            </w:pPr>
            <w:r>
              <w:rPr>
                <w:rFonts w:ascii="仿宋" w:eastAsia="仿宋" w:hAnsi="仿宋" w:cs="仿宋" w:hint="eastAsia"/>
                <w:b/>
                <w:bCs/>
                <w:sz w:val="24"/>
                <w:szCs w:val="24"/>
                <w:lang w:eastAsia="zh-CN" w:bidi="ar"/>
              </w:rPr>
              <w:t xml:space="preserve">评分内容： </w:t>
            </w:r>
          </w:p>
          <w:p w14:paraId="1FFB1A49">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240" w:firstLineChars="10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拟投入本项目的</w:t>
            </w:r>
            <w:r>
              <w:rPr>
                <w:rFonts w:ascii="仿宋" w:eastAsia="仿宋" w:hAnsi="仿宋" w:cs="仿宋" w:hint="eastAsia"/>
                <w:sz w:val="24"/>
                <w:szCs w:val="24"/>
                <w:lang w:val="en-US" w:eastAsia="zh-CN" w:bidi="ar"/>
              </w:rPr>
              <w:t>项目负责人</w:t>
            </w:r>
            <w:r>
              <w:rPr>
                <w:rFonts w:ascii="仿宋" w:eastAsia="仿宋" w:hAnsi="仿宋" w:cs="仿宋" w:hint="eastAsia"/>
                <w:sz w:val="24"/>
                <w:szCs w:val="24"/>
                <w:lang w:eastAsia="zh-CN" w:bidi="ar"/>
              </w:rPr>
              <w:t xml:space="preserve">必须为投标人正式聘用的员工，项目负责人在具有本科或以上学历证书的基础上进行如下评分： </w:t>
            </w:r>
          </w:p>
          <w:p w14:paraId="6113B134">
            <w:pPr>
              <w:widowControl w:val="0"/>
              <w:numPr>
                <w:ilvl w:val="0"/>
                <w:numId w:val="0"/>
              </w:numPr>
              <w:spacing w:line="240" w:lineRule="auto"/>
              <w:jc w:val="left"/>
              <w:rPr>
                <w:rFonts w:ascii="仿宋" w:eastAsia="仿宋" w:hAnsi="仿宋" w:cs="仿宋" w:hint="eastAsia"/>
                <w:sz w:val="24"/>
                <w:szCs w:val="24"/>
                <w:lang w:eastAsia="zh-CN" w:bidi="ar"/>
              </w:rPr>
            </w:pPr>
            <w:r>
              <w:rPr>
                <w:rFonts w:ascii="仿宋" w:eastAsia="仿宋" w:hAnsi="仿宋" w:cs="仿宋" w:hint="eastAsia"/>
                <w:sz w:val="24"/>
                <w:szCs w:val="24"/>
                <w:lang w:val="en-US" w:eastAsia="zh-CN" w:bidi="ar"/>
              </w:rPr>
              <w:t>1.</w:t>
            </w:r>
            <w:r>
              <w:rPr>
                <w:rFonts w:ascii="仿宋" w:eastAsia="仿宋" w:hAnsi="仿宋" w:cs="仿宋" w:hint="eastAsia"/>
                <w:sz w:val="24"/>
                <w:szCs w:val="24"/>
                <w:lang w:eastAsia="zh-CN" w:bidi="ar"/>
              </w:rPr>
              <w:t>具有行政机关或事业单位或人社部门备案的第三方组织颁发的中式烹调师</w:t>
            </w:r>
            <w:r>
              <w:rPr>
                <w:rFonts w:ascii="仿宋" w:eastAsia="仿宋" w:hAnsi="仿宋" w:cs="仿宋" w:hint="eastAsia"/>
                <w:sz w:val="24"/>
                <w:szCs w:val="24"/>
                <w:lang w:val="en-US" w:eastAsia="zh-CN" w:bidi="ar"/>
              </w:rPr>
              <w:t>职业资格证书或</w:t>
            </w:r>
            <w:r>
              <w:rPr>
                <w:rFonts w:ascii="仿宋" w:eastAsia="仿宋" w:hAnsi="仿宋" w:cs="仿宋" w:hint="eastAsia"/>
                <w:sz w:val="24"/>
                <w:szCs w:val="24"/>
                <w:lang w:val="zh-CN" w:eastAsia="zh-CN" w:bidi="ar"/>
              </w:rPr>
              <w:t>职业技能等级证书，一级/高级技师</w:t>
            </w:r>
            <w:r>
              <w:rPr>
                <w:rFonts w:ascii="仿宋" w:eastAsia="仿宋" w:hAnsi="仿宋" w:cs="仿宋" w:hint="eastAsia"/>
                <w:sz w:val="24"/>
                <w:szCs w:val="24"/>
                <w:lang w:eastAsia="zh-CN" w:bidi="ar"/>
              </w:rPr>
              <w:t>得</w:t>
            </w:r>
            <w:r>
              <w:rPr>
                <w:rFonts w:ascii="仿宋" w:eastAsia="仿宋" w:hAnsi="仿宋" w:cs="仿宋" w:hint="eastAsia"/>
                <w:sz w:val="24"/>
                <w:szCs w:val="24"/>
                <w:lang w:val="en-US" w:eastAsia="zh-CN" w:bidi="ar"/>
              </w:rPr>
              <w:t>3</w:t>
            </w:r>
            <w:r>
              <w:rPr>
                <w:rFonts w:ascii="仿宋" w:eastAsia="仿宋" w:hAnsi="仿宋" w:cs="仿宋" w:hint="eastAsia"/>
                <w:sz w:val="24"/>
                <w:szCs w:val="24"/>
                <w:lang w:eastAsia="zh-CN" w:bidi="ar"/>
              </w:rPr>
              <w:t>分，</w:t>
            </w:r>
            <w:r>
              <w:rPr>
                <w:rFonts w:ascii="仿宋" w:eastAsia="仿宋" w:hAnsi="仿宋" w:cs="仿宋" w:hint="eastAsia"/>
                <w:sz w:val="24"/>
                <w:szCs w:val="24"/>
                <w:lang w:val="zh-CN" w:eastAsia="zh-CN" w:bidi="ar"/>
              </w:rPr>
              <w:t>二级/技师</w:t>
            </w:r>
            <w:r>
              <w:rPr>
                <w:rFonts w:ascii="仿宋" w:eastAsia="仿宋" w:hAnsi="仿宋" w:cs="仿宋" w:hint="eastAsia"/>
                <w:sz w:val="24"/>
                <w:szCs w:val="24"/>
                <w:lang w:eastAsia="zh-CN" w:bidi="ar"/>
              </w:rPr>
              <w:t>得</w:t>
            </w:r>
            <w:r>
              <w:rPr>
                <w:rFonts w:ascii="仿宋" w:eastAsia="仿宋" w:hAnsi="仿宋" w:cs="仿宋" w:hint="eastAsia"/>
                <w:sz w:val="24"/>
                <w:szCs w:val="24"/>
                <w:lang w:val="en-US" w:eastAsia="zh-CN" w:bidi="ar"/>
              </w:rPr>
              <w:t>1.5</w:t>
            </w:r>
            <w:r>
              <w:rPr>
                <w:rFonts w:ascii="仿宋" w:eastAsia="仿宋" w:hAnsi="仿宋" w:cs="仿宋" w:hint="eastAsia"/>
                <w:sz w:val="24"/>
                <w:szCs w:val="24"/>
                <w:lang w:eastAsia="zh-CN" w:bidi="ar"/>
              </w:rPr>
              <w:t>分，</w:t>
            </w:r>
            <w:r>
              <w:rPr>
                <w:rFonts w:ascii="仿宋" w:eastAsia="仿宋" w:hAnsi="仿宋" w:cs="仿宋" w:hint="eastAsia"/>
                <w:sz w:val="24"/>
                <w:szCs w:val="24"/>
                <w:lang w:val="zh-CN" w:eastAsia="zh-CN" w:bidi="ar"/>
              </w:rPr>
              <w:t>三级/高级</w:t>
            </w:r>
            <w:r>
              <w:rPr>
                <w:rFonts w:ascii="仿宋" w:eastAsia="仿宋" w:hAnsi="仿宋" w:cs="仿宋" w:hint="eastAsia"/>
                <w:sz w:val="24"/>
                <w:szCs w:val="24"/>
                <w:lang w:eastAsia="zh-CN" w:bidi="ar"/>
              </w:rPr>
              <w:t>得</w:t>
            </w:r>
            <w:r>
              <w:rPr>
                <w:rFonts w:ascii="仿宋" w:eastAsia="仿宋" w:hAnsi="仿宋" w:cs="仿宋" w:hint="eastAsia"/>
                <w:sz w:val="24"/>
                <w:szCs w:val="24"/>
                <w:lang w:val="en-US" w:eastAsia="zh-CN" w:bidi="ar"/>
              </w:rPr>
              <w:t>1分，</w:t>
            </w:r>
            <w:r>
              <w:rPr>
                <w:rFonts w:ascii="仿宋" w:eastAsia="仿宋" w:hAnsi="仿宋" w:cs="仿宋" w:hint="eastAsia"/>
                <w:sz w:val="24"/>
                <w:szCs w:val="24"/>
                <w:lang w:eastAsia="zh-CN" w:bidi="ar"/>
              </w:rPr>
              <w:t>本小项最高得</w:t>
            </w:r>
            <w:r>
              <w:rPr>
                <w:rFonts w:ascii="仿宋" w:eastAsia="仿宋" w:hAnsi="仿宋" w:cs="仿宋" w:hint="eastAsia"/>
                <w:sz w:val="24"/>
                <w:szCs w:val="24"/>
                <w:lang w:val="en-US" w:eastAsia="zh-CN" w:bidi="ar"/>
              </w:rPr>
              <w:t>3</w:t>
            </w:r>
            <w:r>
              <w:rPr>
                <w:rFonts w:ascii="仿宋" w:eastAsia="仿宋" w:hAnsi="仿宋" w:cs="仿宋" w:hint="eastAsia"/>
                <w:sz w:val="24"/>
                <w:szCs w:val="24"/>
                <w:lang w:eastAsia="zh-CN" w:bidi="ar"/>
              </w:rPr>
              <w:t>分；</w:t>
            </w:r>
          </w:p>
          <w:p w14:paraId="4E2D5450">
            <w:pPr>
              <w:widowControl w:val="0"/>
              <w:spacing w:line="240" w:lineRule="auto"/>
              <w:jc w:val="left"/>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2.具有行政机关或事业单位或人社部门备案的第三方组织颁发的中式面点师三级</w:t>
            </w:r>
            <w:r>
              <w:rPr>
                <w:rFonts w:ascii="仿宋" w:eastAsia="仿宋" w:hAnsi="仿宋" w:cs="仿宋" w:hint="eastAsia"/>
                <w:sz w:val="24"/>
                <w:szCs w:val="24"/>
                <w:lang w:val="en-US" w:eastAsia="zh-CN" w:bidi="ar"/>
              </w:rPr>
              <w:t>/高级</w:t>
            </w:r>
            <w:r>
              <w:rPr>
                <w:rFonts w:ascii="仿宋" w:eastAsia="仿宋" w:hAnsi="仿宋" w:cs="仿宋" w:hint="eastAsia"/>
                <w:sz w:val="24"/>
                <w:szCs w:val="24"/>
                <w:lang w:eastAsia="zh-CN" w:bidi="ar"/>
              </w:rPr>
              <w:t>或以上证书，得</w:t>
            </w:r>
            <w:r>
              <w:rPr>
                <w:rFonts w:ascii="仿宋" w:eastAsia="仿宋" w:hAnsi="仿宋" w:cs="仿宋" w:hint="eastAsia"/>
                <w:sz w:val="24"/>
                <w:szCs w:val="24"/>
                <w:lang w:val="en-US" w:eastAsia="zh-CN" w:bidi="ar"/>
              </w:rPr>
              <w:t>2</w:t>
            </w:r>
            <w:r>
              <w:rPr>
                <w:rFonts w:ascii="仿宋" w:eastAsia="仿宋" w:hAnsi="仿宋" w:cs="仿宋" w:hint="eastAsia"/>
                <w:sz w:val="24"/>
                <w:szCs w:val="24"/>
                <w:lang w:eastAsia="zh-CN" w:bidi="ar"/>
              </w:rPr>
              <w:t>分；</w:t>
            </w:r>
          </w:p>
          <w:p w14:paraId="521C1750">
            <w:pPr>
              <w:widowControl w:val="0"/>
              <w:spacing w:line="240" w:lineRule="auto"/>
              <w:jc w:val="left"/>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3.具有行政机关或事业单位或人社部门备案的第三方组织颁发的西式面点师五级或以上证书，得</w:t>
            </w:r>
            <w:r>
              <w:rPr>
                <w:rFonts w:ascii="仿宋" w:eastAsia="仿宋" w:hAnsi="仿宋" w:cs="仿宋" w:hint="eastAsia"/>
                <w:sz w:val="24"/>
                <w:szCs w:val="24"/>
                <w:lang w:val="en-US" w:eastAsia="zh-CN" w:bidi="ar"/>
              </w:rPr>
              <w:t>2</w:t>
            </w:r>
            <w:r>
              <w:rPr>
                <w:rFonts w:ascii="仿宋" w:eastAsia="仿宋" w:hAnsi="仿宋" w:cs="仿宋" w:hint="eastAsia"/>
                <w:sz w:val="24"/>
                <w:szCs w:val="24"/>
                <w:lang w:eastAsia="zh-CN" w:bidi="ar"/>
              </w:rPr>
              <w:t>分；</w:t>
            </w:r>
          </w:p>
          <w:p w14:paraId="25ED130D">
            <w:pPr>
              <w:widowControl w:val="0"/>
              <w:spacing w:line="240" w:lineRule="auto"/>
              <w:jc w:val="left"/>
              <w:rPr>
                <w:rFonts w:ascii="仿宋" w:eastAsia="仿宋" w:hAnsi="仿宋" w:cs="仿宋" w:hint="eastAsia"/>
                <w:sz w:val="24"/>
                <w:szCs w:val="24"/>
                <w:lang w:eastAsia="zh-CN" w:bidi="ar"/>
              </w:rPr>
            </w:pPr>
            <w:r>
              <w:rPr>
                <w:rFonts w:ascii="仿宋" w:eastAsia="仿宋" w:hAnsi="仿宋" w:cs="仿宋" w:hint="eastAsia"/>
                <w:sz w:val="24"/>
                <w:szCs w:val="24"/>
                <w:lang w:val="en-US" w:eastAsia="zh-CN" w:bidi="ar"/>
              </w:rPr>
              <w:t>4.</w:t>
            </w:r>
            <w:r>
              <w:rPr>
                <w:rFonts w:ascii="仿宋" w:eastAsia="仿宋" w:hAnsi="仿宋" w:cs="仿宋" w:hint="eastAsia"/>
                <w:sz w:val="24"/>
                <w:szCs w:val="24"/>
                <w:lang w:eastAsia="zh-CN" w:bidi="ar"/>
              </w:rPr>
              <w:t>具有行政机关或事业单位或人社部门备案的第三方组织颁发的健康管理师三级或以上证书，得</w:t>
            </w:r>
            <w:r>
              <w:rPr>
                <w:rFonts w:ascii="仿宋" w:eastAsia="仿宋" w:hAnsi="仿宋" w:cs="仿宋" w:hint="eastAsia"/>
                <w:sz w:val="24"/>
                <w:szCs w:val="24"/>
                <w:lang w:val="en-US" w:eastAsia="zh-CN" w:bidi="ar"/>
              </w:rPr>
              <w:t>2</w:t>
            </w:r>
            <w:r>
              <w:rPr>
                <w:rFonts w:ascii="仿宋" w:eastAsia="仿宋" w:hAnsi="仿宋" w:cs="仿宋" w:hint="eastAsia"/>
                <w:sz w:val="24"/>
                <w:szCs w:val="24"/>
                <w:lang w:eastAsia="zh-CN" w:bidi="ar"/>
              </w:rPr>
              <w:t>分；</w:t>
            </w:r>
          </w:p>
          <w:p w14:paraId="2FC52302">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以上</w:t>
            </w:r>
            <w:r>
              <w:rPr>
                <w:rFonts w:ascii="仿宋" w:eastAsia="仿宋" w:hAnsi="仿宋" w:cs="仿宋" w:hint="eastAsia"/>
                <w:sz w:val="24"/>
                <w:szCs w:val="24"/>
                <w:lang w:val="en-US" w:eastAsia="zh-CN" w:bidi="ar"/>
              </w:rPr>
              <w:t>累计得分，</w:t>
            </w:r>
            <w:r>
              <w:rPr>
                <w:rFonts w:ascii="仿宋" w:eastAsia="仿宋" w:hAnsi="仿宋" w:cs="仿宋" w:hint="eastAsia"/>
                <w:sz w:val="24"/>
                <w:szCs w:val="24"/>
                <w:lang w:eastAsia="zh-CN" w:bidi="ar"/>
              </w:rPr>
              <w:t>最高得</w:t>
            </w:r>
            <w:r>
              <w:rPr>
                <w:rFonts w:ascii="仿宋" w:eastAsia="仿宋" w:hAnsi="仿宋" w:cs="仿宋" w:hint="eastAsia"/>
                <w:sz w:val="24"/>
                <w:szCs w:val="24"/>
                <w:lang w:val="en-US" w:eastAsia="zh-CN" w:bidi="ar"/>
              </w:rPr>
              <w:t>9</w:t>
            </w:r>
            <w:r>
              <w:rPr>
                <w:rFonts w:ascii="仿宋" w:eastAsia="仿宋" w:hAnsi="仿宋" w:cs="仿宋" w:hint="eastAsia"/>
                <w:sz w:val="24"/>
                <w:szCs w:val="24"/>
                <w:lang w:eastAsia="zh-CN" w:bidi="ar"/>
              </w:rPr>
              <w:t>分。</w:t>
            </w:r>
          </w:p>
          <w:p w14:paraId="2BF7C7F7">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Chars="0"/>
              <w:jc w:val="left"/>
              <w:textAlignment w:val="top"/>
              <w:rPr>
                <w:rFonts w:ascii="仿宋" w:eastAsia="仿宋" w:hAnsi="仿宋" w:cs="仿宋" w:hint="eastAsia"/>
                <w:sz w:val="24"/>
                <w:szCs w:val="24"/>
                <w:lang w:eastAsia="zh-CN" w:bidi="ar"/>
              </w:rPr>
            </w:pPr>
            <w:r>
              <w:rPr>
                <w:rFonts w:ascii="仿宋" w:eastAsia="仿宋" w:hAnsi="仿宋" w:cs="仿宋" w:hint="eastAsia"/>
                <w:b/>
                <w:bCs/>
                <w:sz w:val="24"/>
                <w:szCs w:val="24"/>
                <w:lang w:eastAsia="zh-CN" w:bidi="ar"/>
              </w:rPr>
              <w:t>（</w:t>
            </w:r>
            <w:r>
              <w:rPr>
                <w:rFonts w:ascii="仿宋" w:eastAsia="仿宋" w:hAnsi="仿宋" w:cs="仿宋" w:hint="eastAsia"/>
                <w:b/>
                <w:bCs/>
                <w:sz w:val="24"/>
                <w:szCs w:val="24"/>
                <w:lang w:val="en-US" w:eastAsia="zh-CN" w:bidi="ar"/>
              </w:rPr>
              <w:t>二）</w:t>
            </w:r>
            <w:r>
              <w:rPr>
                <w:rFonts w:ascii="仿宋" w:eastAsia="仿宋" w:hAnsi="仿宋" w:cs="仿宋" w:hint="eastAsia"/>
                <w:b/>
                <w:bCs/>
                <w:sz w:val="24"/>
                <w:szCs w:val="24"/>
                <w:lang w:eastAsia="zh-CN" w:bidi="ar"/>
              </w:rPr>
              <w:t>评分依据：</w:t>
            </w:r>
            <w:r>
              <w:rPr>
                <w:rFonts w:ascii="仿宋" w:eastAsia="仿宋" w:hAnsi="仿宋" w:cs="仿宋" w:hint="eastAsia"/>
                <w:sz w:val="24"/>
                <w:szCs w:val="24"/>
                <w:lang w:eastAsia="zh-CN" w:bidi="ar"/>
              </w:rPr>
              <w:t xml:space="preserve"> </w:t>
            </w:r>
          </w:p>
          <w:p w14:paraId="10354126">
            <w:pPr>
              <w:keepNext w:val="0"/>
              <w:keepLines w:val="0"/>
              <w:widowControl/>
              <w:numPr>
                <w:ilvl w:val="0"/>
                <w:numId w:val="7"/>
              </w:numPr>
              <w:suppressLineNumbers w:val="0"/>
              <w:pBdr>
                <w:top w:val="none" w:sz="0" w:space="0" w:color="auto"/>
                <w:left w:val="none" w:sz="0" w:space="0" w:color="auto"/>
                <w:bottom w:val="none" w:sz="0" w:space="0" w:color="auto"/>
                <w:right w:val="none" w:sz="0" w:space="0" w:color="auto"/>
              </w:pBdr>
              <w:wordWrap w:val="0"/>
              <w:spacing w:line="240" w:lineRule="auto"/>
              <w:ind w:leftChars="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项目负责人必须为响应供应商自有员工，开标日前由响应供应商为其缴交的载有社保部门公章的</w:t>
            </w:r>
            <w:r>
              <w:rPr>
                <w:rFonts w:ascii="仿宋" w:eastAsia="仿宋" w:hAnsi="仿宋" w:cs="仿宋" w:hint="eastAsia"/>
                <w:sz w:val="24"/>
                <w:szCs w:val="24"/>
                <w:lang w:val="en-US" w:eastAsia="zh-CN" w:bidi="ar"/>
              </w:rPr>
              <w:t>近1个月的</w:t>
            </w:r>
            <w:r>
              <w:rPr>
                <w:rFonts w:ascii="仿宋" w:eastAsia="仿宋" w:hAnsi="仿宋" w:cs="仿宋" w:hint="eastAsia"/>
                <w:sz w:val="24"/>
                <w:szCs w:val="24"/>
                <w:lang w:eastAsia="zh-CN" w:bidi="ar"/>
              </w:rPr>
              <w:t xml:space="preserve">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w:t>
            </w:r>
          </w:p>
          <w:p w14:paraId="76C9195A">
            <w:pPr>
              <w:keepNext w:val="0"/>
              <w:keepLines w:val="0"/>
              <w:widowControl/>
              <w:numPr>
                <w:ilvl w:val="0"/>
                <w:numId w:val="7"/>
              </w:numPr>
              <w:suppressLineNumbers w:val="0"/>
              <w:pBdr>
                <w:top w:val="none" w:sz="0" w:space="0" w:color="auto"/>
                <w:left w:val="none" w:sz="0" w:space="0" w:color="auto"/>
                <w:bottom w:val="none" w:sz="0" w:space="0" w:color="auto"/>
                <w:right w:val="none" w:sz="0" w:space="0" w:color="auto"/>
              </w:pBdr>
              <w:wordWrap w:val="0"/>
              <w:spacing w:line="240" w:lineRule="auto"/>
              <w:ind w:leftChars="0"/>
              <w:jc w:val="left"/>
              <w:textAlignment w:val="top"/>
              <w:rPr>
                <w:rFonts w:ascii="仿宋" w:eastAsia="仿宋" w:hAnsi="仿宋" w:cs="仿宋" w:hint="eastAsia"/>
                <w:sz w:val="24"/>
                <w:szCs w:val="24"/>
                <w:lang w:eastAsia="zh-CN" w:bidi="ar"/>
              </w:rPr>
            </w:pPr>
            <w:r>
              <w:rPr>
                <w:rFonts w:ascii="仿宋" w:eastAsia="仿宋" w:hAnsi="仿宋" w:cs="仿宋" w:hint="eastAsia"/>
                <w:b/>
                <w:bCs/>
                <w:kern w:val="2"/>
                <w:sz w:val="24"/>
                <w:szCs w:val="24"/>
                <w:lang w:eastAsia="zh-CN"/>
              </w:rPr>
              <w:t>涉及学历的</w:t>
            </w:r>
            <w:r>
              <w:rPr>
                <w:rFonts w:ascii="仿宋" w:eastAsia="仿宋" w:hAnsi="仿宋" w:cs="仿宋" w:hint="eastAsia"/>
                <w:kern w:val="2"/>
                <w:sz w:val="24"/>
                <w:szCs w:val="24"/>
                <w:lang w:eastAsia="zh-CN"/>
              </w:rPr>
              <w:t>，同时</w:t>
            </w:r>
            <w:r>
              <w:rPr>
                <w:rFonts w:ascii="仿宋" w:eastAsia="仿宋" w:hAnsi="仿宋" w:cs="仿宋" w:hint="eastAsia"/>
                <w:kern w:val="2"/>
                <w:sz w:val="24"/>
                <w:szCs w:val="24"/>
                <w:lang w:val="zh-CN" w:eastAsia="zh-CN"/>
              </w:rPr>
              <w:t>提供</w:t>
            </w:r>
            <w:r>
              <w:rPr>
                <w:rFonts w:ascii="仿宋" w:eastAsia="仿宋" w:hAnsi="仿宋" w:cs="仿宋" w:hint="eastAsia"/>
                <w:kern w:val="2"/>
                <w:sz w:val="24"/>
                <w:szCs w:val="24"/>
                <w:lang w:eastAsia="zh-CN"/>
              </w:rPr>
              <w:t>毕业证书扫描件和中国高等教育学生信息网（学信网https://www.chsi.com.cn）查询截图</w:t>
            </w:r>
            <w:r>
              <w:rPr>
                <w:rFonts w:ascii="仿宋" w:eastAsia="仿宋" w:hAnsi="仿宋" w:cs="仿宋" w:hint="eastAsia"/>
                <w:kern w:val="2"/>
                <w:sz w:val="24"/>
                <w:szCs w:val="24"/>
                <w:lang w:val="zh-CN" w:eastAsia="zh-CN"/>
              </w:rPr>
              <w:t>。对于较早颁发的</w:t>
            </w:r>
            <w:r>
              <w:rPr>
                <w:rFonts w:ascii="仿宋" w:eastAsia="仿宋" w:hAnsi="仿宋" w:cs="仿宋" w:hint="eastAsia"/>
                <w:kern w:val="2"/>
                <w:sz w:val="24"/>
                <w:szCs w:val="24"/>
                <w:lang w:val="en-US" w:eastAsia="zh-CN"/>
              </w:rPr>
              <w:t>毕业</w:t>
            </w:r>
            <w:r>
              <w:rPr>
                <w:rFonts w:ascii="仿宋" w:eastAsia="仿宋" w:hAnsi="仿宋" w:cs="仿宋" w:hint="eastAsia"/>
                <w:kern w:val="2"/>
                <w:sz w:val="24"/>
                <w:szCs w:val="24"/>
                <w:lang w:val="zh-CN" w:eastAsia="zh-CN"/>
              </w:rPr>
              <w:t>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w:t>
            </w:r>
            <w:r>
              <w:rPr>
                <w:rFonts w:ascii="仿宋" w:eastAsia="仿宋" w:hAnsi="仿宋" w:cs="仿宋" w:hint="eastAsia"/>
                <w:kern w:val="2"/>
                <w:sz w:val="24"/>
                <w:szCs w:val="24"/>
                <w:lang w:eastAsia="zh-CN"/>
              </w:rPr>
              <w:t>。</w:t>
            </w:r>
          </w:p>
          <w:p w14:paraId="55F60944">
            <w:pPr>
              <w:keepNext w:val="0"/>
              <w:keepLines w:val="0"/>
              <w:widowControl/>
              <w:numPr>
                <w:ilvl w:val="0"/>
                <w:numId w:val="7"/>
              </w:numPr>
              <w:suppressLineNumbers w:val="0"/>
              <w:pBdr>
                <w:top w:val="none" w:sz="0" w:space="0" w:color="auto"/>
                <w:left w:val="none" w:sz="0" w:space="0" w:color="auto"/>
                <w:bottom w:val="none" w:sz="0" w:space="0" w:color="auto"/>
                <w:right w:val="none" w:sz="0" w:space="0" w:color="auto"/>
              </w:pBdr>
              <w:wordWrap w:val="0"/>
              <w:spacing w:line="240" w:lineRule="auto"/>
              <w:ind w:leftChars="0"/>
              <w:jc w:val="left"/>
              <w:textAlignment w:val="top"/>
              <w:rPr>
                <w:rFonts w:ascii="仿宋" w:eastAsia="仿宋" w:hAnsi="仿宋" w:cs="仿宋" w:hint="eastAsia"/>
                <w:sz w:val="24"/>
                <w:szCs w:val="24"/>
                <w:lang w:eastAsia="zh-CN" w:bidi="ar"/>
              </w:rPr>
            </w:pPr>
            <w:r>
              <w:rPr>
                <w:rFonts w:ascii="仿宋" w:eastAsia="仿宋" w:hAnsi="仿宋" w:cs="仿宋" w:hint="eastAsia"/>
                <w:b/>
                <w:bCs/>
                <w:sz w:val="24"/>
                <w:szCs w:val="24"/>
                <w:lang w:eastAsia="zh-CN" w:bidi="ar"/>
              </w:rPr>
              <w:t>涉及证书的，</w:t>
            </w:r>
            <w:r>
              <w:rPr>
                <w:rFonts w:ascii="仿宋" w:eastAsia="仿宋" w:hAnsi="仿宋" w:cs="仿宋" w:hint="eastAsia"/>
                <w:sz w:val="24"/>
                <w:szCs w:val="24"/>
                <w:lang w:eastAsia="zh-CN" w:bidi="ar"/>
              </w:rPr>
              <w:t xml:space="preserve">提供相关人员有效证书扫描件及证书官网查询截图，若为人社部门颁发的职业资格证书，同时提供证书扫描件及技能人才评价证书全国联网查询截图（http://zscx.osta.org.cn/）；若为经人社部门备案的第三方社会评价组织颁发的证书，需同时提供证书扫描件及技能人才评价证书全国联网查询截图（http://zscx.osta.org.cn/），如已获得职业资格证书或职业技能等级证书，但尚未能在技能人才评价证书全国联网查询的，需提供发证机构在人社部备案的查询截图(http://pjjg.osta.org.cn/) 及发证机构开具加盖公章的证明文件。 </w:t>
            </w:r>
          </w:p>
          <w:p w14:paraId="0F9A026E">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default"/>
                <w:kern w:val="2"/>
                <w:sz w:val="24"/>
                <w:szCs w:val="24"/>
                <w:lang w:val="en-US" w:eastAsia="zh-CN"/>
              </w:rPr>
            </w:pPr>
            <w:r>
              <w:rPr>
                <w:rFonts w:ascii="仿宋" w:eastAsia="仿宋" w:hAnsi="仿宋" w:cs="仿宋" w:hint="eastAsia"/>
                <w:sz w:val="24"/>
                <w:szCs w:val="24"/>
                <w:lang w:val="en-US" w:eastAsia="zh-CN" w:bidi="ar"/>
              </w:rPr>
              <w:t>4.</w:t>
            </w:r>
            <w:r>
              <w:rPr>
                <w:rFonts w:ascii="仿宋" w:eastAsia="仿宋" w:hAnsi="仿宋" w:cs="仿宋" w:hint="eastAsia"/>
                <w:sz w:val="24"/>
                <w:szCs w:val="24"/>
                <w:lang w:eastAsia="zh-CN" w:bidi="ar"/>
              </w:rPr>
              <w:t>未按要求提供或提供不清晰导致专家无法判断的不得分。</w:t>
            </w:r>
          </w:p>
        </w:tc>
      </w:tr>
      <w:tr w14:paraId="3667027D">
        <w:tblPrEx>
          <w:tblW w:w="5000" w:type="pct"/>
          <w:jc w:val="center"/>
          <w:tblLayout w:type="fixed"/>
          <w:tblCellMar>
            <w:top w:w="20" w:type="dxa"/>
            <w:left w:w="108" w:type="dxa"/>
            <w:bottom w:w="20" w:type="dxa"/>
            <w:right w:w="108" w:type="dxa"/>
          </w:tblCellMar>
        </w:tblPrEx>
        <w:trPr>
          <w:jc w:val="center"/>
        </w:trPr>
        <w:tc>
          <w:tcPr>
            <w:tcW w:w="742" w:type="dxa"/>
            <w:vMerge/>
            <w:tcBorders>
              <w:top w:val="single" w:sz="8" w:space="0" w:color="000000"/>
              <w:left w:val="single" w:sz="8" w:space="0" w:color="000000"/>
              <w:bottom w:val="single" w:sz="8" w:space="0" w:color="000000"/>
              <w:right w:val="single" w:sz="8" w:space="0" w:color="000000"/>
            </w:tcBorders>
            <w:noWrap w:val="0"/>
            <w:vAlign w:val="center"/>
          </w:tcPr>
          <w:p w14:paraId="2C9BACCE">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0B83024F">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7</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4544C46D">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项目团队成员</w:t>
            </w:r>
          </w:p>
        </w:tc>
        <w:tc>
          <w:tcPr>
            <w:tcW w:w="575" w:type="dxa"/>
            <w:tcBorders>
              <w:top w:val="single" w:sz="8" w:space="0" w:color="000000"/>
              <w:left w:val="single" w:sz="8" w:space="0" w:color="000000"/>
              <w:bottom w:val="single" w:sz="8" w:space="0" w:color="000000"/>
              <w:right w:val="single" w:sz="8" w:space="0" w:color="000000"/>
            </w:tcBorders>
            <w:noWrap w:val="0"/>
            <w:vAlign w:val="center"/>
          </w:tcPr>
          <w:p w14:paraId="43C44BFF">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val="en-US" w:eastAsia="zh-CN"/>
              </w:rPr>
            </w:pPr>
            <w:r>
              <w:rPr>
                <w:rFonts w:ascii="仿宋" w:eastAsia="仿宋" w:hAnsi="仿宋" w:cs="仿宋" w:hint="eastAsia"/>
                <w:sz w:val="24"/>
                <w:szCs w:val="24"/>
                <w:lang w:val="en-US" w:eastAsia="zh-CN" w:bidi="ar"/>
              </w:rPr>
              <w:t>12</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5625B5F3">
            <w:pPr>
              <w:keepNext w:val="0"/>
              <w:keepLines w:val="0"/>
              <w:widowControl/>
              <w:numPr>
                <w:ilvl w:val="0"/>
                <w:numId w:val="8"/>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b/>
                <w:bCs/>
                <w:sz w:val="24"/>
                <w:szCs w:val="24"/>
                <w:lang w:eastAsia="zh-CN" w:bidi="ar"/>
              </w:rPr>
            </w:pPr>
            <w:r>
              <w:rPr>
                <w:rFonts w:ascii="仿宋" w:eastAsia="仿宋" w:hAnsi="仿宋" w:cs="仿宋" w:hint="eastAsia"/>
                <w:b/>
                <w:bCs/>
                <w:sz w:val="24"/>
                <w:szCs w:val="24"/>
                <w:lang w:eastAsia="zh-CN" w:bidi="ar"/>
              </w:rPr>
              <w:t xml:space="preserve">评分内容： </w:t>
            </w:r>
          </w:p>
          <w:p w14:paraId="6351B8CC">
            <w:pPr>
              <w:widowControl w:val="0"/>
              <w:numPr>
                <w:ilvl w:val="0"/>
                <w:numId w:val="0"/>
              </w:numPr>
              <w:spacing w:line="240" w:lineRule="auto"/>
              <w:jc w:val="left"/>
              <w:rPr>
                <w:rFonts w:ascii="仿宋" w:eastAsia="仿宋" w:hAnsi="仿宋" w:cs="仿宋" w:hint="eastAsia"/>
                <w:b w:val="0"/>
                <w:bCs w:val="0"/>
                <w:sz w:val="24"/>
                <w:szCs w:val="24"/>
                <w:lang w:eastAsia="zh-CN" w:bidi="ar"/>
              </w:rPr>
            </w:pPr>
            <w:r>
              <w:rPr>
                <w:rFonts w:ascii="仿宋" w:eastAsia="仿宋" w:hAnsi="仿宋" w:cs="仿宋" w:hint="eastAsia"/>
                <w:b/>
                <w:bCs/>
                <w:sz w:val="24"/>
                <w:szCs w:val="24"/>
                <w:lang w:val="en-US" w:eastAsia="zh-CN" w:bidi="ar"/>
              </w:rPr>
              <w:t>1.</w:t>
            </w:r>
            <w:r>
              <w:rPr>
                <w:rFonts w:ascii="仿宋" w:eastAsia="仿宋" w:hAnsi="仿宋" w:cs="仿宋" w:hint="eastAsia"/>
                <w:b/>
                <w:bCs/>
                <w:sz w:val="24"/>
                <w:szCs w:val="24"/>
                <w:lang w:eastAsia="zh-CN" w:bidi="ar"/>
              </w:rPr>
              <w:t>主厨1名：</w:t>
            </w:r>
            <w:r>
              <w:rPr>
                <w:rFonts w:ascii="仿宋" w:eastAsia="仿宋" w:hAnsi="仿宋" w:cs="仿宋" w:hint="eastAsia"/>
                <w:b w:val="0"/>
                <w:bCs w:val="0"/>
                <w:sz w:val="24"/>
                <w:szCs w:val="24"/>
                <w:lang w:eastAsia="zh-CN" w:bidi="ar"/>
              </w:rPr>
              <w:t>具有行政机关或事业单位或人社部门备案的第三方组织颁发的中式烹调师</w:t>
            </w:r>
            <w:r>
              <w:rPr>
                <w:rFonts w:ascii="仿宋" w:eastAsia="仿宋" w:hAnsi="仿宋" w:cs="仿宋" w:hint="eastAsia"/>
                <w:b w:val="0"/>
                <w:bCs w:val="0"/>
                <w:sz w:val="24"/>
                <w:szCs w:val="24"/>
                <w:lang w:val="en-US" w:eastAsia="zh-CN" w:bidi="ar"/>
              </w:rPr>
              <w:t>职业资格证书或</w:t>
            </w:r>
            <w:r>
              <w:rPr>
                <w:rFonts w:ascii="仿宋" w:eastAsia="仿宋" w:hAnsi="仿宋" w:cs="仿宋" w:hint="eastAsia"/>
                <w:b w:val="0"/>
                <w:bCs w:val="0"/>
                <w:sz w:val="24"/>
                <w:szCs w:val="24"/>
                <w:lang w:val="zh-CN" w:eastAsia="zh-CN" w:bidi="ar"/>
              </w:rPr>
              <w:t>职业技能等级证书，一级/高级技师</w:t>
            </w:r>
            <w:r>
              <w:rPr>
                <w:rFonts w:ascii="仿宋" w:eastAsia="仿宋" w:hAnsi="仿宋" w:cs="仿宋" w:hint="eastAsia"/>
                <w:b w:val="0"/>
                <w:bCs w:val="0"/>
                <w:sz w:val="24"/>
                <w:szCs w:val="24"/>
                <w:lang w:eastAsia="zh-CN" w:bidi="ar"/>
              </w:rPr>
              <w:t>得</w:t>
            </w:r>
            <w:r>
              <w:rPr>
                <w:rFonts w:ascii="仿宋" w:eastAsia="仿宋" w:hAnsi="仿宋" w:cs="仿宋" w:hint="eastAsia"/>
                <w:b w:val="0"/>
                <w:bCs w:val="0"/>
                <w:sz w:val="24"/>
                <w:szCs w:val="24"/>
                <w:lang w:val="en-US" w:eastAsia="zh-CN" w:bidi="ar"/>
              </w:rPr>
              <w:t>3</w:t>
            </w:r>
            <w:r>
              <w:rPr>
                <w:rFonts w:ascii="仿宋" w:eastAsia="仿宋" w:hAnsi="仿宋" w:cs="仿宋" w:hint="eastAsia"/>
                <w:b w:val="0"/>
                <w:bCs w:val="0"/>
                <w:sz w:val="24"/>
                <w:szCs w:val="24"/>
                <w:lang w:eastAsia="zh-CN" w:bidi="ar"/>
              </w:rPr>
              <w:t>分，</w:t>
            </w:r>
            <w:r>
              <w:rPr>
                <w:rFonts w:ascii="仿宋" w:eastAsia="仿宋" w:hAnsi="仿宋" w:cs="仿宋" w:hint="eastAsia"/>
                <w:b w:val="0"/>
                <w:bCs w:val="0"/>
                <w:sz w:val="24"/>
                <w:szCs w:val="24"/>
                <w:lang w:val="zh-CN" w:eastAsia="zh-CN" w:bidi="ar"/>
              </w:rPr>
              <w:t>二级/技师</w:t>
            </w:r>
            <w:r>
              <w:rPr>
                <w:rFonts w:ascii="仿宋" w:eastAsia="仿宋" w:hAnsi="仿宋" w:cs="仿宋" w:hint="eastAsia"/>
                <w:b w:val="0"/>
                <w:bCs w:val="0"/>
                <w:sz w:val="24"/>
                <w:szCs w:val="24"/>
                <w:lang w:eastAsia="zh-CN" w:bidi="ar"/>
              </w:rPr>
              <w:t>得</w:t>
            </w:r>
            <w:r>
              <w:rPr>
                <w:rFonts w:ascii="仿宋" w:eastAsia="仿宋" w:hAnsi="仿宋" w:cs="仿宋" w:hint="eastAsia"/>
                <w:b w:val="0"/>
                <w:bCs w:val="0"/>
                <w:sz w:val="24"/>
                <w:szCs w:val="24"/>
                <w:lang w:val="en-US" w:eastAsia="zh-CN" w:bidi="ar"/>
              </w:rPr>
              <w:t>1.5</w:t>
            </w:r>
            <w:r>
              <w:rPr>
                <w:rFonts w:ascii="仿宋" w:eastAsia="仿宋" w:hAnsi="仿宋" w:cs="仿宋" w:hint="eastAsia"/>
                <w:b w:val="0"/>
                <w:bCs w:val="0"/>
                <w:sz w:val="24"/>
                <w:szCs w:val="24"/>
                <w:lang w:eastAsia="zh-CN" w:bidi="ar"/>
              </w:rPr>
              <w:t>分，</w:t>
            </w:r>
            <w:r>
              <w:rPr>
                <w:rFonts w:ascii="仿宋" w:eastAsia="仿宋" w:hAnsi="仿宋" w:cs="仿宋" w:hint="eastAsia"/>
                <w:b w:val="0"/>
                <w:bCs w:val="0"/>
                <w:sz w:val="24"/>
                <w:szCs w:val="24"/>
                <w:lang w:val="zh-CN" w:eastAsia="zh-CN" w:bidi="ar"/>
              </w:rPr>
              <w:t>三级/高级</w:t>
            </w:r>
            <w:r>
              <w:rPr>
                <w:rFonts w:ascii="仿宋" w:eastAsia="仿宋" w:hAnsi="仿宋" w:cs="仿宋" w:hint="eastAsia"/>
                <w:b w:val="0"/>
                <w:bCs w:val="0"/>
                <w:sz w:val="24"/>
                <w:szCs w:val="24"/>
                <w:lang w:eastAsia="zh-CN" w:bidi="ar"/>
              </w:rPr>
              <w:t>得</w:t>
            </w:r>
            <w:r>
              <w:rPr>
                <w:rFonts w:ascii="仿宋" w:eastAsia="仿宋" w:hAnsi="仿宋" w:cs="仿宋" w:hint="eastAsia"/>
                <w:b w:val="0"/>
                <w:bCs w:val="0"/>
                <w:sz w:val="24"/>
                <w:szCs w:val="24"/>
                <w:lang w:val="en-US" w:eastAsia="zh-CN" w:bidi="ar"/>
              </w:rPr>
              <w:t>1分</w:t>
            </w:r>
            <w:r>
              <w:rPr>
                <w:rFonts w:ascii="仿宋" w:eastAsia="仿宋" w:hAnsi="仿宋" w:cs="仿宋" w:hint="eastAsia"/>
                <w:b w:val="0"/>
                <w:bCs w:val="0"/>
                <w:sz w:val="24"/>
                <w:szCs w:val="24"/>
                <w:lang w:eastAsia="zh-CN" w:bidi="ar"/>
              </w:rPr>
              <w:t>；</w:t>
            </w:r>
          </w:p>
          <w:p w14:paraId="494AA018">
            <w:pPr>
              <w:widowControl w:val="0"/>
              <w:numPr>
                <w:ilvl w:val="0"/>
                <w:numId w:val="0"/>
              </w:numPr>
              <w:spacing w:line="240" w:lineRule="auto"/>
              <w:jc w:val="left"/>
              <w:rPr>
                <w:rFonts w:ascii="仿宋" w:eastAsia="仿宋" w:hAnsi="仿宋" w:cs="仿宋" w:hint="eastAsia"/>
                <w:b w:val="0"/>
                <w:bCs w:val="0"/>
                <w:sz w:val="24"/>
                <w:szCs w:val="24"/>
                <w:lang w:val="en-US" w:eastAsia="zh-CN" w:bidi="ar"/>
              </w:rPr>
            </w:pPr>
            <w:r>
              <w:rPr>
                <w:rFonts w:ascii="仿宋" w:eastAsia="仿宋" w:hAnsi="仿宋" w:cs="仿宋" w:hint="eastAsia"/>
                <w:b/>
                <w:bCs/>
                <w:sz w:val="24"/>
                <w:szCs w:val="24"/>
                <w:lang w:val="en-US" w:eastAsia="zh-CN" w:bidi="ar"/>
              </w:rPr>
              <w:t>2.面点师1名：</w:t>
            </w:r>
            <w:r>
              <w:rPr>
                <w:rFonts w:ascii="仿宋" w:eastAsia="仿宋" w:hAnsi="仿宋" w:cs="仿宋" w:hint="eastAsia"/>
                <w:b w:val="0"/>
                <w:bCs w:val="0"/>
                <w:sz w:val="24"/>
                <w:szCs w:val="24"/>
                <w:lang w:val="en-US" w:eastAsia="zh-CN" w:bidi="ar"/>
              </w:rPr>
              <w:t>具有行政机关或事业单位或人社部门备案的第三方组织颁发的中式面点师三级/高级或以上职业资格证书或职业技能等级证书得2分；</w:t>
            </w:r>
          </w:p>
          <w:p w14:paraId="369B3F15">
            <w:pPr>
              <w:widowControl w:val="0"/>
              <w:numPr>
                <w:ilvl w:val="0"/>
                <w:numId w:val="0"/>
              </w:numPr>
              <w:spacing w:line="240" w:lineRule="auto"/>
              <w:jc w:val="left"/>
              <w:rPr>
                <w:rFonts w:ascii="仿宋" w:eastAsia="仿宋" w:hAnsi="仿宋" w:cs="仿宋" w:hint="eastAsia"/>
                <w:b/>
                <w:bCs/>
                <w:sz w:val="24"/>
                <w:szCs w:val="24"/>
                <w:lang w:eastAsia="zh-CN" w:bidi="ar"/>
              </w:rPr>
            </w:pPr>
            <w:r>
              <w:rPr>
                <w:rFonts w:ascii="仿宋" w:eastAsia="仿宋" w:hAnsi="仿宋" w:cs="仿宋" w:hint="eastAsia"/>
                <w:b/>
                <w:bCs/>
                <w:sz w:val="24"/>
                <w:szCs w:val="24"/>
                <w:lang w:val="en-US" w:eastAsia="zh-CN" w:bidi="ar"/>
              </w:rPr>
              <w:t>3</w:t>
            </w:r>
            <w:r>
              <w:rPr>
                <w:rFonts w:ascii="仿宋" w:eastAsia="仿宋" w:hAnsi="仿宋" w:cs="仿宋" w:hint="eastAsia"/>
                <w:b/>
                <w:bCs/>
                <w:sz w:val="24"/>
                <w:szCs w:val="24"/>
                <w:lang w:eastAsia="zh-CN" w:bidi="ar"/>
              </w:rPr>
              <w:t>.营养师1名：</w:t>
            </w:r>
          </w:p>
          <w:p w14:paraId="42F72D35">
            <w:pPr>
              <w:widowControl w:val="0"/>
              <w:numPr>
                <w:ilvl w:val="0"/>
                <w:numId w:val="0"/>
              </w:numPr>
              <w:spacing w:line="240" w:lineRule="auto"/>
              <w:jc w:val="left"/>
              <w:rPr>
                <w:rFonts w:ascii="仿宋" w:eastAsia="仿宋" w:hAnsi="仿宋" w:cs="仿宋" w:hint="eastAsia"/>
                <w:b w:val="0"/>
                <w:bCs w:val="0"/>
                <w:sz w:val="24"/>
                <w:szCs w:val="24"/>
                <w:lang w:eastAsia="zh-CN" w:bidi="ar"/>
              </w:rPr>
            </w:pPr>
            <w:r>
              <w:rPr>
                <w:rFonts w:ascii="仿宋" w:eastAsia="仿宋" w:hAnsi="仿宋" w:cs="仿宋" w:hint="eastAsia"/>
                <w:b w:val="0"/>
                <w:bCs w:val="0"/>
                <w:sz w:val="24"/>
                <w:szCs w:val="24"/>
                <w:lang w:eastAsia="zh-CN" w:bidi="ar"/>
              </w:rPr>
              <w:t>1）具有行政机关或事业单位或人社部门备案的第三方组织颁发的公共营养师</w:t>
            </w:r>
            <w:r>
              <w:rPr>
                <w:rFonts w:ascii="仿宋" w:eastAsia="仿宋" w:hAnsi="仿宋" w:cs="仿宋" w:hint="eastAsia"/>
                <w:b w:val="0"/>
                <w:bCs w:val="0"/>
                <w:sz w:val="24"/>
                <w:szCs w:val="24"/>
                <w:lang w:val="zh-CN" w:eastAsia="zh-CN" w:bidi="ar"/>
              </w:rPr>
              <w:t>二级/技师或以上</w:t>
            </w:r>
            <w:r>
              <w:rPr>
                <w:rFonts w:ascii="仿宋" w:eastAsia="仿宋" w:hAnsi="仿宋" w:cs="仿宋" w:hint="eastAsia"/>
                <w:b w:val="0"/>
                <w:bCs w:val="0"/>
                <w:sz w:val="24"/>
                <w:szCs w:val="24"/>
                <w:lang w:val="en-US" w:eastAsia="zh-CN" w:bidi="ar"/>
              </w:rPr>
              <w:t>职业资格证书或</w:t>
            </w:r>
            <w:r>
              <w:rPr>
                <w:rFonts w:ascii="仿宋" w:eastAsia="仿宋" w:hAnsi="仿宋" w:cs="仿宋" w:hint="eastAsia"/>
                <w:b w:val="0"/>
                <w:bCs w:val="0"/>
                <w:sz w:val="24"/>
                <w:szCs w:val="24"/>
                <w:lang w:val="zh-CN" w:eastAsia="zh-CN" w:bidi="ar"/>
              </w:rPr>
              <w:t>职业技能等级证书，得</w:t>
            </w:r>
            <w:r>
              <w:rPr>
                <w:rFonts w:ascii="仿宋" w:eastAsia="仿宋" w:hAnsi="仿宋" w:cs="仿宋" w:hint="eastAsia"/>
                <w:b w:val="0"/>
                <w:bCs w:val="0"/>
                <w:sz w:val="24"/>
                <w:szCs w:val="24"/>
                <w:lang w:val="en-US" w:eastAsia="zh-CN" w:bidi="ar"/>
              </w:rPr>
              <w:t>2分</w:t>
            </w:r>
            <w:r>
              <w:rPr>
                <w:rFonts w:ascii="仿宋" w:eastAsia="仿宋" w:hAnsi="仿宋" w:cs="仿宋" w:hint="eastAsia"/>
                <w:b w:val="0"/>
                <w:bCs w:val="0"/>
                <w:sz w:val="24"/>
                <w:szCs w:val="24"/>
                <w:lang w:eastAsia="zh-CN" w:bidi="ar"/>
              </w:rPr>
              <w:t>；</w:t>
            </w:r>
          </w:p>
          <w:p w14:paraId="76138004">
            <w:pPr>
              <w:widowControl w:val="0"/>
              <w:numPr>
                <w:ilvl w:val="0"/>
                <w:numId w:val="0"/>
              </w:numPr>
              <w:spacing w:line="240" w:lineRule="auto"/>
              <w:jc w:val="left"/>
              <w:rPr>
                <w:rFonts w:ascii="仿宋" w:eastAsia="仿宋" w:hAnsi="仿宋" w:cs="仿宋" w:hint="eastAsia"/>
                <w:b w:val="0"/>
                <w:bCs w:val="0"/>
                <w:sz w:val="24"/>
                <w:szCs w:val="24"/>
                <w:lang w:eastAsia="zh-CN" w:bidi="ar"/>
              </w:rPr>
            </w:pPr>
            <w:r>
              <w:rPr>
                <w:rFonts w:ascii="仿宋" w:eastAsia="仿宋" w:hAnsi="仿宋" w:cs="仿宋" w:hint="eastAsia"/>
                <w:b w:val="0"/>
                <w:bCs w:val="0"/>
                <w:sz w:val="24"/>
                <w:szCs w:val="24"/>
                <w:lang w:eastAsia="zh-CN" w:bidi="ar"/>
              </w:rPr>
              <w:t>2）具有行政机关或事业单位或人社部门备案的第三方组织颁发的营养配餐员三级</w:t>
            </w:r>
            <w:r>
              <w:rPr>
                <w:rFonts w:ascii="仿宋" w:eastAsia="仿宋" w:hAnsi="仿宋" w:cs="仿宋" w:hint="eastAsia"/>
                <w:b w:val="0"/>
                <w:bCs w:val="0"/>
                <w:sz w:val="24"/>
                <w:szCs w:val="24"/>
                <w:lang w:val="en-US" w:eastAsia="zh-CN" w:bidi="ar"/>
              </w:rPr>
              <w:t>/高级或以上职业资格证书或</w:t>
            </w:r>
            <w:r>
              <w:rPr>
                <w:rFonts w:ascii="仿宋" w:eastAsia="仿宋" w:hAnsi="仿宋" w:cs="仿宋" w:hint="eastAsia"/>
                <w:b w:val="0"/>
                <w:bCs w:val="0"/>
                <w:sz w:val="24"/>
                <w:szCs w:val="24"/>
                <w:lang w:val="zh-CN" w:eastAsia="zh-CN" w:bidi="ar"/>
              </w:rPr>
              <w:t>职业技能等级证书，得</w:t>
            </w:r>
            <w:r>
              <w:rPr>
                <w:rFonts w:ascii="仿宋" w:eastAsia="仿宋" w:hAnsi="仿宋" w:cs="仿宋" w:hint="eastAsia"/>
                <w:b w:val="0"/>
                <w:bCs w:val="0"/>
                <w:sz w:val="24"/>
                <w:szCs w:val="24"/>
                <w:lang w:val="en-US" w:eastAsia="zh-CN" w:bidi="ar"/>
              </w:rPr>
              <w:t>2分</w:t>
            </w:r>
            <w:r>
              <w:rPr>
                <w:rFonts w:ascii="仿宋" w:eastAsia="仿宋" w:hAnsi="仿宋" w:cs="仿宋" w:hint="eastAsia"/>
                <w:b w:val="0"/>
                <w:bCs w:val="0"/>
                <w:sz w:val="24"/>
                <w:szCs w:val="24"/>
                <w:lang w:eastAsia="zh-CN" w:bidi="ar"/>
              </w:rPr>
              <w:t>；</w:t>
            </w:r>
          </w:p>
          <w:p w14:paraId="5CFE756A">
            <w:pPr>
              <w:widowControl w:val="0"/>
              <w:numPr>
                <w:ilvl w:val="0"/>
                <w:numId w:val="0"/>
              </w:numPr>
              <w:spacing w:line="240" w:lineRule="auto"/>
              <w:jc w:val="left"/>
              <w:rPr>
                <w:rFonts w:ascii="仿宋" w:eastAsia="仿宋" w:hAnsi="仿宋" w:cs="仿宋" w:hint="eastAsia"/>
                <w:b/>
                <w:bCs/>
                <w:sz w:val="24"/>
                <w:szCs w:val="24"/>
                <w:lang w:eastAsia="zh-CN" w:bidi="ar"/>
              </w:rPr>
            </w:pPr>
            <w:r>
              <w:rPr>
                <w:rFonts w:ascii="仿宋" w:eastAsia="仿宋" w:hAnsi="仿宋" w:cs="仿宋" w:hint="eastAsia"/>
                <w:b/>
                <w:bCs/>
                <w:sz w:val="24"/>
                <w:szCs w:val="24"/>
                <w:lang w:val="en-US" w:eastAsia="zh-CN" w:bidi="ar"/>
              </w:rPr>
              <w:t>4</w:t>
            </w:r>
            <w:r>
              <w:rPr>
                <w:rFonts w:ascii="仿宋" w:eastAsia="仿宋" w:hAnsi="仿宋" w:cs="仿宋" w:hint="eastAsia"/>
                <w:b/>
                <w:bCs/>
                <w:sz w:val="24"/>
                <w:szCs w:val="24"/>
                <w:lang w:eastAsia="zh-CN" w:bidi="ar"/>
              </w:rPr>
              <w:t>.食品安全管理员</w:t>
            </w:r>
            <w:r>
              <w:rPr>
                <w:rFonts w:ascii="仿宋" w:eastAsia="仿宋" w:hAnsi="仿宋" w:cs="仿宋" w:hint="eastAsia"/>
                <w:b/>
                <w:bCs/>
                <w:sz w:val="24"/>
                <w:szCs w:val="24"/>
                <w:lang w:val="en-US" w:eastAsia="zh-CN" w:bidi="ar"/>
              </w:rPr>
              <w:t>2</w:t>
            </w:r>
            <w:r>
              <w:rPr>
                <w:rFonts w:ascii="仿宋" w:eastAsia="仿宋" w:hAnsi="仿宋" w:cs="仿宋" w:hint="eastAsia"/>
                <w:b/>
                <w:bCs/>
                <w:sz w:val="24"/>
                <w:szCs w:val="24"/>
                <w:lang w:eastAsia="zh-CN" w:bidi="ar"/>
              </w:rPr>
              <w:t>名：</w:t>
            </w:r>
          </w:p>
          <w:p w14:paraId="3AED2D43">
            <w:pPr>
              <w:widowControl w:val="0"/>
              <w:numPr>
                <w:ilvl w:val="0"/>
                <w:numId w:val="0"/>
              </w:numPr>
              <w:spacing w:line="240" w:lineRule="auto"/>
              <w:jc w:val="left"/>
              <w:rPr>
                <w:rFonts w:ascii="仿宋" w:eastAsia="仿宋" w:hAnsi="仿宋" w:cs="仿宋" w:hint="eastAsia"/>
                <w:b w:val="0"/>
                <w:bCs w:val="0"/>
                <w:sz w:val="24"/>
                <w:szCs w:val="24"/>
                <w:lang w:eastAsia="zh-CN" w:bidi="ar"/>
              </w:rPr>
            </w:pPr>
            <w:r>
              <w:rPr>
                <w:rFonts w:ascii="仿宋" w:eastAsia="仿宋" w:hAnsi="仿宋" w:cs="仿宋" w:hint="eastAsia"/>
                <w:b w:val="0"/>
                <w:bCs w:val="0"/>
                <w:sz w:val="24"/>
                <w:szCs w:val="24"/>
                <w:lang w:eastAsia="zh-CN" w:bidi="ar"/>
              </w:rPr>
              <w:t>具有市场监督管理局或食品药品监督管理局颁发的高级食品安全管理员证书或食品安全管理人员考试合格证明证书，每提供一人得</w:t>
            </w:r>
            <w:r>
              <w:rPr>
                <w:rFonts w:ascii="仿宋" w:eastAsia="仿宋" w:hAnsi="仿宋" w:cs="仿宋" w:hint="eastAsia"/>
                <w:b w:val="0"/>
                <w:bCs w:val="0"/>
                <w:sz w:val="24"/>
                <w:szCs w:val="24"/>
                <w:lang w:val="en-US" w:eastAsia="zh-CN" w:bidi="ar"/>
              </w:rPr>
              <w:t>1.5分</w:t>
            </w:r>
            <w:r>
              <w:rPr>
                <w:rFonts w:ascii="仿宋" w:eastAsia="仿宋" w:hAnsi="仿宋" w:cs="仿宋" w:hint="eastAsia"/>
                <w:b w:val="0"/>
                <w:bCs w:val="0"/>
                <w:sz w:val="24"/>
                <w:szCs w:val="24"/>
                <w:lang w:eastAsia="zh-CN" w:bidi="ar"/>
              </w:rPr>
              <w:t>,本项最高得分</w:t>
            </w:r>
            <w:r>
              <w:rPr>
                <w:rFonts w:ascii="仿宋" w:eastAsia="仿宋" w:hAnsi="仿宋" w:cs="仿宋" w:hint="eastAsia"/>
                <w:b w:val="0"/>
                <w:bCs w:val="0"/>
                <w:sz w:val="24"/>
                <w:szCs w:val="24"/>
                <w:lang w:val="en-US" w:eastAsia="zh-CN" w:bidi="ar"/>
              </w:rPr>
              <w:t>3</w:t>
            </w:r>
            <w:r>
              <w:rPr>
                <w:rFonts w:ascii="仿宋" w:eastAsia="仿宋" w:hAnsi="仿宋" w:cs="仿宋" w:hint="eastAsia"/>
                <w:b w:val="0"/>
                <w:bCs w:val="0"/>
                <w:sz w:val="24"/>
                <w:szCs w:val="24"/>
                <w:lang w:eastAsia="zh-CN" w:bidi="ar"/>
              </w:rPr>
              <w:t>分。</w:t>
            </w:r>
          </w:p>
          <w:p w14:paraId="606A932E">
            <w:pPr>
              <w:widowControl w:val="0"/>
              <w:numPr>
                <w:ilvl w:val="0"/>
                <w:numId w:val="0"/>
              </w:numPr>
              <w:spacing w:line="240" w:lineRule="auto"/>
              <w:jc w:val="left"/>
              <w:rPr>
                <w:rFonts w:ascii="仿宋" w:eastAsia="仿宋" w:hAnsi="仿宋" w:cs="仿宋" w:hint="eastAsia"/>
                <w:b/>
                <w:bCs/>
                <w:sz w:val="24"/>
                <w:szCs w:val="24"/>
                <w:lang w:val="en-US" w:eastAsia="zh-CN" w:bidi="ar"/>
              </w:rPr>
            </w:pPr>
            <w:r>
              <w:rPr>
                <w:rFonts w:ascii="仿宋" w:eastAsia="仿宋" w:hAnsi="仿宋" w:cs="仿宋" w:hint="eastAsia"/>
                <w:b/>
                <w:bCs/>
                <w:sz w:val="24"/>
                <w:szCs w:val="24"/>
                <w:lang w:val="en-US" w:eastAsia="zh-CN" w:bidi="ar"/>
              </w:rPr>
              <w:t>注：</w:t>
            </w:r>
            <w:r>
              <w:rPr>
                <w:rFonts w:ascii="仿宋" w:eastAsia="仿宋" w:hAnsi="仿宋" w:cs="仿宋" w:hint="eastAsia"/>
                <w:b/>
                <w:bCs/>
                <w:sz w:val="24"/>
                <w:szCs w:val="24"/>
                <w:lang w:eastAsia="zh-CN" w:bidi="ar"/>
              </w:rPr>
              <w:t>同一人员具有多个证书的不重复得分，本项最高得</w:t>
            </w:r>
            <w:r>
              <w:rPr>
                <w:rFonts w:ascii="仿宋" w:eastAsia="仿宋" w:hAnsi="仿宋" w:cs="仿宋" w:hint="eastAsia"/>
                <w:b/>
                <w:bCs/>
                <w:sz w:val="24"/>
                <w:szCs w:val="24"/>
                <w:lang w:val="en-US" w:eastAsia="zh-CN" w:bidi="ar"/>
              </w:rPr>
              <w:t>12分。</w:t>
            </w:r>
          </w:p>
          <w:p w14:paraId="3DDF9349">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jc w:val="left"/>
              <w:textAlignment w:val="top"/>
              <w:rPr>
                <w:rFonts w:ascii="仿宋" w:eastAsia="仿宋" w:hAnsi="仿宋" w:cs="仿宋" w:hint="eastAsia"/>
                <w:b/>
                <w:bCs/>
                <w:sz w:val="24"/>
                <w:szCs w:val="24"/>
                <w:lang w:eastAsia="zh-CN" w:bidi="ar"/>
              </w:rPr>
            </w:pPr>
            <w:r>
              <w:rPr>
                <w:rFonts w:ascii="仿宋" w:eastAsia="仿宋" w:hAnsi="仿宋" w:cs="仿宋" w:hint="eastAsia"/>
                <w:b/>
                <w:bCs/>
                <w:sz w:val="24"/>
                <w:szCs w:val="24"/>
                <w:lang w:eastAsia="zh-CN" w:bidi="ar"/>
              </w:rPr>
              <w:t xml:space="preserve"> （二）评分依据： </w:t>
            </w:r>
          </w:p>
          <w:p w14:paraId="1F27ED0C">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val="en-US" w:eastAsia="zh-CN" w:bidi="ar"/>
              </w:rPr>
              <w:t>1.</w:t>
            </w:r>
            <w:r>
              <w:rPr>
                <w:rFonts w:ascii="仿宋" w:eastAsia="仿宋" w:hAnsi="仿宋" w:cs="仿宋" w:hint="eastAsia"/>
                <w:sz w:val="24"/>
                <w:szCs w:val="24"/>
                <w:lang w:eastAsia="zh-CN" w:bidi="ar"/>
              </w:rPr>
              <w:t>项目团队成员必须为响应供应商自有员工，开标日前由响应供应商为其缴交的载有社保部门公章的</w:t>
            </w:r>
            <w:r>
              <w:rPr>
                <w:rFonts w:ascii="仿宋" w:eastAsia="仿宋" w:hAnsi="仿宋" w:cs="仿宋" w:hint="eastAsia"/>
                <w:sz w:val="24"/>
                <w:szCs w:val="24"/>
                <w:lang w:val="en-US" w:eastAsia="zh-CN" w:bidi="ar"/>
              </w:rPr>
              <w:t>近一个月的</w:t>
            </w:r>
            <w:r>
              <w:rPr>
                <w:rFonts w:ascii="仿宋" w:eastAsia="仿宋" w:hAnsi="仿宋" w:cs="仿宋" w:hint="eastAsia"/>
                <w:sz w:val="24"/>
                <w:szCs w:val="24"/>
                <w:lang w:eastAsia="zh-CN" w:bidi="ar"/>
              </w:rPr>
              <w:t xml:space="preserve">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w:t>
            </w:r>
          </w:p>
          <w:p w14:paraId="28332F35">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val="en-US" w:eastAsia="zh-CN" w:bidi="ar"/>
              </w:rPr>
              <w:t>2.</w:t>
            </w:r>
            <w:r>
              <w:rPr>
                <w:rFonts w:ascii="仿宋" w:eastAsia="仿宋" w:hAnsi="仿宋" w:cs="仿宋" w:hint="eastAsia"/>
                <w:sz w:val="24"/>
                <w:szCs w:val="24"/>
                <w:lang w:eastAsia="zh-CN" w:bidi="ar"/>
              </w:rPr>
              <w:t xml:space="preserve">提供相关人员有效证书扫描件及证书官网查询截图，若为人社部门颁发的职业资格证书，同时提供证书扫描件及技能人才评价证书全国联网查询截图（http://zscx.osta.org.cn/）；若为经人社部门备案的第三方社会评价组织颁发的证书，需同时提供证书扫描件及技能人才评价证书全国联网查询截图（http://zscx.osta.org.cn/），如已获得职业资格证书或职业技能等级证书，但尚未能在技能人才评价证书全国联网查询的，需提供发证机构在人社部备案的查询截图(http://pjjg.osta.org.cn/) 及发证机构开具加盖公章的证明文件。 </w:t>
            </w:r>
          </w:p>
          <w:p w14:paraId="528E72EE">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default"/>
                <w:kern w:val="2"/>
                <w:sz w:val="24"/>
                <w:szCs w:val="24"/>
                <w:lang w:val="en-US" w:eastAsia="zh-CN"/>
              </w:rPr>
            </w:pPr>
            <w:r>
              <w:rPr>
                <w:rFonts w:ascii="仿宋" w:eastAsia="仿宋" w:hAnsi="仿宋" w:cs="仿宋" w:hint="eastAsia"/>
                <w:sz w:val="24"/>
                <w:szCs w:val="24"/>
                <w:lang w:val="en-US" w:eastAsia="zh-CN" w:bidi="ar"/>
              </w:rPr>
              <w:t>3.</w:t>
            </w:r>
            <w:r>
              <w:rPr>
                <w:rFonts w:ascii="仿宋" w:eastAsia="仿宋" w:hAnsi="仿宋" w:cs="仿宋" w:hint="eastAsia"/>
                <w:sz w:val="24"/>
                <w:szCs w:val="24"/>
                <w:lang w:eastAsia="zh-CN" w:bidi="ar"/>
              </w:rPr>
              <w:t>未按要求提供或提供不清晰导致专家无法判断的不得分。</w:t>
            </w:r>
          </w:p>
        </w:tc>
      </w:tr>
      <w:tr w14:paraId="7FF51ED8">
        <w:tblPrEx>
          <w:tblW w:w="5000" w:type="pct"/>
          <w:jc w:val="center"/>
          <w:tblLayout w:type="fixed"/>
          <w:tblCellMar>
            <w:top w:w="20" w:type="dxa"/>
            <w:left w:w="108" w:type="dxa"/>
            <w:bottom w:w="20" w:type="dxa"/>
            <w:right w:w="108" w:type="dxa"/>
          </w:tblCellMar>
        </w:tblPrEx>
        <w:trPr>
          <w:jc w:val="center"/>
        </w:trPr>
        <w:tc>
          <w:tcPr>
            <w:tcW w:w="742" w:type="dxa"/>
            <w:vMerge w:val="restart"/>
            <w:tcBorders>
              <w:top w:val="single" w:sz="8" w:space="0" w:color="000000"/>
              <w:left w:val="single" w:sz="8" w:space="0" w:color="000000"/>
              <w:right w:val="single" w:sz="8" w:space="0" w:color="000000"/>
            </w:tcBorders>
            <w:noWrap w:val="0"/>
            <w:vAlign w:val="top"/>
          </w:tcPr>
          <w:p w14:paraId="4BF263C8">
            <w:pPr>
              <w:widowControl w:val="0"/>
              <w:wordWrap/>
              <w:spacing w:line="240" w:lineRule="auto"/>
              <w:jc w:val="left"/>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3</w:t>
            </w:r>
          </w:p>
        </w:tc>
        <w:tc>
          <w:tcPr>
            <w:tcW w:w="2849" w:type="dxa"/>
            <w:gridSpan w:val="3"/>
            <w:tcBorders>
              <w:top w:val="single" w:sz="8" w:space="0" w:color="000000"/>
              <w:left w:val="single" w:sz="8" w:space="0" w:color="000000"/>
              <w:bottom w:val="single" w:sz="8" w:space="0" w:color="000000"/>
              <w:right w:val="single" w:sz="8" w:space="0" w:color="000000"/>
            </w:tcBorders>
            <w:noWrap w:val="0"/>
            <w:vAlign w:val="top"/>
          </w:tcPr>
          <w:p w14:paraId="6168AB92">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商务部分</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426EA088">
            <w:pPr>
              <w:widowControl w:val="0"/>
              <w:wordWrap/>
              <w:spacing w:line="240" w:lineRule="auto"/>
              <w:jc w:val="center"/>
              <w:rPr>
                <w:rFonts w:ascii="仿宋" w:eastAsia="仿宋" w:hAnsi="仿宋" w:cs="仿宋" w:hint="eastAsia"/>
                <w:kern w:val="2"/>
                <w:sz w:val="24"/>
                <w:szCs w:val="24"/>
                <w:lang w:val="en-US" w:eastAsia="zh-CN"/>
              </w:rPr>
            </w:pPr>
            <w:r>
              <w:rPr>
                <w:rFonts w:ascii="仿宋" w:eastAsia="仿宋" w:hAnsi="仿宋" w:cs="仿宋" w:hint="eastAsia"/>
                <w:kern w:val="2"/>
                <w:sz w:val="24"/>
                <w:szCs w:val="24"/>
                <w:lang w:val="en-US" w:eastAsia="zh-CN"/>
              </w:rPr>
              <w:t>39</w:t>
            </w:r>
          </w:p>
        </w:tc>
      </w:tr>
      <w:tr w14:paraId="19A19806">
        <w:tblPrEx>
          <w:tblW w:w="5000" w:type="pct"/>
          <w:jc w:val="center"/>
          <w:tblLayout w:type="fixed"/>
          <w:tblCellMar>
            <w:top w:w="20" w:type="dxa"/>
            <w:left w:w="108" w:type="dxa"/>
            <w:bottom w:w="20" w:type="dxa"/>
            <w:right w:w="108" w:type="dxa"/>
          </w:tblCellMar>
        </w:tblPrEx>
        <w:trPr>
          <w:jc w:val="center"/>
        </w:trPr>
        <w:tc>
          <w:tcPr>
            <w:tcW w:w="742" w:type="dxa"/>
            <w:vMerge/>
            <w:tcBorders>
              <w:left w:val="single" w:sz="8" w:space="0" w:color="000000"/>
              <w:right w:val="single" w:sz="8" w:space="0" w:color="000000"/>
            </w:tcBorders>
            <w:shd w:val="clear" w:color="auto" w:fill="E6EFFA"/>
            <w:noWrap w:val="0"/>
            <w:vAlign w:val="center"/>
          </w:tcPr>
          <w:p w14:paraId="02748505">
            <w:pPr>
              <w:widowControl w:val="0"/>
              <w:spacing w:line="240" w:lineRule="auto"/>
              <w:jc w:val="left"/>
              <w:rPr>
                <w:rFonts w:ascii="仿宋" w:eastAsia="仿宋" w:hAnsi="仿宋" w:cs="仿宋" w:hint="eastAsia"/>
                <w:kern w:val="2"/>
                <w:sz w:val="24"/>
                <w:szCs w:val="24"/>
                <w:lang w:eastAsia="zh-CN"/>
              </w:rPr>
            </w:pPr>
          </w:p>
        </w:tc>
        <w:tc>
          <w:tcPr>
            <w:tcW w:w="74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14:paraId="7C8A2FEB">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序号</w:t>
            </w:r>
          </w:p>
        </w:tc>
        <w:tc>
          <w:tcPr>
            <w:tcW w:w="1533"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14:paraId="005870ED">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评分因素</w:t>
            </w:r>
          </w:p>
        </w:tc>
        <w:tc>
          <w:tcPr>
            <w:tcW w:w="575"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14:paraId="707A0CF8">
            <w:pPr>
              <w:widowControl w:val="0"/>
              <w:wordWrap/>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权重(%)</w:t>
            </w:r>
          </w:p>
        </w:tc>
        <w:tc>
          <w:tcPr>
            <w:tcW w:w="649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14:paraId="2DC6706D">
            <w:pPr>
              <w:widowControl w:val="0"/>
              <w:wordWrap/>
              <w:spacing w:line="240" w:lineRule="auto"/>
              <w:jc w:val="left"/>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评分准则</w:t>
            </w:r>
          </w:p>
        </w:tc>
      </w:tr>
      <w:tr w14:paraId="24AC15BB">
        <w:tblPrEx>
          <w:tblW w:w="5000" w:type="pct"/>
          <w:jc w:val="center"/>
          <w:tblLayout w:type="fixed"/>
          <w:tblCellMar>
            <w:top w:w="20" w:type="dxa"/>
            <w:left w:w="108" w:type="dxa"/>
            <w:bottom w:w="20" w:type="dxa"/>
            <w:right w:w="108" w:type="dxa"/>
          </w:tblCellMar>
        </w:tblPrEx>
        <w:trPr>
          <w:jc w:val="center"/>
        </w:trPr>
        <w:tc>
          <w:tcPr>
            <w:tcW w:w="742" w:type="dxa"/>
            <w:vMerge/>
            <w:tcBorders>
              <w:left w:val="single" w:sz="8" w:space="0" w:color="000000"/>
              <w:right w:val="single" w:sz="8" w:space="0" w:color="000000"/>
            </w:tcBorders>
            <w:noWrap w:val="0"/>
            <w:vAlign w:val="center"/>
          </w:tcPr>
          <w:p w14:paraId="17021CEB">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633BAE2E">
            <w:pPr>
              <w:widowControl w:val="0"/>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1</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0B463709">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投标人认证情况</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7D5621E0">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18843897">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15FC493C">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2672A13B">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0275FC97">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7F7B48F5">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val="en-US" w:eastAsia="zh-CN" w:bidi="ar"/>
              </w:rPr>
              <w:t>5</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111ED207">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b/>
                <w:bCs/>
                <w:kern w:val="2"/>
                <w:sz w:val="24"/>
                <w:szCs w:val="24"/>
                <w:lang w:eastAsia="zh-CN"/>
              </w:rPr>
            </w:pPr>
            <w:r>
              <w:rPr>
                <w:rFonts w:ascii="仿宋" w:eastAsia="仿宋" w:hAnsi="仿宋" w:cs="仿宋" w:hint="eastAsia"/>
                <w:b/>
                <w:bCs/>
                <w:kern w:val="2"/>
                <w:sz w:val="24"/>
                <w:szCs w:val="24"/>
                <w:lang w:eastAsia="zh-CN"/>
              </w:rPr>
              <w:t>（一）评分内容：</w:t>
            </w:r>
          </w:p>
          <w:p w14:paraId="73F6DF5D">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105"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 xml:space="preserve">1.具有质量管理体系认证证书； </w:t>
            </w:r>
          </w:p>
          <w:p w14:paraId="322AE6CE">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105"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 xml:space="preserve">2.具有环境管理体系认证证书； </w:t>
            </w:r>
          </w:p>
          <w:p w14:paraId="108506EF">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105"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 xml:space="preserve">3.具有食品安全管理体系认证证书； </w:t>
            </w:r>
          </w:p>
          <w:p w14:paraId="6E4ABC26">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105"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4.具有职业健康安全管理体系认证证书；</w:t>
            </w:r>
          </w:p>
          <w:p w14:paraId="63020F05">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105"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5.具有HACCP危害分析与关键控制点体系认证证书。</w:t>
            </w:r>
          </w:p>
          <w:p w14:paraId="731BEC72">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105"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val="en-US" w:eastAsia="zh-CN"/>
              </w:rPr>
              <w:t>每提供一项得1分，最高得5分</w:t>
            </w:r>
            <w:r>
              <w:rPr>
                <w:rFonts w:ascii="仿宋" w:eastAsia="仿宋" w:hAnsi="仿宋" w:cs="仿宋" w:hint="eastAsia"/>
                <w:kern w:val="2"/>
                <w:sz w:val="24"/>
                <w:szCs w:val="24"/>
                <w:lang w:eastAsia="zh-CN"/>
              </w:rPr>
              <w:t xml:space="preserve">。 </w:t>
            </w:r>
          </w:p>
          <w:p w14:paraId="15E78FF2">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b/>
                <w:bCs/>
                <w:kern w:val="2"/>
                <w:sz w:val="24"/>
                <w:szCs w:val="24"/>
                <w:lang w:eastAsia="zh-CN"/>
              </w:rPr>
            </w:pPr>
            <w:r>
              <w:rPr>
                <w:rFonts w:ascii="仿宋" w:eastAsia="仿宋" w:hAnsi="仿宋" w:cs="仿宋" w:hint="eastAsia"/>
                <w:b/>
                <w:bCs/>
                <w:kern w:val="2"/>
                <w:sz w:val="24"/>
                <w:szCs w:val="24"/>
                <w:lang w:eastAsia="zh-CN"/>
              </w:rPr>
              <w:t>（二）评分依据：</w:t>
            </w:r>
          </w:p>
          <w:p w14:paraId="63CAAFE4">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105"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提供有效期内的认证证书扫描件及全国认证认可信息公共服务平台（认e云）查询有效的截图（http://cx.cnca.cn）且编号一致，原件备查（截图需显示证书状态为有效）。</w:t>
            </w:r>
          </w:p>
        </w:tc>
      </w:tr>
      <w:tr w14:paraId="3FA6A699">
        <w:tblPrEx>
          <w:tblW w:w="5000" w:type="pct"/>
          <w:jc w:val="center"/>
          <w:tblLayout w:type="fixed"/>
          <w:tblCellMar>
            <w:top w:w="20" w:type="dxa"/>
            <w:left w:w="108" w:type="dxa"/>
            <w:bottom w:w="20" w:type="dxa"/>
            <w:right w:w="108" w:type="dxa"/>
          </w:tblCellMar>
        </w:tblPrEx>
        <w:trPr>
          <w:jc w:val="center"/>
        </w:trPr>
        <w:tc>
          <w:tcPr>
            <w:tcW w:w="742" w:type="dxa"/>
            <w:vMerge/>
            <w:tcBorders>
              <w:left w:val="single" w:sz="8" w:space="0" w:color="000000"/>
              <w:right w:val="single" w:sz="8" w:space="0" w:color="000000"/>
            </w:tcBorders>
            <w:noWrap w:val="0"/>
            <w:vAlign w:val="center"/>
          </w:tcPr>
          <w:p w14:paraId="1DD6675D">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20B12C0B">
            <w:pPr>
              <w:widowControl w:val="0"/>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2</w:t>
            </w:r>
          </w:p>
        </w:tc>
        <w:tc>
          <w:tcPr>
            <w:tcW w:w="1533" w:type="dxa"/>
            <w:tcBorders>
              <w:top w:val="single" w:sz="8" w:space="0" w:color="000000"/>
              <w:left w:val="single" w:sz="8" w:space="0" w:color="000000"/>
              <w:bottom w:val="single" w:sz="8" w:space="0" w:color="000000"/>
              <w:right w:val="single" w:sz="8" w:space="0" w:color="000000"/>
            </w:tcBorders>
            <w:shd w:val="clear" w:color="auto" w:fill="FFFFFF"/>
            <w:noWrap w:val="0"/>
            <w:vAlign w:val="center"/>
          </w:tcPr>
          <w:p w14:paraId="2FF2D954">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r>
              <w:rPr>
                <w:rFonts w:ascii="仿宋" w:eastAsia="仿宋" w:hAnsi="仿宋" w:cs="仿宋" w:hint="eastAsia"/>
                <w:sz w:val="24"/>
                <w:szCs w:val="24"/>
                <w:lang w:eastAsia="zh-CN" w:bidi="ar"/>
              </w:rPr>
              <w:t>食品安全保险情况</w:t>
            </w:r>
          </w:p>
        </w:tc>
        <w:tc>
          <w:tcPr>
            <w:tcW w:w="575" w:type="dxa"/>
            <w:tcBorders>
              <w:top w:val="single" w:sz="8" w:space="0" w:color="000000"/>
              <w:left w:val="single" w:sz="8" w:space="0" w:color="000000"/>
              <w:bottom w:val="single" w:sz="8" w:space="0" w:color="000000"/>
              <w:right w:val="single" w:sz="8" w:space="0" w:color="000000"/>
            </w:tcBorders>
            <w:shd w:val="clear" w:color="auto" w:fill="FFFFFF"/>
            <w:noWrap w:val="0"/>
            <w:vAlign w:val="center"/>
          </w:tcPr>
          <w:p w14:paraId="7B28B326">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r>
              <w:rPr>
                <w:rFonts w:ascii="仿宋" w:eastAsia="仿宋" w:hAnsi="仿宋" w:cs="仿宋" w:hint="eastAsia"/>
                <w:sz w:val="24"/>
                <w:szCs w:val="24"/>
                <w:lang w:val="en-US" w:eastAsia="zh-CN" w:bidi="ar"/>
              </w:rPr>
              <w:t>6</w:t>
            </w:r>
          </w:p>
        </w:tc>
        <w:tc>
          <w:tcPr>
            <w:tcW w:w="6491" w:type="dxa"/>
            <w:tcBorders>
              <w:top w:val="single" w:sz="8" w:space="0" w:color="000000"/>
              <w:left w:val="single" w:sz="8" w:space="0" w:color="000000"/>
              <w:bottom w:val="single" w:sz="8" w:space="0" w:color="000000"/>
              <w:right w:val="single" w:sz="8" w:space="0" w:color="000000"/>
            </w:tcBorders>
            <w:shd w:val="clear" w:color="auto" w:fill="FFFFFF"/>
            <w:noWrap w:val="0"/>
            <w:vAlign w:val="top"/>
          </w:tcPr>
          <w:p w14:paraId="393B8F1B">
            <w:pPr>
              <w:keepNext w:val="0"/>
              <w:keepLines w:val="0"/>
              <w:widowControl/>
              <w:numPr>
                <w:ilvl w:val="0"/>
                <w:numId w:val="9"/>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b/>
                <w:bCs/>
                <w:kern w:val="0"/>
                <w:sz w:val="24"/>
                <w:szCs w:val="24"/>
                <w:lang w:val="en-US" w:eastAsia="zh-CN" w:bidi="ar"/>
              </w:rPr>
            </w:pPr>
            <w:r>
              <w:rPr>
                <w:rFonts w:ascii="仿宋" w:eastAsia="仿宋" w:hAnsi="仿宋" w:cs="仿宋" w:hint="eastAsia"/>
                <w:b/>
                <w:bCs/>
                <w:kern w:val="0"/>
                <w:sz w:val="24"/>
                <w:szCs w:val="24"/>
                <w:lang w:val="en-US" w:eastAsia="zh-CN" w:bidi="ar"/>
              </w:rPr>
              <w:t>评分内容：</w:t>
            </w:r>
          </w:p>
          <w:p w14:paraId="68F91867">
            <w:pPr>
              <w:keepNext w:val="0"/>
              <w:keepLines w:val="0"/>
              <w:pageBreakBefore w:val="0"/>
              <w:kinsoku/>
              <w:overflowPunct/>
              <w:topLinePunct w:val="0"/>
              <w:autoSpaceDE/>
              <w:autoSpaceDN/>
              <w:bidi w:val="0"/>
              <w:adjustRightInd/>
              <w:snapToGrid/>
              <w:spacing w:after="78" w:line="240" w:lineRule="auto"/>
              <w:jc w:val="left"/>
              <w:rPr>
                <w:rFonts w:ascii="仿宋" w:eastAsia="仿宋" w:hAnsi="仿宋" w:cs="仿宋" w:hint="eastAsia"/>
                <w:b w:val="0"/>
                <w:bCs w:val="0"/>
                <w:sz w:val="24"/>
                <w:szCs w:val="24"/>
                <w:highlight w:val="none"/>
              </w:rPr>
            </w:pPr>
            <w:r>
              <w:rPr>
                <w:rFonts w:ascii="仿宋" w:eastAsia="仿宋" w:hAnsi="仿宋" w:cs="仿宋" w:hint="eastAsia"/>
                <w:kern w:val="0"/>
                <w:sz w:val="24"/>
                <w:szCs w:val="24"/>
                <w:lang w:val="en-US" w:eastAsia="zh-CN" w:bidi="ar"/>
              </w:rPr>
              <w:t xml:space="preserve"> 1.</w:t>
            </w:r>
            <w:r>
              <w:rPr>
                <w:rFonts w:ascii="仿宋" w:eastAsia="仿宋" w:hAnsi="仿宋" w:cs="仿宋" w:hint="eastAsia"/>
                <w:b w:val="0"/>
                <w:bCs w:val="0"/>
                <w:sz w:val="24"/>
                <w:szCs w:val="24"/>
                <w:highlight w:val="none"/>
              </w:rPr>
              <w:t>根据投标人购买的食品安全责任</w:t>
            </w:r>
            <w:r>
              <w:rPr>
                <w:rFonts w:ascii="仿宋" w:eastAsia="仿宋" w:hAnsi="仿宋" w:cs="仿宋" w:hint="eastAsia"/>
                <w:b w:val="0"/>
                <w:bCs w:val="0"/>
                <w:sz w:val="24"/>
                <w:szCs w:val="24"/>
                <w:highlight w:val="none"/>
                <w:lang w:eastAsia="zh-CN"/>
              </w:rPr>
              <w:t>保</w:t>
            </w:r>
            <w:r>
              <w:rPr>
                <w:rFonts w:ascii="仿宋" w:eastAsia="仿宋" w:hAnsi="仿宋" w:cs="仿宋" w:hint="eastAsia"/>
                <w:b w:val="0"/>
                <w:bCs w:val="0"/>
                <w:sz w:val="24"/>
                <w:szCs w:val="24"/>
                <w:highlight w:val="none"/>
              </w:rPr>
              <w:t>险的</w:t>
            </w:r>
            <w:r>
              <w:rPr>
                <w:rFonts w:ascii="仿宋" w:eastAsia="仿宋" w:hAnsi="仿宋" w:cs="仿宋" w:hint="eastAsia"/>
                <w:b w:val="0"/>
                <w:bCs w:val="0"/>
                <w:sz w:val="24"/>
                <w:szCs w:val="24"/>
                <w:highlight w:val="none"/>
                <w:lang w:eastAsia="zh-CN"/>
              </w:rPr>
              <w:t>累计赔偿限额</w:t>
            </w:r>
            <w:r>
              <w:rPr>
                <w:rFonts w:ascii="仿宋" w:eastAsia="仿宋" w:hAnsi="仿宋" w:cs="仿宋" w:hint="eastAsia"/>
                <w:b w:val="0"/>
                <w:bCs w:val="0"/>
                <w:sz w:val="24"/>
                <w:szCs w:val="24"/>
                <w:highlight w:val="none"/>
              </w:rPr>
              <w:t>进行评审：</w:t>
            </w:r>
          </w:p>
          <w:p w14:paraId="0E5BDCDF">
            <w:pPr>
              <w:keepNext w:val="0"/>
              <w:keepLines w:val="0"/>
              <w:pageBreakBefore w:val="0"/>
              <w:kinsoku/>
              <w:overflowPunct/>
              <w:topLinePunct w:val="0"/>
              <w:autoSpaceDE/>
              <w:autoSpaceDN/>
              <w:bidi w:val="0"/>
              <w:adjustRightInd/>
              <w:snapToGrid/>
              <w:spacing w:after="78" w:line="240" w:lineRule="auto"/>
              <w:jc w:val="left"/>
              <w:rPr>
                <w:rFonts w:ascii="仿宋" w:eastAsia="仿宋" w:hAnsi="仿宋" w:cs="仿宋" w:hint="eastAsia"/>
                <w:b w:val="0"/>
                <w:bCs w:val="0"/>
                <w:sz w:val="24"/>
                <w:szCs w:val="24"/>
                <w:highlight w:val="none"/>
              </w:rPr>
            </w:pPr>
            <w:r>
              <w:rPr>
                <w:rFonts w:ascii="仿宋" w:eastAsia="仿宋" w:hAnsi="仿宋" w:cs="仿宋" w:hint="eastAsia"/>
                <w:b w:val="0"/>
                <w:bCs w:val="0"/>
                <w:sz w:val="24"/>
                <w:szCs w:val="24"/>
                <w:highlight w:val="none"/>
                <w:lang w:val="en-US" w:eastAsia="zh-CN"/>
              </w:rPr>
              <w:t>1）</w:t>
            </w:r>
            <w:r>
              <w:rPr>
                <w:rFonts w:ascii="仿宋" w:eastAsia="仿宋" w:hAnsi="仿宋" w:cs="仿宋" w:hint="eastAsia"/>
                <w:b w:val="0"/>
                <w:bCs w:val="0"/>
                <w:sz w:val="24"/>
                <w:szCs w:val="24"/>
                <w:highlight w:val="none"/>
              </w:rPr>
              <w:t>累计赔偿限额≥5000万，得</w:t>
            </w:r>
            <w:r>
              <w:rPr>
                <w:rFonts w:ascii="仿宋" w:eastAsia="仿宋" w:hAnsi="仿宋" w:cs="仿宋" w:hint="eastAsia"/>
                <w:b w:val="0"/>
                <w:bCs w:val="0"/>
                <w:sz w:val="24"/>
                <w:szCs w:val="24"/>
                <w:highlight w:val="none"/>
                <w:lang w:val="en-US" w:eastAsia="zh-CN"/>
              </w:rPr>
              <w:t>3</w:t>
            </w:r>
            <w:r>
              <w:rPr>
                <w:rFonts w:ascii="仿宋" w:eastAsia="仿宋" w:hAnsi="仿宋" w:cs="仿宋" w:hint="eastAsia"/>
                <w:b w:val="0"/>
                <w:bCs w:val="0"/>
                <w:sz w:val="24"/>
                <w:szCs w:val="24"/>
                <w:highlight w:val="none"/>
              </w:rPr>
              <w:t xml:space="preserve">分； </w:t>
            </w:r>
          </w:p>
          <w:p w14:paraId="09DCD54A">
            <w:pPr>
              <w:keepNext w:val="0"/>
              <w:keepLines w:val="0"/>
              <w:pageBreakBefore w:val="0"/>
              <w:kinsoku/>
              <w:overflowPunct/>
              <w:topLinePunct w:val="0"/>
              <w:autoSpaceDE/>
              <w:autoSpaceDN/>
              <w:bidi w:val="0"/>
              <w:adjustRightInd/>
              <w:snapToGrid/>
              <w:spacing w:after="78" w:line="240" w:lineRule="auto"/>
              <w:jc w:val="left"/>
              <w:rPr>
                <w:rFonts w:ascii="仿宋" w:eastAsia="仿宋" w:hAnsi="仿宋" w:cs="仿宋" w:hint="eastAsia"/>
                <w:b w:val="0"/>
                <w:bCs w:val="0"/>
                <w:sz w:val="24"/>
                <w:szCs w:val="24"/>
                <w:highlight w:val="none"/>
              </w:rPr>
            </w:pPr>
            <w:r>
              <w:rPr>
                <w:rFonts w:ascii="仿宋" w:eastAsia="仿宋" w:hAnsi="仿宋" w:cs="仿宋" w:hint="eastAsia"/>
                <w:b w:val="0"/>
                <w:bCs w:val="0"/>
                <w:sz w:val="24"/>
                <w:szCs w:val="24"/>
                <w:highlight w:val="none"/>
              </w:rPr>
              <w:t>2）3000万≤累计赔偿限额＜5000万，得</w:t>
            </w:r>
            <w:r>
              <w:rPr>
                <w:rFonts w:ascii="仿宋" w:eastAsia="仿宋" w:hAnsi="仿宋" w:cs="仿宋" w:hint="eastAsia"/>
                <w:b w:val="0"/>
                <w:bCs w:val="0"/>
                <w:sz w:val="24"/>
                <w:szCs w:val="24"/>
                <w:highlight w:val="none"/>
                <w:lang w:val="en-US" w:eastAsia="zh-CN"/>
              </w:rPr>
              <w:t>2</w:t>
            </w:r>
            <w:r>
              <w:rPr>
                <w:rFonts w:ascii="仿宋" w:eastAsia="仿宋" w:hAnsi="仿宋" w:cs="仿宋" w:hint="eastAsia"/>
                <w:b w:val="0"/>
                <w:bCs w:val="0"/>
                <w:sz w:val="24"/>
                <w:szCs w:val="24"/>
                <w:highlight w:val="none"/>
              </w:rPr>
              <w:t>分；</w:t>
            </w:r>
          </w:p>
          <w:p w14:paraId="25A1B267">
            <w:pPr>
              <w:keepNext w:val="0"/>
              <w:keepLines w:val="0"/>
              <w:pageBreakBefore w:val="0"/>
              <w:kinsoku/>
              <w:overflowPunct/>
              <w:topLinePunct w:val="0"/>
              <w:autoSpaceDE/>
              <w:autoSpaceDN/>
              <w:bidi w:val="0"/>
              <w:adjustRightInd/>
              <w:snapToGrid/>
              <w:spacing w:after="78" w:line="240" w:lineRule="auto"/>
              <w:jc w:val="left"/>
              <w:rPr>
                <w:rFonts w:ascii="仿宋" w:eastAsia="仿宋" w:hAnsi="仿宋" w:cs="仿宋" w:hint="eastAsia"/>
                <w:b w:val="0"/>
                <w:bCs w:val="0"/>
                <w:sz w:val="24"/>
                <w:szCs w:val="24"/>
                <w:highlight w:val="none"/>
              </w:rPr>
            </w:pPr>
            <w:r>
              <w:rPr>
                <w:rFonts w:ascii="仿宋" w:eastAsia="仿宋" w:hAnsi="仿宋" w:cs="仿宋" w:hint="eastAsia"/>
                <w:b w:val="0"/>
                <w:bCs w:val="0"/>
                <w:sz w:val="24"/>
                <w:szCs w:val="24"/>
                <w:highlight w:val="none"/>
              </w:rPr>
              <w:t>3）1000万≤累计赔偿限额＜3000万，得</w:t>
            </w:r>
            <w:r>
              <w:rPr>
                <w:rFonts w:ascii="仿宋" w:eastAsia="仿宋" w:hAnsi="仿宋" w:cs="仿宋" w:hint="eastAsia"/>
                <w:b w:val="0"/>
                <w:bCs w:val="0"/>
                <w:sz w:val="24"/>
                <w:szCs w:val="24"/>
                <w:highlight w:val="none"/>
                <w:lang w:val="en-US" w:eastAsia="zh-CN"/>
              </w:rPr>
              <w:t>1</w:t>
            </w:r>
            <w:r>
              <w:rPr>
                <w:rFonts w:ascii="仿宋" w:eastAsia="仿宋" w:hAnsi="仿宋" w:cs="仿宋" w:hint="eastAsia"/>
                <w:b w:val="0"/>
                <w:bCs w:val="0"/>
                <w:sz w:val="24"/>
                <w:szCs w:val="24"/>
                <w:highlight w:val="none"/>
              </w:rPr>
              <w:t>分；</w:t>
            </w:r>
          </w:p>
          <w:p w14:paraId="304F6790">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0"/>
                <w:sz w:val="24"/>
                <w:szCs w:val="24"/>
                <w:lang w:val="en-US" w:eastAsia="zh-CN" w:bidi="ar"/>
              </w:rPr>
            </w:pPr>
            <w:r>
              <w:rPr>
                <w:rFonts w:ascii="仿宋" w:eastAsia="仿宋" w:hAnsi="仿宋" w:cs="仿宋" w:hint="eastAsia"/>
                <w:b w:val="0"/>
                <w:bCs w:val="0"/>
                <w:sz w:val="24"/>
                <w:szCs w:val="24"/>
                <w:highlight w:val="none"/>
                <w:lang w:val="en-US" w:eastAsia="zh-CN"/>
              </w:rPr>
              <w:t>4）其他不得分</w:t>
            </w:r>
            <w:r>
              <w:rPr>
                <w:rFonts w:ascii="仿宋" w:eastAsia="仿宋" w:hAnsi="仿宋" w:cs="仿宋" w:hint="eastAsia"/>
                <w:b w:val="0"/>
                <w:bCs w:val="0"/>
                <w:sz w:val="24"/>
                <w:szCs w:val="24"/>
                <w:highlight w:val="none"/>
              </w:rPr>
              <w:t>。</w:t>
            </w:r>
            <w:r>
              <w:rPr>
                <w:rFonts w:ascii="仿宋" w:eastAsia="仿宋" w:hAnsi="仿宋" w:cs="仿宋" w:hint="eastAsia"/>
                <w:kern w:val="0"/>
                <w:sz w:val="24"/>
                <w:szCs w:val="24"/>
                <w:lang w:val="en-US" w:eastAsia="zh-CN" w:bidi="ar"/>
              </w:rPr>
              <w:t xml:space="preserve"> </w:t>
            </w:r>
          </w:p>
          <w:p w14:paraId="29B8A917">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rPr>
            </w:pPr>
            <w:r>
              <w:rPr>
                <w:rFonts w:ascii="仿宋" w:eastAsia="仿宋" w:hAnsi="仿宋" w:cs="仿宋" w:hint="eastAsia"/>
                <w:kern w:val="0"/>
                <w:sz w:val="24"/>
                <w:szCs w:val="24"/>
                <w:lang w:val="en-US" w:eastAsia="zh-CN" w:bidi="ar"/>
              </w:rPr>
              <w:t>2.</w:t>
            </w:r>
            <w:r>
              <w:rPr>
                <w:rFonts w:ascii="仿宋" w:eastAsia="仿宋" w:hAnsi="仿宋" w:cs="仿宋" w:hint="eastAsia"/>
                <w:sz w:val="24"/>
                <w:szCs w:val="24"/>
              </w:rPr>
              <w:t>根据投标人购买的公众责任</w:t>
            </w:r>
            <w:r>
              <w:rPr>
                <w:rFonts w:ascii="仿宋" w:eastAsia="仿宋" w:hAnsi="仿宋" w:cs="仿宋" w:hint="eastAsia"/>
                <w:sz w:val="24"/>
                <w:szCs w:val="24"/>
                <w:lang w:eastAsia="zh-CN"/>
              </w:rPr>
              <w:t>保</w:t>
            </w:r>
            <w:r>
              <w:rPr>
                <w:rFonts w:ascii="仿宋" w:eastAsia="仿宋" w:hAnsi="仿宋" w:cs="仿宋" w:hint="eastAsia"/>
                <w:sz w:val="24"/>
                <w:szCs w:val="24"/>
              </w:rPr>
              <w:t>险的</w:t>
            </w:r>
            <w:r>
              <w:rPr>
                <w:rFonts w:ascii="仿宋" w:eastAsia="仿宋" w:hAnsi="仿宋" w:cs="仿宋" w:hint="eastAsia"/>
                <w:sz w:val="24"/>
                <w:szCs w:val="24"/>
                <w:lang w:eastAsia="zh-CN"/>
              </w:rPr>
              <w:t>累计赔偿限额</w:t>
            </w:r>
            <w:r>
              <w:rPr>
                <w:rFonts w:ascii="仿宋" w:eastAsia="仿宋" w:hAnsi="仿宋" w:cs="仿宋" w:hint="eastAsia"/>
                <w:sz w:val="24"/>
                <w:szCs w:val="24"/>
              </w:rPr>
              <w:t>进行评审：</w:t>
            </w:r>
          </w:p>
          <w:p w14:paraId="2A0866B9">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rPr>
            </w:pPr>
            <w:r>
              <w:rPr>
                <w:rFonts w:ascii="仿宋" w:eastAsia="仿宋" w:hAnsi="仿宋" w:cs="仿宋" w:hint="eastAsia"/>
                <w:sz w:val="24"/>
                <w:szCs w:val="24"/>
              </w:rPr>
              <w:t>1）累计赔偿限额≥5000万，得</w:t>
            </w:r>
            <w:r>
              <w:rPr>
                <w:rFonts w:ascii="仿宋" w:eastAsia="仿宋" w:hAnsi="仿宋" w:cs="仿宋" w:hint="eastAsia"/>
                <w:sz w:val="24"/>
                <w:szCs w:val="24"/>
                <w:lang w:val="en-US" w:eastAsia="zh-CN"/>
              </w:rPr>
              <w:t>3</w:t>
            </w:r>
            <w:r>
              <w:rPr>
                <w:rFonts w:ascii="仿宋" w:eastAsia="仿宋" w:hAnsi="仿宋" w:cs="仿宋" w:hint="eastAsia"/>
                <w:sz w:val="24"/>
                <w:szCs w:val="24"/>
              </w:rPr>
              <w:t xml:space="preserve">分； </w:t>
            </w:r>
          </w:p>
          <w:p w14:paraId="68B28AB5">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rPr>
            </w:pPr>
            <w:r>
              <w:rPr>
                <w:rFonts w:ascii="仿宋" w:eastAsia="仿宋" w:hAnsi="仿宋" w:cs="仿宋" w:hint="eastAsia"/>
                <w:sz w:val="24"/>
                <w:szCs w:val="24"/>
                <w:lang w:val="en-US" w:eastAsia="zh-CN"/>
              </w:rPr>
              <w:t>2</w:t>
            </w:r>
            <w:r>
              <w:rPr>
                <w:rFonts w:ascii="仿宋" w:eastAsia="仿宋" w:hAnsi="仿宋" w:cs="仿宋" w:hint="eastAsia"/>
                <w:sz w:val="24"/>
                <w:szCs w:val="24"/>
              </w:rPr>
              <w:t>）3000万≤累计赔偿限额＜5000万，得</w:t>
            </w:r>
            <w:r>
              <w:rPr>
                <w:rFonts w:ascii="仿宋" w:eastAsia="仿宋" w:hAnsi="仿宋" w:cs="仿宋" w:hint="eastAsia"/>
                <w:sz w:val="24"/>
                <w:szCs w:val="24"/>
                <w:lang w:val="en-US" w:eastAsia="zh-CN"/>
              </w:rPr>
              <w:t>2</w:t>
            </w:r>
            <w:r>
              <w:rPr>
                <w:rFonts w:ascii="仿宋" w:eastAsia="仿宋" w:hAnsi="仿宋" w:cs="仿宋" w:hint="eastAsia"/>
                <w:sz w:val="24"/>
                <w:szCs w:val="24"/>
              </w:rPr>
              <w:t>分；</w:t>
            </w:r>
          </w:p>
          <w:p w14:paraId="2AC1F707">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rPr>
            </w:pPr>
            <w:r>
              <w:rPr>
                <w:rFonts w:ascii="仿宋" w:eastAsia="仿宋" w:hAnsi="仿宋" w:cs="仿宋" w:hint="eastAsia"/>
                <w:sz w:val="24"/>
                <w:szCs w:val="24"/>
              </w:rPr>
              <w:t>3）1000万≤累计赔偿限额＜3000万，得</w:t>
            </w:r>
            <w:r>
              <w:rPr>
                <w:rFonts w:ascii="仿宋" w:eastAsia="仿宋" w:hAnsi="仿宋" w:cs="仿宋" w:hint="eastAsia"/>
                <w:sz w:val="24"/>
                <w:szCs w:val="24"/>
                <w:lang w:val="en-US" w:eastAsia="zh-CN"/>
              </w:rPr>
              <w:t>1</w:t>
            </w:r>
            <w:r>
              <w:rPr>
                <w:rFonts w:ascii="仿宋" w:eastAsia="仿宋" w:hAnsi="仿宋" w:cs="仿宋" w:hint="eastAsia"/>
                <w:sz w:val="24"/>
                <w:szCs w:val="24"/>
              </w:rPr>
              <w:t>分；</w:t>
            </w:r>
          </w:p>
          <w:p w14:paraId="2D1C11DC">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0"/>
                <w:sz w:val="24"/>
                <w:szCs w:val="24"/>
                <w:lang w:val="en-US" w:eastAsia="zh-CN" w:bidi="ar"/>
              </w:rPr>
            </w:pPr>
            <w:r>
              <w:rPr>
                <w:rFonts w:ascii="仿宋" w:eastAsia="仿宋" w:hAnsi="仿宋" w:cs="仿宋" w:hint="eastAsia"/>
                <w:sz w:val="24"/>
                <w:szCs w:val="24"/>
              </w:rPr>
              <w:t>4）</w:t>
            </w:r>
            <w:r>
              <w:rPr>
                <w:rFonts w:ascii="仿宋" w:eastAsia="仿宋" w:hAnsi="仿宋" w:cs="仿宋" w:hint="eastAsia"/>
                <w:sz w:val="24"/>
                <w:szCs w:val="24"/>
                <w:lang w:val="en-US" w:eastAsia="zh-CN"/>
              </w:rPr>
              <w:t>其他不得分</w:t>
            </w:r>
            <w:r>
              <w:rPr>
                <w:rFonts w:ascii="仿宋" w:eastAsia="仿宋" w:hAnsi="仿宋" w:cs="仿宋" w:hint="eastAsia"/>
                <w:sz w:val="24"/>
                <w:szCs w:val="24"/>
              </w:rPr>
              <w:t>。</w:t>
            </w:r>
          </w:p>
          <w:p w14:paraId="2F43BE57">
            <w:pPr>
              <w:keepNext w:val="0"/>
              <w:keepLines w:val="0"/>
              <w:pageBreakBefore w:val="0"/>
              <w:kinsoku/>
              <w:overflowPunct/>
              <w:topLinePunct w:val="0"/>
              <w:autoSpaceDE/>
              <w:autoSpaceDN/>
              <w:bidi w:val="0"/>
              <w:adjustRightInd/>
              <w:snapToGrid/>
              <w:spacing w:after="78" w:line="240" w:lineRule="auto"/>
              <w:jc w:val="left"/>
              <w:rPr>
                <w:rFonts w:ascii="仿宋" w:eastAsia="仿宋" w:hAnsi="仿宋" w:cs="仿宋" w:hint="eastAsia"/>
                <w:b/>
                <w:bCs/>
                <w:kern w:val="0"/>
                <w:sz w:val="24"/>
                <w:szCs w:val="24"/>
                <w:lang w:val="en-US" w:eastAsia="zh-CN" w:bidi="ar"/>
              </w:rPr>
            </w:pPr>
            <w:r>
              <w:rPr>
                <w:rFonts w:ascii="仿宋" w:eastAsia="仿宋" w:hAnsi="仿宋" w:cs="仿宋" w:hint="eastAsia"/>
                <w:b/>
                <w:bCs/>
                <w:kern w:val="0"/>
                <w:sz w:val="24"/>
                <w:szCs w:val="24"/>
                <w:lang w:val="en-US" w:eastAsia="zh-CN" w:bidi="ar"/>
              </w:rPr>
              <w:t>（二）评分依据：</w:t>
            </w:r>
          </w:p>
          <w:p w14:paraId="09F3F7EA">
            <w:pPr>
              <w:keepNext w:val="0"/>
              <w:keepLines w:val="0"/>
              <w:pageBreakBefore w:val="0"/>
              <w:kinsoku/>
              <w:overflowPunct/>
              <w:topLinePunct w:val="0"/>
              <w:autoSpaceDE/>
              <w:autoSpaceDN/>
              <w:bidi w:val="0"/>
              <w:adjustRightInd/>
              <w:snapToGrid/>
              <w:spacing w:after="78" w:line="240" w:lineRule="auto"/>
              <w:jc w:val="left"/>
              <w:rPr>
                <w:rFonts w:ascii="仿宋" w:eastAsia="仿宋" w:hAnsi="仿宋" w:cs="仿宋" w:hint="eastAsia"/>
                <w:sz w:val="24"/>
                <w:szCs w:val="24"/>
                <w:lang w:val="en-US" w:eastAsia="zh-CN" w:bidi="ar"/>
              </w:rPr>
            </w:pPr>
            <w:r>
              <w:rPr>
                <w:rFonts w:ascii="仿宋" w:eastAsia="仿宋" w:hAnsi="仿宋" w:cs="仿宋" w:hint="eastAsia"/>
                <w:b w:val="0"/>
                <w:bCs w:val="0"/>
                <w:kern w:val="0"/>
                <w:sz w:val="24"/>
                <w:szCs w:val="24"/>
                <w:lang w:val="en-US" w:eastAsia="zh-CN" w:bidi="ar"/>
              </w:rPr>
              <w:t>应提供在有效期内的保险保单</w:t>
            </w:r>
            <w:r>
              <w:rPr>
                <w:rFonts w:ascii="仿宋" w:eastAsia="仿宋" w:hAnsi="仿宋" w:cs="仿宋" w:hint="eastAsia"/>
                <w:b w:val="0"/>
                <w:bCs w:val="0"/>
                <w:sz w:val="24"/>
                <w:szCs w:val="24"/>
                <w:highlight w:val="none"/>
                <w:lang w:val="en-US" w:eastAsia="zh-CN"/>
              </w:rPr>
              <w:t>（或保险合同）</w:t>
            </w:r>
            <w:r>
              <w:rPr>
                <w:rFonts w:ascii="仿宋" w:eastAsia="仿宋" w:hAnsi="仿宋" w:cs="仿宋" w:hint="eastAsia"/>
                <w:b w:val="0"/>
                <w:bCs w:val="0"/>
                <w:kern w:val="0"/>
                <w:sz w:val="24"/>
                <w:szCs w:val="24"/>
                <w:lang w:val="en-US" w:eastAsia="zh-CN" w:bidi="ar"/>
              </w:rPr>
              <w:t>以及</w:t>
            </w:r>
            <w:r>
              <w:rPr>
                <w:rFonts w:ascii="仿宋" w:eastAsia="仿宋" w:hAnsi="仿宋" w:cs="仿宋" w:hint="eastAsia"/>
                <w:b w:val="0"/>
                <w:bCs w:val="0"/>
                <w:sz w:val="24"/>
                <w:szCs w:val="24"/>
                <w:highlight w:val="none"/>
                <w:lang w:val="en-US" w:eastAsia="zh-CN"/>
              </w:rPr>
              <w:t>保险购买发票的</w:t>
            </w:r>
            <w:r>
              <w:rPr>
                <w:rFonts w:ascii="仿宋" w:eastAsia="仿宋" w:hAnsi="仿宋" w:cs="仿宋" w:hint="eastAsia"/>
                <w:b w:val="0"/>
                <w:bCs w:val="0"/>
                <w:kern w:val="0"/>
                <w:sz w:val="24"/>
                <w:szCs w:val="24"/>
                <w:lang w:val="en-US" w:eastAsia="zh-CN" w:bidi="ar"/>
              </w:rPr>
              <w:t xml:space="preserve">复印件或扫描件，保险的有效期限需覆盖本项目的投标截止日期，原件待查。若未提供证明材料，或所提供的证明材料不符合要求，或所提供的证明材料不清晰致使评审专家无法辨认的，则不予计分。 </w:t>
            </w:r>
          </w:p>
        </w:tc>
      </w:tr>
      <w:tr w14:paraId="06901CA5">
        <w:tblPrEx>
          <w:tblW w:w="5000" w:type="pct"/>
          <w:jc w:val="center"/>
          <w:tblLayout w:type="fixed"/>
          <w:tblCellMar>
            <w:top w:w="20" w:type="dxa"/>
            <w:left w:w="108" w:type="dxa"/>
            <w:bottom w:w="20" w:type="dxa"/>
            <w:right w:w="108" w:type="dxa"/>
          </w:tblCellMar>
        </w:tblPrEx>
        <w:trPr>
          <w:jc w:val="center"/>
        </w:trPr>
        <w:tc>
          <w:tcPr>
            <w:tcW w:w="742" w:type="dxa"/>
            <w:vMerge/>
            <w:tcBorders>
              <w:left w:val="single" w:sz="8" w:space="0" w:color="000000"/>
              <w:right w:val="single" w:sz="8" w:space="0" w:color="000000"/>
            </w:tcBorders>
            <w:noWrap w:val="0"/>
            <w:vAlign w:val="center"/>
          </w:tcPr>
          <w:p w14:paraId="06AE467F">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center"/>
          </w:tcPr>
          <w:p w14:paraId="2CF899FC">
            <w:pPr>
              <w:widowControl w:val="0"/>
              <w:adjustRightInd w:val="0"/>
              <w:snapToGrid w:val="0"/>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3</w:t>
            </w:r>
          </w:p>
        </w:tc>
        <w:tc>
          <w:tcPr>
            <w:tcW w:w="1533"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14:paraId="6928C66F">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val="en-US" w:eastAsia="zh-CN" w:bidi="ar-SA"/>
              </w:rPr>
            </w:pPr>
            <w:r>
              <w:rPr>
                <w:rFonts w:ascii="仿宋" w:eastAsia="仿宋" w:hAnsi="仿宋" w:cs="仿宋" w:hint="eastAsia"/>
                <w:sz w:val="24"/>
                <w:szCs w:val="24"/>
                <w:lang w:eastAsia="zh-CN" w:bidi="ar"/>
              </w:rPr>
              <w:t>供应商获奖情况</w:t>
            </w:r>
          </w:p>
        </w:tc>
        <w:tc>
          <w:tcPr>
            <w:tcW w:w="575" w:type="dxa"/>
            <w:tcBorders>
              <w:top w:val="single" w:sz="8" w:space="0" w:color="000000"/>
              <w:left w:val="single" w:sz="8" w:space="0" w:color="000000"/>
              <w:bottom w:val="single" w:sz="8" w:space="0" w:color="000000"/>
              <w:right w:val="single" w:sz="8" w:space="0" w:color="000000"/>
            </w:tcBorders>
            <w:shd w:val="clear" w:color="auto" w:fill="auto"/>
            <w:noWrap w:val="0"/>
            <w:vAlign w:val="top"/>
          </w:tcPr>
          <w:p w14:paraId="25367BF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62A0F758">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49E8BB1D">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720904AC">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val="en-US" w:eastAsia="zh-CN" w:bidi="ar-SA"/>
              </w:rPr>
            </w:pPr>
            <w:r>
              <w:rPr>
                <w:rFonts w:ascii="仿宋" w:eastAsia="仿宋" w:hAnsi="仿宋" w:cs="仿宋" w:hint="eastAsia"/>
                <w:sz w:val="24"/>
                <w:szCs w:val="24"/>
                <w:lang w:val="en-US" w:eastAsia="zh-CN" w:bidi="ar"/>
              </w:rPr>
              <w:t>3</w:t>
            </w:r>
          </w:p>
        </w:tc>
        <w:tc>
          <w:tcPr>
            <w:tcW w:w="6491" w:type="dxa"/>
            <w:tcBorders>
              <w:top w:val="single" w:sz="8" w:space="0" w:color="000000"/>
              <w:left w:val="single" w:sz="8" w:space="0" w:color="000000"/>
              <w:bottom w:val="single" w:sz="8" w:space="0" w:color="000000"/>
              <w:right w:val="single" w:sz="8" w:space="0" w:color="000000"/>
            </w:tcBorders>
            <w:shd w:val="clear" w:color="auto" w:fill="auto"/>
            <w:noWrap w:val="0"/>
            <w:vAlign w:val="top"/>
          </w:tcPr>
          <w:p w14:paraId="005C02EB">
            <w:pPr>
              <w:keepNext w:val="0"/>
              <w:keepLines w:val="0"/>
              <w:widowControl/>
              <w:numPr>
                <w:ilvl w:val="0"/>
                <w:numId w:val="1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b/>
                <w:bCs/>
                <w:sz w:val="24"/>
                <w:szCs w:val="24"/>
                <w:lang w:eastAsia="zh-CN" w:bidi="ar"/>
              </w:rPr>
            </w:pPr>
            <w:r>
              <w:rPr>
                <w:rFonts w:ascii="仿宋" w:eastAsia="仿宋" w:hAnsi="仿宋" w:cs="仿宋" w:hint="eastAsia"/>
                <w:b/>
                <w:bCs/>
                <w:sz w:val="24"/>
                <w:szCs w:val="24"/>
                <w:lang w:eastAsia="zh-CN" w:bidi="ar"/>
              </w:rPr>
              <w:t>评分内容：</w:t>
            </w:r>
          </w:p>
          <w:p w14:paraId="34230558">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投标人2021年1月1日以来获得团餐类技术比赛荣誉证书得</w:t>
            </w:r>
            <w:r>
              <w:rPr>
                <w:rFonts w:ascii="仿宋" w:eastAsia="仿宋" w:hAnsi="仿宋" w:cs="仿宋" w:hint="eastAsia"/>
                <w:sz w:val="24"/>
                <w:szCs w:val="24"/>
                <w:lang w:val="en-US" w:eastAsia="zh-CN" w:bidi="ar"/>
              </w:rPr>
              <w:t>3</w:t>
            </w:r>
            <w:r>
              <w:rPr>
                <w:rFonts w:ascii="仿宋" w:eastAsia="仿宋" w:hAnsi="仿宋" w:cs="仿宋" w:hint="eastAsia"/>
                <w:sz w:val="24"/>
                <w:szCs w:val="24"/>
                <w:lang w:eastAsia="zh-CN" w:bidi="ar"/>
              </w:rPr>
              <w:t>分。</w:t>
            </w:r>
          </w:p>
          <w:p w14:paraId="707B99F2">
            <w:pPr>
              <w:widowControl w:val="0"/>
              <w:numPr>
                <w:ilvl w:val="0"/>
                <w:numId w:val="10"/>
              </w:numPr>
              <w:spacing w:line="240" w:lineRule="auto"/>
              <w:ind w:left="0" w:firstLine="0" w:leftChars="0" w:firstLineChars="0"/>
              <w:jc w:val="both"/>
              <w:rPr>
                <w:rFonts w:ascii="仿宋" w:eastAsia="仿宋" w:hAnsi="仿宋" w:cs="仿宋" w:hint="eastAsia"/>
                <w:b/>
                <w:bCs/>
                <w:sz w:val="24"/>
                <w:szCs w:val="24"/>
                <w:lang w:eastAsia="zh-CN" w:bidi="ar"/>
              </w:rPr>
            </w:pPr>
            <w:r>
              <w:rPr>
                <w:rFonts w:ascii="仿宋" w:eastAsia="仿宋" w:hAnsi="仿宋" w:cs="仿宋" w:hint="eastAsia"/>
                <w:b/>
                <w:bCs/>
                <w:sz w:val="24"/>
                <w:szCs w:val="24"/>
                <w:lang w:eastAsia="zh-CN" w:bidi="ar"/>
              </w:rPr>
              <w:t xml:space="preserve">评分依据： </w:t>
            </w:r>
          </w:p>
          <w:p w14:paraId="4A6FF17A">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eastAsia"/>
                <w:b/>
                <w:bCs/>
                <w:spacing w:val="14"/>
                <w:kern w:val="2"/>
                <w:sz w:val="24"/>
                <w:szCs w:val="24"/>
                <w:lang w:val="en-US" w:eastAsia="zh-CN" w:bidi="ar-SA"/>
              </w:rPr>
            </w:pPr>
            <w:r>
              <w:rPr>
                <w:rFonts w:ascii="仿宋" w:eastAsia="仿宋" w:hAnsi="仿宋" w:cs="仿宋" w:hint="eastAsia"/>
                <w:b w:val="0"/>
                <w:bCs w:val="0"/>
                <w:spacing w:val="14"/>
                <w:kern w:val="2"/>
                <w:sz w:val="24"/>
                <w:szCs w:val="24"/>
                <w:lang w:val="en-US" w:eastAsia="zh-CN" w:bidi="ar-SA"/>
              </w:rPr>
              <w:t>提供奖项照片或获奖（荣誉）证书等证明材料扫描件，原件备查；评分中出现无证明资料或专家无法凭所提供资料判断是否得分的情况，一律作不得分处理。</w:t>
            </w:r>
          </w:p>
        </w:tc>
      </w:tr>
      <w:tr w14:paraId="1B52609E">
        <w:tblPrEx>
          <w:tblW w:w="5000" w:type="pct"/>
          <w:jc w:val="center"/>
          <w:tblLayout w:type="fixed"/>
          <w:tblCellMar>
            <w:top w:w="20" w:type="dxa"/>
            <w:left w:w="108" w:type="dxa"/>
            <w:bottom w:w="20" w:type="dxa"/>
            <w:right w:w="108" w:type="dxa"/>
          </w:tblCellMar>
        </w:tblPrEx>
        <w:trPr>
          <w:jc w:val="center"/>
        </w:trPr>
        <w:tc>
          <w:tcPr>
            <w:tcW w:w="742" w:type="dxa"/>
            <w:vMerge/>
            <w:tcBorders>
              <w:left w:val="single" w:sz="8" w:space="0" w:color="000000"/>
              <w:right w:val="single" w:sz="8" w:space="0" w:color="000000"/>
            </w:tcBorders>
            <w:noWrap w:val="0"/>
            <w:vAlign w:val="center"/>
          </w:tcPr>
          <w:p w14:paraId="03A41F90">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top"/>
          </w:tcPr>
          <w:p w14:paraId="109ED844">
            <w:pPr>
              <w:widowControl w:val="0"/>
              <w:adjustRightInd w:val="0"/>
              <w:snapToGrid w:val="0"/>
              <w:spacing w:line="240" w:lineRule="auto"/>
              <w:jc w:val="center"/>
              <w:rPr>
                <w:rFonts w:ascii="仿宋" w:eastAsia="仿宋" w:hAnsi="仿宋" w:cs="仿宋" w:hint="eastAsia"/>
                <w:kern w:val="2"/>
                <w:sz w:val="24"/>
                <w:szCs w:val="24"/>
                <w:lang w:eastAsia="zh-CN"/>
              </w:rPr>
            </w:pPr>
          </w:p>
          <w:p w14:paraId="7F4EC81C">
            <w:pPr>
              <w:widowControl w:val="0"/>
              <w:adjustRightInd w:val="0"/>
              <w:snapToGrid w:val="0"/>
              <w:spacing w:line="240" w:lineRule="auto"/>
              <w:jc w:val="center"/>
              <w:rPr>
                <w:rFonts w:ascii="仿宋" w:eastAsia="仿宋" w:hAnsi="仿宋" w:cs="仿宋" w:hint="eastAsia"/>
                <w:kern w:val="2"/>
                <w:sz w:val="24"/>
                <w:szCs w:val="24"/>
                <w:lang w:eastAsia="zh-CN"/>
              </w:rPr>
            </w:pPr>
          </w:p>
          <w:p w14:paraId="261AF9EC">
            <w:pPr>
              <w:widowControl w:val="0"/>
              <w:adjustRightInd w:val="0"/>
              <w:snapToGrid w:val="0"/>
              <w:spacing w:line="240" w:lineRule="auto"/>
              <w:jc w:val="center"/>
              <w:rPr>
                <w:rFonts w:ascii="仿宋" w:eastAsia="仿宋" w:hAnsi="仿宋" w:cs="仿宋" w:hint="eastAsia"/>
                <w:kern w:val="2"/>
                <w:sz w:val="24"/>
                <w:szCs w:val="24"/>
                <w:lang w:eastAsia="zh-CN"/>
              </w:rPr>
            </w:pPr>
          </w:p>
          <w:p w14:paraId="19A218E6">
            <w:pPr>
              <w:widowControl w:val="0"/>
              <w:adjustRightInd w:val="0"/>
              <w:snapToGrid w:val="0"/>
              <w:spacing w:line="24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val="en-US" w:eastAsia="zh-CN"/>
              </w:rPr>
              <w:t>4</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147A1CAB">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同类项目业绩</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00CCF5B7">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3C10418A">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5FEAACC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7366968E">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4475AF04">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val="en-US" w:eastAsia="zh-CN"/>
              </w:rPr>
            </w:pPr>
            <w:r>
              <w:rPr>
                <w:rFonts w:ascii="仿宋" w:eastAsia="仿宋" w:hAnsi="仿宋" w:cs="仿宋" w:hint="eastAsia"/>
                <w:sz w:val="24"/>
                <w:szCs w:val="24"/>
                <w:lang w:val="en-US" w:eastAsia="zh-CN" w:bidi="ar"/>
              </w:rPr>
              <w:t>10</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7776138B">
            <w:pPr>
              <w:keepNext w:val="0"/>
              <w:keepLines w:val="0"/>
              <w:widowControl/>
              <w:numPr>
                <w:ilvl w:val="0"/>
                <w:numId w:val="11"/>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b/>
                <w:bCs/>
                <w:sz w:val="24"/>
                <w:szCs w:val="24"/>
                <w:lang w:eastAsia="zh-CN" w:bidi="ar"/>
              </w:rPr>
            </w:pPr>
            <w:r>
              <w:rPr>
                <w:rFonts w:ascii="仿宋" w:eastAsia="仿宋" w:hAnsi="仿宋" w:cs="仿宋" w:hint="eastAsia"/>
                <w:b/>
                <w:bCs/>
                <w:sz w:val="24"/>
                <w:szCs w:val="24"/>
                <w:lang w:eastAsia="zh-CN" w:bidi="ar"/>
              </w:rPr>
              <w:t>评分内容：</w:t>
            </w:r>
          </w:p>
          <w:p w14:paraId="7754C338">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sz w:val="24"/>
                <w:szCs w:val="24"/>
                <w:lang w:eastAsia="zh-CN" w:bidi="ar"/>
              </w:rPr>
              <w:t>投标人提供202</w:t>
            </w:r>
            <w:r>
              <w:rPr>
                <w:rFonts w:ascii="仿宋" w:eastAsia="仿宋" w:hAnsi="仿宋" w:cs="仿宋" w:hint="eastAsia"/>
                <w:sz w:val="24"/>
                <w:szCs w:val="24"/>
                <w:lang w:val="en-US" w:eastAsia="zh-CN" w:bidi="ar"/>
              </w:rPr>
              <w:t>2</w:t>
            </w:r>
            <w:r>
              <w:rPr>
                <w:rFonts w:ascii="仿宋" w:eastAsia="仿宋" w:hAnsi="仿宋" w:cs="仿宋" w:hint="eastAsia"/>
                <w:sz w:val="24"/>
                <w:szCs w:val="24"/>
                <w:lang w:eastAsia="zh-CN" w:bidi="ar"/>
              </w:rPr>
              <w:t>年1月1日至本项目投标截止之日，承担过政府部门或事业单位食堂运营管理服务类业绩,每提供1</w:t>
            </w:r>
            <w:r>
              <w:rPr>
                <w:rFonts w:ascii="仿宋" w:eastAsia="仿宋" w:hAnsi="仿宋" w:cs="仿宋" w:hint="eastAsia"/>
                <w:sz w:val="24"/>
                <w:szCs w:val="24"/>
                <w:lang w:val="en-US" w:eastAsia="zh-CN" w:bidi="ar"/>
              </w:rPr>
              <w:t>项</w:t>
            </w:r>
            <w:r>
              <w:rPr>
                <w:rFonts w:ascii="仿宋" w:eastAsia="仿宋" w:hAnsi="仿宋" w:cs="仿宋" w:hint="eastAsia"/>
                <w:sz w:val="24"/>
                <w:szCs w:val="24"/>
                <w:lang w:eastAsia="zh-CN" w:bidi="ar"/>
              </w:rPr>
              <w:t>得</w:t>
            </w:r>
            <w:r>
              <w:rPr>
                <w:rFonts w:ascii="仿宋" w:eastAsia="仿宋" w:hAnsi="仿宋" w:cs="仿宋" w:hint="eastAsia"/>
                <w:sz w:val="24"/>
                <w:szCs w:val="24"/>
                <w:lang w:val="en-US" w:eastAsia="zh-CN" w:bidi="ar"/>
              </w:rPr>
              <w:t>2</w:t>
            </w:r>
            <w:r>
              <w:rPr>
                <w:rFonts w:ascii="仿宋" w:eastAsia="仿宋" w:hAnsi="仿宋" w:cs="仿宋" w:hint="eastAsia"/>
                <w:sz w:val="24"/>
                <w:szCs w:val="24"/>
                <w:lang w:eastAsia="zh-CN" w:bidi="ar"/>
              </w:rPr>
              <w:t>分，满分</w:t>
            </w:r>
            <w:r>
              <w:rPr>
                <w:rFonts w:ascii="仿宋" w:eastAsia="仿宋" w:hAnsi="仿宋" w:cs="仿宋" w:hint="eastAsia"/>
                <w:sz w:val="24"/>
                <w:szCs w:val="24"/>
                <w:lang w:val="en-US" w:eastAsia="zh-CN" w:bidi="ar"/>
              </w:rPr>
              <w:t>10</w:t>
            </w:r>
            <w:r>
              <w:rPr>
                <w:rFonts w:ascii="仿宋" w:eastAsia="仿宋" w:hAnsi="仿宋" w:cs="仿宋" w:hint="eastAsia"/>
                <w:sz w:val="24"/>
                <w:szCs w:val="24"/>
                <w:lang w:eastAsia="zh-CN" w:bidi="ar"/>
              </w:rPr>
              <w:t>分。</w:t>
            </w:r>
          </w:p>
          <w:p w14:paraId="531D29C0">
            <w:pPr>
              <w:keepNext w:val="0"/>
              <w:keepLines w:val="0"/>
              <w:widowControl/>
              <w:numPr>
                <w:ilvl w:val="0"/>
                <w:numId w:val="11"/>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eastAsia"/>
                <w:sz w:val="24"/>
                <w:szCs w:val="24"/>
                <w:lang w:eastAsia="zh-CN" w:bidi="ar"/>
              </w:rPr>
            </w:pPr>
            <w:r>
              <w:rPr>
                <w:rFonts w:ascii="仿宋" w:eastAsia="仿宋" w:hAnsi="仿宋" w:cs="仿宋" w:hint="eastAsia"/>
                <w:b/>
                <w:bCs/>
                <w:sz w:val="24"/>
                <w:szCs w:val="24"/>
                <w:lang w:eastAsia="zh-CN" w:bidi="ar"/>
              </w:rPr>
              <w:t>评分依据：</w:t>
            </w:r>
            <w:r>
              <w:rPr>
                <w:rFonts w:ascii="仿宋" w:eastAsia="仿宋" w:hAnsi="仿宋" w:cs="仿宋" w:hint="eastAsia"/>
                <w:sz w:val="24"/>
                <w:szCs w:val="24"/>
                <w:lang w:eastAsia="zh-CN" w:bidi="ar"/>
              </w:rPr>
              <w:t xml:space="preserve"> </w:t>
            </w:r>
          </w:p>
          <w:p w14:paraId="72EC55D4">
            <w:pPr>
              <w:keepNext w:val="0"/>
              <w:keepLines w:val="0"/>
              <w:widowControl/>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提供中标通知书和合同关键页（关键信息包括但不仅限于合同的项目名称、服务内容、合同服务的起止时间、签订日期等）证明文件扫描件，若合同无法体现的还需提供加盖甲方公章或业务章的证明文件，原件备查；未按要求提供或提供不清晰导致专家无法判断的不得分。</w:t>
            </w:r>
          </w:p>
        </w:tc>
      </w:tr>
      <w:tr w14:paraId="57C1018D">
        <w:tblPrEx>
          <w:tblW w:w="5000" w:type="pct"/>
          <w:jc w:val="center"/>
          <w:tblLayout w:type="fixed"/>
          <w:tblCellMar>
            <w:top w:w="20" w:type="dxa"/>
            <w:left w:w="108" w:type="dxa"/>
            <w:bottom w:w="20" w:type="dxa"/>
            <w:right w:w="108" w:type="dxa"/>
          </w:tblCellMar>
        </w:tblPrEx>
        <w:trPr>
          <w:trHeight w:val="3802"/>
          <w:jc w:val="center"/>
        </w:trPr>
        <w:tc>
          <w:tcPr>
            <w:tcW w:w="742" w:type="dxa"/>
            <w:vMerge/>
            <w:tcBorders>
              <w:left w:val="single" w:sz="8" w:space="0" w:color="000000"/>
              <w:right w:val="single" w:sz="8" w:space="0" w:color="000000"/>
            </w:tcBorders>
            <w:noWrap w:val="0"/>
            <w:vAlign w:val="center"/>
          </w:tcPr>
          <w:p w14:paraId="1AB9C280">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top"/>
          </w:tcPr>
          <w:p w14:paraId="2172FBC8">
            <w:pPr>
              <w:widowControl w:val="0"/>
              <w:adjustRightInd w:val="0"/>
              <w:snapToGrid w:val="0"/>
              <w:spacing w:line="240" w:lineRule="auto"/>
              <w:jc w:val="center"/>
              <w:rPr>
                <w:rFonts w:ascii="仿宋" w:eastAsia="仿宋" w:hAnsi="仿宋" w:cs="仿宋" w:hint="eastAsia"/>
                <w:kern w:val="2"/>
                <w:sz w:val="24"/>
                <w:szCs w:val="24"/>
                <w:shd w:val="clear" w:color="auto" w:fill="FFFFFF"/>
                <w:lang w:val="en-US" w:eastAsia="zh-CN"/>
              </w:rPr>
            </w:pPr>
          </w:p>
          <w:p w14:paraId="29990856">
            <w:pPr>
              <w:widowControl w:val="0"/>
              <w:adjustRightInd w:val="0"/>
              <w:snapToGrid w:val="0"/>
              <w:spacing w:line="240" w:lineRule="auto"/>
              <w:jc w:val="center"/>
              <w:rPr>
                <w:rFonts w:ascii="仿宋" w:eastAsia="仿宋" w:hAnsi="仿宋" w:cs="仿宋" w:hint="eastAsia"/>
                <w:kern w:val="2"/>
                <w:sz w:val="24"/>
                <w:szCs w:val="24"/>
                <w:shd w:val="clear" w:color="auto" w:fill="FFFFFF"/>
                <w:lang w:val="en-US" w:eastAsia="zh-CN"/>
              </w:rPr>
            </w:pPr>
          </w:p>
          <w:p w14:paraId="61976370">
            <w:pPr>
              <w:widowControl w:val="0"/>
              <w:adjustRightInd w:val="0"/>
              <w:snapToGrid w:val="0"/>
              <w:spacing w:line="240" w:lineRule="auto"/>
              <w:jc w:val="center"/>
              <w:rPr>
                <w:rFonts w:ascii="仿宋" w:eastAsia="仿宋" w:hAnsi="仿宋" w:cs="仿宋" w:hint="eastAsia"/>
                <w:kern w:val="2"/>
                <w:sz w:val="24"/>
                <w:szCs w:val="24"/>
                <w:shd w:val="clear" w:color="auto" w:fill="FFFFFF"/>
                <w:lang w:val="en-US" w:eastAsia="zh-CN"/>
              </w:rPr>
            </w:pPr>
          </w:p>
          <w:p w14:paraId="00A8D5B7">
            <w:pPr>
              <w:widowControl w:val="0"/>
              <w:adjustRightInd w:val="0"/>
              <w:snapToGrid w:val="0"/>
              <w:spacing w:line="240" w:lineRule="auto"/>
              <w:jc w:val="center"/>
              <w:rPr>
                <w:rFonts w:ascii="仿宋" w:eastAsia="仿宋" w:hAnsi="仿宋" w:cs="仿宋" w:hint="eastAsia"/>
                <w:kern w:val="2"/>
                <w:sz w:val="24"/>
                <w:szCs w:val="24"/>
                <w:shd w:val="clear" w:color="auto" w:fill="FFFFFF"/>
                <w:lang w:val="en-US" w:eastAsia="zh-CN"/>
              </w:rPr>
            </w:pPr>
          </w:p>
          <w:p w14:paraId="40F02772">
            <w:pPr>
              <w:widowControl w:val="0"/>
              <w:adjustRightInd w:val="0"/>
              <w:snapToGrid w:val="0"/>
              <w:spacing w:line="240" w:lineRule="auto"/>
              <w:jc w:val="center"/>
              <w:rPr>
                <w:rFonts w:ascii="仿宋" w:eastAsia="仿宋" w:hAnsi="仿宋" w:cs="仿宋" w:hint="eastAsia"/>
                <w:kern w:val="2"/>
                <w:sz w:val="24"/>
                <w:szCs w:val="24"/>
                <w:shd w:val="clear" w:color="auto" w:fill="FFFFFF"/>
                <w:lang w:val="en-US" w:eastAsia="zh-CN"/>
              </w:rPr>
            </w:pPr>
            <w:r>
              <w:rPr>
                <w:rFonts w:ascii="仿宋" w:eastAsia="仿宋" w:hAnsi="仿宋" w:cs="仿宋" w:hint="eastAsia"/>
                <w:kern w:val="2"/>
                <w:sz w:val="24"/>
                <w:szCs w:val="24"/>
                <w:shd w:val="clear" w:color="auto" w:fill="FFFFFF"/>
                <w:lang w:val="en-US" w:eastAsia="zh-CN"/>
              </w:rPr>
              <w:t>5</w:t>
            </w:r>
          </w:p>
          <w:p w14:paraId="352495D6">
            <w:pPr>
              <w:widowControl w:val="0"/>
              <w:adjustRightInd w:val="0"/>
              <w:snapToGrid w:val="0"/>
              <w:spacing w:line="240" w:lineRule="auto"/>
              <w:jc w:val="center"/>
              <w:rPr>
                <w:rFonts w:ascii="仿宋" w:eastAsia="仿宋" w:hAnsi="仿宋" w:cs="仿宋" w:hint="eastAsia"/>
                <w:kern w:val="2"/>
                <w:sz w:val="24"/>
                <w:szCs w:val="24"/>
                <w:shd w:val="clear" w:color="auto" w:fill="FFFFFF"/>
                <w:lang w:val="en-US" w:eastAsia="zh-CN"/>
              </w:rPr>
            </w:pP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582E07B3">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eastAsia="zh-CN"/>
              </w:rPr>
            </w:pPr>
            <w:r>
              <w:rPr>
                <w:rFonts w:ascii="仿宋" w:eastAsia="仿宋" w:hAnsi="仿宋" w:cs="仿宋" w:hint="eastAsia"/>
                <w:sz w:val="24"/>
                <w:szCs w:val="24"/>
                <w:lang w:eastAsia="zh-CN" w:bidi="ar"/>
              </w:rPr>
              <w:t>履约评价情况</w:t>
            </w:r>
          </w:p>
        </w:tc>
        <w:tc>
          <w:tcPr>
            <w:tcW w:w="575" w:type="dxa"/>
            <w:tcBorders>
              <w:top w:val="single" w:sz="8" w:space="0" w:color="000000"/>
              <w:left w:val="single" w:sz="8" w:space="0" w:color="000000"/>
              <w:bottom w:val="single" w:sz="8" w:space="0" w:color="000000"/>
              <w:right w:val="single" w:sz="8" w:space="0" w:color="000000"/>
            </w:tcBorders>
            <w:noWrap w:val="0"/>
            <w:vAlign w:val="top"/>
          </w:tcPr>
          <w:p w14:paraId="772755B3">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7990170A">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5599E956">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7BEE70BC">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50C6AF8D">
            <w:pPr>
              <w:keepNext w:val="0"/>
              <w:keepLines w:val="0"/>
              <w:widowControl/>
              <w:suppressLineNumbers w:val="0"/>
              <w:wordWrap w:val="0"/>
              <w:spacing w:line="240" w:lineRule="auto"/>
              <w:jc w:val="center"/>
              <w:textAlignment w:val="top"/>
              <w:rPr>
                <w:rFonts w:ascii="仿宋" w:eastAsia="仿宋" w:hAnsi="仿宋" w:cs="仿宋" w:hint="eastAsia"/>
                <w:sz w:val="24"/>
                <w:szCs w:val="24"/>
                <w:lang w:eastAsia="zh-CN" w:bidi="ar"/>
              </w:rPr>
            </w:pPr>
          </w:p>
          <w:p w14:paraId="1B2CD77E">
            <w:pPr>
              <w:keepNext w:val="0"/>
              <w:keepLines w:val="0"/>
              <w:widowControl/>
              <w:suppressLineNumbers w:val="0"/>
              <w:wordWrap w:val="0"/>
              <w:spacing w:line="240" w:lineRule="auto"/>
              <w:jc w:val="center"/>
              <w:textAlignment w:val="top"/>
              <w:rPr>
                <w:rFonts w:ascii="仿宋" w:eastAsia="仿宋" w:hAnsi="仿宋" w:cs="仿宋" w:hint="eastAsia"/>
                <w:sz w:val="24"/>
                <w:szCs w:val="24"/>
                <w:lang w:val="en-US" w:eastAsia="zh-CN" w:bidi="ar"/>
              </w:rPr>
            </w:pPr>
          </w:p>
          <w:p w14:paraId="27264C3A">
            <w:pPr>
              <w:keepNext w:val="0"/>
              <w:keepLines w:val="0"/>
              <w:widowControl/>
              <w:suppressLineNumbers w:val="0"/>
              <w:wordWrap w:val="0"/>
              <w:spacing w:line="240" w:lineRule="auto"/>
              <w:jc w:val="center"/>
              <w:textAlignment w:val="top"/>
              <w:rPr>
                <w:rFonts w:ascii="仿宋" w:eastAsia="仿宋" w:hAnsi="仿宋" w:cs="仿宋" w:hint="eastAsia"/>
                <w:kern w:val="2"/>
                <w:sz w:val="24"/>
                <w:szCs w:val="24"/>
                <w:lang w:val="en-US" w:eastAsia="zh-CN"/>
              </w:rPr>
            </w:pPr>
            <w:r>
              <w:rPr>
                <w:rFonts w:ascii="仿宋" w:eastAsia="仿宋" w:hAnsi="仿宋" w:cs="仿宋" w:hint="eastAsia"/>
                <w:sz w:val="24"/>
                <w:szCs w:val="24"/>
                <w:lang w:val="en-US" w:eastAsia="zh-CN" w:bidi="ar"/>
              </w:rPr>
              <w:t>10</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432A34C3">
            <w:pPr>
              <w:keepNext w:val="0"/>
              <w:keepLines w:val="0"/>
              <w:widowControl/>
              <w:numPr>
                <w:ilvl w:val="0"/>
                <w:numId w:val="12"/>
              </w:numPr>
              <w:suppressLineNumbers w:val="0"/>
              <w:pBdr>
                <w:top w:val="none" w:sz="0" w:space="0" w:color="auto"/>
                <w:left w:val="none" w:sz="0" w:space="0" w:color="auto"/>
                <w:bottom w:val="none" w:sz="0" w:space="0" w:color="auto"/>
                <w:right w:val="none" w:sz="0" w:space="0" w:color="auto"/>
              </w:pBdr>
              <w:wordWrap w:val="0"/>
              <w:spacing w:line="240" w:lineRule="auto"/>
              <w:jc w:val="left"/>
              <w:textAlignment w:val="top"/>
              <w:rPr>
                <w:rFonts w:ascii="仿宋" w:eastAsia="仿宋" w:hAnsi="仿宋" w:cs="仿宋" w:hint="eastAsia"/>
                <w:sz w:val="24"/>
                <w:szCs w:val="24"/>
                <w:lang w:eastAsia="zh-CN" w:bidi="ar"/>
              </w:rPr>
            </w:pPr>
            <w:r>
              <w:rPr>
                <w:rFonts w:ascii="仿宋" w:eastAsia="仿宋" w:hAnsi="仿宋" w:cs="仿宋" w:hint="eastAsia"/>
                <w:b/>
                <w:bCs/>
                <w:sz w:val="24"/>
                <w:szCs w:val="24"/>
                <w:lang w:eastAsia="zh-CN" w:bidi="ar"/>
              </w:rPr>
              <w:t>评分内容：</w:t>
            </w:r>
            <w:r>
              <w:rPr>
                <w:rFonts w:ascii="仿宋" w:eastAsia="仿宋" w:hAnsi="仿宋" w:cs="仿宋" w:hint="eastAsia"/>
                <w:sz w:val="24"/>
                <w:szCs w:val="24"/>
                <w:lang w:eastAsia="zh-CN" w:bidi="ar"/>
              </w:rPr>
              <w:t xml:space="preserve"> </w:t>
            </w:r>
          </w:p>
          <w:p w14:paraId="35CD7499">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Chars="0"/>
              <w:jc w:val="left"/>
              <w:textAlignment w:val="top"/>
              <w:rPr>
                <w:rFonts w:ascii="仿宋" w:eastAsia="仿宋" w:hAnsi="仿宋" w:cs="仿宋" w:hint="eastAsia"/>
                <w:b w:val="0"/>
                <w:bCs w:val="0"/>
                <w:sz w:val="24"/>
                <w:szCs w:val="24"/>
                <w:lang w:eastAsia="zh-CN" w:bidi="ar"/>
              </w:rPr>
            </w:pPr>
            <w:r>
              <w:rPr>
                <w:rFonts w:ascii="仿宋" w:eastAsia="仿宋" w:hAnsi="仿宋" w:cs="仿宋" w:hint="eastAsia"/>
                <w:b w:val="0"/>
                <w:bCs w:val="0"/>
                <w:sz w:val="24"/>
                <w:szCs w:val="24"/>
                <w:lang w:eastAsia="zh-CN" w:bidi="ar"/>
              </w:rPr>
              <w:t>投标人提供202</w:t>
            </w:r>
            <w:r>
              <w:rPr>
                <w:rFonts w:ascii="仿宋" w:eastAsia="仿宋" w:hAnsi="仿宋" w:cs="仿宋" w:hint="eastAsia"/>
                <w:b w:val="0"/>
                <w:bCs w:val="0"/>
                <w:sz w:val="24"/>
                <w:szCs w:val="24"/>
                <w:lang w:val="en-US" w:eastAsia="zh-CN" w:bidi="ar"/>
              </w:rPr>
              <w:t>2</w:t>
            </w:r>
            <w:r>
              <w:rPr>
                <w:rFonts w:ascii="仿宋" w:eastAsia="仿宋" w:hAnsi="仿宋" w:cs="仿宋" w:hint="eastAsia"/>
                <w:b w:val="0"/>
                <w:bCs w:val="0"/>
                <w:sz w:val="24"/>
                <w:szCs w:val="24"/>
                <w:lang w:eastAsia="zh-CN" w:bidi="ar"/>
              </w:rPr>
              <w:t>年1月1日至本项目投标截止之日，上述有效同类项目业绩并经服务单位考核评价为“优”或“满意”或评价表中其他最高等级履约评价的每提供1项得</w:t>
            </w:r>
            <w:r>
              <w:rPr>
                <w:rFonts w:ascii="仿宋" w:eastAsia="仿宋" w:hAnsi="仿宋" w:cs="仿宋" w:hint="eastAsia"/>
                <w:b w:val="0"/>
                <w:bCs w:val="0"/>
                <w:sz w:val="24"/>
                <w:szCs w:val="24"/>
                <w:lang w:val="en-US" w:eastAsia="zh-CN" w:bidi="ar"/>
              </w:rPr>
              <w:t>2</w:t>
            </w:r>
            <w:r>
              <w:rPr>
                <w:rFonts w:ascii="仿宋" w:eastAsia="仿宋" w:hAnsi="仿宋" w:cs="仿宋" w:hint="eastAsia"/>
                <w:b w:val="0"/>
                <w:bCs w:val="0"/>
                <w:sz w:val="24"/>
                <w:szCs w:val="24"/>
                <w:lang w:eastAsia="zh-CN" w:bidi="ar"/>
              </w:rPr>
              <w:t>分，本项最高得10分。</w:t>
            </w:r>
          </w:p>
          <w:p w14:paraId="06770142">
            <w:pPr>
              <w:keepNext w:val="0"/>
              <w:keepLines w:val="0"/>
              <w:widowControl/>
              <w:numPr>
                <w:ilvl w:val="0"/>
                <w:numId w:val="12"/>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eastAsia"/>
                <w:sz w:val="24"/>
                <w:szCs w:val="24"/>
                <w:lang w:eastAsia="zh-CN" w:bidi="ar"/>
              </w:rPr>
            </w:pPr>
            <w:r>
              <w:rPr>
                <w:rFonts w:ascii="仿宋" w:eastAsia="仿宋" w:hAnsi="仿宋" w:cs="仿宋" w:hint="eastAsia"/>
                <w:b/>
                <w:bCs/>
                <w:sz w:val="24"/>
                <w:szCs w:val="24"/>
                <w:lang w:eastAsia="zh-CN" w:bidi="ar"/>
              </w:rPr>
              <w:t>评分依据：</w:t>
            </w:r>
            <w:r>
              <w:rPr>
                <w:rFonts w:ascii="仿宋" w:eastAsia="仿宋" w:hAnsi="仿宋" w:cs="仿宋" w:hint="eastAsia"/>
                <w:sz w:val="24"/>
                <w:szCs w:val="24"/>
                <w:lang w:eastAsia="zh-CN" w:bidi="ar"/>
              </w:rPr>
              <w:t xml:space="preserve"> </w:t>
            </w:r>
          </w:p>
          <w:p w14:paraId="3350144B">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wordWrap w:val="0"/>
              <w:spacing w:line="240" w:lineRule="auto"/>
              <w:ind w:left="0" w:firstLine="0" w:leftChars="0" w:firstLineChars="0"/>
              <w:jc w:val="left"/>
              <w:textAlignment w:val="top"/>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提供</w:t>
            </w:r>
            <w:r>
              <w:rPr>
                <w:rFonts w:ascii="仿宋" w:eastAsia="仿宋" w:hAnsi="仿宋" w:cs="仿宋" w:hint="eastAsia"/>
                <w:kern w:val="2"/>
                <w:sz w:val="24"/>
                <w:szCs w:val="24"/>
                <w:lang w:val="en-US" w:eastAsia="zh-CN"/>
              </w:rPr>
              <w:t>项目采购单位或被服务单位出具的</w:t>
            </w:r>
            <w:r>
              <w:rPr>
                <w:rFonts w:ascii="仿宋" w:eastAsia="仿宋" w:hAnsi="仿宋" w:cs="仿宋" w:hint="eastAsia"/>
                <w:kern w:val="2"/>
                <w:sz w:val="24"/>
                <w:szCs w:val="24"/>
                <w:lang w:eastAsia="zh-CN"/>
              </w:rPr>
              <w:t>总体履约评价为“优”或“满意”或评价表中其他最高等级评价的履约评价证明文件，</w:t>
            </w:r>
            <w:r>
              <w:rPr>
                <w:rFonts w:ascii="仿宋" w:eastAsia="仿宋" w:hAnsi="仿宋" w:cs="仿宋" w:hint="eastAsia"/>
                <w:kern w:val="2"/>
                <w:sz w:val="24"/>
                <w:szCs w:val="24"/>
                <w:lang w:val="en-US" w:eastAsia="zh-CN"/>
              </w:rPr>
              <w:t>需加盖合同甲方（或被服务方）公章（或业务章）；证明文件的内容包括但不限于项目</w:t>
            </w:r>
            <w:r>
              <w:rPr>
                <w:rFonts w:ascii="仿宋" w:eastAsia="仿宋" w:hAnsi="仿宋" w:cs="仿宋" w:hint="eastAsia"/>
                <w:kern w:val="2"/>
                <w:sz w:val="24"/>
                <w:szCs w:val="24"/>
                <w:lang w:eastAsia="zh-CN"/>
              </w:rPr>
              <w:t>项目名称、项目编号、总体履约评价结果、出具证明的签署日期等相关内容），原件备查；未提供或未按要求提供或提供不清晰导致专家无法判断的不得分。</w:t>
            </w:r>
          </w:p>
        </w:tc>
      </w:tr>
      <w:tr w14:paraId="6D4D54E9">
        <w:tblPrEx>
          <w:tblW w:w="5000" w:type="pct"/>
          <w:jc w:val="center"/>
          <w:tblLayout w:type="fixed"/>
          <w:tblCellMar>
            <w:top w:w="20" w:type="dxa"/>
            <w:left w:w="108" w:type="dxa"/>
            <w:bottom w:w="20" w:type="dxa"/>
            <w:right w:w="108" w:type="dxa"/>
          </w:tblCellMar>
        </w:tblPrEx>
        <w:trPr>
          <w:jc w:val="center"/>
        </w:trPr>
        <w:tc>
          <w:tcPr>
            <w:tcW w:w="742" w:type="dxa"/>
            <w:vMerge/>
            <w:tcBorders>
              <w:left w:val="single" w:sz="8" w:space="0" w:color="000000"/>
              <w:bottom w:val="single" w:sz="8" w:space="0" w:color="000000"/>
              <w:right w:val="single" w:sz="8" w:space="0" w:color="000000"/>
            </w:tcBorders>
            <w:noWrap w:val="0"/>
            <w:vAlign w:val="center"/>
          </w:tcPr>
          <w:p w14:paraId="434F81D1">
            <w:pPr>
              <w:widowControl w:val="0"/>
              <w:spacing w:line="240" w:lineRule="auto"/>
              <w:jc w:val="left"/>
              <w:rPr>
                <w:rFonts w:ascii="仿宋" w:eastAsia="仿宋" w:hAnsi="仿宋" w:cs="仿宋" w:hint="eastAsia"/>
                <w:kern w:val="2"/>
                <w:sz w:val="24"/>
                <w:szCs w:val="24"/>
                <w:lang w:eastAsia="zh-CN"/>
              </w:rPr>
            </w:pPr>
          </w:p>
        </w:tc>
        <w:tc>
          <w:tcPr>
            <w:tcW w:w="741" w:type="dxa"/>
            <w:tcBorders>
              <w:top w:val="single" w:sz="8" w:space="0" w:color="000000"/>
              <w:left w:val="single" w:sz="8" w:space="0" w:color="000000"/>
              <w:bottom w:val="single" w:sz="8" w:space="0" w:color="000000"/>
              <w:right w:val="single" w:sz="8" w:space="0" w:color="000000"/>
            </w:tcBorders>
            <w:noWrap w:val="0"/>
            <w:vAlign w:val="top"/>
          </w:tcPr>
          <w:p w14:paraId="39554D7C">
            <w:pPr>
              <w:widowControl w:val="0"/>
              <w:adjustRightInd w:val="0"/>
              <w:snapToGrid w:val="0"/>
              <w:spacing w:line="240" w:lineRule="auto"/>
              <w:jc w:val="center"/>
              <w:rPr>
                <w:rFonts w:ascii="仿宋" w:eastAsia="仿宋" w:hAnsi="仿宋" w:cs="仿宋" w:hint="eastAsia"/>
                <w:kern w:val="2"/>
                <w:sz w:val="24"/>
                <w:szCs w:val="24"/>
                <w:shd w:val="clear" w:color="auto" w:fill="FFFFFF"/>
                <w:lang w:eastAsia="zh-CN"/>
              </w:rPr>
            </w:pPr>
          </w:p>
          <w:p w14:paraId="44D25096">
            <w:pPr>
              <w:widowControl w:val="0"/>
              <w:adjustRightInd w:val="0"/>
              <w:snapToGrid w:val="0"/>
              <w:spacing w:line="240" w:lineRule="auto"/>
              <w:jc w:val="center"/>
              <w:rPr>
                <w:rFonts w:ascii="仿宋" w:eastAsia="仿宋" w:hAnsi="仿宋" w:cs="仿宋" w:hint="eastAsia"/>
                <w:kern w:val="2"/>
                <w:sz w:val="24"/>
                <w:szCs w:val="24"/>
                <w:shd w:val="clear" w:color="auto" w:fill="FFFFFF"/>
                <w:lang w:eastAsia="zh-CN"/>
              </w:rPr>
            </w:pPr>
          </w:p>
          <w:p w14:paraId="7BE3135E">
            <w:pPr>
              <w:widowControl w:val="0"/>
              <w:adjustRightInd w:val="0"/>
              <w:snapToGrid w:val="0"/>
              <w:spacing w:line="240" w:lineRule="auto"/>
              <w:jc w:val="center"/>
              <w:rPr>
                <w:rFonts w:ascii="仿宋" w:eastAsia="仿宋" w:hAnsi="仿宋" w:cs="仿宋" w:hint="eastAsia"/>
                <w:kern w:val="2"/>
                <w:sz w:val="24"/>
                <w:szCs w:val="24"/>
                <w:shd w:val="clear" w:color="auto" w:fill="FFFFFF"/>
                <w:lang w:eastAsia="zh-CN"/>
              </w:rPr>
            </w:pPr>
          </w:p>
          <w:p w14:paraId="31C5072F">
            <w:pPr>
              <w:widowControl w:val="0"/>
              <w:adjustRightInd w:val="0"/>
              <w:snapToGrid w:val="0"/>
              <w:spacing w:line="240" w:lineRule="auto"/>
              <w:jc w:val="center"/>
              <w:rPr>
                <w:rFonts w:ascii="仿宋" w:eastAsia="仿宋" w:hAnsi="仿宋" w:cs="仿宋" w:hint="eastAsia"/>
                <w:kern w:val="2"/>
                <w:sz w:val="24"/>
                <w:szCs w:val="24"/>
                <w:shd w:val="clear" w:color="auto" w:fill="FFFFFF"/>
                <w:lang w:eastAsia="zh-CN"/>
              </w:rPr>
            </w:pPr>
            <w:r>
              <w:rPr>
                <w:rFonts w:ascii="仿宋" w:eastAsia="仿宋" w:hAnsi="仿宋" w:cs="仿宋" w:hint="eastAsia"/>
                <w:kern w:val="2"/>
                <w:sz w:val="24"/>
                <w:szCs w:val="24"/>
                <w:shd w:val="clear" w:color="auto" w:fill="FFFFFF"/>
                <w:lang w:val="en-US" w:eastAsia="zh-CN"/>
              </w:rPr>
              <w:t>6</w:t>
            </w:r>
          </w:p>
        </w:tc>
        <w:tc>
          <w:tcPr>
            <w:tcW w:w="1533" w:type="dxa"/>
            <w:tcBorders>
              <w:top w:val="single" w:sz="8" w:space="0" w:color="000000"/>
              <w:left w:val="single" w:sz="8" w:space="0" w:color="000000"/>
              <w:bottom w:val="single" w:sz="8" w:space="0" w:color="000000"/>
              <w:right w:val="single" w:sz="8" w:space="0" w:color="000000"/>
            </w:tcBorders>
            <w:noWrap w:val="0"/>
            <w:vAlign w:val="center"/>
          </w:tcPr>
          <w:p w14:paraId="6F8C8106">
            <w:pPr>
              <w:keepNext w:val="0"/>
              <w:keepLines w:val="0"/>
              <w:pageBreakBefore w:val="0"/>
              <w:widowControl w:val="0"/>
              <w:kinsoku/>
              <w:wordWrap/>
              <w:overflowPunct/>
              <w:topLinePunct w:val="0"/>
              <w:bidi w:val="0"/>
              <w:adjustRightInd/>
              <w:snapToGrid w:val="0"/>
              <w:spacing w:beforeAutospacing="0" w:afterAutospacing="0" w:line="240" w:lineRule="auto"/>
              <w:ind w:left="0" w:right="0" w:firstLine="0" w:leftChars="0" w:rightChars="0" w:firstLineChars="0"/>
              <w:jc w:val="center"/>
              <w:textAlignment w:val="auto"/>
              <w:rPr>
                <w:rFonts w:ascii="仿宋" w:eastAsia="仿宋" w:hAnsi="仿宋" w:cs="仿宋" w:hint="eastAsia"/>
                <w:sz w:val="24"/>
                <w:szCs w:val="24"/>
                <w:lang w:eastAsia="zh-CN" w:bidi="ar"/>
              </w:rPr>
            </w:pPr>
            <w:r>
              <w:rPr>
                <w:rFonts w:ascii="仿宋" w:eastAsia="仿宋" w:hAnsi="仿宋" w:cs="仿宋" w:hint="eastAsia"/>
                <w:kern w:val="2"/>
                <w:sz w:val="24"/>
                <w:szCs w:val="24"/>
                <w:lang w:eastAsia="zh-CN"/>
              </w:rPr>
              <w:t>诚信情况</w:t>
            </w:r>
          </w:p>
        </w:tc>
        <w:tc>
          <w:tcPr>
            <w:tcW w:w="575" w:type="dxa"/>
            <w:tcBorders>
              <w:top w:val="single" w:sz="8" w:space="0" w:color="000000"/>
              <w:left w:val="single" w:sz="8" w:space="0" w:color="000000"/>
              <w:bottom w:val="single" w:sz="8" w:space="0" w:color="000000"/>
              <w:right w:val="single" w:sz="8" w:space="0" w:color="000000"/>
            </w:tcBorders>
            <w:noWrap w:val="0"/>
            <w:vAlign w:val="center"/>
          </w:tcPr>
          <w:p w14:paraId="36E2688F">
            <w:pPr>
              <w:keepNext w:val="0"/>
              <w:keepLines w:val="0"/>
              <w:pageBreakBefore w:val="0"/>
              <w:widowControl w:val="0"/>
              <w:kinsoku/>
              <w:wordWrap/>
              <w:overflowPunct/>
              <w:topLinePunct w:val="0"/>
              <w:bidi w:val="0"/>
              <w:adjustRightInd/>
              <w:snapToGrid w:val="0"/>
              <w:spacing w:beforeAutospacing="0" w:afterAutospacing="0" w:line="240" w:lineRule="auto"/>
              <w:ind w:left="0" w:right="0" w:firstLine="0" w:leftChars="0" w:rightChars="0" w:firstLineChars="0"/>
              <w:jc w:val="center"/>
              <w:textAlignment w:val="auto"/>
              <w:rPr>
                <w:rFonts w:ascii="仿宋" w:eastAsia="仿宋" w:hAnsi="仿宋" w:cs="仿宋" w:hint="eastAsia"/>
                <w:sz w:val="24"/>
                <w:szCs w:val="24"/>
                <w:lang w:eastAsia="zh-CN" w:bidi="ar"/>
              </w:rPr>
            </w:pPr>
            <w:r>
              <w:rPr>
                <w:rFonts w:ascii="仿宋" w:eastAsia="仿宋" w:hAnsi="仿宋" w:cs="仿宋" w:hint="eastAsia"/>
                <w:kern w:val="2"/>
                <w:sz w:val="24"/>
                <w:szCs w:val="24"/>
                <w:lang w:eastAsia="zh-CN"/>
              </w:rPr>
              <w:t>5</w:t>
            </w:r>
          </w:p>
        </w:tc>
        <w:tc>
          <w:tcPr>
            <w:tcW w:w="6491" w:type="dxa"/>
            <w:tcBorders>
              <w:top w:val="single" w:sz="8" w:space="0" w:color="000000"/>
              <w:left w:val="single" w:sz="8" w:space="0" w:color="000000"/>
              <w:bottom w:val="single" w:sz="8" w:space="0" w:color="000000"/>
              <w:right w:val="single" w:sz="8" w:space="0" w:color="000000"/>
            </w:tcBorders>
            <w:noWrap w:val="0"/>
            <w:vAlign w:val="top"/>
          </w:tcPr>
          <w:p w14:paraId="0290AA3A">
            <w:pPr>
              <w:keepNext w:val="0"/>
              <w:keepLines w:val="0"/>
              <w:pageBreakBefore w:val="0"/>
              <w:widowControl w:val="0"/>
              <w:kinsoku/>
              <w:wordWrap/>
              <w:overflowPunct/>
              <w:topLinePunct w:val="0"/>
              <w:bidi w:val="0"/>
              <w:adjustRightInd/>
              <w:spacing w:beforeAutospacing="0" w:afterAutospacing="0" w:line="240" w:lineRule="auto"/>
              <w:ind w:left="0" w:right="0" w:firstLine="0" w:leftChars="0" w:rightChars="0" w:firstLineChars="0"/>
              <w:jc w:val="both"/>
              <w:textAlignment w:val="auto"/>
              <w:rPr>
                <w:rFonts w:ascii="仿宋" w:eastAsia="仿宋" w:hAnsi="仿宋" w:cs="仿宋" w:hint="eastAsia"/>
                <w:b w:val="0"/>
                <w:bCs/>
                <w:sz w:val="24"/>
                <w:szCs w:val="24"/>
                <w:lang w:eastAsia="zh-CN" w:bidi="ar"/>
              </w:rPr>
            </w:pPr>
            <w:r>
              <w:rPr>
                <w:rFonts w:ascii="仿宋" w:eastAsia="仿宋" w:hAnsi="仿宋" w:cs="仿宋" w:hint="eastAsia"/>
                <w:b w:val="0"/>
                <w:bCs/>
                <w:sz w:val="24"/>
                <w:szCs w:val="24"/>
                <w:lang w:eastAsia="zh-CN" w:bidi="ar"/>
              </w:rPr>
              <w:t>投标人存在《深圳市财政局政府采购供应商信用信息管理办法》（深财规〔2023〕3号）列明的一般行政处罚信息、一般违法失信行为记录信息的，本项不得分，不存在上述情形的本项得5</w:t>
            </w:r>
            <w:r>
              <w:rPr>
                <w:rFonts w:ascii="仿宋" w:eastAsia="仿宋" w:hAnsi="仿宋" w:cs="仿宋" w:hint="eastAsia"/>
                <w:b w:val="0"/>
                <w:bCs/>
                <w:sz w:val="24"/>
                <w:szCs w:val="24"/>
                <w:lang w:val="en-US" w:eastAsia="zh-CN" w:bidi="ar"/>
              </w:rPr>
              <w:t>分</w:t>
            </w:r>
            <w:r>
              <w:rPr>
                <w:rFonts w:ascii="仿宋" w:eastAsia="仿宋" w:hAnsi="仿宋" w:cs="仿宋" w:hint="eastAsia"/>
                <w:b w:val="0"/>
                <w:bCs/>
                <w:sz w:val="24"/>
                <w:szCs w:val="24"/>
                <w:lang w:eastAsia="zh-CN" w:bidi="ar"/>
              </w:rPr>
              <w:t>。投标人无需提供任何证明材料，评标过程中由工作人员向评审委员会提供有关供应商诚信查询结果。</w:t>
            </w:r>
          </w:p>
          <w:p w14:paraId="43CBE8AA">
            <w:pPr>
              <w:keepNext w:val="0"/>
              <w:keepLines w:val="0"/>
              <w:pageBreakBefore w:val="0"/>
              <w:widowControl w:val="0"/>
              <w:kinsoku/>
              <w:wordWrap/>
              <w:overflowPunct/>
              <w:topLinePunct w:val="0"/>
              <w:bidi w:val="0"/>
              <w:adjustRightInd/>
              <w:spacing w:beforeAutospacing="0" w:afterAutospacing="0" w:line="240" w:lineRule="auto"/>
              <w:ind w:left="0" w:right="0" w:firstLine="0" w:leftChars="0" w:rightChars="0" w:firstLineChars="0"/>
              <w:jc w:val="both"/>
              <w:textAlignment w:val="auto"/>
              <w:rPr>
                <w:rFonts w:ascii="仿宋" w:eastAsia="仿宋" w:hAnsi="仿宋" w:cs="仿宋" w:hint="eastAsia"/>
                <w:b/>
                <w:sz w:val="24"/>
                <w:szCs w:val="24"/>
                <w:lang w:eastAsia="zh-CN" w:bidi="ar"/>
              </w:rPr>
            </w:pPr>
            <w:r>
              <w:rPr>
                <w:rFonts w:ascii="仿宋" w:eastAsia="仿宋" w:hAnsi="仿宋" w:cs="仿宋" w:hint="eastAsia"/>
                <w:b w:val="0"/>
                <w:bCs/>
                <w:sz w:val="24"/>
                <w:szCs w:val="24"/>
                <w:lang w:eastAsia="zh-CN" w:bidi="ar"/>
              </w:rPr>
              <w:t>查询渠道：通过“信用中国”（www.creditchina.gov.cn，下载信用信息报告）、“中国政府采购网”（www.ccgp.gov.cn）以及“深圳市政府采购监管网”（http://zfcg.sz.gov.cn）查询供应商信用信息，信用信息以开标当日的查询结果为准。</w:t>
            </w:r>
          </w:p>
        </w:tc>
      </w:tr>
    </w:tbl>
    <w:p w14:paraId="71D066F1">
      <w:pPr>
        <w:widowControl w:val="0"/>
        <w:bidi w:val="0"/>
        <w:spacing w:line="360" w:lineRule="auto"/>
        <w:ind w:firstLine="440" w:firstLineChars="200"/>
        <w:jc w:val="both"/>
        <w:rPr>
          <w:rFonts w:ascii="仿宋" w:eastAsia="仿宋" w:hAnsi="仿宋" w:cs="仿宋" w:hint="eastAsia"/>
          <w:kern w:val="2"/>
          <w:sz w:val="22"/>
          <w:szCs w:val="22"/>
          <w:lang w:eastAsia="zh-CN"/>
        </w:rPr>
      </w:pPr>
    </w:p>
    <w:p w14:paraId="0E41930B">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14:paraId="49A147CE">
      <w:pPr>
        <w:widowControl w:val="0"/>
        <w:spacing w:line="360" w:lineRule="auto"/>
        <w:ind w:firstLine="420" w:firstLineChars="200"/>
        <w:jc w:val="both"/>
        <w:rPr>
          <w:rFonts w:ascii="仿宋" w:eastAsia="仿宋" w:hAnsi="仿宋" w:cs="仿宋" w:hint="eastAsia"/>
          <w:color w:val="FF0000"/>
          <w:kern w:val="2"/>
          <w:sz w:val="21"/>
          <w:lang w:eastAsia="zh-CN"/>
        </w:rPr>
      </w:pPr>
      <w:r>
        <w:rPr>
          <w:rFonts w:ascii="仿宋" w:eastAsia="仿宋" w:hAnsi="仿宋" w:cs="仿宋" w:hint="eastAsia"/>
          <w:color w:val="FF0000"/>
          <w:kern w:val="2"/>
          <w:sz w:val="21"/>
          <w:szCs w:val="21"/>
          <w:lang w:eastAsia="zh-CN"/>
        </w:rPr>
        <w:t>2.对于要求提供检测（检验）报告的，设置检测（检验）报告评审因素需与采购项目实际需要相适应或与合同履行相关，不得简单追求检测报告/检验报告数量，增加供应商投标成本，若设置检测报告要求的需明确检测的具体内容、依据的标准及查询的网址，且检测机构需取得市场监督管理部门认定的资质。例如：投标人所投产品需通过由市场监督管理部门资质认定的第三方检测机构关于甲醛含量符合GB...合格的检测，需同时提供检测机构体现产品检测能力的“检验检测机构资质证书”、标注CMA或CNAS标识的检测报告及检测报告在全国认证认可信息公共服务平台网站（http://cx.cnca.cn/CertECloud/qts/qts/qtsPage）查询截图扫描件作为得分依据，否则不得分。</w:t>
      </w:r>
    </w:p>
    <w:p w14:paraId="056904E6">
      <w:pPr>
        <w:widowControl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color w:val="FF0000"/>
          <w:kern w:val="2"/>
          <w:sz w:val="21"/>
          <w:szCs w:val="21"/>
          <w:lang w:eastAsia="zh-CN"/>
        </w:rPr>
        <w:t>3.若采购人将产品节能要求纳入评审因素，需考察属于本项目的所投产品。</w:t>
      </w:r>
      <w:r>
        <w:rPr>
          <w:rFonts w:ascii="仿宋" w:eastAsia="仿宋" w:hAnsi="仿宋" w:cs="仿宋" w:hint="eastAsia"/>
          <w:color w:val="0C0C0C"/>
          <w:kern w:val="2"/>
          <w:sz w:val="21"/>
          <w:szCs w:val="21"/>
          <w:lang w:eastAsia="zh-CN"/>
        </w:rPr>
        <w:t>。</w:t>
      </w:r>
      <w:r>
        <w:rPr>
          <w:rFonts w:ascii="仿宋" w:eastAsia="仿宋" w:hAnsi="仿宋" w:cs="仿宋" w:hint="eastAsia"/>
          <w:kern w:val="2"/>
          <w:sz w:val="21"/>
          <w:lang w:eastAsia="zh-CN"/>
        </w:rPr>
        <w:br w:type="page"/>
      </w:r>
    </w:p>
    <w:p w14:paraId="4BDE0853">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FF0000"/>
          <w:kern w:val="2"/>
          <w:sz w:val="32"/>
          <w:lang w:eastAsia="zh-CN"/>
        </w:rPr>
      </w:pPr>
      <w:bookmarkStart w:id="4" w:name="_Toc9232"/>
      <w:bookmarkStart w:id="5" w:name="_Hlk73564573"/>
      <w:r>
        <w:rPr>
          <w:rFonts w:ascii="仿宋" w:eastAsia="仿宋" w:hAnsi="仿宋" w:cs="仿宋" w:hint="eastAsia"/>
          <w:b/>
          <w:color w:val="FF0000"/>
          <w:kern w:val="2"/>
          <w:sz w:val="32"/>
          <w:lang w:eastAsia="zh-CN"/>
        </w:rPr>
        <w:t>警示条款</w:t>
      </w:r>
      <w:bookmarkEnd w:id="4"/>
    </w:p>
    <w:p w14:paraId="22D1EC72">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一、</w:t>
      </w:r>
      <w:r>
        <w:rPr>
          <w:rFonts w:ascii="仿宋" w:eastAsia="仿宋" w:hAnsi="仿宋" w:cs="仿宋" w:hint="eastAsia"/>
          <w:b/>
          <w:bCs/>
          <w:color w:val="FF0000"/>
          <w:kern w:val="2"/>
          <w:sz w:val="20"/>
          <w:szCs w:val="20"/>
          <w:lang w:eastAsia="zh-CN"/>
        </w:rPr>
        <w:t>《深圳经济特区政府采购条例》第五十七条</w:t>
      </w:r>
      <w:r>
        <w:rPr>
          <w:rFonts w:ascii="仿宋" w:eastAsia="仿宋" w:hAnsi="仿宋" w:cs="仿宋"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AA25153">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（一）在采购活动中应当回避而未回避的；</w:t>
      </w:r>
    </w:p>
    <w:p w14:paraId="2959EB0A">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（二）未按本条例规定签订、履行采购合同，造成严重后果的；</w:t>
      </w:r>
    </w:p>
    <w:p w14:paraId="00D3F593">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（三）隐瞒真实情况，提供虚假资料的；</w:t>
      </w:r>
    </w:p>
    <w:p w14:paraId="74C3D9D4">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（四）以非法手段排斥其他供应商参与竞争的；</w:t>
      </w:r>
    </w:p>
    <w:p w14:paraId="2E476FD3">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（五）与其他采购参加人串通投标的；</w:t>
      </w:r>
    </w:p>
    <w:p w14:paraId="7FBE295B">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（六）恶意投诉的；</w:t>
      </w:r>
    </w:p>
    <w:p w14:paraId="5C4DEEE7">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（七）向采购项目相关人行贿或者提供其他不当利益的；</w:t>
      </w:r>
    </w:p>
    <w:p w14:paraId="04B06D65">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（八）阻碍、抗拒主管部门监督检查的；</w:t>
      </w:r>
    </w:p>
    <w:p w14:paraId="7AF3C9F7">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（九）其他违反本条例规定的行为。</w:t>
      </w:r>
    </w:p>
    <w:p w14:paraId="12B7FBE1">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b/>
          <w:bCs/>
          <w:color w:val="FF0000"/>
          <w:kern w:val="2"/>
          <w:sz w:val="20"/>
          <w:szCs w:val="20"/>
          <w:lang w:eastAsia="zh-CN"/>
        </w:rPr>
        <w:t xml:space="preserve">二、《深圳经济特区政府采购条例实施细则》第七十五条 </w:t>
      </w:r>
      <w:r>
        <w:rPr>
          <w:rFonts w:ascii="仿宋" w:eastAsia="仿宋" w:hAnsi="仿宋" w:cs="仿宋"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958C41B">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b/>
          <w:bCs/>
          <w:color w:val="FF0000"/>
          <w:kern w:val="2"/>
          <w:sz w:val="20"/>
          <w:szCs w:val="20"/>
          <w:lang w:eastAsia="zh-CN"/>
        </w:rPr>
        <w:t xml:space="preserve">三、《深圳经济特区政府采购条例实施细则》第七十七条 </w:t>
      </w:r>
      <w:r>
        <w:rPr>
          <w:rFonts w:ascii="仿宋" w:eastAsia="仿宋" w:hAnsi="仿宋" w:cs="仿宋"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9D5FCA7">
      <w:pPr>
        <w:widowControl w:val="0"/>
        <w:spacing w:line="360" w:lineRule="auto"/>
        <w:ind w:firstLine="400" w:firstLineChars="200"/>
        <w:jc w:val="both"/>
        <w:rPr>
          <w:rFonts w:ascii="仿宋" w:eastAsia="仿宋" w:hAnsi="仿宋" w:cs="仿宋" w:hint="eastAsia"/>
          <w:color w:val="FF0000"/>
          <w:kern w:val="2"/>
          <w:sz w:val="20"/>
          <w:szCs w:val="20"/>
          <w:lang w:eastAsia="zh-CN"/>
        </w:rPr>
      </w:pPr>
      <w:r>
        <w:rPr>
          <w:rFonts w:ascii="仿宋" w:eastAsia="仿宋" w:hAnsi="仿宋" w:cs="仿宋"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5"/>
    <w:p w14:paraId="40A781DF">
      <w:pPr>
        <w:widowControl w:val="0"/>
        <w:spacing w:line="360" w:lineRule="auto"/>
        <w:ind w:firstLine="420" w:firstLineChars="200"/>
        <w:jc w:val="both"/>
        <w:rPr>
          <w:rFonts w:ascii="仿宋" w:eastAsia="仿宋" w:hAnsi="仿宋" w:cs="仿宋" w:hint="eastAsia"/>
          <w:b/>
          <w:color w:val="FF0000"/>
          <w:kern w:val="2"/>
          <w:sz w:val="21"/>
          <w:lang w:eastAsia="zh-CN"/>
        </w:rPr>
      </w:pPr>
      <w:r>
        <w:rPr>
          <w:rFonts w:ascii="仿宋" w:eastAsia="仿宋" w:hAnsi="仿宋" w:cs="仿宋" w:hint="eastAsia"/>
          <w:b/>
          <w:color w:val="FF0000"/>
          <w:kern w:val="2"/>
          <w:sz w:val="21"/>
          <w:lang w:eastAsia="zh-CN"/>
        </w:rPr>
        <w:t>四、请投标供应商阅读《政府采购违法行为风险知悉确认书》（内容详见“投标文件附件”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21EEC70F">
      <w:pPr>
        <w:widowControl w:val="0"/>
        <w:spacing w:line="360" w:lineRule="auto"/>
        <w:ind w:firstLine="400" w:firstLineChars="200"/>
        <w:jc w:val="both"/>
        <w:rPr>
          <w:rFonts w:ascii="仿宋" w:eastAsia="仿宋" w:hAnsi="仿宋" w:cs="仿宋" w:hint="eastAsia"/>
          <w:bCs/>
          <w:color w:val="FF0000"/>
          <w:kern w:val="2"/>
          <w:sz w:val="20"/>
          <w:szCs w:val="20"/>
          <w:lang w:eastAsia="zh-CN"/>
        </w:rPr>
      </w:pPr>
      <w:r>
        <w:rPr>
          <w:rFonts w:ascii="仿宋" w:eastAsia="仿宋" w:hAnsi="仿宋" w:cs="仿宋"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7461E5A">
      <w:pPr>
        <w:widowControl w:val="0"/>
        <w:spacing w:line="360" w:lineRule="auto"/>
        <w:ind w:firstLine="400" w:firstLineChars="200"/>
        <w:jc w:val="both"/>
        <w:rPr>
          <w:rFonts w:ascii="仿宋" w:eastAsia="仿宋" w:hAnsi="仿宋" w:cs="仿宋" w:hint="eastAsia"/>
          <w:bCs/>
          <w:color w:val="FF0000"/>
          <w:kern w:val="2"/>
          <w:sz w:val="20"/>
          <w:szCs w:val="20"/>
          <w:lang w:eastAsia="zh-CN"/>
        </w:rPr>
      </w:pPr>
      <w:r>
        <w:rPr>
          <w:rFonts w:ascii="仿宋" w:eastAsia="仿宋" w:hAnsi="仿宋" w:cs="仿宋"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5A308CE9">
      <w:pPr>
        <w:widowControl w:val="0"/>
        <w:spacing w:line="360" w:lineRule="auto"/>
        <w:jc w:val="both"/>
        <w:rPr>
          <w:rFonts w:ascii="仿宋" w:eastAsia="仿宋" w:hAnsi="仿宋" w:cs="仿宋" w:hint="eastAsia"/>
          <w:bCs/>
          <w:kern w:val="2"/>
          <w:szCs w:val="32"/>
          <w:lang w:eastAsia="zh-CN"/>
        </w:rPr>
      </w:pPr>
      <w:r>
        <w:rPr>
          <w:rFonts w:ascii="仿宋" w:eastAsia="仿宋" w:hAnsi="仿宋" w:cs="仿宋"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仿宋" w:eastAsia="仿宋" w:hAnsi="仿宋" w:cs="仿宋" w:hint="eastAsia"/>
          <w:color w:val="FF0000"/>
          <w:kern w:val="2"/>
          <w:sz w:val="20"/>
          <w:szCs w:val="20"/>
          <w:lang w:eastAsia="zh-CN"/>
        </w:rPr>
        <w:t>取消参与本市政府采购资格、依法吊销其营业执照等行政处罚，构成犯罪的，依法追究刑事责任</w:t>
      </w:r>
      <w:r>
        <w:rPr>
          <w:rFonts w:ascii="仿宋" w:eastAsia="仿宋" w:hAnsi="仿宋" w:cs="仿宋" w:hint="eastAsia"/>
          <w:bCs/>
          <w:color w:val="FF0000"/>
          <w:kern w:val="2"/>
          <w:sz w:val="20"/>
          <w:szCs w:val="20"/>
          <w:lang w:eastAsia="zh-CN"/>
        </w:rPr>
        <w:t>，请各供应商独立编制、上传投标文件，妥善保管和使用电子密钥。</w:t>
      </w:r>
      <w:r>
        <w:rPr>
          <w:rFonts w:ascii="仿宋" w:eastAsia="仿宋" w:hAnsi="仿宋" w:cs="仿宋" w:hint="eastAsia"/>
          <w:bCs/>
          <w:kern w:val="2"/>
          <w:szCs w:val="32"/>
          <w:lang w:eastAsia="zh-CN"/>
        </w:rPr>
        <w:br w:type="page"/>
      </w:r>
    </w:p>
    <w:sdt>
      <w:sdtPr>
        <w:rPr>
          <w:rFonts w:ascii="仿宋" w:eastAsia="仿宋" w:hAnsi="仿宋" w:cs="仿宋" w:hint="eastAsia"/>
          <w:kern w:val="2"/>
          <w:sz w:val="30"/>
          <w:szCs w:val="30"/>
          <w:highlight w:val="none"/>
          <w:lang w:val="en-US" w:eastAsia="zh-CN" w:bidi="ar-SA"/>
        </w:rPr>
        <w:id w:val="147462097"/>
        <w:docPartObj>
          <w:docPartGallery w:val="Table of Contents"/>
          <w:docPartUnique/>
        </w:docPartObj>
        <w15:color w:val="DBDBDB"/>
      </w:sdtPr>
      <w:sdtEndPr>
        <w:rPr>
          <w:rFonts w:ascii="仿宋" w:eastAsia="仿宋" w:hAnsi="仿宋" w:cs="仿宋" w:hint="eastAsia"/>
          <w:kern w:val="2"/>
          <w:sz w:val="30"/>
          <w:szCs w:val="30"/>
          <w:highlight w:val="none"/>
          <w:lang w:val="en-US" w:eastAsia="zh-CN" w:bidi="ar-SA"/>
        </w:rPr>
      </w:sdtEndPr>
      <w:sdtContent>
        <w:p w14:paraId="13348E28">
          <w:pPr>
            <w:widowControl w:val="0"/>
            <w:spacing w:before="0" w:beforeLines="0" w:after="0" w:afterLines="0" w:line="240" w:lineRule="auto"/>
            <w:ind w:left="0" w:right="0" w:firstLine="0" w:leftChars="0" w:rightChars="0" w:firstLineChars="0"/>
            <w:jc w:val="center"/>
            <w:rPr>
              <w:rFonts w:ascii="仿宋" w:eastAsia="仿宋" w:hAnsi="仿宋" w:cs="仿宋" w:hint="eastAsia"/>
              <w:kern w:val="2"/>
              <w:sz w:val="30"/>
              <w:szCs w:val="30"/>
              <w:lang w:eastAsia="zh-CN"/>
            </w:rPr>
          </w:pPr>
          <w:r>
            <w:rPr>
              <w:rFonts w:ascii="仿宋" w:eastAsia="仿宋" w:hAnsi="仿宋" w:cs="仿宋" w:hint="eastAsia"/>
              <w:kern w:val="2"/>
              <w:sz w:val="30"/>
              <w:szCs w:val="30"/>
              <w:lang w:eastAsia="zh-CN"/>
            </w:rPr>
            <w:t>目录</w:t>
          </w:r>
        </w:p>
        <w:p w14:paraId="2A116F26">
          <w:pPr>
            <w:widowControl w:val="0"/>
            <w:tabs>
              <w:tab w:val="right" w:leader="dot" w:pos="9866"/>
            </w:tabs>
            <w:spacing w:line="360" w:lineRule="auto"/>
            <w:ind w:left="480" w:leftChars="200"/>
            <w:jc w:val="both"/>
            <w:rPr>
              <w:rFonts w:eastAsia="宋体"/>
              <w:kern w:val="2"/>
              <w:sz w:val="21"/>
              <w:lang w:eastAsia="zh-CN"/>
            </w:rPr>
          </w:pPr>
          <w:r>
            <w:rPr>
              <w:rFonts w:ascii="仿宋" w:eastAsia="仿宋" w:hAnsi="仿宋" w:cs="仿宋" w:hint="eastAsia"/>
              <w:kern w:val="2"/>
              <w:sz w:val="21"/>
              <w:lang w:eastAsia="zh-CN"/>
            </w:rPr>
            <w:fldChar w:fldCharType="begin"/>
          </w:r>
          <w:r>
            <w:rPr>
              <w:rFonts w:ascii="仿宋" w:eastAsia="仿宋" w:hAnsi="仿宋" w:cs="仿宋" w:hint="eastAsia"/>
              <w:kern w:val="2"/>
              <w:sz w:val="21"/>
              <w:lang w:eastAsia="zh-CN"/>
            </w:rPr>
            <w:instrText xml:space="preserve">TOC \o "1-3" \h \u </w:instrText>
          </w:r>
          <w:r>
            <w:rPr>
              <w:rFonts w:ascii="仿宋" w:eastAsia="仿宋" w:hAnsi="仿宋" w:cs="仿宋" w:hint="eastAsia"/>
              <w:kern w:val="2"/>
              <w:sz w:val="21"/>
              <w:lang w:eastAsia="zh-CN"/>
            </w:rPr>
            <w:fldChar w:fldCharType="separate"/>
          </w:r>
          <w:hyperlink w:anchor="_Toc6257" w:history="1">
            <w:r>
              <w:rPr>
                <w:rFonts w:ascii="仿宋" w:eastAsia="仿宋" w:hAnsi="仿宋" w:cs="仿宋" w:hint="eastAsia"/>
                <w:kern w:val="2"/>
                <w:sz w:val="21"/>
                <w:lang w:eastAsia="zh-CN"/>
              </w:rPr>
              <w:t>资格性审查表</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_Toc6257 \h </w:instrText>
            </w:r>
            <w:r>
              <w:rPr>
                <w:rFonts w:eastAsia="宋体"/>
                <w:kern w:val="2"/>
                <w:sz w:val="21"/>
                <w:lang w:eastAsia="zh-CN"/>
              </w:rPr>
              <w:fldChar w:fldCharType="separate"/>
            </w:r>
            <w:r>
              <w:rPr>
                <w:rFonts w:eastAsia="宋体"/>
                <w:kern w:val="2"/>
                <w:sz w:val="21"/>
                <w:lang w:eastAsia="zh-CN"/>
              </w:rPr>
              <w:t>3</w:t>
            </w:r>
            <w:r>
              <w:rPr>
                <w:rFonts w:eastAsia="宋体"/>
                <w:kern w:val="2"/>
                <w:sz w:val="21"/>
                <w:lang w:eastAsia="zh-CN"/>
              </w:rPr>
              <w:fldChar w:fldCharType="end"/>
            </w:r>
          </w:hyperlink>
        </w:p>
        <w:p w14:paraId="12D02033">
          <w:pPr>
            <w:widowControl w:val="0"/>
            <w:tabs>
              <w:tab w:val="right" w:leader="dot" w:pos="9866"/>
            </w:tabs>
            <w:spacing w:line="360" w:lineRule="auto"/>
            <w:ind w:left="480" w:leftChars="200"/>
            <w:jc w:val="both"/>
            <w:rPr>
              <w:rFonts w:eastAsia="宋体"/>
              <w:kern w:val="2"/>
              <w:sz w:val="21"/>
              <w:lang w:eastAsia="zh-CN"/>
            </w:rPr>
          </w:pPr>
          <w:hyperlink w:anchor="_Toc18466" w:history="1">
            <w:r>
              <w:rPr>
                <w:rFonts w:ascii="仿宋" w:eastAsia="仿宋" w:hAnsi="仿宋" w:cs="仿宋" w:hint="eastAsia"/>
                <w:kern w:val="2"/>
                <w:sz w:val="21"/>
                <w:lang w:eastAsia="zh-CN"/>
              </w:rPr>
              <w:t>符合性审查表</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_Toc18466 \h </w:instrText>
            </w:r>
            <w:r>
              <w:rPr>
                <w:rFonts w:eastAsia="宋体"/>
                <w:kern w:val="2"/>
                <w:sz w:val="21"/>
                <w:lang w:eastAsia="zh-CN"/>
              </w:rPr>
              <w:fldChar w:fldCharType="separate"/>
            </w:r>
            <w:r>
              <w:rPr>
                <w:rFonts w:eastAsia="宋体"/>
                <w:kern w:val="2"/>
                <w:sz w:val="21"/>
                <w:lang w:eastAsia="zh-CN"/>
              </w:rPr>
              <w:t>4</w:t>
            </w:r>
            <w:r>
              <w:rPr>
                <w:rFonts w:eastAsia="宋体"/>
                <w:kern w:val="2"/>
                <w:sz w:val="21"/>
                <w:lang w:eastAsia="zh-CN"/>
              </w:rPr>
              <w:fldChar w:fldCharType="end"/>
            </w:r>
          </w:hyperlink>
        </w:p>
        <w:p w14:paraId="0CC10C42">
          <w:pPr>
            <w:widowControl w:val="0"/>
            <w:tabs>
              <w:tab w:val="right" w:leader="dot" w:pos="9866"/>
            </w:tabs>
            <w:spacing w:line="360" w:lineRule="auto"/>
            <w:ind w:left="480" w:leftChars="200"/>
            <w:jc w:val="both"/>
            <w:rPr>
              <w:rFonts w:eastAsia="宋体"/>
              <w:kern w:val="2"/>
              <w:sz w:val="21"/>
              <w:lang w:eastAsia="zh-CN"/>
            </w:rPr>
          </w:pPr>
          <w:hyperlink w:anchor="_Toc2353" w:history="1">
            <w:r>
              <w:rPr>
                <w:rFonts w:ascii="仿宋" w:eastAsia="仿宋" w:hAnsi="仿宋" w:cs="仿宋" w:hint="eastAsia"/>
                <w:kern w:val="2"/>
                <w:sz w:val="21"/>
                <w:lang w:eastAsia="zh-CN"/>
              </w:rPr>
              <w:t>评审信息</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_Toc2353 \h </w:instrText>
            </w:r>
            <w:r>
              <w:rPr>
                <w:rFonts w:eastAsia="宋体"/>
                <w:kern w:val="2"/>
                <w:sz w:val="21"/>
                <w:lang w:eastAsia="zh-CN"/>
              </w:rPr>
              <w:fldChar w:fldCharType="separate"/>
            </w:r>
            <w:r>
              <w:rPr>
                <w:rFonts w:eastAsia="宋体"/>
                <w:kern w:val="2"/>
                <w:sz w:val="21"/>
                <w:lang w:eastAsia="zh-CN"/>
              </w:rPr>
              <w:t>5</w:t>
            </w:r>
            <w:r>
              <w:rPr>
                <w:rFonts w:eastAsia="宋体"/>
                <w:kern w:val="2"/>
                <w:sz w:val="21"/>
                <w:lang w:eastAsia="zh-CN"/>
              </w:rPr>
              <w:fldChar w:fldCharType="end"/>
            </w:r>
          </w:hyperlink>
        </w:p>
        <w:p w14:paraId="5C29AAB4">
          <w:pPr>
            <w:widowControl w:val="0"/>
            <w:tabs>
              <w:tab w:val="right" w:leader="dot" w:pos="9866"/>
            </w:tabs>
            <w:spacing w:line="360" w:lineRule="auto"/>
            <w:ind w:left="480" w:leftChars="200"/>
            <w:jc w:val="both"/>
            <w:rPr>
              <w:rFonts w:eastAsia="宋体"/>
              <w:kern w:val="2"/>
              <w:sz w:val="21"/>
              <w:lang w:eastAsia="zh-CN"/>
            </w:rPr>
          </w:pPr>
          <w:hyperlink w:anchor="_Toc9232" w:history="1">
            <w:r>
              <w:rPr>
                <w:rFonts w:ascii="仿宋" w:eastAsia="仿宋" w:hAnsi="仿宋" w:cs="仿宋" w:hint="eastAsia"/>
                <w:kern w:val="2"/>
                <w:sz w:val="21"/>
                <w:lang w:eastAsia="zh-CN"/>
              </w:rPr>
              <w:t>警示条款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_Toc9232 \h </w:instrText>
            </w:r>
            <w:r>
              <w:rPr>
                <w:rFonts w:eastAsia="宋体"/>
                <w:kern w:val="2"/>
                <w:sz w:val="21"/>
                <w:lang w:eastAsia="zh-CN"/>
              </w:rPr>
              <w:fldChar w:fldCharType="separate"/>
            </w:r>
            <w:r>
              <w:rPr>
                <w:rFonts w:eastAsia="宋体"/>
                <w:kern w:val="2"/>
                <w:sz w:val="21"/>
                <w:lang w:eastAsia="zh-CN"/>
              </w:rPr>
              <w:t>12</w:t>
            </w:r>
            <w:r>
              <w:rPr>
                <w:rFonts w:eastAsia="宋体"/>
                <w:kern w:val="2"/>
                <w:sz w:val="21"/>
                <w:lang w:eastAsia="zh-CN"/>
              </w:rPr>
              <w:fldChar w:fldCharType="end"/>
            </w:r>
          </w:hyperlink>
        </w:p>
        <w:p w14:paraId="2ADEB6CE">
          <w:pPr>
            <w:widowControl w:val="0"/>
            <w:tabs>
              <w:tab w:val="right" w:leader="dot" w:pos="9866"/>
            </w:tabs>
            <w:spacing w:line="360" w:lineRule="auto"/>
            <w:jc w:val="both"/>
            <w:rPr>
              <w:rFonts w:eastAsia="宋体"/>
              <w:kern w:val="2"/>
              <w:sz w:val="21"/>
              <w:lang w:eastAsia="zh-CN"/>
            </w:rPr>
          </w:pPr>
          <w:hyperlink w:anchor="_Toc3579" w:history="1">
            <w:r>
              <w:rPr>
                <w:rFonts w:ascii="仿宋" w:eastAsia="仿宋" w:hAnsi="仿宋" w:cs="仿宋" w:hint="eastAsia"/>
                <w:kern w:val="2"/>
                <w:sz w:val="21"/>
                <w:lang w:eastAsia="zh-CN"/>
              </w:rPr>
              <w:t>第一册  专用条款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_Toc3579 \h </w:instrText>
            </w:r>
            <w:r>
              <w:rPr>
                <w:rFonts w:eastAsia="宋体"/>
                <w:kern w:val="2"/>
                <w:sz w:val="21"/>
                <w:lang w:eastAsia="zh-CN"/>
              </w:rPr>
              <w:fldChar w:fldCharType="separate"/>
            </w:r>
            <w:r>
              <w:rPr>
                <w:rFonts w:eastAsia="宋体"/>
                <w:kern w:val="2"/>
                <w:sz w:val="21"/>
                <w:lang w:eastAsia="zh-CN"/>
              </w:rPr>
              <w:t>16</w:t>
            </w:r>
            <w:r>
              <w:rPr>
                <w:rFonts w:eastAsia="宋体"/>
                <w:kern w:val="2"/>
                <w:sz w:val="21"/>
                <w:lang w:eastAsia="zh-CN"/>
              </w:rPr>
              <w:fldChar w:fldCharType="end"/>
            </w:r>
          </w:hyperlink>
        </w:p>
        <w:p w14:paraId="228F9E5E">
          <w:pPr>
            <w:widowControl w:val="0"/>
            <w:tabs>
              <w:tab w:val="right" w:leader="dot" w:pos="9866"/>
            </w:tabs>
            <w:spacing w:line="360" w:lineRule="auto"/>
            <w:ind w:left="480" w:leftChars="200"/>
            <w:jc w:val="both"/>
            <w:rPr>
              <w:rFonts w:eastAsia="宋体"/>
              <w:kern w:val="2"/>
              <w:sz w:val="21"/>
              <w:lang w:eastAsia="zh-CN"/>
            </w:rPr>
          </w:pPr>
          <w:hyperlink w:anchor="_Toc25237" w:history="1">
            <w:r>
              <w:rPr>
                <w:rFonts w:ascii="仿宋" w:eastAsia="仿宋" w:hAnsi="仿宋" w:cs="仿宋" w:hint="eastAsia"/>
                <w:kern w:val="2"/>
                <w:sz w:val="21"/>
                <w:lang w:eastAsia="zh-CN"/>
              </w:rPr>
              <w:t>第一章 招标公告</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_Toc25237 \h </w:instrText>
            </w:r>
            <w:r>
              <w:rPr>
                <w:rFonts w:eastAsia="宋体"/>
                <w:kern w:val="2"/>
                <w:sz w:val="21"/>
                <w:lang w:eastAsia="zh-CN"/>
              </w:rPr>
              <w:fldChar w:fldCharType="separate"/>
            </w:r>
            <w:r>
              <w:rPr>
                <w:rFonts w:eastAsia="宋体"/>
                <w:kern w:val="2"/>
                <w:sz w:val="21"/>
                <w:lang w:eastAsia="zh-CN"/>
              </w:rPr>
              <w:t>16</w:t>
            </w:r>
            <w:r>
              <w:rPr>
                <w:rFonts w:eastAsia="宋体"/>
                <w:kern w:val="2"/>
                <w:sz w:val="21"/>
                <w:lang w:eastAsia="zh-CN"/>
              </w:rPr>
              <w:fldChar w:fldCharType="end"/>
            </w:r>
          </w:hyperlink>
        </w:p>
        <w:p w14:paraId="602940D5">
          <w:pPr>
            <w:widowControl w:val="0"/>
            <w:tabs>
              <w:tab w:val="right" w:leader="dot" w:pos="9866"/>
            </w:tabs>
            <w:spacing w:line="360" w:lineRule="auto"/>
            <w:ind w:left="480" w:leftChars="200"/>
            <w:jc w:val="both"/>
            <w:rPr>
              <w:rFonts w:eastAsia="宋体"/>
              <w:kern w:val="2"/>
              <w:sz w:val="21"/>
              <w:lang w:eastAsia="zh-CN"/>
            </w:rPr>
          </w:pPr>
          <w:hyperlink w:anchor="_Toc10220" w:history="1">
            <w:r>
              <w:rPr>
                <w:rFonts w:ascii="仿宋" w:eastAsia="仿宋" w:hAnsi="仿宋" w:cs="仿宋" w:hint="eastAsia"/>
                <w:kern w:val="2"/>
                <w:sz w:val="21"/>
                <w:lang w:eastAsia="zh-CN"/>
              </w:rPr>
              <w:t>第二章 对通用条款的补充内容及其他关键信息</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_Toc10220 \h </w:instrText>
            </w:r>
            <w:r>
              <w:rPr>
                <w:rFonts w:eastAsia="宋体"/>
                <w:kern w:val="2"/>
                <w:sz w:val="21"/>
                <w:lang w:eastAsia="zh-CN"/>
              </w:rPr>
              <w:fldChar w:fldCharType="separate"/>
            </w:r>
            <w:r>
              <w:rPr>
                <w:rFonts w:eastAsia="宋体"/>
                <w:kern w:val="2"/>
                <w:sz w:val="21"/>
                <w:lang w:eastAsia="zh-CN"/>
              </w:rPr>
              <w:t>17</w:t>
            </w:r>
            <w:r>
              <w:rPr>
                <w:rFonts w:eastAsia="宋体"/>
                <w:kern w:val="2"/>
                <w:sz w:val="21"/>
                <w:lang w:eastAsia="zh-CN"/>
              </w:rPr>
              <w:fldChar w:fldCharType="end"/>
            </w:r>
          </w:hyperlink>
        </w:p>
        <w:p w14:paraId="724ECD2D">
          <w:pPr>
            <w:widowControl w:val="0"/>
            <w:tabs>
              <w:tab w:val="right" w:leader="dot" w:pos="9866"/>
            </w:tabs>
            <w:spacing w:line="360" w:lineRule="auto"/>
            <w:ind w:left="960" w:leftChars="400"/>
            <w:jc w:val="both"/>
            <w:rPr>
              <w:rFonts w:eastAsia="宋体"/>
              <w:kern w:val="2"/>
              <w:sz w:val="21"/>
              <w:lang w:eastAsia="zh-CN"/>
            </w:rPr>
          </w:pPr>
          <w:hyperlink w:anchor="_Toc24548" w:history="1">
            <w:r>
              <w:rPr>
                <w:rFonts w:ascii="仿宋" w:eastAsia="仿宋" w:hAnsi="仿宋" w:cs="仿宋" w:hint="eastAsia"/>
                <w:kern w:val="2"/>
                <w:sz w:val="21"/>
                <w:lang w:eastAsia="zh-CN"/>
              </w:rPr>
              <w:t>一、对通用条款的补充内容</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_Toc24548 \h </w:instrText>
            </w:r>
            <w:r>
              <w:rPr>
                <w:rFonts w:eastAsia="宋体"/>
                <w:kern w:val="2"/>
                <w:sz w:val="21"/>
                <w:lang w:eastAsia="zh-CN"/>
              </w:rPr>
              <w:fldChar w:fldCharType="separate"/>
            </w:r>
            <w:r>
              <w:rPr>
                <w:rFonts w:eastAsia="宋体"/>
                <w:kern w:val="2"/>
                <w:sz w:val="21"/>
                <w:lang w:eastAsia="zh-CN"/>
              </w:rPr>
              <w:t>17</w:t>
            </w:r>
            <w:r>
              <w:rPr>
                <w:rFonts w:eastAsia="宋体"/>
                <w:kern w:val="2"/>
                <w:sz w:val="21"/>
                <w:lang w:eastAsia="zh-CN"/>
              </w:rPr>
              <w:fldChar w:fldCharType="end"/>
            </w:r>
          </w:hyperlink>
        </w:p>
        <w:p w14:paraId="4A712171">
          <w:pPr>
            <w:widowControl w:val="0"/>
            <w:tabs>
              <w:tab w:val="right" w:leader="dot" w:pos="9866"/>
            </w:tabs>
            <w:spacing w:line="360" w:lineRule="auto"/>
            <w:ind w:left="960" w:leftChars="400"/>
            <w:jc w:val="both"/>
            <w:rPr>
              <w:rFonts w:eastAsia="宋体"/>
              <w:kern w:val="2"/>
              <w:sz w:val="21"/>
              <w:lang w:eastAsia="zh-CN"/>
            </w:rPr>
          </w:pPr>
          <w:hyperlink w:anchor="_Toc27567" w:history="1">
            <w:r>
              <w:rPr>
                <w:rFonts w:ascii="仿宋" w:eastAsia="仿宋" w:hAnsi="仿宋" w:cs="仿宋" w:hint="eastAsia"/>
                <w:kern w:val="2"/>
                <w:sz w:val="21"/>
                <w:lang w:eastAsia="zh-CN"/>
              </w:rPr>
              <w:t>二、其他关键信息</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_Toc27567 \h </w:instrText>
            </w:r>
            <w:r>
              <w:rPr>
                <w:rFonts w:eastAsia="宋体"/>
                <w:kern w:val="2"/>
                <w:sz w:val="21"/>
                <w:lang w:eastAsia="zh-CN"/>
              </w:rPr>
              <w:fldChar w:fldCharType="separate"/>
            </w:r>
            <w:r>
              <w:rPr>
                <w:rFonts w:eastAsia="宋体"/>
                <w:kern w:val="2"/>
                <w:sz w:val="21"/>
                <w:lang w:eastAsia="zh-CN"/>
              </w:rPr>
              <w:t>18</w:t>
            </w:r>
            <w:r>
              <w:rPr>
                <w:rFonts w:eastAsia="宋体"/>
                <w:kern w:val="2"/>
                <w:sz w:val="21"/>
                <w:lang w:eastAsia="zh-CN"/>
              </w:rPr>
              <w:fldChar w:fldCharType="end"/>
            </w:r>
          </w:hyperlink>
        </w:p>
        <w:p w14:paraId="30307347">
          <w:pPr>
            <w:widowControl w:val="0"/>
            <w:tabs>
              <w:tab w:val="right" w:leader="dot" w:pos="9866"/>
            </w:tabs>
            <w:spacing w:line="360" w:lineRule="auto"/>
            <w:ind w:left="480" w:leftChars="200"/>
            <w:jc w:val="both"/>
            <w:rPr>
              <w:rFonts w:eastAsia="宋体"/>
              <w:kern w:val="2"/>
              <w:sz w:val="21"/>
              <w:lang w:eastAsia="zh-CN"/>
            </w:rPr>
          </w:pPr>
          <w:hyperlink w:anchor="_Toc2600" w:history="1">
            <w:r>
              <w:rPr>
                <w:rFonts w:ascii="仿宋" w:eastAsia="仿宋" w:hAnsi="仿宋" w:cs="仿宋" w:hint="eastAsia"/>
                <w:kern w:val="2"/>
                <w:sz w:val="21"/>
                <w:lang w:eastAsia="zh-CN"/>
              </w:rPr>
              <w:t>第三章 项目需求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_Toc2600 \h </w:instrText>
            </w:r>
            <w:r>
              <w:rPr>
                <w:rFonts w:eastAsia="宋体"/>
                <w:kern w:val="2"/>
                <w:sz w:val="21"/>
                <w:lang w:eastAsia="zh-CN"/>
              </w:rPr>
              <w:fldChar w:fldCharType="separate"/>
            </w:r>
            <w:r>
              <w:rPr>
                <w:rFonts w:eastAsia="宋体"/>
                <w:kern w:val="2"/>
                <w:sz w:val="21"/>
                <w:lang w:eastAsia="zh-CN"/>
              </w:rPr>
              <w:t>21</w:t>
            </w:r>
            <w:r>
              <w:rPr>
                <w:rFonts w:eastAsia="宋体"/>
                <w:kern w:val="2"/>
                <w:sz w:val="21"/>
                <w:lang w:eastAsia="zh-CN"/>
              </w:rPr>
              <w:fldChar w:fldCharType="end"/>
            </w:r>
          </w:hyperlink>
        </w:p>
        <w:p w14:paraId="0F458D9D">
          <w:pPr>
            <w:widowControl w:val="0"/>
            <w:tabs>
              <w:tab w:val="right" w:leader="dot" w:pos="9866"/>
            </w:tabs>
            <w:spacing w:line="360" w:lineRule="auto"/>
            <w:ind w:left="960" w:leftChars="400"/>
            <w:jc w:val="both"/>
            <w:rPr>
              <w:rFonts w:eastAsia="宋体"/>
              <w:kern w:val="2"/>
              <w:sz w:val="21"/>
              <w:lang w:eastAsia="zh-CN"/>
            </w:rPr>
          </w:pPr>
          <w:hyperlink w:anchor="_Toc4708" w:history="1">
            <w:r>
              <w:rPr>
                <w:rFonts w:ascii="仿宋" w:eastAsia="仿宋" w:hAnsi="仿宋" w:cs="仿宋" w:hint="eastAsia"/>
                <w:kern w:val="2"/>
                <w:sz w:val="21"/>
                <w:lang w:eastAsia="zh-CN"/>
              </w:rPr>
              <w:t>一、项目清单</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_Toc4708 \h </w:instrText>
            </w:r>
            <w:r>
              <w:rPr>
                <w:rFonts w:eastAsia="宋体"/>
                <w:kern w:val="2"/>
                <w:sz w:val="21"/>
                <w:lang w:eastAsia="zh-CN"/>
              </w:rPr>
              <w:fldChar w:fldCharType="separate"/>
            </w:r>
            <w:r>
              <w:rPr>
                <w:rFonts w:eastAsia="宋体"/>
                <w:kern w:val="2"/>
                <w:sz w:val="21"/>
                <w:lang w:eastAsia="zh-CN"/>
              </w:rPr>
              <w:t>22</w:t>
            </w:r>
            <w:r>
              <w:rPr>
                <w:rFonts w:eastAsia="宋体"/>
                <w:kern w:val="2"/>
                <w:sz w:val="21"/>
                <w:lang w:eastAsia="zh-CN"/>
              </w:rPr>
              <w:fldChar w:fldCharType="end"/>
            </w:r>
          </w:hyperlink>
        </w:p>
        <w:p w14:paraId="3B8B7813">
          <w:pPr>
            <w:widowControl w:val="0"/>
            <w:tabs>
              <w:tab w:val="right" w:leader="dot" w:pos="9866"/>
            </w:tabs>
            <w:spacing w:line="360" w:lineRule="auto"/>
            <w:ind w:left="960" w:leftChars="400"/>
            <w:jc w:val="both"/>
            <w:rPr>
              <w:rFonts w:eastAsia="宋体"/>
              <w:kern w:val="2"/>
              <w:sz w:val="21"/>
              <w:lang w:eastAsia="zh-CN"/>
            </w:rPr>
          </w:pPr>
          <w:hyperlink w:anchor="_Toc4907" w:history="1">
            <w:r>
              <w:rPr>
                <w:rFonts w:ascii="仿宋" w:eastAsia="仿宋" w:hAnsi="仿宋" w:cs="仿宋" w:hint="eastAsia"/>
                <w:kern w:val="2"/>
                <w:sz w:val="21"/>
                <w:szCs w:val="32"/>
                <w:lang w:eastAsia="zh-CN"/>
              </w:rPr>
              <w:t>二、服务需求内容表述</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_Toc4907 \h </w:instrText>
            </w:r>
            <w:r>
              <w:rPr>
                <w:rFonts w:eastAsia="宋体"/>
                <w:kern w:val="2"/>
                <w:sz w:val="21"/>
                <w:lang w:eastAsia="zh-CN"/>
              </w:rPr>
              <w:fldChar w:fldCharType="separate"/>
            </w:r>
            <w:r>
              <w:rPr>
                <w:rFonts w:eastAsia="宋体"/>
                <w:kern w:val="2"/>
                <w:sz w:val="21"/>
                <w:lang w:eastAsia="zh-CN"/>
              </w:rPr>
              <w:t>22</w:t>
            </w:r>
            <w:r>
              <w:rPr>
                <w:rFonts w:eastAsia="宋体"/>
                <w:kern w:val="2"/>
                <w:sz w:val="21"/>
                <w:lang w:eastAsia="zh-CN"/>
              </w:rPr>
              <w:fldChar w:fldCharType="end"/>
            </w:r>
          </w:hyperlink>
        </w:p>
        <w:p w14:paraId="2FE24E67">
          <w:pPr>
            <w:widowControl w:val="0"/>
            <w:tabs>
              <w:tab w:val="right" w:leader="dot" w:pos="9866"/>
            </w:tabs>
            <w:spacing w:line="360" w:lineRule="auto"/>
            <w:ind w:left="960" w:leftChars="400"/>
            <w:jc w:val="both"/>
            <w:rPr>
              <w:rFonts w:eastAsia="宋体"/>
              <w:kern w:val="2"/>
              <w:sz w:val="21"/>
              <w:lang w:eastAsia="zh-CN"/>
            </w:rPr>
          </w:pPr>
          <w:hyperlink w:anchor="_Toc14094" w:history="1">
            <w:r>
              <w:rPr>
                <w:rFonts w:ascii="仿宋" w:eastAsia="仿宋" w:hAnsi="仿宋" w:cs="仿宋" w:hint="eastAsia"/>
                <w:kern w:val="2"/>
                <w:sz w:val="21"/>
                <w:lang w:eastAsia="zh-CN"/>
              </w:rPr>
              <w:t>三、服务期限</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_Toc14094 \h </w:instrText>
            </w:r>
            <w:r>
              <w:rPr>
                <w:rFonts w:eastAsia="宋体"/>
                <w:kern w:val="2"/>
                <w:sz w:val="21"/>
                <w:lang w:eastAsia="zh-CN"/>
              </w:rPr>
              <w:fldChar w:fldCharType="separate"/>
            </w:r>
            <w:r>
              <w:rPr>
                <w:rFonts w:eastAsia="宋体"/>
                <w:kern w:val="2"/>
                <w:sz w:val="21"/>
                <w:lang w:eastAsia="zh-CN"/>
              </w:rPr>
              <w:t>30</w:t>
            </w:r>
            <w:r>
              <w:rPr>
                <w:rFonts w:eastAsia="宋体"/>
                <w:kern w:val="2"/>
                <w:sz w:val="21"/>
                <w:lang w:eastAsia="zh-CN"/>
              </w:rPr>
              <w:fldChar w:fldCharType="end"/>
            </w:r>
          </w:hyperlink>
        </w:p>
        <w:p w14:paraId="18B2A591">
          <w:pPr>
            <w:widowControl w:val="0"/>
            <w:tabs>
              <w:tab w:val="right" w:leader="dot" w:pos="9866"/>
            </w:tabs>
            <w:spacing w:line="360" w:lineRule="auto"/>
            <w:ind w:left="960" w:leftChars="400"/>
            <w:jc w:val="both"/>
            <w:rPr>
              <w:rFonts w:eastAsia="宋体"/>
              <w:kern w:val="2"/>
              <w:sz w:val="21"/>
              <w:lang w:eastAsia="zh-CN"/>
            </w:rPr>
          </w:pPr>
          <w:hyperlink w:anchor="_Toc16554" w:history="1">
            <w:r>
              <w:rPr>
                <w:rFonts w:ascii="仿宋" w:eastAsia="仿宋" w:hAnsi="仿宋" w:cs="仿宋" w:hint="eastAsia"/>
                <w:kern w:val="2"/>
                <w:sz w:val="21"/>
                <w:lang w:eastAsia="zh-CN"/>
              </w:rPr>
              <w:t>四、付款方式</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_Toc16554 \h </w:instrText>
            </w:r>
            <w:r>
              <w:rPr>
                <w:rFonts w:eastAsia="宋体"/>
                <w:kern w:val="2"/>
                <w:sz w:val="21"/>
                <w:lang w:eastAsia="zh-CN"/>
              </w:rPr>
              <w:fldChar w:fldCharType="separate"/>
            </w:r>
            <w:r>
              <w:rPr>
                <w:rFonts w:eastAsia="宋体"/>
                <w:kern w:val="2"/>
                <w:sz w:val="21"/>
                <w:lang w:eastAsia="zh-CN"/>
              </w:rPr>
              <w:t>30</w:t>
            </w:r>
            <w:r>
              <w:rPr>
                <w:rFonts w:eastAsia="宋体"/>
                <w:kern w:val="2"/>
                <w:sz w:val="21"/>
                <w:lang w:eastAsia="zh-CN"/>
              </w:rPr>
              <w:fldChar w:fldCharType="end"/>
            </w:r>
          </w:hyperlink>
        </w:p>
        <w:p w14:paraId="7249674E">
          <w:pPr>
            <w:widowControl w:val="0"/>
            <w:tabs>
              <w:tab w:val="right" w:leader="dot" w:pos="9866"/>
            </w:tabs>
            <w:spacing w:line="360" w:lineRule="auto"/>
            <w:ind w:left="960" w:leftChars="400"/>
            <w:jc w:val="both"/>
            <w:rPr>
              <w:rFonts w:eastAsia="宋体"/>
              <w:kern w:val="2"/>
              <w:sz w:val="21"/>
              <w:lang w:eastAsia="zh-CN"/>
            </w:rPr>
          </w:pPr>
          <w:hyperlink w:anchor="_Toc19515" w:history="1">
            <w:r>
              <w:rPr>
                <w:rFonts w:ascii="仿宋" w:eastAsia="仿宋" w:hAnsi="仿宋" w:cs="仿宋" w:hint="eastAsia"/>
                <w:kern w:val="2"/>
                <w:sz w:val="21"/>
                <w:lang w:eastAsia="zh-CN"/>
              </w:rPr>
              <w:t>五、投标报价要求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_Toc19515 \h </w:instrText>
            </w:r>
            <w:r>
              <w:rPr>
                <w:rFonts w:eastAsia="宋体"/>
                <w:kern w:val="2"/>
                <w:sz w:val="21"/>
                <w:lang w:eastAsia="zh-CN"/>
              </w:rPr>
              <w:fldChar w:fldCharType="separate"/>
            </w:r>
            <w:r>
              <w:rPr>
                <w:rFonts w:eastAsia="宋体"/>
                <w:kern w:val="2"/>
                <w:sz w:val="21"/>
                <w:lang w:eastAsia="zh-CN"/>
              </w:rPr>
              <w:t>30</w:t>
            </w:r>
            <w:r>
              <w:rPr>
                <w:rFonts w:eastAsia="宋体"/>
                <w:kern w:val="2"/>
                <w:sz w:val="21"/>
                <w:lang w:eastAsia="zh-CN"/>
              </w:rPr>
              <w:fldChar w:fldCharType="end"/>
            </w:r>
          </w:hyperlink>
        </w:p>
        <w:p w14:paraId="17B70678">
          <w:pPr>
            <w:widowControl w:val="0"/>
            <w:tabs>
              <w:tab w:val="right" w:leader="dot" w:pos="9866"/>
            </w:tabs>
            <w:spacing w:line="360" w:lineRule="auto"/>
            <w:ind w:left="960" w:leftChars="400"/>
            <w:jc w:val="both"/>
            <w:rPr>
              <w:rFonts w:eastAsia="宋体"/>
              <w:kern w:val="2"/>
              <w:sz w:val="21"/>
              <w:lang w:eastAsia="zh-CN"/>
            </w:rPr>
          </w:pPr>
          <w:hyperlink w:anchor="_Toc22477" w:history="1">
            <w:r>
              <w:rPr>
                <w:rFonts w:ascii="仿宋" w:eastAsia="仿宋" w:hAnsi="仿宋" w:cs="仿宋" w:hint="eastAsia"/>
                <w:kern w:val="2"/>
                <w:sz w:val="21"/>
                <w:lang w:eastAsia="zh-CN"/>
              </w:rPr>
              <w:t>六、注意事项</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_Toc22477 \h </w:instrText>
            </w:r>
            <w:r>
              <w:rPr>
                <w:rFonts w:eastAsia="宋体"/>
                <w:kern w:val="2"/>
                <w:sz w:val="21"/>
                <w:lang w:eastAsia="zh-CN"/>
              </w:rPr>
              <w:fldChar w:fldCharType="separate"/>
            </w:r>
            <w:r>
              <w:rPr>
                <w:rFonts w:eastAsia="宋体"/>
                <w:kern w:val="2"/>
                <w:sz w:val="21"/>
                <w:lang w:eastAsia="zh-CN"/>
              </w:rPr>
              <w:t>31</w:t>
            </w:r>
            <w:r>
              <w:rPr>
                <w:rFonts w:eastAsia="宋体"/>
                <w:kern w:val="2"/>
                <w:sz w:val="21"/>
                <w:lang w:eastAsia="zh-CN"/>
              </w:rPr>
              <w:fldChar w:fldCharType="end"/>
            </w:r>
          </w:hyperlink>
        </w:p>
        <w:p w14:paraId="0ABAB9E2">
          <w:pPr>
            <w:widowControl w:val="0"/>
            <w:tabs>
              <w:tab w:val="right" w:leader="dot" w:pos="9866"/>
            </w:tabs>
            <w:spacing w:line="360" w:lineRule="auto"/>
            <w:ind w:left="480" w:leftChars="200"/>
            <w:jc w:val="both"/>
            <w:rPr>
              <w:rFonts w:eastAsia="宋体"/>
              <w:kern w:val="2"/>
              <w:sz w:val="21"/>
              <w:lang w:eastAsia="zh-CN"/>
            </w:rPr>
          </w:pPr>
          <w:hyperlink w:anchor="_Toc29684" w:history="1">
            <w:r>
              <w:rPr>
                <w:rFonts w:ascii="仿宋" w:eastAsia="仿宋" w:hAnsi="仿宋" w:cs="仿宋" w:hint="eastAsia"/>
                <w:kern w:val="2"/>
                <w:sz w:val="21"/>
                <w:lang w:eastAsia="zh-CN"/>
              </w:rPr>
              <w:t>第四章  投标文件组成要求及格式</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_Toc29684 \h </w:instrText>
            </w:r>
            <w:r>
              <w:rPr>
                <w:rFonts w:eastAsia="宋体"/>
                <w:kern w:val="2"/>
                <w:sz w:val="21"/>
                <w:lang w:eastAsia="zh-CN"/>
              </w:rPr>
              <w:fldChar w:fldCharType="separate"/>
            </w:r>
            <w:r>
              <w:rPr>
                <w:rFonts w:eastAsia="宋体"/>
                <w:kern w:val="2"/>
                <w:sz w:val="21"/>
                <w:lang w:eastAsia="zh-CN"/>
              </w:rPr>
              <w:t>32</w:t>
            </w:r>
            <w:r>
              <w:rPr>
                <w:rFonts w:eastAsia="宋体"/>
                <w:kern w:val="2"/>
                <w:sz w:val="21"/>
                <w:lang w:eastAsia="zh-CN"/>
              </w:rPr>
              <w:fldChar w:fldCharType="end"/>
            </w:r>
          </w:hyperlink>
        </w:p>
        <w:p w14:paraId="29DDD2C0">
          <w:pPr>
            <w:widowControl w:val="0"/>
            <w:tabs>
              <w:tab w:val="right" w:leader="dot" w:pos="9866"/>
            </w:tabs>
            <w:spacing w:line="360" w:lineRule="auto"/>
            <w:ind w:left="960" w:leftChars="400"/>
            <w:jc w:val="both"/>
            <w:rPr>
              <w:rFonts w:eastAsia="宋体"/>
              <w:kern w:val="2"/>
              <w:sz w:val="21"/>
              <w:lang w:eastAsia="zh-CN"/>
            </w:rPr>
          </w:pPr>
          <w:hyperlink w:anchor="_Toc17883" w:history="1">
            <w:r>
              <w:rPr>
                <w:rFonts w:ascii="仿宋" w:eastAsia="仿宋" w:hAnsi="仿宋" w:cs="仿宋" w:hint="eastAsia"/>
                <w:kern w:val="2"/>
                <w:sz w:val="21"/>
                <w:lang w:eastAsia="zh-CN"/>
              </w:rPr>
              <w:t>投标文件正文</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_Toc17883 \h </w:instrText>
            </w:r>
            <w:r>
              <w:rPr>
                <w:rFonts w:eastAsia="宋体"/>
                <w:kern w:val="2"/>
                <w:sz w:val="21"/>
                <w:lang w:eastAsia="zh-CN"/>
              </w:rPr>
              <w:fldChar w:fldCharType="separate"/>
            </w:r>
            <w:r>
              <w:rPr>
                <w:rFonts w:eastAsia="宋体"/>
                <w:kern w:val="2"/>
                <w:sz w:val="21"/>
                <w:lang w:eastAsia="zh-CN"/>
              </w:rPr>
              <w:t>33</w:t>
            </w:r>
            <w:r>
              <w:rPr>
                <w:rFonts w:eastAsia="宋体"/>
                <w:kern w:val="2"/>
                <w:sz w:val="21"/>
                <w:lang w:eastAsia="zh-CN"/>
              </w:rPr>
              <w:fldChar w:fldCharType="end"/>
            </w:r>
          </w:hyperlink>
        </w:p>
        <w:p w14:paraId="3C43C78D">
          <w:pPr>
            <w:widowControl w:val="0"/>
            <w:tabs>
              <w:tab w:val="right" w:leader="dot" w:pos="9866"/>
            </w:tabs>
            <w:spacing w:line="360" w:lineRule="auto"/>
            <w:ind w:left="480" w:leftChars="200"/>
            <w:jc w:val="both"/>
            <w:rPr>
              <w:rFonts w:eastAsia="宋体"/>
              <w:kern w:val="2"/>
              <w:sz w:val="21"/>
              <w:lang w:eastAsia="zh-CN"/>
            </w:rPr>
          </w:pPr>
          <w:hyperlink w:anchor="_Toc29761" w:history="1">
            <w:r>
              <w:rPr>
                <w:rFonts w:ascii="仿宋" w:eastAsia="仿宋" w:hAnsi="仿宋" w:cs="仿宋" w:hint="eastAsia"/>
                <w:kern w:val="2"/>
                <w:sz w:val="21"/>
                <w:lang w:eastAsia="zh-CN"/>
              </w:rPr>
              <w:t>第五章  合同条款及格式</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_Toc29761 \h </w:instrText>
            </w:r>
            <w:r>
              <w:rPr>
                <w:rFonts w:eastAsia="宋体"/>
                <w:kern w:val="2"/>
                <w:sz w:val="21"/>
                <w:lang w:eastAsia="zh-CN"/>
              </w:rPr>
              <w:fldChar w:fldCharType="separate"/>
            </w:r>
            <w:r>
              <w:rPr>
                <w:rFonts w:eastAsia="宋体"/>
                <w:kern w:val="2"/>
                <w:sz w:val="21"/>
                <w:lang w:eastAsia="zh-CN"/>
              </w:rPr>
              <w:t>50</w:t>
            </w:r>
            <w:r>
              <w:rPr>
                <w:rFonts w:eastAsia="宋体"/>
                <w:kern w:val="2"/>
                <w:sz w:val="21"/>
                <w:lang w:eastAsia="zh-CN"/>
              </w:rPr>
              <w:fldChar w:fldCharType="end"/>
            </w:r>
          </w:hyperlink>
        </w:p>
        <w:p w14:paraId="2436EA18">
          <w:pPr>
            <w:widowControl w:val="0"/>
            <w:tabs>
              <w:tab w:val="right" w:leader="dot" w:pos="9866"/>
            </w:tabs>
            <w:spacing w:line="360" w:lineRule="auto"/>
            <w:jc w:val="both"/>
            <w:rPr>
              <w:rFonts w:eastAsia="宋体"/>
              <w:kern w:val="2"/>
              <w:sz w:val="21"/>
              <w:lang w:eastAsia="zh-CN"/>
            </w:rPr>
          </w:pPr>
          <w:hyperlink w:anchor="_Toc30507" w:history="1">
            <w:r>
              <w:rPr>
                <w:rFonts w:ascii="仿宋" w:eastAsia="仿宋" w:hAnsi="仿宋" w:cs="仿宋" w:hint="eastAsia"/>
                <w:kern w:val="2"/>
                <w:sz w:val="21"/>
                <w:lang w:eastAsia="zh-CN"/>
              </w:rPr>
              <w:t>第二册  通用条款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_Toc30507 \h </w:instrText>
            </w:r>
            <w:r>
              <w:rPr>
                <w:rFonts w:eastAsia="宋体"/>
                <w:kern w:val="2"/>
                <w:sz w:val="21"/>
                <w:lang w:eastAsia="zh-CN"/>
              </w:rPr>
              <w:fldChar w:fldCharType="separate"/>
            </w:r>
            <w:r>
              <w:rPr>
                <w:rFonts w:eastAsia="宋体"/>
                <w:kern w:val="2"/>
                <w:sz w:val="21"/>
                <w:lang w:eastAsia="zh-CN"/>
              </w:rPr>
              <w:t>55</w:t>
            </w:r>
            <w:r>
              <w:rPr>
                <w:rFonts w:eastAsia="宋体"/>
                <w:kern w:val="2"/>
                <w:sz w:val="21"/>
                <w:lang w:eastAsia="zh-CN"/>
              </w:rPr>
              <w:fldChar w:fldCharType="end"/>
            </w:r>
          </w:hyperlink>
        </w:p>
        <w:p w14:paraId="736ACD6A">
          <w:pPr>
            <w:widowControl w:val="0"/>
            <w:tabs>
              <w:tab w:val="right" w:leader="dot" w:pos="9866"/>
            </w:tabs>
            <w:spacing w:line="360" w:lineRule="auto"/>
            <w:ind w:left="480" w:leftChars="200"/>
            <w:jc w:val="both"/>
            <w:rPr>
              <w:rFonts w:eastAsia="宋体"/>
              <w:kern w:val="2"/>
              <w:sz w:val="21"/>
              <w:lang w:eastAsia="zh-CN"/>
            </w:rPr>
          </w:pPr>
          <w:hyperlink w:anchor="_Toc5320" w:history="1">
            <w:r>
              <w:rPr>
                <w:rFonts w:ascii="仿宋" w:eastAsia="仿宋" w:hAnsi="仿宋" w:cs="仿宋" w:hint="eastAsia"/>
                <w:kern w:val="2"/>
                <w:sz w:val="21"/>
                <w:lang w:eastAsia="zh-CN"/>
              </w:rPr>
              <w:t>第一章 总则</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_Toc5320 \h </w:instrText>
            </w:r>
            <w:r>
              <w:rPr>
                <w:rFonts w:eastAsia="宋体"/>
                <w:kern w:val="2"/>
                <w:sz w:val="21"/>
                <w:lang w:eastAsia="zh-CN"/>
              </w:rPr>
              <w:fldChar w:fldCharType="separate"/>
            </w:r>
            <w:r>
              <w:rPr>
                <w:rFonts w:eastAsia="宋体"/>
                <w:kern w:val="2"/>
                <w:sz w:val="21"/>
                <w:lang w:eastAsia="zh-CN"/>
              </w:rPr>
              <w:t>55</w:t>
            </w:r>
            <w:r>
              <w:rPr>
                <w:rFonts w:eastAsia="宋体"/>
                <w:kern w:val="2"/>
                <w:sz w:val="21"/>
                <w:lang w:eastAsia="zh-CN"/>
              </w:rPr>
              <w:fldChar w:fldCharType="end"/>
            </w:r>
          </w:hyperlink>
        </w:p>
        <w:p w14:paraId="700BA181">
          <w:pPr>
            <w:widowControl w:val="0"/>
            <w:tabs>
              <w:tab w:val="right" w:leader="dot" w:pos="9866"/>
            </w:tabs>
            <w:spacing w:line="360" w:lineRule="auto"/>
            <w:ind w:left="480" w:leftChars="200"/>
            <w:jc w:val="both"/>
            <w:rPr>
              <w:rFonts w:eastAsia="宋体"/>
              <w:kern w:val="2"/>
              <w:sz w:val="21"/>
              <w:lang w:eastAsia="zh-CN"/>
            </w:rPr>
          </w:pPr>
          <w:hyperlink w:anchor="_Toc5842" w:history="1">
            <w:r>
              <w:rPr>
                <w:rFonts w:ascii="仿宋" w:eastAsia="仿宋" w:hAnsi="仿宋" w:cs="仿宋" w:hint="eastAsia"/>
                <w:kern w:val="2"/>
                <w:sz w:val="21"/>
                <w:lang w:eastAsia="zh-CN"/>
              </w:rPr>
              <w:t>第二章 招标文件</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_Toc5842 \h </w:instrText>
            </w:r>
            <w:r>
              <w:rPr>
                <w:rFonts w:eastAsia="宋体"/>
                <w:kern w:val="2"/>
                <w:sz w:val="21"/>
                <w:lang w:eastAsia="zh-CN"/>
              </w:rPr>
              <w:fldChar w:fldCharType="separate"/>
            </w:r>
            <w:r>
              <w:rPr>
                <w:rFonts w:eastAsia="宋体"/>
                <w:kern w:val="2"/>
                <w:sz w:val="21"/>
                <w:lang w:eastAsia="zh-CN"/>
              </w:rPr>
              <w:t>59</w:t>
            </w:r>
            <w:r>
              <w:rPr>
                <w:rFonts w:eastAsia="宋体"/>
                <w:kern w:val="2"/>
                <w:sz w:val="21"/>
                <w:lang w:eastAsia="zh-CN"/>
              </w:rPr>
              <w:fldChar w:fldCharType="end"/>
            </w:r>
          </w:hyperlink>
        </w:p>
        <w:p w14:paraId="256888F1">
          <w:pPr>
            <w:widowControl w:val="0"/>
            <w:tabs>
              <w:tab w:val="right" w:leader="dot" w:pos="9866"/>
            </w:tabs>
            <w:spacing w:line="360" w:lineRule="auto"/>
            <w:ind w:left="480" w:leftChars="200"/>
            <w:jc w:val="both"/>
            <w:rPr>
              <w:rFonts w:eastAsia="宋体"/>
              <w:kern w:val="2"/>
              <w:sz w:val="21"/>
              <w:lang w:eastAsia="zh-CN"/>
            </w:rPr>
          </w:pPr>
          <w:hyperlink w:anchor="_Toc22085" w:history="1">
            <w:r>
              <w:rPr>
                <w:rFonts w:ascii="仿宋" w:eastAsia="仿宋" w:hAnsi="仿宋" w:cs="仿宋" w:hint="eastAsia"/>
                <w:kern w:val="2"/>
                <w:sz w:val="21"/>
                <w:lang w:eastAsia="zh-CN"/>
              </w:rPr>
              <w:t>第三章 投标文件的编制</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_Toc22085 \h </w:instrText>
            </w:r>
            <w:r>
              <w:rPr>
                <w:rFonts w:eastAsia="宋体"/>
                <w:kern w:val="2"/>
                <w:sz w:val="21"/>
                <w:lang w:eastAsia="zh-CN"/>
              </w:rPr>
              <w:fldChar w:fldCharType="separate"/>
            </w:r>
            <w:r>
              <w:rPr>
                <w:rFonts w:eastAsia="宋体"/>
                <w:kern w:val="2"/>
                <w:sz w:val="21"/>
                <w:lang w:eastAsia="zh-CN"/>
              </w:rPr>
              <w:t>60</w:t>
            </w:r>
            <w:r>
              <w:rPr>
                <w:rFonts w:eastAsia="宋体"/>
                <w:kern w:val="2"/>
                <w:sz w:val="21"/>
                <w:lang w:eastAsia="zh-CN"/>
              </w:rPr>
              <w:fldChar w:fldCharType="end"/>
            </w:r>
          </w:hyperlink>
        </w:p>
        <w:p w14:paraId="781280B3">
          <w:pPr>
            <w:widowControl w:val="0"/>
            <w:tabs>
              <w:tab w:val="right" w:leader="dot" w:pos="9866"/>
            </w:tabs>
            <w:spacing w:line="360" w:lineRule="auto"/>
            <w:ind w:left="480" w:leftChars="200"/>
            <w:jc w:val="both"/>
            <w:rPr>
              <w:rFonts w:eastAsia="宋体"/>
              <w:kern w:val="2"/>
              <w:sz w:val="21"/>
              <w:lang w:eastAsia="zh-CN"/>
            </w:rPr>
          </w:pPr>
          <w:hyperlink w:anchor="_Toc1192" w:history="1">
            <w:r>
              <w:rPr>
                <w:rFonts w:ascii="仿宋" w:eastAsia="仿宋" w:hAnsi="仿宋" w:cs="仿宋" w:hint="eastAsia"/>
                <w:kern w:val="2"/>
                <w:sz w:val="21"/>
                <w:lang w:eastAsia="zh-CN"/>
              </w:rPr>
              <w:t>第四章 投标文件的递交</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_Toc1192 \h </w:instrText>
            </w:r>
            <w:r>
              <w:rPr>
                <w:rFonts w:eastAsia="宋体"/>
                <w:kern w:val="2"/>
                <w:sz w:val="21"/>
                <w:lang w:eastAsia="zh-CN"/>
              </w:rPr>
              <w:fldChar w:fldCharType="separate"/>
            </w:r>
            <w:r>
              <w:rPr>
                <w:rFonts w:eastAsia="宋体"/>
                <w:kern w:val="2"/>
                <w:sz w:val="21"/>
                <w:lang w:eastAsia="zh-CN"/>
              </w:rPr>
              <w:t>64</w:t>
            </w:r>
            <w:r>
              <w:rPr>
                <w:rFonts w:eastAsia="宋体"/>
                <w:kern w:val="2"/>
                <w:sz w:val="21"/>
                <w:lang w:eastAsia="zh-CN"/>
              </w:rPr>
              <w:fldChar w:fldCharType="end"/>
            </w:r>
          </w:hyperlink>
        </w:p>
        <w:p w14:paraId="7A201D59">
          <w:pPr>
            <w:widowControl w:val="0"/>
            <w:tabs>
              <w:tab w:val="right" w:leader="dot" w:pos="9866"/>
            </w:tabs>
            <w:spacing w:line="360" w:lineRule="auto"/>
            <w:ind w:left="480" w:leftChars="200"/>
            <w:jc w:val="both"/>
            <w:rPr>
              <w:rFonts w:eastAsia="宋体"/>
              <w:kern w:val="2"/>
              <w:sz w:val="21"/>
              <w:lang w:eastAsia="zh-CN"/>
            </w:rPr>
          </w:pPr>
          <w:hyperlink w:anchor="_Toc15094" w:history="1">
            <w:r>
              <w:rPr>
                <w:rFonts w:ascii="仿宋" w:eastAsia="仿宋" w:hAnsi="仿宋" w:cs="仿宋" w:hint="eastAsia"/>
                <w:kern w:val="2"/>
                <w:sz w:val="21"/>
                <w:lang w:eastAsia="zh-CN"/>
              </w:rPr>
              <w:t>第五章 开标</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_Toc15094 \h </w:instrText>
            </w:r>
            <w:r>
              <w:rPr>
                <w:rFonts w:eastAsia="宋体"/>
                <w:kern w:val="2"/>
                <w:sz w:val="21"/>
                <w:lang w:eastAsia="zh-CN"/>
              </w:rPr>
              <w:fldChar w:fldCharType="separate"/>
            </w:r>
            <w:r>
              <w:rPr>
                <w:rFonts w:eastAsia="宋体"/>
                <w:kern w:val="2"/>
                <w:sz w:val="21"/>
                <w:lang w:eastAsia="zh-CN"/>
              </w:rPr>
              <w:t>65</w:t>
            </w:r>
            <w:r>
              <w:rPr>
                <w:rFonts w:eastAsia="宋体"/>
                <w:kern w:val="2"/>
                <w:sz w:val="21"/>
                <w:lang w:eastAsia="zh-CN"/>
              </w:rPr>
              <w:fldChar w:fldCharType="end"/>
            </w:r>
          </w:hyperlink>
        </w:p>
        <w:p w14:paraId="21D6727A">
          <w:pPr>
            <w:widowControl w:val="0"/>
            <w:tabs>
              <w:tab w:val="right" w:leader="dot" w:pos="9866"/>
            </w:tabs>
            <w:spacing w:line="360" w:lineRule="auto"/>
            <w:ind w:left="480" w:leftChars="200"/>
            <w:jc w:val="both"/>
            <w:rPr>
              <w:rFonts w:eastAsia="宋体"/>
              <w:kern w:val="2"/>
              <w:sz w:val="21"/>
              <w:lang w:eastAsia="zh-CN"/>
            </w:rPr>
          </w:pPr>
          <w:hyperlink w:anchor="_Toc31900" w:history="1">
            <w:r>
              <w:rPr>
                <w:rFonts w:ascii="仿宋" w:eastAsia="仿宋" w:hAnsi="仿宋" w:cs="仿宋" w:hint="eastAsia"/>
                <w:kern w:val="2"/>
                <w:sz w:val="21"/>
                <w:lang w:eastAsia="zh-CN"/>
              </w:rPr>
              <w:t>第六章 评审要求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_Toc31900 \h </w:instrText>
            </w:r>
            <w:r>
              <w:rPr>
                <w:rFonts w:eastAsia="宋体"/>
                <w:kern w:val="2"/>
                <w:sz w:val="21"/>
                <w:lang w:eastAsia="zh-CN"/>
              </w:rPr>
              <w:fldChar w:fldCharType="separate"/>
            </w:r>
            <w:r>
              <w:rPr>
                <w:rFonts w:eastAsia="宋体"/>
                <w:kern w:val="2"/>
                <w:sz w:val="21"/>
                <w:lang w:eastAsia="zh-CN"/>
              </w:rPr>
              <w:t>65</w:t>
            </w:r>
            <w:r>
              <w:rPr>
                <w:rFonts w:eastAsia="宋体"/>
                <w:kern w:val="2"/>
                <w:sz w:val="21"/>
                <w:lang w:eastAsia="zh-CN"/>
              </w:rPr>
              <w:fldChar w:fldCharType="end"/>
            </w:r>
          </w:hyperlink>
        </w:p>
        <w:p w14:paraId="108A237D">
          <w:pPr>
            <w:widowControl w:val="0"/>
            <w:tabs>
              <w:tab w:val="right" w:leader="dot" w:pos="9866"/>
            </w:tabs>
            <w:spacing w:line="360" w:lineRule="auto"/>
            <w:ind w:left="480" w:leftChars="200"/>
            <w:jc w:val="both"/>
            <w:rPr>
              <w:rFonts w:eastAsia="宋体"/>
              <w:kern w:val="2"/>
              <w:sz w:val="21"/>
              <w:lang w:eastAsia="zh-CN"/>
            </w:rPr>
          </w:pPr>
          <w:hyperlink w:anchor="_Toc20268" w:history="1">
            <w:r>
              <w:rPr>
                <w:rFonts w:ascii="仿宋" w:eastAsia="仿宋" w:hAnsi="仿宋" w:cs="仿宋" w:hint="eastAsia"/>
                <w:kern w:val="2"/>
                <w:sz w:val="21"/>
                <w:lang w:eastAsia="zh-CN"/>
              </w:rPr>
              <w:t>第七章 评审程序及评审方法</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_Toc20268 \h </w:instrText>
            </w:r>
            <w:r>
              <w:rPr>
                <w:rFonts w:eastAsia="宋体"/>
                <w:kern w:val="2"/>
                <w:sz w:val="21"/>
                <w:lang w:eastAsia="zh-CN"/>
              </w:rPr>
              <w:fldChar w:fldCharType="separate"/>
            </w:r>
            <w:r>
              <w:rPr>
                <w:rFonts w:eastAsia="宋体"/>
                <w:kern w:val="2"/>
                <w:sz w:val="21"/>
                <w:lang w:eastAsia="zh-CN"/>
              </w:rPr>
              <w:t>66</w:t>
            </w:r>
            <w:r>
              <w:rPr>
                <w:rFonts w:eastAsia="宋体"/>
                <w:kern w:val="2"/>
                <w:sz w:val="21"/>
                <w:lang w:eastAsia="zh-CN"/>
              </w:rPr>
              <w:fldChar w:fldCharType="end"/>
            </w:r>
          </w:hyperlink>
        </w:p>
        <w:p w14:paraId="5A8DBF78">
          <w:pPr>
            <w:widowControl w:val="0"/>
            <w:tabs>
              <w:tab w:val="right" w:leader="dot" w:pos="9866"/>
            </w:tabs>
            <w:spacing w:line="360" w:lineRule="auto"/>
            <w:ind w:left="480" w:leftChars="200"/>
            <w:jc w:val="both"/>
            <w:rPr>
              <w:rFonts w:eastAsia="宋体"/>
              <w:kern w:val="2"/>
              <w:sz w:val="21"/>
              <w:lang w:eastAsia="zh-CN"/>
            </w:rPr>
          </w:pPr>
          <w:hyperlink w:anchor="_Toc360" w:history="1">
            <w:r>
              <w:rPr>
                <w:rFonts w:ascii="仿宋" w:eastAsia="仿宋" w:hAnsi="仿宋" w:cs="仿宋" w:hint="eastAsia"/>
                <w:kern w:val="2"/>
                <w:sz w:val="21"/>
                <w:lang w:eastAsia="zh-CN"/>
              </w:rPr>
              <w:t>第八章 定标及公示</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_Toc360 \h </w:instrText>
            </w:r>
            <w:r>
              <w:rPr>
                <w:rFonts w:eastAsia="宋体"/>
                <w:kern w:val="2"/>
                <w:sz w:val="21"/>
                <w:lang w:eastAsia="zh-CN"/>
              </w:rPr>
              <w:fldChar w:fldCharType="separate"/>
            </w:r>
            <w:r>
              <w:rPr>
                <w:rFonts w:eastAsia="宋体"/>
                <w:kern w:val="2"/>
                <w:sz w:val="21"/>
                <w:lang w:eastAsia="zh-CN"/>
              </w:rPr>
              <w:t>69</w:t>
            </w:r>
            <w:r>
              <w:rPr>
                <w:rFonts w:eastAsia="宋体"/>
                <w:kern w:val="2"/>
                <w:sz w:val="21"/>
                <w:lang w:eastAsia="zh-CN"/>
              </w:rPr>
              <w:fldChar w:fldCharType="end"/>
            </w:r>
          </w:hyperlink>
        </w:p>
        <w:p w14:paraId="6B68B7AB">
          <w:pPr>
            <w:widowControl w:val="0"/>
            <w:tabs>
              <w:tab w:val="right" w:leader="dot" w:pos="9866"/>
            </w:tabs>
            <w:spacing w:line="360" w:lineRule="auto"/>
            <w:ind w:left="480" w:leftChars="200"/>
            <w:jc w:val="both"/>
            <w:rPr>
              <w:rFonts w:eastAsia="宋体"/>
              <w:kern w:val="2"/>
              <w:sz w:val="21"/>
              <w:lang w:eastAsia="zh-CN"/>
            </w:rPr>
          </w:pPr>
          <w:hyperlink w:anchor="_Toc23455" w:history="1">
            <w:r>
              <w:rPr>
                <w:rFonts w:ascii="仿宋" w:eastAsia="仿宋" w:hAnsi="仿宋" w:cs="仿宋" w:hint="eastAsia"/>
                <w:kern w:val="2"/>
                <w:sz w:val="21"/>
                <w:lang w:eastAsia="zh-CN"/>
              </w:rPr>
              <w:t>第九章 公开采购失败的后续处理</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_Toc23455 \h </w:instrText>
            </w:r>
            <w:r>
              <w:rPr>
                <w:rFonts w:eastAsia="宋体"/>
                <w:kern w:val="2"/>
                <w:sz w:val="21"/>
                <w:lang w:eastAsia="zh-CN"/>
              </w:rPr>
              <w:fldChar w:fldCharType="separate"/>
            </w:r>
            <w:r>
              <w:rPr>
                <w:rFonts w:eastAsia="宋体"/>
                <w:kern w:val="2"/>
                <w:sz w:val="21"/>
                <w:lang w:eastAsia="zh-CN"/>
              </w:rPr>
              <w:t>70</w:t>
            </w:r>
            <w:r>
              <w:rPr>
                <w:rFonts w:eastAsia="宋体"/>
                <w:kern w:val="2"/>
                <w:sz w:val="21"/>
                <w:lang w:eastAsia="zh-CN"/>
              </w:rPr>
              <w:fldChar w:fldCharType="end"/>
            </w:r>
          </w:hyperlink>
        </w:p>
        <w:p w14:paraId="74A1DB20">
          <w:pPr>
            <w:widowControl w:val="0"/>
            <w:tabs>
              <w:tab w:val="right" w:leader="dot" w:pos="9866"/>
            </w:tabs>
            <w:spacing w:line="360" w:lineRule="auto"/>
            <w:ind w:left="480" w:leftChars="200"/>
            <w:jc w:val="both"/>
            <w:rPr>
              <w:rFonts w:eastAsia="宋体"/>
              <w:kern w:val="2"/>
              <w:sz w:val="21"/>
              <w:lang w:eastAsia="zh-CN"/>
            </w:rPr>
          </w:pPr>
          <w:hyperlink w:anchor="_Toc28198" w:history="1">
            <w:r>
              <w:rPr>
                <w:rFonts w:ascii="仿宋" w:eastAsia="仿宋" w:hAnsi="仿宋" w:cs="仿宋" w:hint="eastAsia"/>
                <w:kern w:val="2"/>
                <w:sz w:val="21"/>
                <w:lang w:eastAsia="zh-CN"/>
              </w:rPr>
              <w:t>第十章 合同的授予与备案</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_Toc28198 \h </w:instrText>
            </w:r>
            <w:r>
              <w:rPr>
                <w:rFonts w:eastAsia="宋体"/>
                <w:kern w:val="2"/>
                <w:sz w:val="21"/>
                <w:lang w:eastAsia="zh-CN"/>
              </w:rPr>
              <w:fldChar w:fldCharType="separate"/>
            </w:r>
            <w:r>
              <w:rPr>
                <w:rFonts w:eastAsia="宋体"/>
                <w:kern w:val="2"/>
                <w:sz w:val="21"/>
                <w:lang w:eastAsia="zh-CN"/>
              </w:rPr>
              <w:t>71</w:t>
            </w:r>
            <w:r>
              <w:rPr>
                <w:rFonts w:eastAsia="宋体"/>
                <w:kern w:val="2"/>
                <w:sz w:val="21"/>
                <w:lang w:eastAsia="zh-CN"/>
              </w:rPr>
              <w:fldChar w:fldCharType="end"/>
            </w:r>
          </w:hyperlink>
        </w:p>
        <w:p w14:paraId="44DB9096">
          <w:pPr>
            <w:widowControl w:val="0"/>
            <w:tabs>
              <w:tab w:val="right" w:leader="dot" w:pos="9866"/>
            </w:tabs>
            <w:spacing w:line="360" w:lineRule="auto"/>
            <w:ind w:left="480" w:leftChars="200"/>
            <w:jc w:val="both"/>
            <w:rPr>
              <w:rFonts w:eastAsia="宋体"/>
              <w:kern w:val="2"/>
              <w:sz w:val="21"/>
              <w:lang w:eastAsia="zh-CN"/>
            </w:rPr>
          </w:pPr>
          <w:hyperlink w:anchor="_Toc14144" w:history="1">
            <w:r>
              <w:rPr>
                <w:rFonts w:ascii="仿宋" w:eastAsia="仿宋" w:hAnsi="仿宋" w:cs="仿宋" w:hint="eastAsia"/>
                <w:kern w:val="2"/>
                <w:sz w:val="21"/>
                <w:lang w:eastAsia="zh-CN"/>
              </w:rPr>
              <w:t>第十一章 质疑处理</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_Toc14144 \h </w:instrText>
            </w:r>
            <w:r>
              <w:rPr>
                <w:rFonts w:eastAsia="宋体"/>
                <w:kern w:val="2"/>
                <w:sz w:val="21"/>
                <w:lang w:eastAsia="zh-CN"/>
              </w:rPr>
              <w:fldChar w:fldCharType="separate"/>
            </w:r>
            <w:r>
              <w:rPr>
                <w:rFonts w:eastAsia="宋体"/>
                <w:kern w:val="2"/>
                <w:sz w:val="21"/>
                <w:lang w:eastAsia="zh-CN"/>
              </w:rPr>
              <w:t>73</w:t>
            </w:r>
            <w:r>
              <w:rPr>
                <w:rFonts w:eastAsia="宋体"/>
                <w:kern w:val="2"/>
                <w:sz w:val="21"/>
                <w:lang w:eastAsia="zh-CN"/>
              </w:rPr>
              <w:fldChar w:fldCharType="end"/>
            </w:r>
          </w:hyperlink>
        </w:p>
        <w:p w14:paraId="614F7593">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fldChar w:fldCharType="end"/>
          </w:r>
        </w:p>
      </w:sdtContent>
    </w:sdt>
    <w:p w14:paraId="3C090999">
      <w:pPr>
        <w:widowControl w:val="0"/>
        <w:spacing w:line="360" w:lineRule="auto"/>
        <w:jc w:val="both"/>
        <w:rPr>
          <w:rFonts w:ascii="仿宋" w:eastAsia="仿宋" w:hAnsi="仿宋" w:cs="仿宋" w:hint="eastAsia"/>
          <w:bCs/>
          <w:kern w:val="2"/>
          <w:szCs w:val="32"/>
          <w:lang w:eastAsia="zh-CN"/>
        </w:rPr>
      </w:pPr>
      <w:r>
        <w:rPr>
          <w:rFonts w:ascii="仿宋" w:eastAsia="仿宋" w:hAnsi="仿宋" w:cs="仿宋" w:hint="eastAsia"/>
          <w:bCs/>
          <w:kern w:val="2"/>
          <w:szCs w:val="32"/>
          <w:lang w:eastAsia="zh-CN"/>
        </w:rPr>
        <w:br w:type="page"/>
      </w:r>
    </w:p>
    <w:p w14:paraId="4BAF27E0">
      <w:pPr>
        <w:keepNext/>
        <w:keepLines/>
        <w:widowControl w:val="0"/>
        <w:bidi w:val="0"/>
        <w:spacing w:beforeLines="0" w:beforeAutospacing="0" w:afterLines="0" w:afterAutospacing="0" w:line="360" w:lineRule="auto"/>
        <w:jc w:val="center"/>
        <w:outlineLvl w:val="0"/>
        <w:rPr>
          <w:rFonts w:ascii="仿宋" w:eastAsia="仿宋" w:hAnsi="仿宋" w:cs="仿宋" w:hint="eastAsia"/>
          <w:b/>
          <w:kern w:val="44"/>
          <w:sz w:val="44"/>
          <w:lang w:eastAsia="zh-CN"/>
        </w:rPr>
      </w:pPr>
      <w:bookmarkStart w:id="6" w:name="_Toc3579"/>
      <w:r>
        <w:rPr>
          <w:rFonts w:ascii="仿宋" w:eastAsia="仿宋" w:hAnsi="仿宋" w:cs="仿宋" w:hint="eastAsia"/>
          <w:b/>
          <w:kern w:val="44"/>
          <w:sz w:val="44"/>
          <w:lang w:eastAsia="zh-CN"/>
        </w:rPr>
        <w:t>第一册  专用条款</w:t>
      </w:r>
      <w:bookmarkEnd w:id="6"/>
    </w:p>
    <w:p w14:paraId="7759B7E4">
      <w:pPr>
        <w:keepNext/>
        <w:keepLines/>
        <w:widowControl w:val="0"/>
        <w:bidi w:val="0"/>
        <w:spacing w:beforeLines="0" w:beforeAutospacing="0" w:afterLines="0" w:afterAutospacing="0" w:line="360" w:lineRule="auto"/>
        <w:jc w:val="center"/>
        <w:outlineLvl w:val="1"/>
        <w:rPr>
          <w:rFonts w:ascii="仿宋" w:eastAsia="仿宋" w:hAnsi="仿宋" w:cs="仿宋" w:hint="eastAsia"/>
          <w:b/>
          <w:kern w:val="2"/>
          <w:sz w:val="32"/>
          <w:lang w:eastAsia="zh-CN"/>
        </w:rPr>
      </w:pPr>
      <w:bookmarkStart w:id="7" w:name="_Toc25237"/>
      <w:r>
        <w:rPr>
          <w:rFonts w:ascii="仿宋" w:eastAsia="仿宋" w:hAnsi="仿宋" w:cs="仿宋" w:hint="eastAsia"/>
          <w:b/>
          <w:kern w:val="2"/>
          <w:sz w:val="32"/>
          <w:lang w:eastAsia="zh-CN"/>
        </w:rPr>
        <w:t>第一章 招标公告</w:t>
      </w:r>
      <w:bookmarkEnd w:id="7"/>
    </w:p>
    <w:p w14:paraId="47FD2CCB">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4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eastAsia="zh-CN" w:bidi="ar"/>
        </w:rPr>
        <w:t>投标人资格：</w:t>
      </w:r>
    </w:p>
    <w:p w14:paraId="30253A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firstLine="440" w:leftChars="20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val="en-US" w:eastAsia="zh-CN" w:bidi="ar"/>
        </w:rPr>
        <w:t>1.1</w:t>
      </w:r>
      <w:r>
        <w:rPr>
          <w:rFonts w:ascii="仿宋" w:eastAsia="仿宋" w:hAnsi="仿宋" w:cs="仿宋" w:hint="eastAsia"/>
          <w:kern w:val="2"/>
          <w:sz w:val="22"/>
          <w:szCs w:val="22"/>
          <w:shd w:val="clear" w:color="auto" w:fill="FFFFFF"/>
          <w:lang w:eastAsia="zh-CN" w:bidi="ar"/>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14:paraId="68D07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firstLine="440" w:leftChars="20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val="en-US" w:eastAsia="zh-CN" w:bidi="ar"/>
        </w:rPr>
        <w:t>1.2</w:t>
      </w:r>
      <w:r>
        <w:rPr>
          <w:rFonts w:ascii="仿宋" w:eastAsia="仿宋" w:hAnsi="仿宋" w:cs="仿宋" w:hint="eastAsia"/>
          <w:kern w:val="2"/>
          <w:sz w:val="22"/>
          <w:szCs w:val="22"/>
          <w:shd w:val="clear" w:color="auto" w:fill="FFFFFF"/>
          <w:lang w:eastAsia="zh-CN" w:bidi="ar"/>
        </w:rPr>
        <w:t>本项目不接受联合体投标，不接受投标人选用进口产品参与投标；</w:t>
      </w:r>
    </w:p>
    <w:p w14:paraId="2718F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firstLine="440" w:leftChars="20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val="en-US" w:eastAsia="zh-CN" w:bidi="ar"/>
        </w:rPr>
        <w:t>1.3</w:t>
      </w:r>
      <w:r>
        <w:rPr>
          <w:rFonts w:ascii="仿宋" w:eastAsia="仿宋" w:hAnsi="仿宋" w:cs="仿宋" w:hint="eastAsia"/>
          <w:kern w:val="2"/>
          <w:sz w:val="22"/>
          <w:szCs w:val="22"/>
          <w:shd w:val="clear" w:color="auto" w:fill="FFFFFF"/>
          <w:lang w:eastAsia="zh-CN" w:bidi="ar"/>
        </w:rPr>
        <w:t>参与本项目投标前三年内，在经营活动中没有重大违法记录（由供应商在《龙华区教育局自行采购投标及履约承诺函》中作出声明）；</w:t>
      </w:r>
    </w:p>
    <w:p w14:paraId="57722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firstLine="440" w:leftChars="20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val="en-US" w:eastAsia="zh-CN" w:bidi="ar"/>
        </w:rPr>
        <w:t>1.4</w:t>
      </w:r>
      <w:r>
        <w:rPr>
          <w:rFonts w:ascii="仿宋" w:eastAsia="仿宋" w:hAnsi="仿宋" w:cs="仿宋" w:hint="eastAsia"/>
          <w:kern w:val="2"/>
          <w:sz w:val="22"/>
          <w:szCs w:val="22"/>
          <w:shd w:val="clear" w:color="auto" w:fill="FFFFFF"/>
          <w:lang w:eastAsia="zh-CN" w:bidi="ar"/>
        </w:rPr>
        <w:t>参与本项目政府采购活动时不存在被有关部门禁止参与政府采购活动且在有效期内的情况（由供应商在《龙华区教育局自行采购投标及履约承诺函》中作出声明）；</w:t>
      </w:r>
    </w:p>
    <w:p w14:paraId="57FF5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firstLine="440" w:leftChars="20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val="en-US" w:eastAsia="zh-CN" w:bidi="ar"/>
        </w:rPr>
        <w:t>1.5</w:t>
      </w:r>
      <w:r>
        <w:rPr>
          <w:rFonts w:ascii="仿宋" w:eastAsia="仿宋" w:hAnsi="仿宋" w:cs="仿宋" w:hint="eastAsia"/>
          <w:kern w:val="2"/>
          <w:sz w:val="22"/>
          <w:szCs w:val="22"/>
          <w:shd w:val="clear" w:color="auto" w:fill="FFFFFF"/>
          <w:lang w:eastAsia="zh-CN" w:bidi="ar"/>
        </w:rPr>
        <w:t>具备《中华人民共和国政府采购法》第二十二条第一款的条件（由供应商在《龙华区教育局自行采购投标及履约承诺函》中作出声明）；</w:t>
      </w:r>
    </w:p>
    <w:p w14:paraId="43DD4A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firstLine="440" w:leftChars="20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val="en-US" w:eastAsia="zh-CN" w:bidi="ar"/>
        </w:rPr>
        <w:t>1.6</w:t>
      </w:r>
      <w:r>
        <w:rPr>
          <w:rFonts w:ascii="仿宋" w:eastAsia="仿宋" w:hAnsi="仿宋" w:cs="仿宋" w:hint="eastAsia"/>
          <w:kern w:val="2"/>
          <w:sz w:val="22"/>
          <w:szCs w:val="22"/>
          <w:shd w:val="clear" w:color="auto" w:fill="FFFFFF"/>
          <w:lang w:eastAsia="zh-CN" w:bidi="ar"/>
        </w:rPr>
        <w:t>未被列入失信被执行人、重大税收违法案件当事人名单（税收违法黑名单）、政府采购严重违法失信行为记录名单（由供应商在《龙华区教育局自行采购投标及履约承诺函》中作出声明 ）。注：“信用中国”、“中国政府采购网”、“深圳信用网”以及“深圳市政府采购监管网”为供应商信用信息的查询渠道，相关信息以开标当日的查询结果为准；</w:t>
      </w:r>
    </w:p>
    <w:p w14:paraId="38517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firstLine="440" w:leftChars="20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val="en-US" w:eastAsia="zh-CN" w:bidi="ar"/>
        </w:rPr>
        <w:t>1.7</w:t>
      </w:r>
      <w:r>
        <w:rPr>
          <w:rFonts w:ascii="仿宋" w:eastAsia="仿宋" w:hAnsi="仿宋" w:cs="仿宋" w:hint="eastAsia"/>
          <w:kern w:val="2"/>
          <w:sz w:val="22"/>
          <w:szCs w:val="22"/>
          <w:shd w:val="clear" w:color="auto" w:fill="FFFFFF"/>
          <w:lang w:eastAsia="zh-CN" w:bidi="ar"/>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由供应商在《龙华区教育局自行采购投标及履约承诺函》中作出声明并根据实际填写“供应商基本情况表 ”（详见采购文件相应章节））；</w:t>
      </w:r>
    </w:p>
    <w:p w14:paraId="06464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firstLine="440" w:leftChars="200" w:firstLineChars="200"/>
        <w:jc w:val="both"/>
        <w:textAlignment w:val="auto"/>
        <w:rPr>
          <w:rFonts w:ascii="仿宋" w:eastAsia="仿宋" w:hAnsi="仿宋" w:cs="仿宋" w:hint="eastAsia"/>
          <w:kern w:val="2"/>
          <w:sz w:val="22"/>
          <w:szCs w:val="22"/>
          <w:shd w:val="clear" w:color="auto" w:fill="FFFFFF"/>
          <w:lang w:eastAsia="zh-CN" w:bidi="ar"/>
        </w:rPr>
      </w:pPr>
      <w:r>
        <w:rPr>
          <w:rFonts w:ascii="仿宋" w:eastAsia="仿宋" w:hAnsi="仿宋" w:cs="仿宋" w:hint="eastAsia"/>
          <w:kern w:val="2"/>
          <w:sz w:val="22"/>
          <w:szCs w:val="22"/>
          <w:shd w:val="clear" w:color="auto" w:fill="FFFFFF"/>
          <w:lang w:val="en-US" w:eastAsia="zh-CN" w:bidi="ar"/>
        </w:rPr>
        <w:t>1.8</w:t>
      </w:r>
      <w:r>
        <w:rPr>
          <w:rFonts w:ascii="仿宋" w:eastAsia="仿宋" w:hAnsi="仿宋" w:cs="仿宋" w:hint="eastAsia"/>
          <w:kern w:val="2"/>
          <w:sz w:val="22"/>
          <w:szCs w:val="22"/>
          <w:shd w:val="clear" w:color="auto" w:fill="FFFFFF"/>
          <w:lang w:eastAsia="zh-CN" w:bidi="ar"/>
        </w:rPr>
        <w:t>本项目是（否）专门面向中小企业采购：否。</w:t>
      </w:r>
    </w:p>
    <w:p w14:paraId="5699431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ascii="仿宋" w:eastAsia="仿宋" w:hAnsi="仿宋" w:cs="仿宋" w:hint="eastAsia"/>
          <w:b/>
          <w:kern w:val="2"/>
          <w:lang w:eastAsia="zh-CN"/>
        </w:rPr>
      </w:pPr>
      <w:r>
        <w:rPr>
          <w:rFonts w:ascii="仿宋" w:eastAsia="仿宋" w:hAnsi="仿宋" w:cs="仿宋" w:hint="eastAsia"/>
          <w:b/>
          <w:kern w:val="2"/>
          <w:sz w:val="22"/>
          <w:szCs w:val="22"/>
          <w:lang w:eastAsia="zh-CN"/>
        </w:rPr>
        <w:t>完整公告内容以网站公布信息为准，详见：深圳政府采购自行采购系统网（https://zxcg.szggzy.com/home/index.html）</w:t>
      </w:r>
    </w:p>
    <w:p w14:paraId="3E911EB3">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34243261">
      <w:pPr>
        <w:keepNext/>
        <w:keepLines/>
        <w:widowControl w:val="0"/>
        <w:bidi w:val="0"/>
        <w:spacing w:beforeLines="0" w:beforeAutospacing="0" w:afterLines="0" w:afterAutospacing="0" w:line="360" w:lineRule="auto"/>
        <w:jc w:val="center"/>
        <w:outlineLvl w:val="1"/>
        <w:rPr>
          <w:rFonts w:ascii="仿宋" w:eastAsia="仿宋" w:hAnsi="仿宋" w:cs="仿宋" w:hint="eastAsia"/>
          <w:b/>
          <w:kern w:val="2"/>
          <w:sz w:val="32"/>
          <w:lang w:eastAsia="zh-CN"/>
        </w:rPr>
      </w:pPr>
      <w:bookmarkStart w:id="8" w:name="_Toc10220"/>
      <w:r>
        <w:rPr>
          <w:rFonts w:ascii="仿宋" w:eastAsia="仿宋" w:hAnsi="仿宋" w:cs="仿宋" w:hint="eastAsia"/>
          <w:b/>
          <w:kern w:val="2"/>
          <w:sz w:val="32"/>
          <w:lang w:eastAsia="zh-CN"/>
        </w:rPr>
        <w:t>第二章 对通用条款的补充内容及其他关键信息</w:t>
      </w:r>
      <w:bookmarkEnd w:id="8"/>
    </w:p>
    <w:p w14:paraId="163AB17B">
      <w:pPr>
        <w:keepNext/>
        <w:keepLines/>
        <w:widowControl w:val="0"/>
        <w:bidi w:val="0"/>
        <w:spacing w:beforeLines="0" w:beforeAutospacing="0" w:afterLines="0" w:afterAutospacing="0" w:line="360" w:lineRule="auto"/>
        <w:jc w:val="center"/>
        <w:outlineLvl w:val="2"/>
        <w:rPr>
          <w:rFonts w:ascii="仿宋" w:eastAsia="仿宋" w:hAnsi="仿宋" w:cs="仿宋" w:hint="eastAsia"/>
          <w:b/>
          <w:kern w:val="2"/>
          <w:sz w:val="32"/>
          <w:lang w:eastAsia="zh-CN"/>
        </w:rPr>
      </w:pPr>
      <w:bookmarkStart w:id="9" w:name="_Toc24548"/>
      <w:r>
        <w:rPr>
          <w:rFonts w:ascii="仿宋" w:eastAsia="仿宋" w:hAnsi="仿宋" w:cs="仿宋" w:hint="eastAsia"/>
          <w:b/>
          <w:kern w:val="2"/>
          <w:sz w:val="32"/>
          <w:lang w:eastAsia="zh-CN"/>
        </w:rPr>
        <w:t>一、对通用条款的补充内容</w:t>
      </w:r>
      <w:bookmarkEnd w:id="9"/>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035"/>
        <w:gridCol w:w="2316"/>
        <w:gridCol w:w="6731"/>
      </w:tblGrid>
      <w:tr w14:paraId="21564C3B">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14:paraId="43E22577">
            <w:pPr>
              <w:widowControl w:val="0"/>
              <w:spacing w:line="360" w:lineRule="auto"/>
              <w:jc w:val="center"/>
              <w:rPr>
                <w:rFonts w:ascii="仿宋" w:eastAsia="仿宋" w:hAnsi="仿宋" w:cs="仿宋" w:hint="eastAsia"/>
                <w:b/>
                <w:bCs/>
                <w:kern w:val="2"/>
                <w:lang w:eastAsia="zh-CN"/>
              </w:rPr>
            </w:pPr>
            <w:r>
              <w:rPr>
                <w:rFonts w:ascii="仿宋" w:eastAsia="仿宋" w:hAnsi="仿宋" w:cs="仿宋" w:hint="eastAsia"/>
                <w:b/>
                <w:bCs/>
                <w:kern w:val="2"/>
                <w:lang w:eastAsia="zh-CN"/>
              </w:rPr>
              <w:t>通用条款序号</w:t>
            </w:r>
          </w:p>
        </w:tc>
        <w:tc>
          <w:tcPr>
            <w:tcW w:w="2189" w:type="dxa"/>
            <w:vAlign w:val="center"/>
          </w:tcPr>
          <w:p w14:paraId="2E5F53BE">
            <w:pPr>
              <w:widowControl w:val="0"/>
              <w:spacing w:line="360" w:lineRule="auto"/>
              <w:jc w:val="center"/>
              <w:rPr>
                <w:rFonts w:ascii="仿宋" w:eastAsia="仿宋" w:hAnsi="仿宋" w:cs="仿宋" w:hint="eastAsia"/>
                <w:b/>
                <w:bCs/>
                <w:kern w:val="2"/>
                <w:lang w:eastAsia="zh-CN"/>
              </w:rPr>
            </w:pPr>
            <w:r>
              <w:rPr>
                <w:rFonts w:ascii="仿宋" w:eastAsia="仿宋" w:hAnsi="仿宋" w:cs="仿宋" w:hint="eastAsia"/>
                <w:b/>
                <w:bCs/>
                <w:kern w:val="2"/>
                <w:lang w:eastAsia="zh-CN"/>
              </w:rPr>
              <w:t>涉及事项</w:t>
            </w:r>
          </w:p>
        </w:tc>
        <w:tc>
          <w:tcPr>
            <w:tcW w:w="6361" w:type="dxa"/>
            <w:vAlign w:val="center"/>
          </w:tcPr>
          <w:p w14:paraId="0EA44319">
            <w:pPr>
              <w:widowControl w:val="0"/>
              <w:spacing w:line="360" w:lineRule="auto"/>
              <w:jc w:val="center"/>
              <w:rPr>
                <w:rFonts w:ascii="仿宋" w:eastAsia="仿宋" w:hAnsi="仿宋" w:cs="仿宋" w:hint="eastAsia"/>
                <w:b/>
                <w:bCs/>
                <w:kern w:val="2"/>
                <w:lang w:eastAsia="zh-CN"/>
              </w:rPr>
            </w:pPr>
            <w:r>
              <w:rPr>
                <w:rFonts w:ascii="仿宋" w:eastAsia="仿宋" w:hAnsi="仿宋" w:cs="仿宋" w:hint="eastAsia"/>
                <w:b/>
                <w:bCs/>
                <w:kern w:val="2"/>
                <w:lang w:eastAsia="zh-CN"/>
              </w:rPr>
              <w:t>具  体  补  充  内  容</w:t>
            </w:r>
          </w:p>
        </w:tc>
      </w:tr>
      <w:tr w14:paraId="3092FCC2">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51129A93">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3.1</w:t>
            </w:r>
          </w:p>
        </w:tc>
        <w:tc>
          <w:tcPr>
            <w:tcW w:w="2189" w:type="dxa"/>
            <w:vAlign w:val="center"/>
          </w:tcPr>
          <w:p w14:paraId="0F47796A">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采购人</w:t>
            </w:r>
          </w:p>
        </w:tc>
        <w:tc>
          <w:tcPr>
            <w:tcW w:w="6361" w:type="dxa"/>
            <w:vAlign w:val="center"/>
          </w:tcPr>
          <w:p w14:paraId="501004FF">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 xml:space="preserve">深圳市龙华区书香小学  </w:t>
            </w:r>
          </w:p>
        </w:tc>
      </w:tr>
      <w:tr w14:paraId="5DE3CBCC">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1DCA66F5">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3.2</w:t>
            </w:r>
          </w:p>
        </w:tc>
        <w:tc>
          <w:tcPr>
            <w:tcW w:w="2189" w:type="dxa"/>
            <w:vAlign w:val="center"/>
          </w:tcPr>
          <w:p w14:paraId="4C4749A2">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采购机构</w:t>
            </w:r>
          </w:p>
        </w:tc>
        <w:tc>
          <w:tcPr>
            <w:tcW w:w="6361" w:type="dxa"/>
            <w:vAlign w:val="center"/>
          </w:tcPr>
          <w:p w14:paraId="20B5E5B4">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广东五装建设工程有限公司</w:t>
            </w:r>
          </w:p>
        </w:tc>
      </w:tr>
      <w:tr w14:paraId="3046CCDE">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4BE95AA0">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5.3</w:t>
            </w:r>
          </w:p>
        </w:tc>
        <w:tc>
          <w:tcPr>
            <w:tcW w:w="2189" w:type="dxa"/>
            <w:vAlign w:val="center"/>
          </w:tcPr>
          <w:p w14:paraId="72DC7247">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联合体投标</w:t>
            </w:r>
          </w:p>
        </w:tc>
        <w:tc>
          <w:tcPr>
            <w:tcW w:w="6361" w:type="dxa"/>
            <w:vAlign w:val="center"/>
          </w:tcPr>
          <w:p w14:paraId="00CAEE67">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不接受</w:t>
            </w:r>
          </w:p>
        </w:tc>
      </w:tr>
      <w:tr w14:paraId="42313E2A">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246EB26B">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9</w:t>
            </w:r>
          </w:p>
        </w:tc>
        <w:tc>
          <w:tcPr>
            <w:tcW w:w="2189" w:type="dxa"/>
            <w:vAlign w:val="center"/>
          </w:tcPr>
          <w:p w14:paraId="6A098160">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踏勘现场</w:t>
            </w:r>
          </w:p>
        </w:tc>
        <w:tc>
          <w:tcPr>
            <w:tcW w:w="6361" w:type="dxa"/>
            <w:vAlign w:val="center"/>
          </w:tcPr>
          <w:p w14:paraId="531ADC44">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“无”</w:t>
            </w:r>
          </w:p>
        </w:tc>
      </w:tr>
      <w:tr w14:paraId="6B4F5DA2">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545F7EB1">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10</w:t>
            </w:r>
          </w:p>
        </w:tc>
        <w:tc>
          <w:tcPr>
            <w:tcW w:w="2189" w:type="dxa"/>
            <w:vAlign w:val="center"/>
          </w:tcPr>
          <w:p w14:paraId="068616AB">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标前会议</w:t>
            </w:r>
          </w:p>
        </w:tc>
        <w:tc>
          <w:tcPr>
            <w:tcW w:w="6361" w:type="dxa"/>
            <w:vAlign w:val="center"/>
          </w:tcPr>
          <w:p w14:paraId="44929866">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不组织</w:t>
            </w:r>
          </w:p>
        </w:tc>
      </w:tr>
      <w:tr w14:paraId="05C4EB7C">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307B5852">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12/13</w:t>
            </w:r>
          </w:p>
        </w:tc>
        <w:tc>
          <w:tcPr>
            <w:tcW w:w="2189" w:type="dxa"/>
            <w:vAlign w:val="center"/>
          </w:tcPr>
          <w:p w14:paraId="1B1E10DC">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招标文件的澄清和修改</w:t>
            </w:r>
          </w:p>
        </w:tc>
        <w:tc>
          <w:tcPr>
            <w:tcW w:w="6361" w:type="dxa"/>
            <w:vAlign w:val="center"/>
          </w:tcPr>
          <w:p w14:paraId="0EC8A2E5">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不晚于投标截止日三日前，投标人有义务在招标期间在政府集中采购机构网站浏览与本项目有关的澄清和修改信息。</w:t>
            </w:r>
          </w:p>
        </w:tc>
      </w:tr>
      <w:tr w14:paraId="395632A7">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0841F1B1">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20</w:t>
            </w:r>
          </w:p>
        </w:tc>
        <w:tc>
          <w:tcPr>
            <w:tcW w:w="2189" w:type="dxa"/>
            <w:vAlign w:val="center"/>
          </w:tcPr>
          <w:p w14:paraId="7494D8CA">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投标有效期</w:t>
            </w:r>
          </w:p>
        </w:tc>
        <w:tc>
          <w:tcPr>
            <w:tcW w:w="6361" w:type="dxa"/>
            <w:vAlign w:val="center"/>
          </w:tcPr>
          <w:p w14:paraId="1CA7226A">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120日历天（从投标截止之日算起）</w:t>
            </w:r>
          </w:p>
        </w:tc>
      </w:tr>
      <w:tr w14:paraId="727967C2">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3F1A4F9D">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22</w:t>
            </w:r>
          </w:p>
        </w:tc>
        <w:tc>
          <w:tcPr>
            <w:tcW w:w="2189" w:type="dxa"/>
            <w:vAlign w:val="center"/>
          </w:tcPr>
          <w:p w14:paraId="38ECEA51">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投标人的替代方案</w:t>
            </w:r>
          </w:p>
        </w:tc>
        <w:tc>
          <w:tcPr>
            <w:tcW w:w="6361" w:type="dxa"/>
            <w:vAlign w:val="center"/>
          </w:tcPr>
          <w:p w14:paraId="4C4D5EED">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不接受</w:t>
            </w:r>
          </w:p>
        </w:tc>
      </w:tr>
      <w:tr w14:paraId="5316483D">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41229C88">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25</w:t>
            </w:r>
          </w:p>
        </w:tc>
        <w:tc>
          <w:tcPr>
            <w:tcW w:w="2189" w:type="dxa"/>
            <w:vAlign w:val="center"/>
          </w:tcPr>
          <w:p w14:paraId="1E93FF72">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投标文件的大小</w:t>
            </w:r>
          </w:p>
        </w:tc>
        <w:tc>
          <w:tcPr>
            <w:tcW w:w="6361" w:type="dxa"/>
            <w:vAlign w:val="center"/>
          </w:tcPr>
          <w:p w14:paraId="345FE1DB">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投标文件大小不得超过100MB</w:t>
            </w:r>
          </w:p>
        </w:tc>
      </w:tr>
      <w:tr w14:paraId="2FE61BB6">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6F40EB5A">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26</w:t>
            </w:r>
          </w:p>
        </w:tc>
        <w:tc>
          <w:tcPr>
            <w:tcW w:w="2189" w:type="dxa"/>
            <w:vAlign w:val="center"/>
          </w:tcPr>
          <w:p w14:paraId="263BB0BF">
            <w:pPr>
              <w:widowControl w:val="0"/>
              <w:spacing w:line="360" w:lineRule="auto"/>
              <w:jc w:val="center"/>
              <w:rPr>
                <w:rFonts w:ascii="仿宋" w:eastAsia="仿宋" w:hAnsi="仿宋" w:cs="仿宋" w:hint="eastAsia"/>
                <w:kern w:val="2"/>
                <w:lang w:eastAsia="zh-CN"/>
              </w:rPr>
            </w:pPr>
            <w:bookmarkStart w:id="10" w:name="_Hlk71664860"/>
            <w:r>
              <w:rPr>
                <w:rFonts w:ascii="仿宋" w:eastAsia="仿宋" w:hAnsi="仿宋" w:cs="仿宋" w:hint="eastAsia"/>
                <w:kern w:val="2"/>
                <w:lang w:eastAsia="zh-CN"/>
              </w:rPr>
              <w:t>样品、现场演示、方案讲解</w:t>
            </w:r>
            <w:bookmarkEnd w:id="10"/>
          </w:p>
        </w:tc>
        <w:tc>
          <w:tcPr>
            <w:tcW w:w="6361" w:type="dxa"/>
            <w:vAlign w:val="center"/>
          </w:tcPr>
          <w:p w14:paraId="565B07EA">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“无”</w:t>
            </w:r>
          </w:p>
        </w:tc>
      </w:tr>
      <w:tr w14:paraId="2D9F2240">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5660AE4A">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37</w:t>
            </w:r>
          </w:p>
        </w:tc>
        <w:tc>
          <w:tcPr>
            <w:tcW w:w="2189" w:type="dxa"/>
            <w:vAlign w:val="center"/>
          </w:tcPr>
          <w:p w14:paraId="1D532B9D">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评审方法</w:t>
            </w:r>
          </w:p>
        </w:tc>
        <w:tc>
          <w:tcPr>
            <w:tcW w:w="6361" w:type="dxa"/>
            <w:vAlign w:val="center"/>
          </w:tcPr>
          <w:p w14:paraId="4C5B5C06">
            <w:pPr>
              <w:widowControl w:val="0"/>
              <w:spacing w:line="360" w:lineRule="auto"/>
              <w:jc w:val="center"/>
              <w:rPr>
                <w:rFonts w:ascii="仿宋" w:eastAsia="仿宋" w:hAnsi="仿宋" w:cs="仿宋" w:hint="eastAsia"/>
                <w:kern w:val="2"/>
                <w:lang w:eastAsia="zh-CN"/>
              </w:rPr>
            </w:pPr>
            <w:r>
              <w:rPr>
                <w:rFonts w:ascii="仿宋" w:eastAsia="仿宋" w:hAnsi="仿宋" w:cs="仿宋" w:hint="eastAsia"/>
                <w:b/>
                <w:bCs/>
                <w:kern w:val="2"/>
                <w:lang w:eastAsia="zh-CN"/>
              </w:rPr>
              <w:t>综合评分法</w:t>
            </w:r>
          </w:p>
        </w:tc>
      </w:tr>
      <w:tr w14:paraId="10697A5E">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25B39724">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38</w:t>
            </w:r>
          </w:p>
        </w:tc>
        <w:tc>
          <w:tcPr>
            <w:tcW w:w="2189" w:type="dxa"/>
            <w:vAlign w:val="center"/>
          </w:tcPr>
          <w:p w14:paraId="55536655">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定标方法</w:t>
            </w:r>
          </w:p>
        </w:tc>
        <w:tc>
          <w:tcPr>
            <w:tcW w:w="6361" w:type="dxa"/>
            <w:vAlign w:val="center"/>
          </w:tcPr>
          <w:p w14:paraId="682BAA3F">
            <w:pPr>
              <w:widowControl w:val="0"/>
              <w:spacing w:line="360" w:lineRule="auto"/>
              <w:jc w:val="center"/>
              <w:rPr>
                <w:rFonts w:ascii="仿宋" w:eastAsia="仿宋" w:hAnsi="仿宋" w:cs="仿宋" w:hint="eastAsia"/>
                <w:b/>
                <w:bCs/>
                <w:kern w:val="2"/>
                <w:lang w:eastAsia="zh-CN"/>
              </w:rPr>
            </w:pPr>
            <w:r>
              <w:rPr>
                <w:rFonts w:ascii="仿宋" w:eastAsia="仿宋" w:hAnsi="仿宋" w:cs="仿宋" w:hint="eastAsia"/>
                <w:b/>
                <w:bCs/>
                <w:kern w:val="2"/>
                <w:lang w:eastAsia="zh-CN"/>
              </w:rPr>
              <w:t>非评定分离</w:t>
            </w:r>
          </w:p>
        </w:tc>
      </w:tr>
      <w:tr w14:paraId="1439A641">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14:paraId="599A93B3">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46</w:t>
            </w:r>
          </w:p>
        </w:tc>
        <w:tc>
          <w:tcPr>
            <w:tcW w:w="2189" w:type="dxa"/>
            <w:vAlign w:val="center"/>
          </w:tcPr>
          <w:p w14:paraId="5281FDCA">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履约担保</w:t>
            </w:r>
          </w:p>
        </w:tc>
        <w:tc>
          <w:tcPr>
            <w:tcW w:w="6361" w:type="dxa"/>
            <w:vAlign w:val="center"/>
          </w:tcPr>
          <w:p w14:paraId="4483D537">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不需要</w:t>
            </w:r>
          </w:p>
        </w:tc>
      </w:tr>
    </w:tbl>
    <w:p w14:paraId="09A8ED82">
      <w:pPr>
        <w:widowControl w:val="0"/>
        <w:bidi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lang w:eastAsia="zh-CN"/>
        </w:rPr>
        <w:t>备注：本表是通用条款相关条款的补充和明确，如与通用条款内容相冲突的，以本表为准。</w:t>
      </w:r>
    </w:p>
    <w:p w14:paraId="3E0A9196">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7A1EB211">
      <w:pPr>
        <w:keepNext/>
        <w:keepLines/>
        <w:widowControl w:val="0"/>
        <w:bidi w:val="0"/>
        <w:spacing w:beforeLines="0" w:beforeAutospacing="0" w:afterLines="0" w:afterAutospacing="0" w:line="360" w:lineRule="auto"/>
        <w:jc w:val="center"/>
        <w:outlineLvl w:val="2"/>
        <w:rPr>
          <w:rFonts w:ascii="仿宋" w:eastAsia="仿宋" w:hAnsi="仿宋" w:cs="仿宋" w:hint="eastAsia"/>
          <w:b/>
          <w:kern w:val="2"/>
          <w:sz w:val="32"/>
          <w:lang w:eastAsia="zh-CN"/>
        </w:rPr>
      </w:pPr>
      <w:bookmarkStart w:id="11" w:name="_Toc27567"/>
      <w:r>
        <w:rPr>
          <w:rFonts w:ascii="仿宋" w:eastAsia="仿宋" w:hAnsi="仿宋" w:cs="仿宋" w:hint="eastAsia"/>
          <w:b/>
          <w:kern w:val="2"/>
          <w:sz w:val="32"/>
          <w:lang w:eastAsia="zh-CN"/>
        </w:rPr>
        <w:t>二、其他关键信息</w:t>
      </w:r>
      <w:bookmarkEnd w:id="11"/>
    </w:p>
    <w:p w14:paraId="2D260514">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（一）与“对通用条款的补充内容”章节相关的事项</w:t>
      </w:r>
    </w:p>
    <w:p w14:paraId="2C67D598">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1、评标定标信息</w:t>
      </w:r>
    </w:p>
    <w:p w14:paraId="27EE73B4">
      <w:pPr>
        <w:widowControl w:val="0"/>
        <w:spacing w:line="360" w:lineRule="auto"/>
        <w:jc w:val="center"/>
        <w:rPr>
          <w:rFonts w:ascii="仿宋" w:eastAsia="仿宋" w:hAnsi="仿宋" w:cs="仿宋" w:hint="eastAsia"/>
          <w:b/>
          <w:kern w:val="2"/>
          <w:lang w:eastAsia="zh-CN"/>
        </w:rPr>
      </w:pPr>
      <w:r>
        <w:rPr>
          <w:rFonts w:ascii="仿宋" w:eastAsia="仿宋" w:hAnsi="仿宋" w:cs="仿宋" w:hint="eastAsia"/>
          <w:b/>
          <w:kern w:val="2"/>
          <w:lang w:eastAsia="zh-CN"/>
        </w:rPr>
        <w:t>非评定分离项目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62"/>
        <w:gridCol w:w="3824"/>
        <w:gridCol w:w="2896"/>
      </w:tblGrid>
      <w:tr w14:paraId="2C73228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844" w:type="dxa"/>
          </w:tcPr>
          <w:p w14:paraId="2BB0FA70">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评标方法</w:t>
            </w:r>
          </w:p>
        </w:tc>
        <w:tc>
          <w:tcPr>
            <w:tcW w:w="3235" w:type="dxa"/>
          </w:tcPr>
          <w:p w14:paraId="18CCDABF">
            <w:pPr>
              <w:widowControl w:val="0"/>
              <w:spacing w:line="360" w:lineRule="auto"/>
              <w:jc w:val="center"/>
              <w:rPr>
                <w:rFonts w:ascii="仿宋" w:eastAsia="仿宋" w:hAnsi="仿宋" w:cs="仿宋" w:hint="eastAsia"/>
                <w:kern w:val="2"/>
                <w:lang w:eastAsia="zh-CN"/>
              </w:rPr>
            </w:pPr>
            <w:r>
              <w:rPr>
                <w:rFonts w:ascii="Wingdings" w:eastAsia="仿宋" w:hAnsi="Wingdings" w:cs="仿宋"/>
                <w:kern w:val="2"/>
                <w:lang w:eastAsia="zh-CN"/>
              </w:rPr>
              <w:sym w:font="Wingdings" w:char="F0FE"/>
            </w:r>
            <w:r>
              <w:rPr>
                <w:rFonts w:ascii="仿宋" w:eastAsia="仿宋" w:hAnsi="仿宋" w:cs="仿宋" w:hint="eastAsia"/>
                <w:kern w:val="2"/>
                <w:lang w:eastAsia="zh-CN"/>
              </w:rPr>
              <w:t>综合评分法</w:t>
            </w:r>
          </w:p>
        </w:tc>
        <w:tc>
          <w:tcPr>
            <w:tcW w:w="2450" w:type="dxa"/>
          </w:tcPr>
          <w:p w14:paraId="07A6DEA7">
            <w:pPr>
              <w:widowControl w:val="0"/>
              <w:spacing w:line="360" w:lineRule="auto"/>
              <w:jc w:val="center"/>
              <w:rPr>
                <w:rFonts w:ascii="仿宋" w:eastAsia="仿宋" w:hAnsi="仿宋" w:cs="仿宋" w:hint="eastAsia"/>
                <w:kern w:val="2"/>
                <w:lang w:eastAsia="zh-CN"/>
              </w:rPr>
            </w:pPr>
            <w:r>
              <w:rPr>
                <w:rFonts w:ascii="Wingdings" w:eastAsia="仿宋" w:hAnsi="Wingdings" w:cs="仿宋"/>
                <w:kern w:val="2"/>
                <w:lang w:eastAsia="zh-CN"/>
              </w:rPr>
              <w:sym w:font="Wingdings" w:char="F0A8"/>
            </w:r>
            <w:r>
              <w:rPr>
                <w:rFonts w:ascii="仿宋" w:eastAsia="仿宋" w:hAnsi="仿宋" w:cs="仿宋" w:hint="eastAsia"/>
                <w:kern w:val="2"/>
                <w:lang w:eastAsia="zh-CN"/>
              </w:rPr>
              <w:t>最低价法</w:t>
            </w:r>
          </w:p>
        </w:tc>
      </w:tr>
      <w:tr w14:paraId="0453AC64">
        <w:tblPrEx>
          <w:tblW w:w="5000" w:type="pct"/>
          <w:jc w:val="center"/>
          <w:tblLayout w:type="fixed"/>
          <w:tblCellMar>
            <w:top w:w="0" w:type="dxa"/>
            <w:left w:w="108" w:type="dxa"/>
            <w:bottom w:w="0" w:type="dxa"/>
            <w:right w:w="108" w:type="dxa"/>
          </w:tblCellMar>
        </w:tblPrEx>
        <w:trPr>
          <w:jc w:val="center"/>
        </w:trPr>
        <w:tc>
          <w:tcPr>
            <w:tcW w:w="2844" w:type="dxa"/>
          </w:tcPr>
          <w:p w14:paraId="429BA6D5">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候选中标供应商家数</w:t>
            </w:r>
          </w:p>
        </w:tc>
        <w:tc>
          <w:tcPr>
            <w:tcW w:w="3235" w:type="dxa"/>
          </w:tcPr>
          <w:p w14:paraId="6DDF29A0">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3</w:t>
            </w:r>
          </w:p>
        </w:tc>
        <w:tc>
          <w:tcPr>
            <w:tcW w:w="2450" w:type="dxa"/>
          </w:tcPr>
          <w:p w14:paraId="27F00C17">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3</w:t>
            </w:r>
          </w:p>
        </w:tc>
      </w:tr>
      <w:tr w14:paraId="5AB691EA">
        <w:tblPrEx>
          <w:tblW w:w="5000" w:type="pct"/>
          <w:jc w:val="center"/>
          <w:tblLayout w:type="fixed"/>
          <w:tblCellMar>
            <w:top w:w="0" w:type="dxa"/>
            <w:left w:w="108" w:type="dxa"/>
            <w:bottom w:w="0" w:type="dxa"/>
            <w:right w:w="108" w:type="dxa"/>
          </w:tblCellMar>
        </w:tblPrEx>
        <w:trPr>
          <w:jc w:val="center"/>
        </w:trPr>
        <w:tc>
          <w:tcPr>
            <w:tcW w:w="2844" w:type="dxa"/>
          </w:tcPr>
          <w:p w14:paraId="6C1B2A8E">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中标供应商家数</w:t>
            </w:r>
          </w:p>
        </w:tc>
        <w:tc>
          <w:tcPr>
            <w:tcW w:w="3235" w:type="dxa"/>
          </w:tcPr>
          <w:p w14:paraId="4747B5D0">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1</w:t>
            </w:r>
          </w:p>
        </w:tc>
        <w:tc>
          <w:tcPr>
            <w:tcW w:w="2450" w:type="dxa"/>
          </w:tcPr>
          <w:p w14:paraId="1D870FCA">
            <w:pPr>
              <w:widowControl w:val="0"/>
              <w:spacing w:line="360" w:lineRule="auto"/>
              <w:jc w:val="center"/>
              <w:rPr>
                <w:rFonts w:ascii="仿宋" w:eastAsia="仿宋" w:hAnsi="仿宋" w:cs="仿宋" w:hint="eastAsia"/>
                <w:kern w:val="2"/>
                <w:lang w:eastAsia="zh-CN"/>
              </w:rPr>
            </w:pPr>
            <w:r>
              <w:rPr>
                <w:rFonts w:ascii="仿宋" w:eastAsia="仿宋" w:hAnsi="仿宋" w:cs="仿宋" w:hint="eastAsia"/>
                <w:kern w:val="2"/>
                <w:lang w:eastAsia="zh-CN"/>
              </w:rPr>
              <w:t>1</w:t>
            </w:r>
          </w:p>
        </w:tc>
      </w:tr>
    </w:tbl>
    <w:p w14:paraId="5FA6D0C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（二）其他事项</w:t>
      </w:r>
    </w:p>
    <w:p w14:paraId="6FC41BB3">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
          <w:kern w:val="2"/>
          <w:lang w:eastAsia="zh-CN"/>
        </w:rPr>
      </w:pPr>
      <w:r>
        <w:rPr>
          <w:rFonts w:ascii="仿宋" w:eastAsia="仿宋" w:hAnsi="仿宋" w:cs="仿宋" w:hint="eastAsia"/>
          <w:b/>
          <w:kern w:val="2"/>
          <w:lang w:eastAsia="zh-CN"/>
        </w:rPr>
        <w:t>1、关于享受优惠政策的主体、价格扣除比例及采购标的所属行业</w:t>
      </w:r>
    </w:p>
    <w:p w14:paraId="3479456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（1）专门面向中小企业采购的项目（包括联合体或分包预留中小企业份额的项目），不再执行价格扣除比例。</w:t>
      </w:r>
    </w:p>
    <w:p w14:paraId="44D3113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（2）非专门面向中小企业采购的项目，应执行价格扣除比例：投标人提供的货物（以招标文件用户需求书“货物需求明细”的“货物名称”一栏为准）全部均由优惠主体制造的，对其投标总价给予</w:t>
      </w:r>
      <w:r>
        <w:rPr>
          <w:rFonts w:ascii="仿宋" w:eastAsia="仿宋" w:hAnsi="仿宋" w:cs="仿宋" w:hint="eastAsia"/>
          <w:bCs/>
          <w:kern w:val="2"/>
          <w:u w:val="single"/>
          <w:lang w:eastAsia="zh-CN"/>
        </w:rPr>
        <w:t>10%</w:t>
      </w:r>
      <w:r>
        <w:rPr>
          <w:rFonts w:ascii="仿宋" w:eastAsia="仿宋" w:hAnsi="仿宋" w:cs="仿宋" w:hint="eastAsia"/>
          <w:bCs/>
          <w:kern w:val="2"/>
          <w:lang w:eastAsia="zh-CN"/>
        </w:rPr>
        <w:t>的扣除，用扣除后的价格参与评审。满足多项优惠政策的企业，不重复享受多项价格扣除政策。政策调整后价格仅作为评审依据，不作为中标价格。</w:t>
      </w:r>
    </w:p>
    <w:p w14:paraId="5B0CEE5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b)优惠主体制造是指货物由优惠主体生产且使用该优惠主体商号或者注册商标；投标人提供的货物既有优惠主体制造货物，又有非优惠主体制造货物的，不给予价格扣除。</w:t>
      </w:r>
    </w:p>
    <w:p w14:paraId="0CC4998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
          <w:color w:val="FF0000"/>
          <w:kern w:val="2"/>
          <w:u w:val="single"/>
          <w:lang w:eastAsia="zh-CN"/>
        </w:rPr>
      </w:pPr>
      <w:r>
        <w:rPr>
          <w:rFonts w:ascii="仿宋" w:eastAsia="仿宋" w:hAnsi="仿宋" w:cs="仿宋" w:hint="eastAsia"/>
          <w:bCs/>
          <w:kern w:val="2"/>
          <w:lang w:eastAsia="zh-CN"/>
        </w:rPr>
        <w:t>（3）中小企业参加政府采购活动，应当按照国务院批准的《中小企业划型标准规定》（工信部联企业〔2011〕300号）、《金融业企业划型标准规定》（银发〔2015〕309号）和《财政部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仿宋" w:eastAsia="仿宋" w:hAnsi="仿宋" w:cs="仿宋" w:hint="eastAsia"/>
          <w:b/>
          <w:color w:val="FF0000"/>
          <w:kern w:val="2"/>
          <w:lang w:eastAsia="zh-CN"/>
        </w:rPr>
        <w:t>《中小企业声明函》中相关企业所属行业应当与采购标的所属行业相一致。</w:t>
      </w:r>
      <w:r>
        <w:rPr>
          <w:rFonts w:ascii="仿宋" w:eastAsia="仿宋" w:hAnsi="仿宋" w:cs="仿宋" w:hint="eastAsia"/>
          <w:bCs/>
          <w:color w:val="000000"/>
          <w:kern w:val="2"/>
          <w:lang w:eastAsia="zh-CN"/>
        </w:rPr>
        <w:t>本项目采购标的（服务需求）对应的中小企业划分标准所属行业为</w:t>
      </w:r>
      <w:r>
        <w:rPr>
          <w:rFonts w:ascii="仿宋" w:eastAsia="仿宋" w:hAnsi="仿宋" w:cs="仿宋" w:hint="eastAsia"/>
          <w:b/>
          <w:color w:val="FF0000"/>
          <w:kern w:val="2"/>
          <w:highlight w:val="yellow"/>
          <w:u w:val="single"/>
          <w:lang w:eastAsia="zh-CN"/>
        </w:rPr>
        <w:t>餐饮业</w:t>
      </w:r>
      <w:r>
        <w:rPr>
          <w:rFonts w:ascii="仿宋" w:eastAsia="仿宋" w:hAnsi="仿宋" w:cs="仿宋" w:hint="eastAsia"/>
          <w:b/>
          <w:color w:val="FF0000"/>
          <w:kern w:val="2"/>
          <w:lang w:eastAsia="zh-CN"/>
        </w:rPr>
        <w:t>。</w:t>
      </w:r>
    </w:p>
    <w:p w14:paraId="0253B9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中小企业声明函、残疾人福利性单位声明函及监狱企业声明函”章节提供的格式）。</w:t>
      </w:r>
    </w:p>
    <w:p w14:paraId="39C175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（5）享受价格扣除获得政府采购合同的，小微企业不得将合同分包给大中型企业。</w:t>
      </w:r>
    </w:p>
    <w:p w14:paraId="78E5D91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
          <w:kern w:val="2"/>
          <w:lang w:eastAsia="zh-CN"/>
        </w:rPr>
      </w:pPr>
      <w:r>
        <w:rPr>
          <w:rFonts w:ascii="仿宋" w:eastAsia="仿宋" w:hAnsi="仿宋" w:cs="仿宋" w:hint="eastAsia"/>
          <w:b/>
          <w:kern w:val="2"/>
          <w:lang w:eastAsia="zh-CN"/>
        </w:rPr>
        <w:t>2.关于政府采购订单融资政策</w:t>
      </w:r>
    </w:p>
    <w:p w14:paraId="5BD39BD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5BA71AA">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
          <w:color w:val="FF0000"/>
          <w:kern w:val="2"/>
          <w:lang w:eastAsia="zh-CN"/>
        </w:rPr>
      </w:pPr>
      <w:r>
        <w:rPr>
          <w:rFonts w:ascii="仿宋" w:eastAsia="仿宋" w:hAnsi="仿宋" w:cs="仿宋" w:hint="eastAsia"/>
          <w:b/>
          <w:color w:val="FF0000"/>
          <w:kern w:val="2"/>
          <w:lang w:eastAsia="zh-CN"/>
        </w:rPr>
        <w:t>3.本项目向中标供应商收取代理服务费</w:t>
      </w:r>
    </w:p>
    <w:p w14:paraId="63D95A4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中标（成交）供应商在领取《中标（成交）通知书》之前须向广东五装建设工程有限公司交纳代理服务费。若因中标（成交）供应商交纳代理服务费所产生的时间影响到合同签订的，由中标（成交）供应商自行承担责任。代理服务费标准参照下列标准收取。本项目类型为</w:t>
      </w:r>
      <w:r>
        <w:rPr>
          <w:rFonts w:ascii="仿宋" w:eastAsia="仿宋" w:hAnsi="仿宋" w:cs="仿宋" w:hint="eastAsia"/>
          <w:b/>
          <w:color w:val="FF0000"/>
          <w:kern w:val="2"/>
          <w:u w:val="single"/>
          <w:lang w:eastAsia="zh-CN"/>
        </w:rPr>
        <w:t>服务采购</w:t>
      </w:r>
      <w:r>
        <w:rPr>
          <w:rFonts w:ascii="仿宋" w:eastAsia="仿宋" w:hAnsi="仿宋" w:cs="仿宋" w:hint="eastAsia"/>
          <w:bCs/>
          <w:kern w:val="2"/>
          <w:lang w:eastAsia="zh-CN"/>
        </w:rPr>
        <w:t>：</w:t>
      </w:r>
    </w:p>
    <w:p w14:paraId="5BF914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（1）代理服务费以《中标（成交）通知书》确定的中标（成交）金额作为计算基数，按差额定率累进法计算。</w:t>
      </w:r>
    </w:p>
    <w:p w14:paraId="5BC89F2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lang w:eastAsia="zh-CN"/>
        </w:rPr>
      </w:pPr>
      <w:r>
        <w:rPr>
          <w:rFonts w:ascii="仿宋" w:eastAsia="仿宋" w:hAnsi="仿宋" w:cs="仿宋" w:hint="eastAsia"/>
          <w:bCs/>
          <w:kern w:val="2"/>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698"/>
        <w:gridCol w:w="2128"/>
        <w:gridCol w:w="2128"/>
        <w:gridCol w:w="2128"/>
      </w:tblGrid>
      <w:tr w14:paraId="296C935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14:paraId="5FBE637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中标（成交）金额</w:t>
            </w:r>
          </w:p>
        </w:tc>
        <w:tc>
          <w:tcPr>
            <w:tcW w:w="1799" w:type="dxa"/>
            <w:vAlign w:val="center"/>
          </w:tcPr>
          <w:p w14:paraId="4CEF545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货物采购</w:t>
            </w:r>
          </w:p>
        </w:tc>
        <w:tc>
          <w:tcPr>
            <w:tcW w:w="1799" w:type="dxa"/>
            <w:vAlign w:val="center"/>
          </w:tcPr>
          <w:p w14:paraId="523E746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服务采购</w:t>
            </w:r>
          </w:p>
        </w:tc>
        <w:tc>
          <w:tcPr>
            <w:tcW w:w="1799" w:type="dxa"/>
            <w:vAlign w:val="center"/>
          </w:tcPr>
          <w:p w14:paraId="745756B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工程采购</w:t>
            </w:r>
          </w:p>
        </w:tc>
      </w:tr>
      <w:tr w14:paraId="7ABB7F40">
        <w:tblPrEx>
          <w:tblW w:w="5000" w:type="pct"/>
          <w:jc w:val="center"/>
          <w:tblLayout w:type="fixed"/>
          <w:tblCellMar>
            <w:top w:w="0" w:type="dxa"/>
            <w:left w:w="108" w:type="dxa"/>
            <w:bottom w:w="0" w:type="dxa"/>
            <w:right w:w="108" w:type="dxa"/>
          </w:tblCellMar>
        </w:tblPrEx>
        <w:trPr>
          <w:jc w:val="center"/>
        </w:trPr>
        <w:tc>
          <w:tcPr>
            <w:tcW w:w="3125" w:type="dxa"/>
            <w:vAlign w:val="center"/>
          </w:tcPr>
          <w:p w14:paraId="2D01B91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100万元以下</w:t>
            </w:r>
          </w:p>
        </w:tc>
        <w:tc>
          <w:tcPr>
            <w:tcW w:w="1799" w:type="dxa"/>
            <w:vAlign w:val="center"/>
          </w:tcPr>
          <w:p w14:paraId="27AAF84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1.5%</w:t>
            </w:r>
          </w:p>
        </w:tc>
        <w:tc>
          <w:tcPr>
            <w:tcW w:w="1799" w:type="dxa"/>
            <w:vAlign w:val="center"/>
          </w:tcPr>
          <w:p w14:paraId="219CB88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1.5%</w:t>
            </w:r>
          </w:p>
        </w:tc>
        <w:tc>
          <w:tcPr>
            <w:tcW w:w="1799" w:type="dxa"/>
            <w:vAlign w:val="center"/>
          </w:tcPr>
          <w:p w14:paraId="445DB1D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1.0%</w:t>
            </w:r>
          </w:p>
        </w:tc>
      </w:tr>
      <w:tr w14:paraId="6462BC53">
        <w:tblPrEx>
          <w:tblW w:w="5000" w:type="pct"/>
          <w:jc w:val="center"/>
          <w:tblLayout w:type="fixed"/>
          <w:tblCellMar>
            <w:top w:w="0" w:type="dxa"/>
            <w:left w:w="108" w:type="dxa"/>
            <w:bottom w:w="0" w:type="dxa"/>
            <w:right w:w="108" w:type="dxa"/>
          </w:tblCellMar>
        </w:tblPrEx>
        <w:trPr>
          <w:jc w:val="center"/>
        </w:trPr>
        <w:tc>
          <w:tcPr>
            <w:tcW w:w="3125" w:type="dxa"/>
            <w:vAlign w:val="center"/>
          </w:tcPr>
          <w:p w14:paraId="202DF91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100万元（含）-500万元</w:t>
            </w:r>
          </w:p>
        </w:tc>
        <w:tc>
          <w:tcPr>
            <w:tcW w:w="1799" w:type="dxa"/>
            <w:vAlign w:val="center"/>
          </w:tcPr>
          <w:p w14:paraId="1626F77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1.1%</w:t>
            </w:r>
          </w:p>
        </w:tc>
        <w:tc>
          <w:tcPr>
            <w:tcW w:w="1799" w:type="dxa"/>
            <w:vAlign w:val="center"/>
          </w:tcPr>
          <w:p w14:paraId="1DD1849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0.8%</w:t>
            </w:r>
          </w:p>
        </w:tc>
        <w:tc>
          <w:tcPr>
            <w:tcW w:w="1799" w:type="dxa"/>
            <w:vAlign w:val="center"/>
          </w:tcPr>
          <w:p w14:paraId="27702B0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0.7%</w:t>
            </w:r>
          </w:p>
        </w:tc>
      </w:tr>
      <w:tr w14:paraId="5B66B6CB">
        <w:tblPrEx>
          <w:tblW w:w="5000" w:type="pct"/>
          <w:jc w:val="center"/>
          <w:tblLayout w:type="fixed"/>
          <w:tblCellMar>
            <w:top w:w="0" w:type="dxa"/>
            <w:left w:w="108" w:type="dxa"/>
            <w:bottom w:w="0" w:type="dxa"/>
            <w:right w:w="108" w:type="dxa"/>
          </w:tblCellMar>
        </w:tblPrEx>
        <w:trPr>
          <w:jc w:val="center"/>
        </w:trPr>
        <w:tc>
          <w:tcPr>
            <w:tcW w:w="3125" w:type="dxa"/>
            <w:vAlign w:val="center"/>
          </w:tcPr>
          <w:p w14:paraId="528DB04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500万元（含）-1000万元</w:t>
            </w:r>
          </w:p>
        </w:tc>
        <w:tc>
          <w:tcPr>
            <w:tcW w:w="1799" w:type="dxa"/>
            <w:vAlign w:val="center"/>
          </w:tcPr>
          <w:p w14:paraId="4A073F4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0.8%</w:t>
            </w:r>
          </w:p>
        </w:tc>
        <w:tc>
          <w:tcPr>
            <w:tcW w:w="1799" w:type="dxa"/>
            <w:vAlign w:val="center"/>
          </w:tcPr>
          <w:p w14:paraId="3CD9AAF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0.45%</w:t>
            </w:r>
          </w:p>
        </w:tc>
        <w:tc>
          <w:tcPr>
            <w:tcW w:w="1799" w:type="dxa"/>
            <w:vAlign w:val="center"/>
          </w:tcPr>
          <w:p w14:paraId="5288800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0.55%</w:t>
            </w:r>
          </w:p>
        </w:tc>
      </w:tr>
      <w:tr w14:paraId="0B58A20C">
        <w:tblPrEx>
          <w:tblW w:w="5000" w:type="pct"/>
          <w:jc w:val="center"/>
          <w:tblLayout w:type="fixed"/>
          <w:tblCellMar>
            <w:top w:w="0" w:type="dxa"/>
            <w:left w:w="108" w:type="dxa"/>
            <w:bottom w:w="0" w:type="dxa"/>
            <w:right w:w="108" w:type="dxa"/>
          </w:tblCellMar>
        </w:tblPrEx>
        <w:trPr>
          <w:jc w:val="center"/>
        </w:trPr>
        <w:tc>
          <w:tcPr>
            <w:tcW w:w="3125" w:type="dxa"/>
            <w:vAlign w:val="center"/>
          </w:tcPr>
          <w:p w14:paraId="1595E68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1000万元（含）-5000万元</w:t>
            </w:r>
          </w:p>
        </w:tc>
        <w:tc>
          <w:tcPr>
            <w:tcW w:w="1799" w:type="dxa"/>
            <w:vAlign w:val="center"/>
          </w:tcPr>
          <w:p w14:paraId="724FBBE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0.5%</w:t>
            </w:r>
          </w:p>
        </w:tc>
        <w:tc>
          <w:tcPr>
            <w:tcW w:w="1799" w:type="dxa"/>
            <w:vAlign w:val="center"/>
          </w:tcPr>
          <w:p w14:paraId="5B9FD41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0.25%</w:t>
            </w:r>
          </w:p>
        </w:tc>
        <w:tc>
          <w:tcPr>
            <w:tcW w:w="1799" w:type="dxa"/>
            <w:vAlign w:val="center"/>
          </w:tcPr>
          <w:p w14:paraId="62D5118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0.35%</w:t>
            </w:r>
          </w:p>
        </w:tc>
      </w:tr>
      <w:tr w14:paraId="02925B4B">
        <w:tblPrEx>
          <w:tblW w:w="5000" w:type="pct"/>
          <w:jc w:val="center"/>
          <w:tblLayout w:type="fixed"/>
          <w:tblCellMar>
            <w:top w:w="0" w:type="dxa"/>
            <w:left w:w="108" w:type="dxa"/>
            <w:bottom w:w="0" w:type="dxa"/>
            <w:right w:w="108" w:type="dxa"/>
          </w:tblCellMar>
        </w:tblPrEx>
        <w:trPr>
          <w:jc w:val="center"/>
        </w:trPr>
        <w:tc>
          <w:tcPr>
            <w:tcW w:w="3125" w:type="dxa"/>
            <w:vAlign w:val="center"/>
          </w:tcPr>
          <w:p w14:paraId="6D97CEA3">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5000万元（含）-1亿元</w:t>
            </w:r>
          </w:p>
        </w:tc>
        <w:tc>
          <w:tcPr>
            <w:tcW w:w="1799" w:type="dxa"/>
            <w:vAlign w:val="center"/>
          </w:tcPr>
          <w:p w14:paraId="78EDCC7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0.25%</w:t>
            </w:r>
          </w:p>
        </w:tc>
        <w:tc>
          <w:tcPr>
            <w:tcW w:w="1799" w:type="dxa"/>
            <w:vAlign w:val="center"/>
          </w:tcPr>
          <w:p w14:paraId="4D92E4F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0.1%</w:t>
            </w:r>
          </w:p>
        </w:tc>
        <w:tc>
          <w:tcPr>
            <w:tcW w:w="1799" w:type="dxa"/>
            <w:vAlign w:val="center"/>
          </w:tcPr>
          <w:p w14:paraId="09C3F01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0.2%</w:t>
            </w:r>
          </w:p>
        </w:tc>
      </w:tr>
      <w:tr w14:paraId="349E288A">
        <w:tblPrEx>
          <w:tblW w:w="5000" w:type="pct"/>
          <w:jc w:val="center"/>
          <w:tblLayout w:type="fixed"/>
          <w:tblCellMar>
            <w:top w:w="0" w:type="dxa"/>
            <w:left w:w="108" w:type="dxa"/>
            <w:bottom w:w="0" w:type="dxa"/>
            <w:right w:w="108" w:type="dxa"/>
          </w:tblCellMar>
        </w:tblPrEx>
        <w:trPr>
          <w:jc w:val="center"/>
        </w:trPr>
        <w:tc>
          <w:tcPr>
            <w:tcW w:w="3125" w:type="dxa"/>
            <w:vAlign w:val="center"/>
          </w:tcPr>
          <w:p w14:paraId="73191521">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1亿元（含）-5亿元</w:t>
            </w:r>
          </w:p>
        </w:tc>
        <w:tc>
          <w:tcPr>
            <w:tcW w:w="1799" w:type="dxa"/>
            <w:vAlign w:val="center"/>
          </w:tcPr>
          <w:p w14:paraId="291BE51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0.05%</w:t>
            </w:r>
          </w:p>
        </w:tc>
        <w:tc>
          <w:tcPr>
            <w:tcW w:w="1799" w:type="dxa"/>
            <w:vAlign w:val="center"/>
          </w:tcPr>
          <w:p w14:paraId="6122A8B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0.05%</w:t>
            </w:r>
          </w:p>
        </w:tc>
        <w:tc>
          <w:tcPr>
            <w:tcW w:w="1799" w:type="dxa"/>
            <w:vAlign w:val="center"/>
          </w:tcPr>
          <w:p w14:paraId="7A40DC0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0.05%</w:t>
            </w:r>
          </w:p>
        </w:tc>
      </w:tr>
      <w:tr w14:paraId="60EC0B21">
        <w:tblPrEx>
          <w:tblW w:w="5000" w:type="pct"/>
          <w:jc w:val="center"/>
          <w:tblLayout w:type="fixed"/>
          <w:tblCellMar>
            <w:top w:w="0" w:type="dxa"/>
            <w:left w:w="108" w:type="dxa"/>
            <w:bottom w:w="0" w:type="dxa"/>
            <w:right w:w="108" w:type="dxa"/>
          </w:tblCellMar>
        </w:tblPrEx>
        <w:trPr>
          <w:jc w:val="center"/>
        </w:trPr>
        <w:tc>
          <w:tcPr>
            <w:tcW w:w="3125" w:type="dxa"/>
            <w:vAlign w:val="center"/>
          </w:tcPr>
          <w:p w14:paraId="40D12BA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5亿元（含）-10亿元</w:t>
            </w:r>
          </w:p>
        </w:tc>
        <w:tc>
          <w:tcPr>
            <w:tcW w:w="1799" w:type="dxa"/>
            <w:vAlign w:val="center"/>
          </w:tcPr>
          <w:p w14:paraId="260B7EFA">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0.035%</w:t>
            </w:r>
          </w:p>
        </w:tc>
        <w:tc>
          <w:tcPr>
            <w:tcW w:w="1799" w:type="dxa"/>
            <w:vAlign w:val="center"/>
          </w:tcPr>
          <w:p w14:paraId="0CDA51C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0.035%</w:t>
            </w:r>
          </w:p>
        </w:tc>
        <w:tc>
          <w:tcPr>
            <w:tcW w:w="1799" w:type="dxa"/>
            <w:vAlign w:val="center"/>
          </w:tcPr>
          <w:p w14:paraId="5285DCA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0.035%</w:t>
            </w:r>
          </w:p>
        </w:tc>
      </w:tr>
      <w:tr w14:paraId="10743771">
        <w:tblPrEx>
          <w:tblW w:w="5000" w:type="pct"/>
          <w:jc w:val="center"/>
          <w:tblLayout w:type="fixed"/>
          <w:tblCellMar>
            <w:top w:w="0" w:type="dxa"/>
            <w:left w:w="108" w:type="dxa"/>
            <w:bottom w:w="0" w:type="dxa"/>
            <w:right w:w="108" w:type="dxa"/>
          </w:tblCellMar>
        </w:tblPrEx>
        <w:trPr>
          <w:jc w:val="center"/>
        </w:trPr>
        <w:tc>
          <w:tcPr>
            <w:tcW w:w="3125" w:type="dxa"/>
            <w:vAlign w:val="center"/>
          </w:tcPr>
          <w:p w14:paraId="48E3BC8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10亿元（含）-50亿元</w:t>
            </w:r>
          </w:p>
        </w:tc>
        <w:tc>
          <w:tcPr>
            <w:tcW w:w="1799" w:type="dxa"/>
            <w:vAlign w:val="center"/>
          </w:tcPr>
          <w:p w14:paraId="67ED6A0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0.008%</w:t>
            </w:r>
          </w:p>
        </w:tc>
        <w:tc>
          <w:tcPr>
            <w:tcW w:w="1799" w:type="dxa"/>
            <w:vAlign w:val="center"/>
          </w:tcPr>
          <w:p w14:paraId="3089CF6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0.008%</w:t>
            </w:r>
          </w:p>
        </w:tc>
        <w:tc>
          <w:tcPr>
            <w:tcW w:w="1799" w:type="dxa"/>
            <w:vAlign w:val="center"/>
          </w:tcPr>
          <w:p w14:paraId="36942EC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0.008%</w:t>
            </w:r>
          </w:p>
        </w:tc>
      </w:tr>
      <w:tr w14:paraId="75DC3EEE">
        <w:tblPrEx>
          <w:tblW w:w="5000" w:type="pct"/>
          <w:jc w:val="center"/>
          <w:tblLayout w:type="fixed"/>
          <w:tblCellMar>
            <w:top w:w="0" w:type="dxa"/>
            <w:left w:w="108" w:type="dxa"/>
            <w:bottom w:w="0" w:type="dxa"/>
            <w:right w:w="108" w:type="dxa"/>
          </w:tblCellMar>
        </w:tblPrEx>
        <w:trPr>
          <w:jc w:val="center"/>
        </w:trPr>
        <w:tc>
          <w:tcPr>
            <w:tcW w:w="3125" w:type="dxa"/>
            <w:vAlign w:val="center"/>
          </w:tcPr>
          <w:p w14:paraId="34A7B67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50亿元（含）-100亿元</w:t>
            </w:r>
          </w:p>
        </w:tc>
        <w:tc>
          <w:tcPr>
            <w:tcW w:w="1799" w:type="dxa"/>
            <w:vAlign w:val="center"/>
          </w:tcPr>
          <w:p w14:paraId="3FC7033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0.006%</w:t>
            </w:r>
          </w:p>
        </w:tc>
        <w:tc>
          <w:tcPr>
            <w:tcW w:w="1799" w:type="dxa"/>
            <w:vAlign w:val="center"/>
          </w:tcPr>
          <w:p w14:paraId="448726C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0.006%</w:t>
            </w:r>
          </w:p>
        </w:tc>
        <w:tc>
          <w:tcPr>
            <w:tcW w:w="1799" w:type="dxa"/>
            <w:vAlign w:val="center"/>
          </w:tcPr>
          <w:p w14:paraId="7267BA2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0.006%</w:t>
            </w:r>
          </w:p>
        </w:tc>
      </w:tr>
      <w:tr w14:paraId="617D7359">
        <w:tblPrEx>
          <w:tblW w:w="5000" w:type="pct"/>
          <w:jc w:val="center"/>
          <w:tblLayout w:type="fixed"/>
          <w:tblCellMar>
            <w:top w:w="0" w:type="dxa"/>
            <w:left w:w="108" w:type="dxa"/>
            <w:bottom w:w="0" w:type="dxa"/>
            <w:right w:w="108" w:type="dxa"/>
          </w:tblCellMar>
        </w:tblPrEx>
        <w:trPr>
          <w:jc w:val="center"/>
        </w:trPr>
        <w:tc>
          <w:tcPr>
            <w:tcW w:w="3125" w:type="dxa"/>
            <w:vAlign w:val="center"/>
          </w:tcPr>
          <w:p w14:paraId="440ED72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100亿元（含）以上</w:t>
            </w:r>
          </w:p>
        </w:tc>
        <w:tc>
          <w:tcPr>
            <w:tcW w:w="1799" w:type="dxa"/>
            <w:vAlign w:val="center"/>
          </w:tcPr>
          <w:p w14:paraId="2A8206E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0.004%</w:t>
            </w:r>
          </w:p>
        </w:tc>
        <w:tc>
          <w:tcPr>
            <w:tcW w:w="1799" w:type="dxa"/>
            <w:vAlign w:val="center"/>
          </w:tcPr>
          <w:p w14:paraId="306E29C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0.004%</w:t>
            </w:r>
          </w:p>
        </w:tc>
        <w:tc>
          <w:tcPr>
            <w:tcW w:w="1799" w:type="dxa"/>
            <w:vAlign w:val="center"/>
          </w:tcPr>
          <w:p w14:paraId="7F68D8F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ascii="仿宋" w:eastAsia="仿宋" w:hAnsi="仿宋" w:cs="仿宋" w:hint="eastAsia"/>
                <w:color w:val="000000"/>
                <w:kern w:val="2"/>
                <w:sz w:val="21"/>
                <w:szCs w:val="21"/>
                <w:lang w:eastAsia="zh-CN"/>
              </w:rPr>
            </w:pPr>
            <w:r>
              <w:rPr>
                <w:rFonts w:ascii="仿宋" w:eastAsia="仿宋" w:hAnsi="仿宋" w:cs="仿宋" w:hint="eastAsia"/>
                <w:color w:val="000000"/>
                <w:kern w:val="2"/>
                <w:sz w:val="21"/>
                <w:szCs w:val="21"/>
                <w:lang w:eastAsia="zh-CN"/>
              </w:rPr>
              <w:t>0.004%</w:t>
            </w:r>
          </w:p>
        </w:tc>
      </w:tr>
    </w:tbl>
    <w:p w14:paraId="20DF87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备注：1.每宗交易代理服务费不低于8000.00元；</w:t>
      </w:r>
    </w:p>
    <w:p w14:paraId="17E13D1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2.对于报总价的采购类项目，中标（成交）价为中标（成交）金额；对于报单价或折扣或费率的采购类项目，中标（成交）价为预算上限金额或经委托方与代理方确定的支付上限金额。</w:t>
      </w:r>
    </w:p>
    <w:p w14:paraId="1A7BAEC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如某货物采购项目，中标（成交）金额为600万元，总共交纳的代理服务费的具体计算过程如下：</w:t>
      </w:r>
    </w:p>
    <w:p w14:paraId="747377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标准代理服务费＝（100万以下部分的代理服务费）+（100万～500万部分的代理服务费）+（500万～600万部分的代理服务费）＝100万元×1.5%+（500-100）万元×1.1%+（600-500）万元×0.8%=1.5万元+4.4万元+0.8万元＝6.7万元</w:t>
      </w:r>
    </w:p>
    <w:p w14:paraId="4880757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（3）中标（成交）供应商成交后，必须按规定采用银行对公转账方式向代理机构直接交纳代理服务费，交纳信息及要求按照缴款（付款）通知书执行。</w:t>
      </w:r>
    </w:p>
    <w:p w14:paraId="2AFF780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szCs w:val="32"/>
          <w:lang w:eastAsia="zh-CN"/>
        </w:rPr>
      </w:pPr>
    </w:p>
    <w:p w14:paraId="3D5AF476">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账户信息如下：</w:t>
      </w:r>
    </w:p>
    <w:p w14:paraId="5BF41AAF">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账户名：广东五装建设工程有限公司</w:t>
      </w:r>
    </w:p>
    <w:p w14:paraId="17607823">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银行账户：651328180700015</w:t>
      </w:r>
    </w:p>
    <w:p w14:paraId="6D353C9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lang w:eastAsia="zh-CN"/>
        </w:rPr>
        <w:t xml:space="preserve">开户银行：深圳福田银座村镇银行股份有限公司石岩支行           </w:t>
      </w:r>
    </w:p>
    <w:p w14:paraId="30595755">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ascii="仿宋" w:eastAsia="仿宋" w:hAnsi="仿宋" w:cs="仿宋" w:hint="eastAsia"/>
          <w:bCs/>
          <w:kern w:val="2"/>
          <w:szCs w:val="32"/>
          <w:lang w:eastAsia="zh-CN"/>
        </w:rPr>
      </w:pPr>
      <w:r>
        <w:rPr>
          <w:rFonts w:ascii="仿宋" w:eastAsia="仿宋" w:hAnsi="仿宋" w:cs="仿宋" w:hint="eastAsia"/>
          <w:bCs/>
          <w:kern w:val="2"/>
          <w:szCs w:val="32"/>
          <w:highlight w:val="yellow"/>
          <w:lang w:eastAsia="zh-CN"/>
        </w:rPr>
        <w:t>转账备注：公司名称+项目编号+项目名称</w:t>
      </w:r>
      <w:r>
        <w:rPr>
          <w:rFonts w:ascii="仿宋" w:eastAsia="仿宋" w:hAnsi="仿宋" w:cs="仿宋" w:hint="eastAsia"/>
          <w:bCs/>
          <w:kern w:val="2"/>
          <w:szCs w:val="32"/>
          <w:lang w:eastAsia="zh-CN"/>
        </w:rPr>
        <w:br w:type="page"/>
      </w:r>
    </w:p>
    <w:p w14:paraId="18851F5E">
      <w:pPr>
        <w:keepNext/>
        <w:keepLines/>
        <w:widowControl w:val="0"/>
        <w:bidi w:val="0"/>
        <w:spacing w:beforeLines="0" w:beforeAutospacing="0" w:afterLines="0" w:afterAutospacing="0" w:line="360" w:lineRule="auto"/>
        <w:jc w:val="center"/>
        <w:outlineLvl w:val="1"/>
        <w:rPr>
          <w:rFonts w:ascii="仿宋" w:eastAsia="仿宋" w:hAnsi="仿宋" w:cs="仿宋" w:hint="eastAsia"/>
          <w:b/>
          <w:kern w:val="2"/>
          <w:sz w:val="32"/>
          <w:lang w:eastAsia="zh-CN"/>
        </w:rPr>
      </w:pPr>
      <w:bookmarkStart w:id="12" w:name="_Toc2600"/>
      <w:r>
        <w:rPr>
          <w:rFonts w:ascii="仿宋" w:eastAsia="仿宋" w:hAnsi="仿宋" w:cs="仿宋" w:hint="eastAsia"/>
          <w:b/>
          <w:kern w:val="2"/>
          <w:sz w:val="32"/>
          <w:lang w:eastAsia="zh-CN"/>
        </w:rPr>
        <w:t>第三章 项目需求</w:t>
      </w:r>
      <w:bookmarkEnd w:id="12"/>
    </w:p>
    <w:p w14:paraId="1615ADEF">
      <w:pPr>
        <w:widowControl w:val="0"/>
        <w:bidi w:val="0"/>
        <w:spacing w:line="360" w:lineRule="auto"/>
        <w:jc w:val="center"/>
        <w:rPr>
          <w:rFonts w:ascii="仿宋" w:eastAsia="仿宋" w:hAnsi="仿宋" w:cs="仿宋" w:hint="eastAsia"/>
          <w:kern w:val="2"/>
          <w:szCs w:val="32"/>
          <w:lang w:eastAsia="zh-CN"/>
        </w:rPr>
      </w:pPr>
      <w:r>
        <w:rPr>
          <w:rFonts w:ascii="仿宋" w:eastAsia="仿宋" w:hAnsi="仿宋" w:cs="仿宋" w:hint="eastAsia"/>
          <w:kern w:val="2"/>
          <w:szCs w:val="32"/>
          <w:lang w:eastAsia="zh-CN"/>
        </w:rPr>
        <w:t>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72"/>
        <w:gridCol w:w="2826"/>
        <w:gridCol w:w="6284"/>
      </w:tblGrid>
      <w:tr w14:paraId="7A0E6CA2">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51"/>
          <w:jc w:val="center"/>
        </w:trPr>
        <w:tc>
          <w:tcPr>
            <w:tcW w:w="929" w:type="dxa"/>
            <w:noWrap w:val="0"/>
            <w:vAlign w:val="center"/>
          </w:tcPr>
          <w:p w14:paraId="4CB98CD7">
            <w:pPr>
              <w:widowControl w:val="0"/>
              <w:spacing w:line="360" w:lineRule="auto"/>
              <w:jc w:val="center"/>
              <w:rPr>
                <w:rFonts w:ascii="仿宋" w:eastAsia="仿宋" w:hAnsi="仿宋" w:cs="仿宋" w:hint="eastAsia"/>
                <w:b/>
                <w:bCs/>
                <w:kern w:val="2"/>
                <w:sz w:val="24"/>
                <w:szCs w:val="24"/>
                <w:lang w:eastAsia="zh-CN"/>
              </w:rPr>
            </w:pPr>
            <w:r>
              <w:rPr>
                <w:rFonts w:ascii="仿宋" w:eastAsia="仿宋" w:hAnsi="仿宋" w:cs="仿宋" w:hint="eastAsia"/>
                <w:b/>
                <w:bCs/>
                <w:kern w:val="2"/>
                <w:sz w:val="24"/>
                <w:szCs w:val="24"/>
                <w:lang w:eastAsia="zh-CN"/>
              </w:rPr>
              <w:t>序号</w:t>
            </w:r>
          </w:p>
        </w:tc>
        <w:tc>
          <w:tcPr>
            <w:tcW w:w="2702" w:type="dxa"/>
            <w:noWrap w:val="0"/>
            <w:vAlign w:val="center"/>
          </w:tcPr>
          <w:p w14:paraId="05CEA695">
            <w:pPr>
              <w:widowControl w:val="0"/>
              <w:spacing w:line="360" w:lineRule="auto"/>
              <w:jc w:val="center"/>
              <w:rPr>
                <w:rFonts w:ascii="仿宋" w:eastAsia="仿宋" w:hAnsi="仿宋" w:cs="仿宋" w:hint="eastAsia"/>
                <w:b/>
                <w:bCs/>
                <w:kern w:val="2"/>
                <w:sz w:val="24"/>
                <w:szCs w:val="24"/>
                <w:lang w:eastAsia="zh-CN"/>
              </w:rPr>
            </w:pPr>
            <w:r>
              <w:rPr>
                <w:rFonts w:ascii="仿宋" w:eastAsia="仿宋" w:hAnsi="仿宋" w:cs="仿宋" w:hint="eastAsia"/>
                <w:b/>
                <w:bCs/>
                <w:kern w:val="2"/>
                <w:sz w:val="24"/>
                <w:szCs w:val="24"/>
                <w:lang w:eastAsia="zh-CN"/>
              </w:rPr>
              <w:t>内   容</w:t>
            </w:r>
          </w:p>
        </w:tc>
        <w:tc>
          <w:tcPr>
            <w:tcW w:w="6008" w:type="dxa"/>
            <w:noWrap w:val="0"/>
            <w:vAlign w:val="center"/>
          </w:tcPr>
          <w:p w14:paraId="2F984CDC">
            <w:pPr>
              <w:widowControl w:val="0"/>
              <w:spacing w:line="360" w:lineRule="auto"/>
              <w:jc w:val="center"/>
              <w:rPr>
                <w:rFonts w:ascii="仿宋" w:eastAsia="仿宋" w:hAnsi="仿宋" w:cs="仿宋" w:hint="eastAsia"/>
                <w:b/>
                <w:bCs/>
                <w:kern w:val="2"/>
                <w:sz w:val="24"/>
                <w:szCs w:val="24"/>
                <w:lang w:eastAsia="zh-CN"/>
              </w:rPr>
            </w:pPr>
            <w:r>
              <w:rPr>
                <w:rFonts w:ascii="仿宋" w:eastAsia="仿宋" w:hAnsi="仿宋" w:cs="仿宋" w:hint="eastAsia"/>
                <w:b/>
                <w:bCs/>
                <w:kern w:val="2"/>
                <w:sz w:val="24"/>
                <w:szCs w:val="24"/>
                <w:lang w:eastAsia="zh-CN"/>
              </w:rPr>
              <w:t>规      定</w:t>
            </w:r>
          </w:p>
        </w:tc>
      </w:tr>
      <w:tr w14:paraId="28A0958A">
        <w:tblPrEx>
          <w:tblW w:w="5000" w:type="pct"/>
          <w:jc w:val="center"/>
          <w:tblLayout w:type="fixed"/>
          <w:tblCellMar>
            <w:top w:w="0" w:type="dxa"/>
            <w:left w:w="108" w:type="dxa"/>
            <w:bottom w:w="0" w:type="dxa"/>
            <w:right w:w="108" w:type="dxa"/>
          </w:tblCellMar>
        </w:tblPrEx>
        <w:trPr>
          <w:cantSplit/>
          <w:trHeight w:val="1060"/>
          <w:jc w:val="center"/>
        </w:trPr>
        <w:tc>
          <w:tcPr>
            <w:tcW w:w="929" w:type="dxa"/>
            <w:noWrap w:val="0"/>
            <w:vAlign w:val="center"/>
          </w:tcPr>
          <w:p w14:paraId="238D22FC">
            <w:pPr>
              <w:widowControl w:val="0"/>
              <w:spacing w:line="36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1</w:t>
            </w:r>
          </w:p>
        </w:tc>
        <w:tc>
          <w:tcPr>
            <w:tcW w:w="2702" w:type="dxa"/>
            <w:noWrap w:val="0"/>
            <w:vAlign w:val="center"/>
          </w:tcPr>
          <w:p w14:paraId="060667CE">
            <w:pPr>
              <w:widowControl w:val="0"/>
              <w:spacing w:line="360" w:lineRule="auto"/>
              <w:jc w:val="both"/>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联合体投标</w:t>
            </w:r>
          </w:p>
        </w:tc>
        <w:tc>
          <w:tcPr>
            <w:tcW w:w="6008" w:type="dxa"/>
            <w:noWrap w:val="0"/>
            <w:vAlign w:val="center"/>
          </w:tcPr>
          <w:p w14:paraId="33181779">
            <w:pPr>
              <w:widowControl w:val="0"/>
              <w:spacing w:line="360" w:lineRule="auto"/>
              <w:jc w:val="both"/>
              <w:rPr>
                <w:rFonts w:ascii="仿宋" w:eastAsia="仿宋" w:hAnsi="仿宋" w:cs="仿宋" w:hint="eastAsia"/>
                <w:snapToGrid w:val="0"/>
                <w:sz w:val="24"/>
                <w:szCs w:val="24"/>
                <w:u w:val="single"/>
                <w:lang w:val="zh-CN" w:eastAsia="zh-CN"/>
              </w:rPr>
            </w:pPr>
            <w:r>
              <w:rPr>
                <w:rFonts w:ascii="仿宋" w:eastAsia="仿宋" w:hAnsi="仿宋" w:cs="仿宋" w:hint="eastAsia"/>
                <w:snapToGrid w:val="0"/>
                <w:sz w:val="24"/>
                <w:szCs w:val="24"/>
                <w:u w:val="single"/>
                <w:lang w:val="zh-CN" w:eastAsia="zh-CN"/>
              </w:rPr>
              <w:t>见《招标公告》中“投标人资质要求”部分的相关内容</w:t>
            </w:r>
          </w:p>
        </w:tc>
      </w:tr>
      <w:tr w14:paraId="5DA96C47">
        <w:tblPrEx>
          <w:tblW w:w="5000" w:type="pct"/>
          <w:jc w:val="center"/>
          <w:tblLayout w:type="fixed"/>
          <w:tblCellMar>
            <w:top w:w="0" w:type="dxa"/>
            <w:left w:w="108" w:type="dxa"/>
            <w:bottom w:w="0" w:type="dxa"/>
            <w:right w:w="108" w:type="dxa"/>
          </w:tblCellMar>
        </w:tblPrEx>
        <w:trPr>
          <w:cantSplit/>
          <w:trHeight w:val="537"/>
          <w:jc w:val="center"/>
        </w:trPr>
        <w:tc>
          <w:tcPr>
            <w:tcW w:w="929" w:type="dxa"/>
            <w:noWrap w:val="0"/>
            <w:vAlign w:val="center"/>
          </w:tcPr>
          <w:p w14:paraId="245A700B">
            <w:pPr>
              <w:widowControl w:val="0"/>
              <w:spacing w:line="36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2</w:t>
            </w:r>
          </w:p>
        </w:tc>
        <w:tc>
          <w:tcPr>
            <w:tcW w:w="2702" w:type="dxa"/>
            <w:noWrap w:val="0"/>
            <w:vAlign w:val="center"/>
          </w:tcPr>
          <w:p w14:paraId="5B4E4E22">
            <w:pPr>
              <w:widowControl w:val="0"/>
              <w:spacing w:line="360" w:lineRule="auto"/>
              <w:jc w:val="both"/>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投标有效期</w:t>
            </w:r>
          </w:p>
        </w:tc>
        <w:tc>
          <w:tcPr>
            <w:tcW w:w="6008" w:type="dxa"/>
            <w:noWrap w:val="0"/>
            <w:vAlign w:val="center"/>
          </w:tcPr>
          <w:p w14:paraId="79DC92DF">
            <w:pPr>
              <w:widowControl w:val="0"/>
              <w:spacing w:line="360" w:lineRule="auto"/>
              <w:jc w:val="both"/>
              <w:rPr>
                <w:rFonts w:ascii="仿宋" w:eastAsia="仿宋" w:hAnsi="仿宋" w:cs="仿宋" w:hint="eastAsia"/>
                <w:kern w:val="2"/>
                <w:sz w:val="24"/>
                <w:szCs w:val="24"/>
                <w:lang w:eastAsia="zh-CN"/>
              </w:rPr>
            </w:pPr>
            <w:r>
              <w:rPr>
                <w:rFonts w:ascii="仿宋" w:eastAsia="仿宋" w:hAnsi="仿宋" w:cs="仿宋" w:hint="eastAsia"/>
                <w:kern w:val="2"/>
                <w:sz w:val="24"/>
                <w:szCs w:val="24"/>
                <w:u w:val="single"/>
                <w:lang w:eastAsia="zh-CN"/>
              </w:rPr>
              <w:t>120日历天</w:t>
            </w:r>
            <w:r>
              <w:rPr>
                <w:rFonts w:ascii="仿宋" w:eastAsia="仿宋" w:hAnsi="仿宋" w:cs="仿宋" w:hint="eastAsia"/>
                <w:kern w:val="2"/>
                <w:sz w:val="24"/>
                <w:szCs w:val="24"/>
                <w:lang w:eastAsia="zh-CN"/>
              </w:rPr>
              <w:t>（从投标截止之日算起）</w:t>
            </w:r>
          </w:p>
        </w:tc>
      </w:tr>
      <w:tr w14:paraId="399ACEBC">
        <w:tblPrEx>
          <w:tblW w:w="5000" w:type="pct"/>
          <w:jc w:val="center"/>
          <w:tblLayout w:type="fixed"/>
          <w:tblCellMar>
            <w:top w:w="0" w:type="dxa"/>
            <w:left w:w="108" w:type="dxa"/>
            <w:bottom w:w="0" w:type="dxa"/>
            <w:right w:w="108" w:type="dxa"/>
          </w:tblCellMar>
        </w:tblPrEx>
        <w:trPr>
          <w:cantSplit/>
          <w:trHeight w:val="1027"/>
          <w:jc w:val="center"/>
        </w:trPr>
        <w:tc>
          <w:tcPr>
            <w:tcW w:w="929" w:type="dxa"/>
            <w:noWrap w:val="0"/>
            <w:vAlign w:val="center"/>
          </w:tcPr>
          <w:p w14:paraId="40377089">
            <w:pPr>
              <w:widowControl w:val="0"/>
              <w:spacing w:line="36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3</w:t>
            </w:r>
          </w:p>
        </w:tc>
        <w:tc>
          <w:tcPr>
            <w:tcW w:w="2702" w:type="dxa"/>
            <w:noWrap w:val="0"/>
            <w:vAlign w:val="center"/>
          </w:tcPr>
          <w:p w14:paraId="4A1B73AA">
            <w:pPr>
              <w:widowControl w:val="0"/>
              <w:spacing w:line="360" w:lineRule="auto"/>
              <w:jc w:val="both"/>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投标人的替代方案</w:t>
            </w:r>
          </w:p>
        </w:tc>
        <w:tc>
          <w:tcPr>
            <w:tcW w:w="6008" w:type="dxa"/>
            <w:noWrap w:val="0"/>
            <w:vAlign w:val="center"/>
          </w:tcPr>
          <w:p w14:paraId="77585872">
            <w:pPr>
              <w:widowControl w:val="0"/>
              <w:spacing w:line="360" w:lineRule="auto"/>
              <w:jc w:val="both"/>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不允许</w:t>
            </w:r>
          </w:p>
        </w:tc>
      </w:tr>
      <w:tr w14:paraId="7D569E53">
        <w:tblPrEx>
          <w:tblW w:w="5000" w:type="pct"/>
          <w:jc w:val="center"/>
          <w:tblLayout w:type="fixed"/>
          <w:tblCellMar>
            <w:top w:w="0" w:type="dxa"/>
            <w:left w:w="108" w:type="dxa"/>
            <w:bottom w:w="0" w:type="dxa"/>
            <w:right w:w="108" w:type="dxa"/>
          </w:tblCellMar>
        </w:tblPrEx>
        <w:trPr>
          <w:cantSplit/>
          <w:trHeight w:val="1609"/>
          <w:jc w:val="center"/>
        </w:trPr>
        <w:tc>
          <w:tcPr>
            <w:tcW w:w="929" w:type="dxa"/>
            <w:noWrap w:val="0"/>
            <w:vAlign w:val="center"/>
          </w:tcPr>
          <w:p w14:paraId="750A0F4B">
            <w:pPr>
              <w:widowControl w:val="0"/>
              <w:spacing w:line="360" w:lineRule="auto"/>
              <w:jc w:val="center"/>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4</w:t>
            </w:r>
          </w:p>
        </w:tc>
        <w:tc>
          <w:tcPr>
            <w:tcW w:w="2702" w:type="dxa"/>
            <w:noWrap w:val="0"/>
            <w:vAlign w:val="center"/>
          </w:tcPr>
          <w:p w14:paraId="57B70374">
            <w:pPr>
              <w:widowControl w:val="0"/>
              <w:spacing w:line="360" w:lineRule="auto"/>
              <w:jc w:val="both"/>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投标文件的编制和密封要求</w:t>
            </w:r>
          </w:p>
        </w:tc>
        <w:tc>
          <w:tcPr>
            <w:tcW w:w="6008" w:type="dxa"/>
            <w:noWrap w:val="0"/>
            <w:vAlign w:val="center"/>
          </w:tcPr>
          <w:p w14:paraId="085B1911">
            <w:pPr>
              <w:widowControl w:val="0"/>
              <w:spacing w:line="360" w:lineRule="auto"/>
              <w:jc w:val="both"/>
              <w:rPr>
                <w:rFonts w:ascii="仿宋" w:eastAsia="仿宋" w:hAnsi="仿宋" w:cs="仿宋" w:hint="eastAsia"/>
                <w:kern w:val="2"/>
                <w:sz w:val="24"/>
                <w:szCs w:val="24"/>
                <w:lang w:eastAsia="zh-CN"/>
              </w:rPr>
            </w:pPr>
            <w:r>
              <w:rPr>
                <w:rFonts w:ascii="仿宋" w:eastAsia="仿宋" w:hAnsi="仿宋" w:cs="仿宋" w:hint="eastAsia"/>
                <w:kern w:val="2"/>
                <w:sz w:val="24"/>
                <w:szCs w:val="24"/>
                <w:lang w:eastAsia="zh-CN"/>
              </w:rPr>
              <w:t>本项目为电子采购，供应商需按照招标文件的格式要求编制电子版的投标文件在开标前上传</w:t>
            </w:r>
          </w:p>
        </w:tc>
      </w:tr>
    </w:tbl>
    <w:p w14:paraId="03C13927">
      <w:pPr>
        <w:widowControl w:val="0"/>
        <w:spacing w:line="360" w:lineRule="auto"/>
        <w:jc w:val="both"/>
        <w:rPr>
          <w:rFonts w:ascii="仿宋" w:eastAsia="仿宋" w:hAnsi="仿宋" w:cs="仿宋" w:hint="eastAsia"/>
          <w:bCs/>
          <w:kern w:val="2"/>
          <w:lang w:eastAsia="zh-CN"/>
        </w:rPr>
      </w:pPr>
      <w:r>
        <w:rPr>
          <w:rFonts w:ascii="仿宋" w:eastAsia="仿宋" w:hAnsi="仿宋" w:cs="仿宋" w:hint="eastAsia"/>
          <w:bCs/>
          <w:kern w:val="2"/>
          <w:lang w:eastAsia="zh-CN"/>
        </w:rPr>
        <w:t>备注：本表为通用条款相关内容的补充和明确，如与通用条款相冲突的以本表为准。</w:t>
      </w:r>
    </w:p>
    <w:p w14:paraId="7A3E6D11">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29316411">
      <w:pPr>
        <w:keepNext/>
        <w:keepLines/>
        <w:widowControl w:val="0"/>
        <w:bidi w:val="0"/>
        <w:spacing w:beforeLines="0" w:beforeAutospacing="0" w:afterLines="0" w:afterAutospacing="0" w:line="360" w:lineRule="auto"/>
        <w:jc w:val="center"/>
        <w:outlineLvl w:val="2"/>
        <w:rPr>
          <w:rFonts w:ascii="仿宋" w:eastAsia="仿宋" w:hAnsi="仿宋" w:cs="仿宋" w:hint="eastAsia"/>
          <w:b/>
          <w:kern w:val="2"/>
          <w:sz w:val="32"/>
          <w:lang w:eastAsia="zh-CN"/>
        </w:rPr>
      </w:pPr>
      <w:bookmarkStart w:id="13" w:name="_Toc4708"/>
      <w:r>
        <w:rPr>
          <w:rFonts w:ascii="仿宋" w:eastAsia="仿宋" w:hAnsi="仿宋" w:cs="仿宋" w:hint="eastAsia"/>
          <w:b/>
          <w:kern w:val="2"/>
          <w:sz w:val="32"/>
          <w:lang w:eastAsia="zh-CN"/>
        </w:rPr>
        <w:t>一、项目清单</w:t>
      </w:r>
      <w:bookmarkEnd w:id="13"/>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69"/>
        <w:gridCol w:w="3979"/>
        <w:gridCol w:w="1205"/>
        <w:gridCol w:w="1238"/>
        <w:gridCol w:w="2691"/>
      </w:tblGrid>
      <w:tr w14:paraId="22D8890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3"/>
          <w:jc w:val="center"/>
        </w:trPr>
        <w:tc>
          <w:tcPr>
            <w:tcW w:w="969" w:type="dxa"/>
            <w:vAlign w:val="center"/>
          </w:tcPr>
          <w:p w14:paraId="7E5DAAC0">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Cs/>
                <w:kern w:val="2"/>
                <w:sz w:val="21"/>
                <w:szCs w:val="21"/>
                <w:lang w:eastAsia="zh-CN"/>
              </w:rPr>
              <w:t>序号</w:t>
            </w:r>
          </w:p>
        </w:tc>
        <w:tc>
          <w:tcPr>
            <w:tcW w:w="3979" w:type="dxa"/>
            <w:vAlign w:val="center"/>
          </w:tcPr>
          <w:p w14:paraId="71CFD4C2">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Cs/>
                <w:kern w:val="2"/>
                <w:sz w:val="21"/>
                <w:szCs w:val="21"/>
                <w:lang w:eastAsia="zh-CN"/>
              </w:rPr>
              <w:t>项目名称</w:t>
            </w:r>
          </w:p>
        </w:tc>
        <w:tc>
          <w:tcPr>
            <w:tcW w:w="1205" w:type="dxa"/>
            <w:vAlign w:val="center"/>
          </w:tcPr>
          <w:p w14:paraId="2D5C7FFA">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Cs/>
                <w:kern w:val="2"/>
                <w:sz w:val="21"/>
                <w:szCs w:val="21"/>
                <w:lang w:eastAsia="zh-CN"/>
              </w:rPr>
              <w:t>数量</w:t>
            </w:r>
          </w:p>
        </w:tc>
        <w:tc>
          <w:tcPr>
            <w:tcW w:w="1238" w:type="dxa"/>
            <w:vAlign w:val="center"/>
          </w:tcPr>
          <w:p w14:paraId="6A98CCE5">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Cs/>
                <w:kern w:val="2"/>
                <w:sz w:val="21"/>
                <w:szCs w:val="21"/>
                <w:lang w:eastAsia="zh-CN"/>
              </w:rPr>
              <w:t>单位</w:t>
            </w:r>
          </w:p>
        </w:tc>
        <w:tc>
          <w:tcPr>
            <w:tcW w:w="2691" w:type="dxa"/>
            <w:vAlign w:val="center"/>
          </w:tcPr>
          <w:p w14:paraId="5AA7F589">
            <w:pPr>
              <w:widowControl w:val="0"/>
              <w:spacing w:line="360" w:lineRule="auto"/>
              <w:jc w:val="center"/>
              <w:rPr>
                <w:rFonts w:ascii="仿宋" w:eastAsia="仿宋" w:hAnsi="仿宋" w:cs="仿宋" w:hint="eastAsia"/>
                <w:b/>
                <w:bCs/>
                <w:color w:val="FF0000"/>
                <w:kern w:val="2"/>
                <w:sz w:val="21"/>
                <w:szCs w:val="21"/>
                <w:lang w:eastAsia="zh-CN"/>
              </w:rPr>
            </w:pPr>
            <w:r>
              <w:rPr>
                <w:rFonts w:ascii="仿宋" w:eastAsia="仿宋" w:hAnsi="仿宋" w:cs="仿宋" w:hint="eastAsia"/>
                <w:b/>
                <w:bCs/>
                <w:color w:val="FF0000"/>
                <w:kern w:val="2"/>
                <w:sz w:val="21"/>
                <w:szCs w:val="21"/>
                <w:lang w:eastAsia="zh-CN"/>
              </w:rPr>
              <w:t>财政预算限额（元）</w:t>
            </w:r>
          </w:p>
        </w:tc>
      </w:tr>
      <w:tr w14:paraId="0AD535AD">
        <w:tblPrEx>
          <w:tblW w:w="5000" w:type="pct"/>
          <w:jc w:val="center"/>
          <w:tblLayout w:type="fixed"/>
          <w:tblCellMar>
            <w:top w:w="0" w:type="dxa"/>
            <w:left w:w="108" w:type="dxa"/>
            <w:bottom w:w="0" w:type="dxa"/>
            <w:right w:w="108" w:type="dxa"/>
          </w:tblCellMar>
        </w:tblPrEx>
        <w:trPr>
          <w:trHeight w:val="529"/>
          <w:jc w:val="center"/>
        </w:trPr>
        <w:tc>
          <w:tcPr>
            <w:tcW w:w="969" w:type="dxa"/>
            <w:vAlign w:val="center"/>
          </w:tcPr>
          <w:p w14:paraId="2CDD418F">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Cs/>
                <w:kern w:val="2"/>
                <w:sz w:val="21"/>
                <w:szCs w:val="21"/>
                <w:lang w:eastAsia="zh-CN"/>
              </w:rPr>
              <w:t>1</w:t>
            </w:r>
          </w:p>
        </w:tc>
        <w:tc>
          <w:tcPr>
            <w:tcW w:w="3979" w:type="dxa"/>
            <w:vAlign w:val="center"/>
          </w:tcPr>
          <w:p w14:paraId="5D3F7EC6">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
                <w:bCs/>
                <w:sz w:val="21"/>
                <w:szCs w:val="21"/>
                <w:lang w:eastAsia="zh-CN"/>
              </w:rPr>
              <w:t>2026年食堂管理服务</w:t>
            </w:r>
          </w:p>
        </w:tc>
        <w:tc>
          <w:tcPr>
            <w:tcW w:w="1205" w:type="dxa"/>
            <w:vAlign w:val="center"/>
          </w:tcPr>
          <w:p w14:paraId="351DBFC2">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Cs/>
                <w:kern w:val="2"/>
                <w:sz w:val="21"/>
                <w:szCs w:val="21"/>
                <w:lang w:eastAsia="zh-CN"/>
              </w:rPr>
              <w:t>1</w:t>
            </w:r>
          </w:p>
        </w:tc>
        <w:tc>
          <w:tcPr>
            <w:tcW w:w="1238" w:type="dxa"/>
            <w:vAlign w:val="center"/>
          </w:tcPr>
          <w:p w14:paraId="26F19EC0">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Cs/>
                <w:kern w:val="2"/>
                <w:sz w:val="21"/>
                <w:szCs w:val="21"/>
                <w:lang w:eastAsia="zh-CN"/>
              </w:rPr>
              <w:t>项</w:t>
            </w:r>
          </w:p>
        </w:tc>
        <w:tc>
          <w:tcPr>
            <w:tcW w:w="2691" w:type="dxa"/>
            <w:vAlign w:val="center"/>
          </w:tcPr>
          <w:p w14:paraId="74518157">
            <w:pPr>
              <w:widowControl w:val="0"/>
              <w:spacing w:line="360" w:lineRule="auto"/>
              <w:jc w:val="center"/>
              <w:rPr>
                <w:rFonts w:ascii="仿宋" w:eastAsia="仿宋" w:hAnsi="仿宋" w:cs="仿宋" w:hint="eastAsia"/>
                <w:bCs/>
                <w:kern w:val="2"/>
                <w:sz w:val="21"/>
                <w:szCs w:val="21"/>
                <w:lang w:eastAsia="zh-CN"/>
              </w:rPr>
            </w:pPr>
            <w:r>
              <w:rPr>
                <w:rFonts w:ascii="仿宋" w:eastAsia="仿宋" w:hAnsi="仿宋" w:cs="仿宋" w:hint="eastAsia"/>
                <w:bCs/>
                <w:kern w:val="2"/>
                <w:sz w:val="21"/>
                <w:szCs w:val="21"/>
                <w:lang w:eastAsia="zh-CN"/>
              </w:rPr>
              <w:t>450000.00</w:t>
            </w:r>
          </w:p>
        </w:tc>
      </w:tr>
    </w:tbl>
    <w:p w14:paraId="5A4B02BB">
      <w:pPr>
        <w:keepNext/>
        <w:keepLines/>
        <w:widowControl w:val="0"/>
        <w:bidi w:val="0"/>
        <w:spacing w:beforeLines="0" w:beforeAutospacing="0" w:afterLines="0" w:afterAutospacing="0" w:line="360" w:lineRule="auto"/>
        <w:jc w:val="center"/>
        <w:outlineLvl w:val="2"/>
        <w:rPr>
          <w:rFonts w:ascii="仿宋" w:eastAsia="仿宋" w:hAnsi="仿宋" w:cs="仿宋" w:hint="eastAsia"/>
          <w:b/>
          <w:kern w:val="2"/>
          <w:sz w:val="32"/>
          <w:szCs w:val="32"/>
          <w:lang w:eastAsia="zh-CN"/>
        </w:rPr>
      </w:pPr>
      <w:bookmarkStart w:id="14" w:name="_Toc4907"/>
      <w:r>
        <w:rPr>
          <w:rFonts w:ascii="仿宋" w:eastAsia="仿宋" w:hAnsi="仿宋" w:cs="仿宋" w:hint="eastAsia"/>
          <w:b/>
          <w:kern w:val="2"/>
          <w:sz w:val="32"/>
          <w:szCs w:val="32"/>
          <w:lang w:eastAsia="zh-CN"/>
        </w:rPr>
        <w:t>二、服务需求内容表述</w:t>
      </w:r>
      <w:bookmarkEnd w:id="14"/>
    </w:p>
    <w:p w14:paraId="248E258F">
      <w:pPr>
        <w:widowControl w:val="0"/>
        <w:spacing w:line="360" w:lineRule="auto"/>
        <w:jc w:val="left"/>
        <w:rPr>
          <w:rFonts w:ascii="仿宋" w:eastAsia="仿宋" w:hAnsi="仿宋" w:cs="仿宋" w:hint="eastAsia"/>
          <w:b/>
          <w:bCs/>
          <w:lang w:eastAsia="zh-CN"/>
        </w:rPr>
      </w:pPr>
      <w:r>
        <w:rPr>
          <w:rFonts w:ascii="仿宋" w:eastAsia="仿宋" w:hAnsi="仿宋" w:cs="仿宋" w:hint="eastAsia"/>
          <w:b/>
          <w:bCs/>
          <w:lang w:eastAsia="zh-CN"/>
        </w:rPr>
        <w:t>2.1项目概况</w:t>
      </w:r>
    </w:p>
    <w:p w14:paraId="2FA4D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ascii="仿宋" w:eastAsia="仿宋" w:hAnsi="仿宋" w:cs="仿宋" w:hint="eastAsia"/>
          <w:kern w:val="2"/>
          <w:lang w:val="en-US" w:eastAsia="zh-CN"/>
        </w:rPr>
      </w:pPr>
      <w:r>
        <w:rPr>
          <w:rFonts w:ascii="仿宋" w:eastAsia="仿宋" w:hAnsi="仿宋" w:cs="仿宋" w:hint="eastAsia"/>
          <w:kern w:val="2"/>
          <w:lang w:val="en-US" w:eastAsia="zh-CN"/>
        </w:rPr>
        <w:t>运营要求:目前就餐人数约为 200 人左右，采取“包工不包料”的模式，中标人派驻专业服务团队到本食堂，提供优质的膳食管理服务，负责工作日早、中、晚三餐以及采购人要求的其他供餐服务(如公务接待服务、应急工作加班用餐等)。采购人负责提供主副食原材料、厨房、厨具、水电、燃料，双方在交接时须进行盘点登记造册。</w:t>
      </w:r>
    </w:p>
    <w:p w14:paraId="6D74D8B7">
      <w:pPr>
        <w:widowControl w:val="0"/>
        <w:spacing w:line="360" w:lineRule="auto"/>
        <w:jc w:val="left"/>
        <w:rPr>
          <w:rFonts w:ascii="仿宋" w:eastAsia="仿宋" w:hAnsi="仿宋" w:cs="仿宋" w:hint="eastAsia"/>
          <w:b/>
          <w:bCs/>
          <w:lang w:eastAsia="zh-CN"/>
        </w:rPr>
      </w:pPr>
      <w:r>
        <w:rPr>
          <w:rFonts w:ascii="仿宋" w:eastAsia="仿宋" w:hAnsi="仿宋" w:cs="仿宋" w:hint="eastAsia"/>
          <w:b/>
          <w:bCs/>
          <w:lang w:eastAsia="zh-CN"/>
        </w:rPr>
        <w:t>2.2项目服务内容及服务要求</w:t>
      </w:r>
    </w:p>
    <w:p w14:paraId="3AECC170">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
          <w:kern w:val="2"/>
          <w:lang w:eastAsia="zh-CN"/>
        </w:rPr>
        <w:t>（一）服务内容。</w:t>
      </w:r>
      <w:r>
        <w:rPr>
          <w:rFonts w:ascii="仿宋" w:eastAsia="仿宋" w:hAnsi="仿宋" w:cs="仿宋" w:hint="eastAsia"/>
          <w:bCs/>
          <w:kern w:val="2"/>
          <w:lang w:eastAsia="zh-CN"/>
        </w:rPr>
        <w:t xml:space="preserve"> </w:t>
      </w:r>
    </w:p>
    <w:p w14:paraId="12BDC1BE">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 xml:space="preserve"> 1、工作日早餐:6:45-8:15，要求在规定时间内供应不少于10个品种的菜式（其中汤、粥类2种，其余8种，面点、糕点、鸡蛋、豆浆等）。面点与糕点类可适当选用半成品。</w:t>
      </w:r>
    </w:p>
    <w:p w14:paraId="234A223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 xml:space="preserve"> 2、工作日午餐:11:30-12:10，要求在规定时间内供应不少于10个品种的菜式（其中荤菜5种，素菜4种，汤1种，面点、饭、粥、点心、粗粮等）；     </w:t>
      </w:r>
    </w:p>
    <w:p w14:paraId="55FA0FB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3、工作日每周至少一次下午茶，品种不少于6个（糕点、水果等），可适当选用半成品。</w:t>
      </w:r>
    </w:p>
    <w:p w14:paraId="5A098FE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4、采购人有权根据需求，调整以上开餐时间和中标人服务人员的工作时间及早餐、午餐品种菜式。因需要处理突发事件或应急值班时，中标人应当按照采购人要求予以全力保障；如采购人有其它临时性或阶段性的膳食保障服务工作需要，中标人需无条件按照采购人要求提供服务，全力保障解决。</w:t>
      </w:r>
    </w:p>
    <w:p w14:paraId="2DD64D49">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5、菜肴质量：中标人须全程控制菜肴制作过程的安全卫生，确保无食物中毒或因食物引起的其他不良反应；菜肴新鲜，色泽良好，无过期及腐烂变质的食物；控制油及其他调味品用量，菜肴品种齐全，营养搭配合理；菜肴口味好，咸淡适中，并保证饭菜热度；菜肴及时更新，一周内不出现2次以上完全相同品种菜肴，根据季节及工作需要调整就餐菜式，保证每月推出3款时令菜；根据就餐情况，合理提供菜肴，杜绝浪费。</w:t>
      </w:r>
    </w:p>
    <w:p w14:paraId="67FC40AF">
      <w:pPr>
        <w:widowControl w:val="0"/>
        <w:spacing w:line="360" w:lineRule="auto"/>
        <w:ind w:firstLine="480" w:firstLineChars="200"/>
        <w:jc w:val="both"/>
        <w:rPr>
          <w:rFonts w:ascii="仿宋" w:eastAsia="仿宋" w:hAnsi="仿宋" w:cs="仿宋" w:hint="eastAsia"/>
          <w:bCs/>
          <w:kern w:val="2"/>
          <w:lang w:eastAsia="zh-CN"/>
        </w:rPr>
      </w:pPr>
    </w:p>
    <w:p w14:paraId="5B61A9F8">
      <w:pPr>
        <w:widowControl w:val="0"/>
        <w:spacing w:line="36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 xml:space="preserve">（二）服务要求。 </w:t>
      </w:r>
    </w:p>
    <w:p w14:paraId="51F5F3BF">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1.中标人须遵循“安全第一、预防为主”的方针，遵守国家有关安全生产的法律、法规，制订切实可行的安全生产管理制度、操作规程和应急预案等，落实食堂安全生产管理主体责任。</w:t>
      </w:r>
    </w:p>
    <w:p w14:paraId="0C39B95F">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2.中标人要加强用电、明火及燃气的安全管理，做好定期和日常的食堂安全检查，严禁私自乱接乱拉电线、严禁员工在厨房、燃气房内吸烟等不安全行为，对排查出来的安全隐患要及时报告采购人，并负责整改工作。</w:t>
      </w:r>
    </w:p>
    <w:p w14:paraId="7AFAB7C8">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3.中标人应随时接受采购人、主管卫生安全等政府部门的安全卫生检查，尊重采购人的检查人员，并积极配合，及时改正不完善的地方。</w:t>
      </w:r>
    </w:p>
    <w:p w14:paraId="2329AE3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4.中标人应当依法做好从业人员的安全教育培训工作，增强员工的法制观念，提高员工的安全生产意识和自我保护的能力，督促员工自觉遵守安全制度。</w:t>
      </w:r>
    </w:p>
    <w:p w14:paraId="4511E05D">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5.中标人在承包期内，若严重违反安全生产管理制度造成安全事故或在饮食中造成中毒事故且影响恶劣的，采购人有权向区财政主管部门申请同意后解除合同，并追究中标人的法律责任及要求相应的经济赔偿。</w:t>
      </w:r>
    </w:p>
    <w:p w14:paraId="5E58FB59">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6.具有处置突发事件的预案（如食品安全、生产安全、食物中毒等），中标人需给员工购买意外伤害险（工伤保险）。</w:t>
      </w:r>
    </w:p>
    <w:p w14:paraId="788EF45C">
      <w:pPr>
        <w:widowControl w:val="0"/>
        <w:spacing w:line="360" w:lineRule="auto"/>
        <w:ind w:firstLine="480" w:firstLineChars="200"/>
        <w:jc w:val="both"/>
        <w:rPr>
          <w:rFonts w:ascii="仿宋" w:eastAsia="仿宋" w:hAnsi="仿宋" w:cs="仿宋" w:hint="eastAsia"/>
          <w:bCs/>
          <w:kern w:val="2"/>
          <w:lang w:eastAsia="zh-CN"/>
        </w:rPr>
      </w:pPr>
    </w:p>
    <w:p w14:paraId="0F0C064D">
      <w:pPr>
        <w:widowControl w:val="0"/>
        <w:spacing w:line="36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（三）运营团队岗位及要求：</w:t>
      </w:r>
    </w:p>
    <w:p w14:paraId="6128CCE1">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人员配备:6人；项目负责人至少1人，厨师至少1人、面点师至少1人、切配至少1人、服务员和清洗工至少2人。人员条件要求如下:</w:t>
      </w:r>
    </w:p>
    <w:p w14:paraId="456FF0A6">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1.项目负责人岗位要求：有丰富经验，熟悉食堂运营工作，具有领导力和管理能力。</w:t>
      </w:r>
    </w:p>
    <w:p w14:paraId="3BBAE0D7">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2.厨师岗位要求：日常食堂的餐饮出品管理，负责食堂自助餐、围餐菜肴制作。年龄45岁以下，有一定协调能力。</w:t>
      </w:r>
    </w:p>
    <w:p w14:paraId="6645C756">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3.面点师的岗位要求：负责食堂早、中、晚餐中西点心及风味面食的制作。要求具有国家认可的面点师资格证书，熟悉各式南北风味点心制作。（需求量较大时，仍然已自主制作为主，可适当选用半成品。）</w:t>
      </w:r>
    </w:p>
    <w:p w14:paraId="1D045A57">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4.清洗工的岗位要求：负责餐厅卫生及餐具、用品用具的清洁保养、厨房的其他工作等。要求初中以上学历。</w:t>
      </w:r>
    </w:p>
    <w:p w14:paraId="7C548602">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5.服务员的岗位要求：负责自助餐、围餐、配餐服务及协助厨房各部门的工作。要求学历初中以上。</w:t>
      </w:r>
    </w:p>
    <w:p w14:paraId="7D93B535">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6.切配岗位要求：配合厨师长，负责每天的初加工切配工作，完成加餐。</w:t>
      </w:r>
    </w:p>
    <w:p w14:paraId="7D5ADA60">
      <w:pPr>
        <w:widowControl w:val="0"/>
        <w:spacing w:line="36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（四）设施要求：</w:t>
      </w:r>
    </w:p>
    <w:p w14:paraId="0C2FF211">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食堂、厨房设备设施由采购人提供，中标人进驻机关食堂服务后，应当面与采购人清点厨房设备和厨具情况，开列清单确认，认真保管，严格按使用规程操作厨房及食堂设施、设备，严禁私自改造采购人提供的一切使用设备，服务期满如数退还采购人。</w:t>
      </w:r>
    </w:p>
    <w:p w14:paraId="29496FA0">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2.做好食堂设备财产和物资管理，无财产及物资外流、人为损坏和偷盗等现象发生，如人为损坏或丢失的由中标人赔偿。</w:t>
      </w:r>
    </w:p>
    <w:p w14:paraId="319AA7F0">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val="en-US" w:eastAsia="zh-CN"/>
        </w:rPr>
        <w:t>3.中标人应制定相关节能措施，落实水、电、燃气等能耗管理。</w:t>
      </w:r>
    </w:p>
    <w:p w14:paraId="71E13401">
      <w:pPr>
        <w:widowControl w:val="0"/>
        <w:spacing w:line="36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（五）管理要求</w:t>
      </w:r>
    </w:p>
    <w:p w14:paraId="02FD6C59">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中标人应建立基本的管理制度，主要包括厨房纪律、厨房出品制度、清洁卫生制度、员工考勤休假制度、食堂设施设备使用维护制度、技术业务考核制度、厨房会议制度、厨房日常工作检查制度等（具体细节在合同中签定）。</w:t>
      </w:r>
    </w:p>
    <w:p w14:paraId="36CC1ED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1.人员管理要求</w:t>
      </w:r>
    </w:p>
    <w:p w14:paraId="2CB96BD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①中标人按核定岗位配足配齐人员，所派驻的服务人员必须服从采购人的指挥和管理，按采购人要求提供服务；中标人选派到采购人的服务人员应当相对固定，不得随意更换服务人员，服务人员有变动时，中标人需提前报采购人研究同意；如采购人对中标人选派的服务人员不满意提出更换要求的，中标人必须无条件在一周内更换相同或更高级别的服务人员。</w:t>
      </w:r>
    </w:p>
    <w:p w14:paraId="40E90D1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②中标人制定完善的岗位职责分工及考勤、值班、人员考核等制度，服务人员必须严格遵守法律法规及采购人的规章制度，落实文明管理服务措施，提供文明优质的服务，并自觉接受采购人的监督。</w:t>
      </w:r>
    </w:p>
    <w:p w14:paraId="3F26790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③中标人应提交由指定医院出具的体检证明，以确保其所有的服务人员均符合履行职责所需达到国家规定的饮食从业人员健康标准；</w:t>
      </w:r>
    </w:p>
    <w:p w14:paraId="22E1908F">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 xml:space="preserve"> ④中标人的服务员上班时间必须统一服装，保持着装整洁、干净，保持良好的仪容仪表、精神面貌，正确使用服务用语，行为举止大方、有礼，工作积极主动、服务耐心周到，讲究服务效率；师生就餐期间，厨房工作人员要做好巡查，及时发现问题，及时清扫餐桌，及时补充就餐区各种饭菜等，就餐结束后及时清洁餐厅各项卫生，保持餐厅洁净。</w:t>
      </w:r>
    </w:p>
    <w:p w14:paraId="5F952CDE">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⑤中标人须负责派驻的服务人员的工资、奖金、福利等费用，足额按月支付给服务人员，不得拖欠，为服务人员提供办理劳动用工手续、结算发放工资、发放经济补偿金、缴纳社会保险、处理保险理赔、人事档案等方面的管理服务；负责处理合同服务期内所有劳资纠纷和调解管理纠纷。</w:t>
      </w:r>
    </w:p>
    <w:p w14:paraId="052C11FA">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2.卫生管理要求：</w:t>
      </w:r>
    </w:p>
    <w:p w14:paraId="50116F65">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①食品卫生安全：中标人遵守国家有关食品、饮食业卫生安全的法律法规的规定，烹调的饭菜必须符合餐饮业的卫生管理标准，保证食品的卫生和质量，所有食品加工流程符合卫生防疫标准；必须严格执行食品留样制度，每种菜均留样，并在低温下保留48小时，以便作为卫生问题的追溯依据。</w:t>
      </w:r>
    </w:p>
    <w:p w14:paraId="1F24E57A">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②人员卫生：中标人所有派往本项目的工作人员具备卫生知识培训合格证和健康证。服务人员进入厨房作业区必须穿着统一的工作服，工作服保持整洁干净，禁止穿工作服离开厨房、食堂做与制作饭菜无关的工作；工作人员做好个人卫生，不留长指甲，工作前或工作中接触脏物后必须洗手，不得对着食物咳嗽、打喷嚏，不能用工作服擦鼻涕、擦汗、擦手或厨具等，不能随地吐痰；工作人员穿着工作服，工作服保持整洁干净；工作人员搬送菜肴和餐具前必须洗手。</w:t>
      </w:r>
    </w:p>
    <w:p w14:paraId="4E840E8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③厨房卫生环境：中标人要明确厨房作业分区，标注明晰，物品归类有序；食品原料新鲜，分类分架存放，离墙隔地；做好防尘、防鼠、防蚊蝇、防蟑螂；加工食品生与熟、成品与半成品、食品与杂物隔离存放；配菜与出菜盘专用，标志明显；生、熟食物的盛用容器、刀具等严格区分，不得混用；刀具无锈，工用具保持清洁、定位存放；每餐后台面地面要及时擦扫干净，厨具每天用专用的消毒剂进行处理，再用高温消毒柜进行全面消毒；保持厨房操作间排水畅通，不积存脏水污物，厨房地面、墙壁、门窗、桌椅清洁无油污，无灰尘，无杂物，干净整齐；餐厨垃圾要按规定及时处理。</w:t>
      </w:r>
    </w:p>
    <w:p w14:paraId="5582F908">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④就餐区卫生环境：中标人要保证餐厅餐桌椅摆放整齐、桌上物品摆放有序；餐厅地面、墙壁无污物；餐具整洁干净，摆放有序，每餐洗净后及时进行消毒，消毒和消杀记录齐全。</w:t>
      </w:r>
    </w:p>
    <w:p w14:paraId="58232CC1">
      <w:pPr>
        <w:widowControl w:val="0"/>
        <w:spacing w:line="360" w:lineRule="auto"/>
        <w:ind w:firstLine="480" w:firstLineChars="200"/>
        <w:jc w:val="both"/>
        <w:rPr>
          <w:rFonts w:ascii="仿宋" w:eastAsia="仿宋" w:hAnsi="仿宋" w:cs="仿宋" w:hint="eastAsia"/>
          <w:bCs/>
          <w:kern w:val="2"/>
          <w:lang w:eastAsia="zh-CN"/>
        </w:rPr>
      </w:pPr>
    </w:p>
    <w:p w14:paraId="6B944BA1">
      <w:pPr>
        <w:widowControl w:val="0"/>
        <w:spacing w:line="36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 xml:space="preserve">（六）其他事项 </w:t>
      </w:r>
    </w:p>
    <w:p w14:paraId="20437EA7">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1.中标人不得将项目非法分包或转包给任何单位和个人。否则，采购人有权向区财政主管部门申请同意后终止合同，并要求中标单位赔偿相应损失。</w:t>
      </w:r>
    </w:p>
    <w:p w14:paraId="5A25F5B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2.中标人所有的工作人员必须具备正确进行食物制作的知识和普通食物中毒的救治知识，万一发生食物中毒，及时就地急救，并及时联系医院治疗，同时报告采购人；服务期间因中标人管理不善或工作程序不当等责任原因，引起卫生、安全事故等，造成人员伤害或财产损失的，采购人有权以无法履约为由向区财政主管部门申请同意后终止外包服务，因此而产生的损失及违约责任由中标人承担。</w:t>
      </w:r>
    </w:p>
    <w:p w14:paraId="706C9736">
      <w:pPr>
        <w:widowControl w:val="0"/>
        <w:spacing w:line="360" w:lineRule="auto"/>
        <w:ind w:firstLine="480" w:firstLineChars="200"/>
        <w:jc w:val="both"/>
        <w:rPr>
          <w:rFonts w:ascii="仿宋" w:eastAsia="仿宋" w:hAnsi="仿宋" w:cs="仿宋" w:hint="eastAsia"/>
          <w:bCs/>
          <w:kern w:val="2"/>
          <w:lang w:eastAsia="zh-CN"/>
        </w:rPr>
      </w:pPr>
    </w:p>
    <w:p w14:paraId="6CAA8A87">
      <w:pPr>
        <w:widowControl w:val="0"/>
        <w:spacing w:line="360" w:lineRule="auto"/>
        <w:ind w:firstLine="480" w:firstLineChars="200"/>
        <w:jc w:val="both"/>
        <w:rPr>
          <w:rFonts w:ascii="仿宋" w:eastAsia="仿宋" w:hAnsi="仿宋" w:cs="仿宋" w:hint="eastAsia"/>
          <w:bCs/>
          <w:kern w:val="2"/>
          <w:lang w:eastAsia="zh-CN"/>
        </w:rPr>
      </w:pPr>
    </w:p>
    <w:p w14:paraId="79D8593D">
      <w:pPr>
        <w:widowControl w:val="0"/>
        <w:spacing w:line="36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2.3 项目人员要求</w:t>
      </w:r>
    </w:p>
    <w:tbl>
      <w:tblPr>
        <w:tblStyle w:val="TableNormal1"/>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316"/>
        <w:gridCol w:w="750"/>
        <w:gridCol w:w="2675"/>
        <w:gridCol w:w="5131"/>
      </w:tblGrid>
      <w:tr w14:paraId="46634609">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59"/>
          <w:jc w:val="center"/>
        </w:trPr>
        <w:tc>
          <w:tcPr>
            <w:tcW w:w="666" w:type="pct"/>
            <w:noWrap w:val="0"/>
            <w:vAlign w:val="center"/>
          </w:tcPr>
          <w:p w14:paraId="3F88A248">
            <w:pPr>
              <w:bidi w:val="0"/>
              <w:jc w:val="center"/>
              <w:rPr>
                <w:rFonts w:ascii="仿宋" w:eastAsia="仿宋" w:hAnsi="仿宋" w:cs="仿宋" w:hint="eastAsia"/>
                <w:b/>
                <w:bCs/>
                <w:color w:val="auto"/>
                <w:sz w:val="24"/>
                <w:szCs w:val="24"/>
                <w:lang w:val="en-US" w:eastAsia="zh-CN"/>
              </w:rPr>
            </w:pPr>
            <w:r>
              <w:rPr>
                <w:rFonts w:ascii="仿宋" w:eastAsia="仿宋" w:hAnsi="仿宋" w:cs="仿宋" w:hint="eastAsia"/>
                <w:b/>
                <w:bCs/>
                <w:color w:val="auto"/>
                <w:sz w:val="24"/>
                <w:szCs w:val="24"/>
                <w:lang w:val="en-US" w:eastAsia="zh-CN"/>
              </w:rPr>
              <w:t>岗 位</w:t>
            </w:r>
          </w:p>
        </w:tc>
        <w:tc>
          <w:tcPr>
            <w:tcW w:w="380" w:type="pct"/>
            <w:noWrap w:val="0"/>
            <w:vAlign w:val="center"/>
          </w:tcPr>
          <w:p w14:paraId="1EAB8D74">
            <w:pPr>
              <w:bidi w:val="0"/>
              <w:jc w:val="center"/>
              <w:rPr>
                <w:rFonts w:ascii="仿宋" w:eastAsia="仿宋" w:hAnsi="仿宋" w:cs="仿宋" w:hint="eastAsia"/>
                <w:b/>
                <w:bCs/>
                <w:color w:val="auto"/>
                <w:sz w:val="24"/>
                <w:szCs w:val="24"/>
                <w:lang w:val="en-US" w:eastAsia="zh-CN"/>
              </w:rPr>
            </w:pPr>
            <w:r>
              <w:rPr>
                <w:rFonts w:ascii="仿宋" w:eastAsia="仿宋" w:hAnsi="仿宋" w:cs="仿宋" w:hint="eastAsia"/>
                <w:b/>
                <w:bCs/>
                <w:color w:val="auto"/>
                <w:sz w:val="24"/>
                <w:szCs w:val="24"/>
                <w:lang w:val="en-US" w:eastAsia="zh-CN"/>
              </w:rPr>
              <w:t>人数</w:t>
            </w:r>
          </w:p>
        </w:tc>
        <w:tc>
          <w:tcPr>
            <w:tcW w:w="1354" w:type="pct"/>
            <w:noWrap w:val="0"/>
            <w:vAlign w:val="center"/>
          </w:tcPr>
          <w:p w14:paraId="28E165CC">
            <w:pPr>
              <w:bidi w:val="0"/>
              <w:jc w:val="center"/>
              <w:rPr>
                <w:rFonts w:ascii="仿宋" w:eastAsia="仿宋" w:hAnsi="仿宋" w:cs="仿宋" w:hint="eastAsia"/>
                <w:b/>
                <w:bCs/>
                <w:color w:val="auto"/>
                <w:sz w:val="24"/>
                <w:szCs w:val="24"/>
                <w:lang w:val="en-US" w:eastAsia="zh-CN"/>
              </w:rPr>
            </w:pPr>
            <w:r>
              <w:rPr>
                <w:rFonts w:ascii="仿宋" w:eastAsia="仿宋" w:hAnsi="仿宋" w:cs="仿宋" w:hint="eastAsia"/>
                <w:b/>
                <w:bCs/>
                <w:color w:val="auto"/>
                <w:sz w:val="24"/>
                <w:szCs w:val="24"/>
                <w:lang w:val="en-US" w:eastAsia="zh-CN"/>
              </w:rPr>
              <w:t>岗位职责</w:t>
            </w:r>
          </w:p>
        </w:tc>
        <w:tc>
          <w:tcPr>
            <w:tcW w:w="2598" w:type="pct"/>
            <w:noWrap w:val="0"/>
            <w:vAlign w:val="center"/>
          </w:tcPr>
          <w:p w14:paraId="60CCDACE">
            <w:pPr>
              <w:bidi w:val="0"/>
              <w:jc w:val="center"/>
              <w:rPr>
                <w:rFonts w:ascii="仿宋" w:eastAsia="仿宋" w:hAnsi="仿宋" w:cs="仿宋" w:hint="eastAsia"/>
                <w:b/>
                <w:bCs/>
                <w:color w:val="auto"/>
                <w:sz w:val="24"/>
                <w:szCs w:val="24"/>
                <w:lang w:val="en-US" w:eastAsia="zh-CN"/>
              </w:rPr>
            </w:pPr>
            <w:r>
              <w:rPr>
                <w:rFonts w:ascii="仿宋" w:eastAsia="仿宋" w:hAnsi="仿宋" w:cs="仿宋" w:hint="eastAsia"/>
                <w:b/>
                <w:bCs/>
                <w:color w:val="auto"/>
                <w:sz w:val="24"/>
                <w:szCs w:val="24"/>
                <w:lang w:val="en-US" w:eastAsia="zh-CN"/>
              </w:rPr>
              <w:t>其他要求</w:t>
            </w:r>
          </w:p>
        </w:tc>
      </w:tr>
      <w:tr w14:paraId="0AA170B1">
        <w:tblPrEx>
          <w:tblW w:w="5000" w:type="pct"/>
          <w:jc w:val="center"/>
          <w:tblLayout w:type="fixed"/>
          <w:tblCellMar>
            <w:top w:w="0" w:type="dxa"/>
            <w:left w:w="0" w:type="dxa"/>
            <w:bottom w:w="0" w:type="dxa"/>
            <w:right w:w="0" w:type="dxa"/>
          </w:tblCellMar>
        </w:tblPrEx>
        <w:trPr>
          <w:trHeight w:val="1877"/>
          <w:jc w:val="center"/>
        </w:trPr>
        <w:tc>
          <w:tcPr>
            <w:tcW w:w="666" w:type="pct"/>
            <w:noWrap w:val="0"/>
            <w:vAlign w:val="center"/>
          </w:tcPr>
          <w:p w14:paraId="4656E69D">
            <w:pPr>
              <w:bidi w:val="0"/>
              <w:jc w:val="center"/>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厨师管理（食品安全管理）服务</w:t>
            </w:r>
          </w:p>
        </w:tc>
        <w:tc>
          <w:tcPr>
            <w:tcW w:w="380" w:type="pct"/>
            <w:noWrap w:val="0"/>
            <w:vAlign w:val="center"/>
          </w:tcPr>
          <w:p w14:paraId="41B7C714">
            <w:pPr>
              <w:bidi w:val="0"/>
              <w:jc w:val="center"/>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不少于1人</w:t>
            </w:r>
          </w:p>
        </w:tc>
        <w:tc>
          <w:tcPr>
            <w:tcW w:w="1354" w:type="pct"/>
            <w:noWrap w:val="0"/>
            <w:vAlign w:val="center"/>
          </w:tcPr>
          <w:p w14:paraId="46D26305">
            <w:pPr>
              <w:bidi w:val="0"/>
              <w:ind w:firstLine="240" w:firstLineChars="100"/>
              <w:jc w:val="left"/>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负责菜品质量控制、卫生管理、日常员工餐制作监管等。</w:t>
            </w:r>
          </w:p>
        </w:tc>
        <w:tc>
          <w:tcPr>
            <w:tcW w:w="2598" w:type="pct"/>
            <w:noWrap w:val="0"/>
            <w:vAlign w:val="center"/>
          </w:tcPr>
          <w:p w14:paraId="7D0F7C85">
            <w:pPr>
              <w:bidi w:val="0"/>
              <w:ind w:firstLine="240" w:firstLineChars="100"/>
              <w:jc w:val="left"/>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具备本岗位相关工作经验，要求有中式烹调师资格证书，食品安全管理员证书，有 5 年以上餐饮行业管理工作经验，熟悉大锅菜和小锅菜制作，工作责任心强，具有高度的自觉性和服务意识，各人有不同菜系烹饪特长，以粤菜和客家菜为主，其他菜式为辅。</w:t>
            </w:r>
          </w:p>
        </w:tc>
      </w:tr>
      <w:tr w14:paraId="4A4B8F7D">
        <w:tblPrEx>
          <w:tblW w:w="5000" w:type="pct"/>
          <w:jc w:val="center"/>
          <w:tblLayout w:type="fixed"/>
          <w:tblCellMar>
            <w:top w:w="0" w:type="dxa"/>
            <w:left w:w="0" w:type="dxa"/>
            <w:bottom w:w="0" w:type="dxa"/>
            <w:right w:w="0" w:type="dxa"/>
          </w:tblCellMar>
        </w:tblPrEx>
        <w:trPr>
          <w:trHeight w:val="1468"/>
          <w:jc w:val="center"/>
        </w:trPr>
        <w:tc>
          <w:tcPr>
            <w:tcW w:w="666" w:type="pct"/>
            <w:noWrap w:val="0"/>
            <w:vAlign w:val="center"/>
          </w:tcPr>
          <w:p w14:paraId="052313EC">
            <w:pPr>
              <w:bidi w:val="0"/>
              <w:jc w:val="center"/>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面点师</w:t>
            </w:r>
          </w:p>
        </w:tc>
        <w:tc>
          <w:tcPr>
            <w:tcW w:w="380" w:type="pct"/>
            <w:noWrap w:val="0"/>
            <w:vAlign w:val="center"/>
          </w:tcPr>
          <w:p w14:paraId="74F65912">
            <w:pPr>
              <w:bidi w:val="0"/>
              <w:jc w:val="center"/>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不少于1人</w:t>
            </w:r>
          </w:p>
        </w:tc>
        <w:tc>
          <w:tcPr>
            <w:tcW w:w="1354" w:type="pct"/>
            <w:noWrap w:val="0"/>
            <w:vAlign w:val="center"/>
          </w:tcPr>
          <w:p w14:paraId="127E70DD">
            <w:pPr>
              <w:bidi w:val="0"/>
              <w:ind w:firstLine="240" w:firstLineChars="100"/>
              <w:jc w:val="left"/>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负责食堂早、中餐中西点心及各类面点的制作。</w:t>
            </w:r>
          </w:p>
        </w:tc>
        <w:tc>
          <w:tcPr>
            <w:tcW w:w="2598" w:type="pct"/>
            <w:noWrap w:val="0"/>
            <w:vAlign w:val="center"/>
          </w:tcPr>
          <w:p w14:paraId="611019BD">
            <w:pPr>
              <w:bidi w:val="0"/>
              <w:ind w:firstLine="240" w:firstLineChars="100"/>
              <w:jc w:val="left"/>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具备本岗位相关工作经验，要求有面点师资格证书，食品安全管理员证书，熟悉各式南北风味点心制作，各人有西点、中点制作特长，包括广式茶点的制作经验。</w:t>
            </w:r>
          </w:p>
        </w:tc>
      </w:tr>
      <w:tr w14:paraId="71C4CABC">
        <w:tblPrEx>
          <w:tblW w:w="5000" w:type="pct"/>
          <w:jc w:val="center"/>
          <w:tblLayout w:type="fixed"/>
          <w:tblCellMar>
            <w:top w:w="0" w:type="dxa"/>
            <w:left w:w="0" w:type="dxa"/>
            <w:bottom w:w="0" w:type="dxa"/>
            <w:right w:w="0" w:type="dxa"/>
          </w:tblCellMar>
        </w:tblPrEx>
        <w:trPr>
          <w:trHeight w:val="1633"/>
          <w:jc w:val="center"/>
        </w:trPr>
        <w:tc>
          <w:tcPr>
            <w:tcW w:w="666" w:type="pct"/>
            <w:noWrap w:val="0"/>
            <w:vAlign w:val="center"/>
          </w:tcPr>
          <w:p w14:paraId="0A6118F5">
            <w:pPr>
              <w:bidi w:val="0"/>
              <w:jc w:val="center"/>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切配</w:t>
            </w:r>
          </w:p>
        </w:tc>
        <w:tc>
          <w:tcPr>
            <w:tcW w:w="380" w:type="pct"/>
            <w:noWrap w:val="0"/>
            <w:vAlign w:val="center"/>
          </w:tcPr>
          <w:p w14:paraId="050224B2">
            <w:pPr>
              <w:bidi w:val="0"/>
              <w:jc w:val="center"/>
              <w:rPr>
                <w:rFonts w:ascii="仿宋" w:eastAsia="仿宋" w:hAnsi="仿宋" w:cs="仿宋" w:hint="eastAsia"/>
                <w:color w:val="auto"/>
                <w:sz w:val="24"/>
                <w:szCs w:val="24"/>
                <w:lang w:val="en-US" w:eastAsia="zh-CN"/>
              </w:rPr>
            </w:pPr>
            <w:r>
              <w:rPr>
                <w:rFonts w:ascii="仿宋" w:eastAsia="仿宋" w:hAnsi="仿宋" w:cs="仿宋" w:hint="eastAsia"/>
                <w:color w:val="auto"/>
                <w:sz w:val="24"/>
                <w:szCs w:val="24"/>
                <w:lang w:val="en-US" w:eastAsia="zh-CN"/>
              </w:rPr>
              <w:t>不少于1人</w:t>
            </w:r>
          </w:p>
        </w:tc>
        <w:tc>
          <w:tcPr>
            <w:tcW w:w="1354" w:type="pct"/>
            <w:shd w:val="clear" w:color="auto" w:fill="auto"/>
            <w:noWrap w:val="0"/>
            <w:vAlign w:val="center"/>
          </w:tcPr>
          <w:p w14:paraId="56DE0365">
            <w:pPr>
              <w:bidi w:val="0"/>
              <w:ind w:firstLine="240" w:firstLineChars="100"/>
              <w:jc w:val="left"/>
              <w:rPr>
                <w:rFonts w:ascii="仿宋" w:eastAsia="仿宋" w:hAnsi="仿宋" w:cs="仿宋" w:hint="eastAsia"/>
                <w:color w:val="auto"/>
                <w:kern w:val="2"/>
                <w:sz w:val="24"/>
                <w:szCs w:val="24"/>
                <w:lang w:val="en-US" w:eastAsia="zh-CN" w:bidi="ar-SA"/>
              </w:rPr>
            </w:pPr>
            <w:r>
              <w:rPr>
                <w:rFonts w:ascii="仿宋" w:eastAsia="仿宋" w:hAnsi="仿宋" w:cs="仿宋" w:hint="eastAsia"/>
                <w:snapToGrid w:val="0"/>
                <w:color w:val="auto"/>
                <w:sz w:val="24"/>
                <w:szCs w:val="24"/>
              </w:rPr>
              <w:t>配合厨师长，负责每天的初加工切配工作，完成加餐。</w:t>
            </w:r>
          </w:p>
        </w:tc>
        <w:tc>
          <w:tcPr>
            <w:tcW w:w="2598" w:type="pct"/>
            <w:shd w:val="clear" w:color="auto" w:fill="auto"/>
            <w:noWrap w:val="0"/>
            <w:vAlign w:val="center"/>
          </w:tcPr>
          <w:p w14:paraId="7B0A438E">
            <w:pPr>
              <w:bidi w:val="0"/>
              <w:ind w:firstLine="240" w:firstLineChars="100"/>
              <w:jc w:val="left"/>
              <w:rPr>
                <w:rFonts w:ascii="仿宋" w:eastAsia="仿宋" w:hAnsi="仿宋" w:cs="仿宋" w:hint="eastAsia"/>
                <w:color w:val="auto"/>
                <w:kern w:val="2"/>
                <w:sz w:val="24"/>
                <w:szCs w:val="24"/>
                <w:lang w:val="en-US" w:eastAsia="zh-CN" w:bidi="ar-SA"/>
              </w:rPr>
            </w:pPr>
            <w:r>
              <w:rPr>
                <w:rFonts w:ascii="仿宋" w:eastAsia="仿宋" w:hAnsi="仿宋" w:cs="仿宋" w:hint="eastAsia"/>
                <w:color w:val="auto"/>
                <w:sz w:val="24"/>
                <w:szCs w:val="24"/>
                <w:lang w:val="en-US" w:eastAsia="zh-CN"/>
              </w:rPr>
              <w:t>具备本岗位相关工作经验，要求要通过食安快线上面相对应的岗位资格证书，食品安全管理员证书，初中以上学历，2 年以上本岗位工作经验，具有高度的服务意识和责任心、自觉性。</w:t>
            </w:r>
          </w:p>
        </w:tc>
      </w:tr>
      <w:tr w14:paraId="5409D304">
        <w:tblPrEx>
          <w:tblW w:w="5000" w:type="pct"/>
          <w:jc w:val="center"/>
          <w:tblLayout w:type="fixed"/>
          <w:tblCellMar>
            <w:top w:w="0" w:type="dxa"/>
            <w:left w:w="0" w:type="dxa"/>
            <w:bottom w:w="0" w:type="dxa"/>
            <w:right w:w="0" w:type="dxa"/>
          </w:tblCellMar>
        </w:tblPrEx>
        <w:trPr>
          <w:trHeight w:val="1633"/>
          <w:jc w:val="center"/>
        </w:trPr>
        <w:tc>
          <w:tcPr>
            <w:tcW w:w="666" w:type="pct"/>
            <w:shd w:val="clear" w:color="auto" w:fill="auto"/>
            <w:noWrap w:val="0"/>
            <w:vAlign w:val="center"/>
          </w:tcPr>
          <w:p w14:paraId="63275B41">
            <w:pPr>
              <w:bidi w:val="0"/>
              <w:jc w:val="center"/>
              <w:rPr>
                <w:rFonts w:ascii="仿宋" w:eastAsia="仿宋" w:hAnsi="仿宋" w:cs="仿宋" w:hint="eastAsia"/>
                <w:color w:val="auto"/>
                <w:kern w:val="2"/>
                <w:sz w:val="24"/>
                <w:szCs w:val="24"/>
                <w:lang w:val="en-US" w:eastAsia="zh-CN" w:bidi="ar-SA"/>
              </w:rPr>
            </w:pPr>
            <w:r>
              <w:rPr>
                <w:rFonts w:ascii="仿宋" w:eastAsia="仿宋" w:hAnsi="仿宋" w:cs="仿宋" w:hint="eastAsia"/>
                <w:color w:val="auto"/>
                <w:sz w:val="24"/>
                <w:szCs w:val="24"/>
                <w:lang w:val="en-US" w:eastAsia="zh-CN"/>
              </w:rPr>
              <w:t>洗菜洗碗清洁服务</w:t>
            </w:r>
          </w:p>
        </w:tc>
        <w:tc>
          <w:tcPr>
            <w:tcW w:w="380" w:type="pct"/>
            <w:shd w:val="clear" w:color="auto" w:fill="auto"/>
            <w:noWrap w:val="0"/>
            <w:vAlign w:val="center"/>
          </w:tcPr>
          <w:p w14:paraId="3AB9E1B7">
            <w:pPr>
              <w:bidi w:val="0"/>
              <w:jc w:val="center"/>
              <w:rPr>
                <w:rFonts w:ascii="仿宋" w:eastAsia="仿宋" w:hAnsi="仿宋" w:cs="仿宋" w:hint="eastAsia"/>
                <w:color w:val="auto"/>
                <w:kern w:val="2"/>
                <w:sz w:val="24"/>
                <w:szCs w:val="24"/>
                <w:lang w:val="en-US" w:eastAsia="zh-CN" w:bidi="ar-SA"/>
              </w:rPr>
            </w:pPr>
            <w:r>
              <w:rPr>
                <w:rFonts w:ascii="仿宋" w:eastAsia="仿宋" w:hAnsi="仿宋" w:cs="仿宋" w:hint="eastAsia"/>
                <w:color w:val="auto"/>
                <w:sz w:val="24"/>
                <w:szCs w:val="24"/>
                <w:lang w:val="en-US" w:eastAsia="zh-CN"/>
              </w:rPr>
              <w:t>不少于2人</w:t>
            </w:r>
          </w:p>
        </w:tc>
        <w:tc>
          <w:tcPr>
            <w:tcW w:w="1354" w:type="pct"/>
            <w:shd w:val="clear" w:color="auto" w:fill="auto"/>
            <w:noWrap w:val="0"/>
            <w:vAlign w:val="center"/>
          </w:tcPr>
          <w:p w14:paraId="333F4672">
            <w:pPr>
              <w:bidi w:val="0"/>
              <w:ind w:firstLine="240" w:firstLineChars="100"/>
              <w:jc w:val="left"/>
              <w:rPr>
                <w:rFonts w:ascii="仿宋" w:eastAsia="仿宋" w:hAnsi="仿宋" w:cs="仿宋" w:hint="eastAsia"/>
                <w:color w:val="auto"/>
                <w:kern w:val="2"/>
                <w:sz w:val="24"/>
                <w:szCs w:val="24"/>
                <w:lang w:val="en-US" w:eastAsia="zh-CN" w:bidi="ar-SA"/>
              </w:rPr>
            </w:pPr>
            <w:r>
              <w:rPr>
                <w:rFonts w:ascii="仿宋" w:eastAsia="仿宋" w:hAnsi="仿宋" w:cs="仿宋" w:hint="eastAsia"/>
                <w:color w:val="auto"/>
                <w:sz w:val="24"/>
                <w:szCs w:val="24"/>
                <w:lang w:val="en-US" w:eastAsia="zh-CN"/>
              </w:rPr>
              <w:t>负责原材料清洗、分拣，餐具用品清洁保养及协助厨房其他工作。</w:t>
            </w:r>
          </w:p>
        </w:tc>
        <w:tc>
          <w:tcPr>
            <w:tcW w:w="2598" w:type="pct"/>
            <w:shd w:val="clear" w:color="auto" w:fill="auto"/>
            <w:noWrap w:val="0"/>
            <w:vAlign w:val="center"/>
          </w:tcPr>
          <w:p w14:paraId="6CC8337C">
            <w:pPr>
              <w:bidi w:val="0"/>
              <w:jc w:val="left"/>
              <w:rPr>
                <w:rFonts w:ascii="仿宋" w:eastAsia="仿宋" w:hAnsi="仿宋" w:cs="仿宋" w:hint="eastAsia"/>
                <w:color w:val="auto"/>
                <w:kern w:val="2"/>
                <w:sz w:val="24"/>
                <w:szCs w:val="24"/>
                <w:lang w:val="en-US" w:eastAsia="zh-CN" w:bidi="ar-SA"/>
              </w:rPr>
            </w:pPr>
            <w:r>
              <w:rPr>
                <w:rFonts w:ascii="仿宋" w:eastAsia="仿宋" w:hAnsi="仿宋" w:cs="仿宋" w:hint="eastAsia"/>
                <w:color w:val="auto"/>
                <w:sz w:val="24"/>
                <w:szCs w:val="24"/>
                <w:lang w:val="en-US" w:eastAsia="zh-CN"/>
              </w:rPr>
              <w:t>具备本岗位相关工作经验，要求要通过食安快线上面相对应的岗位资格证书，食品安全管理员证书，初中以上学历，2 年以上本岗位工作经验，形象气质佳，具有高度的服务意识和责任心、自觉性。</w:t>
            </w:r>
          </w:p>
        </w:tc>
      </w:tr>
    </w:tbl>
    <w:p w14:paraId="1FA60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eastAsia="仿宋" w:hAnsi="仿宋" w:cs="仿宋" w:hint="eastAsia"/>
          <w:sz w:val="24"/>
          <w:szCs w:val="24"/>
          <w:lang w:val="en-US" w:eastAsia="zh-CN"/>
        </w:rPr>
      </w:pPr>
      <w:r>
        <w:rPr>
          <w:rFonts w:ascii="仿宋" w:eastAsia="仿宋" w:hAnsi="仿宋" w:cs="仿宋" w:hint="eastAsia"/>
          <w:sz w:val="24"/>
          <w:szCs w:val="24"/>
          <w:lang w:val="en-US" w:eastAsia="zh-CN"/>
        </w:rPr>
        <w:t>以上团队成员从合同签订日起到岗工作，且团队成员必须为全职在岗。</w:t>
      </w:r>
    </w:p>
    <w:p w14:paraId="486C5F99">
      <w:pPr>
        <w:widowControl w:val="0"/>
        <w:spacing w:line="360" w:lineRule="auto"/>
        <w:ind w:firstLine="480" w:firstLineChars="200"/>
        <w:jc w:val="both"/>
        <w:rPr>
          <w:rFonts w:ascii="仿宋" w:eastAsia="仿宋" w:hAnsi="仿宋" w:cs="仿宋" w:hint="eastAsia"/>
          <w:bCs/>
          <w:kern w:val="2"/>
          <w:lang w:eastAsia="zh-CN"/>
        </w:rPr>
      </w:pPr>
    </w:p>
    <w:p w14:paraId="107F17E3">
      <w:pPr>
        <w:widowControl w:val="0"/>
        <w:spacing w:line="360" w:lineRule="auto"/>
        <w:ind w:firstLine="480" w:firstLineChars="200"/>
        <w:jc w:val="both"/>
        <w:rPr>
          <w:rFonts w:ascii="仿宋" w:eastAsia="仿宋" w:hAnsi="仿宋" w:cs="仿宋" w:hint="eastAsia"/>
          <w:bCs/>
          <w:kern w:val="2"/>
          <w:lang w:eastAsia="zh-CN"/>
        </w:rPr>
      </w:pPr>
    </w:p>
    <w:p w14:paraId="2C3BFD1C">
      <w:pPr>
        <w:widowControl w:val="0"/>
        <w:spacing w:line="36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 xml:space="preserve">2.4 项目成果 </w:t>
      </w:r>
    </w:p>
    <w:p w14:paraId="0D1E493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eastAsia="zh-CN"/>
        </w:rPr>
        <w:t xml:space="preserve"> </w:t>
      </w:r>
      <w:r>
        <w:rPr>
          <w:rFonts w:ascii="仿宋" w:eastAsia="仿宋" w:hAnsi="仿宋" w:cs="仿宋" w:hint="eastAsia"/>
          <w:bCs/>
          <w:kern w:val="2"/>
          <w:lang w:val="en-US" w:eastAsia="zh-CN"/>
        </w:rPr>
        <w:t xml:space="preserve"> 中标人应建立基本的管理制度，主要包括厨房纪律、厨房出品制度、清洁卫生制度、员工考勤休假制度、食堂设施设备使用维护制度、技术业务考核制度、厨房会议制度、厨房日常工作检查制度等（具体细节在合同中签定）。</w:t>
      </w:r>
    </w:p>
    <w:p w14:paraId="5FA3B488">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1.人员管理要求</w:t>
      </w:r>
    </w:p>
    <w:p w14:paraId="77F57D4B">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①中标人按核定岗位配足配齐人员，所派驻的服务人员必须服从采购人的指挥和管理，按采购人要求提供服务；中标人选派到采购人的服务人员应当相对固定，不得随意更换服务人员，服务人员有变动时，中标人需提前报采购人研究同意；如采购人对中标人选派的服务人员不满意提出更换要求的，中标人必须无条件在指定时间内更换相同或更高级别的服务人员。</w:t>
      </w:r>
    </w:p>
    <w:p w14:paraId="16BD98F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②中标人制定完善的岗位职责分工及考勤、值班、人员考核等制度，服务人员必须严格遵守法律法规及采购人的规章制度，落实文明管理服务措施，提供文明优质的服务，并自觉接受采购人的监督。</w:t>
      </w:r>
    </w:p>
    <w:p w14:paraId="78F06A1C">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③中标人应提交由指定医院出具的体检证明，以确保其所有的服务人员均符合履行职责所需达到国家规定的饮食从业人员健康标准；</w:t>
      </w:r>
    </w:p>
    <w:p w14:paraId="616E9CFE">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 xml:space="preserve"> ④中标人的服务员上班时间必须统一服装，保持着装整洁、干净，保持良好的仪容仪表、精神面貌，正确使用服务用语，行为举止大方、有礼，工作积极主动、服务耐心周到，讲究服务效率；师生就餐期间，厨房工作人员要做好巡查，及时发现问题，及时清扫餐桌，及时补充就餐区各种饭菜等，就餐结束后及时清洁餐厅各项卫生，保持餐厅洁净。</w:t>
      </w:r>
    </w:p>
    <w:p w14:paraId="17BCFBBD">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val="en-US" w:eastAsia="zh-CN"/>
        </w:rPr>
        <w:t>⑤中标人须负责派驻的服务人员的工资、奖金、福利等费用，足额按月支付给服务人员，不得拖欠，为服务人员提供办理劳动用工手续、结算发放工资、发放经济补偿金、缴纳社会保险、处理保险理赔、人事档案等方面的管理服务；负责处理合同服务期内所有劳资纠纷和调解管理纠纷</w:t>
      </w:r>
      <w:r>
        <w:rPr>
          <w:rFonts w:ascii="仿宋" w:eastAsia="仿宋" w:hAnsi="仿宋" w:cs="仿宋" w:hint="eastAsia"/>
          <w:bCs/>
          <w:kern w:val="2"/>
          <w:lang w:eastAsia="zh-CN"/>
        </w:rPr>
        <w:t>。</w:t>
      </w:r>
    </w:p>
    <w:p w14:paraId="19B806DA">
      <w:pPr>
        <w:widowControl w:val="0"/>
        <w:spacing w:line="360" w:lineRule="auto"/>
        <w:ind w:firstLine="480" w:firstLineChars="200"/>
        <w:jc w:val="both"/>
        <w:rPr>
          <w:rFonts w:ascii="仿宋" w:eastAsia="仿宋" w:hAnsi="仿宋" w:cs="仿宋" w:hint="eastAsia"/>
          <w:bCs/>
          <w:kern w:val="2"/>
          <w:lang w:eastAsia="zh-CN"/>
        </w:rPr>
      </w:pPr>
    </w:p>
    <w:p w14:paraId="446274D6">
      <w:pPr>
        <w:widowControl w:val="0"/>
        <w:spacing w:line="36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 xml:space="preserve">2.5 其他服务内容及要求 </w:t>
      </w:r>
    </w:p>
    <w:p w14:paraId="386A6E0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 xml:space="preserve">1、厨师必须持有健康证、厨师等级证书；营养师必须持有健康证；其他人员必须持有健康证， 健康证，无犯罪证明一年一更新。 </w:t>
      </w:r>
    </w:p>
    <w:p w14:paraId="7ACA36E5">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2、严格执行国家《中华人民共和国食品安全法》，遵守卫生法规，严格做好厨房食品卫生及食品卫生安全工作，有专业的食品安全高级食品安全员定期为相关从业人员培训相关食品安全操作及制度。</w:t>
      </w:r>
    </w:p>
    <w:p w14:paraId="5C667D81">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3、工作人员严格按安全生产规定、要求、服务工作程序做好食堂早、中、晚餐饮服务工作，按计划公布每周就餐计划及菜式菜款，制定完善有效的食堂就餐及服务计划，服务规范，程序完善。根据气候条件和需求，定期煲煮凉茶、糖水、御寒姜汤。</w:t>
      </w:r>
    </w:p>
    <w:p w14:paraId="748B854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4、加工烹饪食品菜肴要精心制作，保证口味和质量做到饭热菜香。食材卫生：所有入仓食材均需安排专人检验，并按5S标准标识摆放，杜绝三无产品入库。</w:t>
      </w:r>
    </w:p>
    <w:p w14:paraId="793CD5EF">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5、厨房作业区分区明确，标注明晰，物品归类有序；生食物和熟食物的盛用容器、刀具等严格区分，不得混用。</w:t>
      </w:r>
    </w:p>
    <w:p w14:paraId="706CF5B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6、厨房每餐后台面地面要及时擦扫干净，刀具、机械用具、盛用器皿等用后热水洗净，擦干保存。</w:t>
      </w:r>
    </w:p>
    <w:p w14:paraId="7CB739BB">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7、厨房排水保持畅通，污水及时倒入污水池，不积存脏水污物，厨房地面、墙壁无污物。</w:t>
      </w:r>
    </w:p>
    <w:p w14:paraId="597D63AD">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8、按照节能指标考核要求，落实水、电、煤气等能耗管理，并制定和落实相关节能措施；坚持每月物资清点登记制度，做好设备财产和物资管理，无财产及物资外流、人为损坏和偷盗等现象发生。</w:t>
      </w:r>
    </w:p>
    <w:p w14:paraId="351D84D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9、人员卫生：所有人员都必须经过卫生食品常识培训,考核、彻底去除个人不良卫生习惯，确保食品在加工过程中因个人卫生不洁，间接污染食品，工作人员进入厨房作业区必须穿着统一的工作服装，工作服保持整洁干净，禁止穿工作服离开厨房、食堂或做与制作饭菜无关的工作；工作人员做好个人卫生，不留长指甲、涂指甲油、接触直接入口食品前双手应进行消毒，工作前或工作中接触脏物后必须洗手，不得对着食物咳嗽、打喷嚏，不能用工作服擦鼻涕、擦汗、擦手或厨具等，不能随地吐痰；工作人员穿着工作服，工作服保持整洁干净；工作人员搬送菜肴和餐具前必须洗手，成品分膳时必须配戴工帽、口罩、一次性手套。</w:t>
      </w:r>
    </w:p>
    <w:p w14:paraId="02B94572">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10、食品加工制作：食品加工流程做到生进熟出一条龙，确保“四过关”（一洗、二刷、三冲、四消毒）；加工食品做到生与熟、成品与半成品、食品与杂物和药物、食品与天然冰隔离存放；生熟工用具、容器、冰箱要分开使用；食品原料新鲜，存放分类分架，离墙隔地，防尘防蝇；配菜与出菜盘专用，标志明显；刀具无锈，盖布洁净，正反标志清晰；使用公用餐、茶具及盛放直接入口食品的容器，采用物理或化学方法洗净、消毒，达到光、洁、涩、干，密闭存放；工用具保持清洁、定位存放，菜墩立式存放药品、苍蝇拍按规定位置存放；废弃物、垃圾及时清运、日产日清，盛放垃圾容器清洁、美观，定期消毒；操作间地面、墙壁、门窗、桌椅清洁无油污，无灰尘，无杂物，干净整齐个人物品集中摆放；每周定期对厨房所有厨具、设施进行大扫除及消毒，加工食品烧熟煮透隔夜隔顿或外购熟食品须重新加热，（公众餐厅一般杜绝使用隔顿食品）米饭温度保证在50℃以上，食用菜式的中心温度不低于60℃（使用专用食品温度计测量）。</w:t>
      </w:r>
    </w:p>
    <w:p w14:paraId="5625FF2C">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11、菜肴质量：全程控制菜肴主、辅料及制作过程安全卫生，无食物中毒或因食物引起的其他不良反应；所有当餐食用材料进行48小时留样制度。菜肴新鲜，色泽良好，无过期及腐烂变质的食物；菜肴口味好，咸淡适中，并保证饭菜热度，使用专业保温台进行保温工作；更新度：菜肴花色更新及时，一周内不出现2次以上完全相同品种菜肴，根据季节及工作需要调整就餐菜式，保证每月推出3款时令菜；控制油及其他调味品用量，菜肴品种齐全，营养搭配合理；根据就餐情况，及时更新添加菜肴，合理控制上菜节奏，杜绝浪费。</w:t>
      </w:r>
    </w:p>
    <w:p w14:paraId="55F9995B">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12、就餐区环境：餐厅餐桌椅摆放整齐、桌上物品摆放有序；餐厅地面、墙壁无污物；餐具整洁干净，摆放有序，每餐洗净后及时进行消毒，消毒、监测报告和消杀记录齐全。</w:t>
      </w:r>
    </w:p>
    <w:p w14:paraId="6BABAB1B">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13、就餐要求：教职工和学生就餐期间，厨房工作人员要做好巡查，及时发现问题，及时清扫餐桌，及时补充就餐区各种饭菜、餐桌牙签、餐巾纸等，就餐介绍后及时清洁餐厅各项卫生，保持餐厅洁净；工作人员坚守岗位，按照分工做好本职工作，，文明礼貌，不粗言粗语和高声叫喊。积极主动，热情周到，细致入微。职工就餐过程中，坚持三勤服务，即“嘴勤、手勤、眼勤”，及时提供服务。</w:t>
      </w:r>
    </w:p>
    <w:p w14:paraId="61E3498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14、中标单位在校服务人员住宿由招标单位提供。</w:t>
      </w:r>
    </w:p>
    <w:p w14:paraId="5AD453D5">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w:t>
      </w:r>
      <w:r>
        <w:rPr>
          <w:rFonts w:ascii="仿宋" w:eastAsia="仿宋" w:hAnsi="仿宋" w:cs="仿宋" w:hint="eastAsia"/>
          <w:bCs/>
          <w:kern w:val="2"/>
          <w:lang w:val="en-US" w:eastAsia="zh-CN"/>
        </w:rPr>
        <w:t>5</w:t>
      </w:r>
      <w:r>
        <w:rPr>
          <w:rFonts w:ascii="仿宋" w:eastAsia="仿宋" w:hAnsi="仿宋" w:cs="仿宋" w:hint="eastAsia"/>
          <w:bCs/>
          <w:kern w:val="2"/>
          <w:lang w:eastAsia="zh-CN"/>
        </w:rPr>
        <w:t>.中标人不得将项目非法分包或转包给任何单位和个人。否则，采购人有权向区财政主管部门申请同意后终止合同，并要求中标单位赔偿相应损失。</w:t>
      </w:r>
    </w:p>
    <w:p w14:paraId="74BF34D4">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val="en-US" w:eastAsia="zh-CN"/>
        </w:rPr>
        <w:t>16</w:t>
      </w:r>
      <w:r>
        <w:rPr>
          <w:rFonts w:ascii="仿宋" w:eastAsia="仿宋" w:hAnsi="仿宋" w:cs="仿宋" w:hint="eastAsia"/>
          <w:bCs/>
          <w:kern w:val="2"/>
          <w:lang w:eastAsia="zh-CN"/>
        </w:rPr>
        <w:t>.中标人所有的工作人员必须具备正确进行食物制作的知识和普通食物中毒的救治知识，万一发生食物中毒，及时就地急救，并及时联系医院治疗，同时报告采购人；服务期间因中标人管理不善或工作程序不当等责任原因，引起卫生、安全事故等，造成人员伤害或财产损失的，采购人有权以无法履约为由向区财政主管部门申请同意后终止外包服务，因此而产生的损失及违约责任由中标人承担。</w:t>
      </w:r>
    </w:p>
    <w:p w14:paraId="73E09D02">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17.每月采购方对中标方提供的食堂管理服务在全校教职工中进行满意度调查，收集到的调查信息中，若该月满意度低于70%（含70%），或在服务期限内，有2次满意度低于80%（含80%），采购方有权无责解除合同。</w:t>
      </w:r>
    </w:p>
    <w:p w14:paraId="498ECA80">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18.采购方将对中标方管理服务的食堂进行日常监督和检查，若出现有关违反规定的现象，如：卫生打扫不干净，厨具刀具未按要求摆放，冰箱存放不合规物品，工作人员在工作区域工作未穿好工服，工帽，等违反食品安全要求的行为。第一次采购方会书面警告中标方进行整改，中标方必须在3日内进行整改。第二次采购方会书面通知中标方进行整改并要求更换相应的服务人员，中标方必须在3日内完成整改。若第三次采购方有权无责解除合同。</w:t>
      </w:r>
    </w:p>
    <w:p w14:paraId="3EE59E27">
      <w:pPr>
        <w:widowControl w:val="0"/>
        <w:spacing w:line="360" w:lineRule="auto"/>
        <w:jc w:val="both"/>
        <w:rPr>
          <w:rFonts w:ascii="仿宋" w:eastAsia="仿宋" w:hAnsi="仿宋" w:cs="仿宋" w:hint="eastAsia"/>
          <w:bCs/>
          <w:kern w:val="2"/>
          <w:lang w:eastAsia="zh-CN"/>
        </w:rPr>
      </w:pPr>
    </w:p>
    <w:p w14:paraId="414AD0D8">
      <w:pPr>
        <w:widowControl w:val="0"/>
        <w:spacing w:line="360" w:lineRule="auto"/>
        <w:jc w:val="both"/>
        <w:rPr>
          <w:rFonts w:ascii="仿宋" w:eastAsia="仿宋" w:hAnsi="仿宋" w:cs="仿宋" w:hint="eastAsia"/>
          <w:bCs/>
          <w:kern w:val="2"/>
          <w:sz w:val="21"/>
          <w:lang w:eastAsia="zh-CN"/>
        </w:rPr>
      </w:pPr>
    </w:p>
    <w:p w14:paraId="67A2F582">
      <w:pPr>
        <w:widowControl w:val="0"/>
        <w:spacing w:line="360" w:lineRule="auto"/>
        <w:jc w:val="both"/>
        <w:rPr>
          <w:rFonts w:ascii="仿宋" w:eastAsia="仿宋" w:hAnsi="仿宋" w:cs="仿宋" w:hint="eastAsia"/>
          <w:b/>
          <w:kern w:val="2"/>
          <w:lang w:eastAsia="zh-CN"/>
        </w:rPr>
      </w:pPr>
    </w:p>
    <w:p w14:paraId="636736A1">
      <w:pPr>
        <w:keepNext/>
        <w:keepLines/>
        <w:widowControl w:val="0"/>
        <w:bidi w:val="0"/>
        <w:spacing w:beforeLines="0" w:beforeAutospacing="0" w:afterLines="0" w:afterAutospacing="0" w:line="360" w:lineRule="auto"/>
        <w:jc w:val="center"/>
        <w:outlineLvl w:val="2"/>
        <w:rPr>
          <w:rFonts w:ascii="仿宋" w:eastAsia="仿宋" w:hAnsi="仿宋" w:cs="仿宋" w:hint="eastAsia"/>
          <w:b/>
          <w:kern w:val="2"/>
          <w:sz w:val="32"/>
          <w:lang w:eastAsia="zh-CN"/>
        </w:rPr>
      </w:pPr>
      <w:bookmarkStart w:id="15" w:name="_Toc14094"/>
      <w:r>
        <w:rPr>
          <w:rFonts w:ascii="仿宋" w:eastAsia="仿宋" w:hAnsi="仿宋" w:cs="仿宋" w:hint="eastAsia"/>
          <w:b/>
          <w:kern w:val="2"/>
          <w:sz w:val="32"/>
          <w:lang w:eastAsia="zh-CN"/>
        </w:rPr>
        <w:t>三、服务期限</w:t>
      </w:r>
      <w:bookmarkEnd w:id="15"/>
    </w:p>
    <w:p w14:paraId="7CB05380">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本项目服务期限为2026年1月1日至2026年12月31日。其中，前三个月为试用期,若中标方未能按照本招标公告内容或投标文件执行，采购方有权无责解除合同。</w:t>
      </w:r>
    </w:p>
    <w:p w14:paraId="41590524">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采购人可根据供应商的履约及服务情况续签。履约评价等级为优或满意的，合同可续签不超过2次，每次不超过12个月，续期的合同实质性内容不得改变，年度合同期结束后采购方根据第一年的项目执行情况经双方协商，自行决定是否续签第二年、第三年的服务合同，合同执行期限最长不超过 36 个月。</w:t>
      </w:r>
    </w:p>
    <w:p w14:paraId="7D231E60">
      <w:pPr>
        <w:keepNext/>
        <w:keepLines/>
        <w:widowControl w:val="0"/>
        <w:bidi w:val="0"/>
        <w:spacing w:beforeLines="0" w:beforeAutospacing="0" w:afterLines="0" w:afterAutospacing="0" w:line="360" w:lineRule="auto"/>
        <w:jc w:val="center"/>
        <w:outlineLvl w:val="2"/>
        <w:rPr>
          <w:rFonts w:ascii="仿宋" w:eastAsia="仿宋" w:hAnsi="仿宋" w:cs="仿宋" w:hint="eastAsia"/>
          <w:b/>
          <w:kern w:val="2"/>
          <w:sz w:val="32"/>
          <w:lang w:eastAsia="zh-CN"/>
        </w:rPr>
      </w:pPr>
      <w:bookmarkStart w:id="16" w:name="_Toc16554"/>
      <w:r>
        <w:rPr>
          <w:rFonts w:ascii="仿宋" w:eastAsia="仿宋" w:hAnsi="仿宋" w:cs="仿宋" w:hint="eastAsia"/>
          <w:b/>
          <w:kern w:val="2"/>
          <w:sz w:val="32"/>
          <w:lang w:eastAsia="zh-CN"/>
        </w:rPr>
        <w:t>四、付款方式</w:t>
      </w:r>
      <w:bookmarkEnd w:id="16"/>
    </w:p>
    <w:p w14:paraId="40CB8646">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1、合同签订后，按月支付，当月产生的服务费用，采购方应在当月或次月支付给中标商。</w:t>
      </w:r>
    </w:p>
    <w:p w14:paraId="6D2A3FA6">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2E165613">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4306EED4">
      <w:pPr>
        <w:widowControl w:val="0"/>
        <w:spacing w:line="360" w:lineRule="auto"/>
        <w:ind w:firstLine="480" w:firstLineChars="200"/>
        <w:jc w:val="both"/>
        <w:rPr>
          <w:rFonts w:ascii="仿宋" w:eastAsia="仿宋" w:hAnsi="仿宋" w:cs="仿宋" w:hint="eastAsia"/>
          <w:bCs/>
          <w:kern w:val="2"/>
          <w:lang w:eastAsia="zh-CN"/>
        </w:rPr>
      </w:pPr>
    </w:p>
    <w:p w14:paraId="5BDDDCBA">
      <w:pPr>
        <w:keepNext/>
        <w:keepLines/>
        <w:widowControl w:val="0"/>
        <w:bidi w:val="0"/>
        <w:spacing w:beforeLines="0" w:beforeAutospacing="0" w:afterLines="0" w:afterAutospacing="0" w:line="360" w:lineRule="auto"/>
        <w:jc w:val="center"/>
        <w:outlineLvl w:val="2"/>
        <w:rPr>
          <w:rFonts w:ascii="仿宋" w:eastAsia="仿宋" w:hAnsi="仿宋" w:cs="仿宋" w:hint="eastAsia"/>
          <w:b/>
          <w:kern w:val="2"/>
          <w:sz w:val="32"/>
          <w:lang w:eastAsia="zh-CN"/>
        </w:rPr>
      </w:pPr>
      <w:bookmarkStart w:id="17" w:name="_Toc19515"/>
      <w:bookmarkStart w:id="18" w:name="_Toc13673"/>
      <w:r>
        <w:rPr>
          <w:rFonts w:ascii="仿宋" w:eastAsia="仿宋" w:hAnsi="仿宋" w:cs="仿宋" w:hint="eastAsia"/>
          <w:b/>
          <w:kern w:val="2"/>
          <w:sz w:val="32"/>
          <w:lang w:eastAsia="zh-CN"/>
        </w:rPr>
        <w:t>五、投标报价要求</w:t>
      </w:r>
      <w:bookmarkEnd w:id="17"/>
      <w:bookmarkEnd w:id="18"/>
    </w:p>
    <w:p w14:paraId="05A9AF94">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14:paraId="46D3FF5D">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作出报价合理性说明，以及书面说明是否采纳等判断不一致的，按照“少数服从多数”的原则确定评审小组的意见。</w:t>
      </w:r>
    </w:p>
    <w:p w14:paraId="7E7B20D8">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3、如果中选价低于财政预算限额的70%，该项目将被列为优先实施履约检查的项目。</w:t>
      </w:r>
    </w:p>
    <w:p w14:paraId="786F6F10">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4、投标人的投标报价不得超过财政预算限额，如设投标最高限价的，报价不得超过最高限价；</w:t>
      </w:r>
    </w:p>
    <w:p w14:paraId="521BC6FB">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5、投标人的投标报价，应是本项目采购范围和采购文件及合同条款上所列的各项内容中所述的全部，不得以任何理由予以重复，并以投标人在中提出的综合单价或总价为依据；</w:t>
      </w:r>
    </w:p>
    <w:p w14:paraId="1CBE6AF7">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4D940A39">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7、投标人应先到项目地点踏勘以充分了解项目的位置、情况、道路及任何其它足以影响投标报价的情况，任何因忽视或误解项目情况而导致的索赔或服务期限延长申请将不获批准；</w:t>
      </w:r>
    </w:p>
    <w:p w14:paraId="3C59E6AE">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116FE277">
      <w:pPr>
        <w:widowControl w:val="0"/>
        <w:spacing w:line="360" w:lineRule="auto"/>
        <w:ind w:firstLine="480" w:firstLineChars="200"/>
        <w:jc w:val="both"/>
        <w:rPr>
          <w:rFonts w:ascii="仿宋" w:eastAsia="仿宋" w:hAnsi="仿宋" w:cs="仿宋" w:hint="eastAsia"/>
          <w:bCs/>
          <w:kern w:val="2"/>
          <w:lang w:eastAsia="zh-CN"/>
        </w:rPr>
      </w:pPr>
    </w:p>
    <w:p w14:paraId="76576E1A">
      <w:pPr>
        <w:widowControl w:val="0"/>
        <w:spacing w:line="360" w:lineRule="auto"/>
        <w:jc w:val="both"/>
        <w:rPr>
          <w:rFonts w:ascii="仿宋" w:eastAsia="仿宋" w:hAnsi="仿宋" w:cs="仿宋" w:hint="eastAsia"/>
          <w:bCs/>
          <w:kern w:val="2"/>
          <w:lang w:eastAsia="zh-CN"/>
        </w:rPr>
      </w:pPr>
    </w:p>
    <w:p w14:paraId="3A3A9336">
      <w:pPr>
        <w:keepNext/>
        <w:keepLines/>
        <w:widowControl w:val="0"/>
        <w:bidi w:val="0"/>
        <w:spacing w:beforeLines="0" w:beforeAutospacing="0" w:afterLines="0" w:afterAutospacing="0" w:line="360" w:lineRule="auto"/>
        <w:jc w:val="center"/>
        <w:outlineLvl w:val="2"/>
        <w:rPr>
          <w:rFonts w:ascii="仿宋" w:eastAsia="仿宋" w:hAnsi="仿宋" w:cs="仿宋" w:hint="eastAsia"/>
          <w:b/>
          <w:kern w:val="2"/>
          <w:sz w:val="32"/>
          <w:lang w:eastAsia="zh-CN"/>
        </w:rPr>
      </w:pPr>
      <w:bookmarkStart w:id="19" w:name="_Toc22477"/>
      <w:bookmarkStart w:id="20" w:name="_Toc14614"/>
      <w:r>
        <w:rPr>
          <w:rFonts w:ascii="仿宋" w:eastAsia="仿宋" w:hAnsi="仿宋" w:cs="仿宋" w:hint="eastAsia"/>
          <w:b/>
          <w:kern w:val="2"/>
          <w:sz w:val="32"/>
          <w:lang w:eastAsia="zh-CN"/>
        </w:rPr>
        <w:t>六、注意事项</w:t>
      </w:r>
      <w:bookmarkEnd w:id="19"/>
      <w:bookmarkEnd w:id="20"/>
    </w:p>
    <w:p w14:paraId="0F0CFC2D">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1、中标人不得将项目非法分包或转包给任何单位和个人。否则，采购单位有权即刻终止合同，并要求中标人赔偿相应损失。</w:t>
      </w:r>
    </w:p>
    <w:p w14:paraId="522CBC66">
      <w:pPr>
        <w:widowControl w:val="0"/>
        <w:spacing w:line="360" w:lineRule="auto"/>
        <w:ind w:firstLine="480" w:firstLineChars="200"/>
        <w:jc w:val="both"/>
        <w:rPr>
          <w:rFonts w:ascii="仿宋" w:eastAsia="仿宋" w:hAnsi="仿宋" w:cs="仿宋" w:hint="eastAsia"/>
          <w:bCs/>
          <w:kern w:val="2"/>
          <w:lang w:val="en-US" w:eastAsia="zh-CN"/>
        </w:rPr>
      </w:pPr>
      <w:r>
        <w:rPr>
          <w:rFonts w:ascii="仿宋" w:eastAsia="仿宋" w:hAnsi="仿宋" w:cs="仿宋" w:hint="eastAsia"/>
          <w:bCs/>
          <w:kern w:val="2"/>
          <w:lang w:val="en-US" w:eastAsia="zh-CN"/>
        </w:rPr>
        <w:t>2、投标人使用的标准必须是国际公认或国家、或地方政府颁布的同等或更高的标准，如投标人使用的标准低于上述标准,评标小组将有权不予接受，投标人必须列表将明显的差异详细说明。</w:t>
      </w:r>
    </w:p>
    <w:p w14:paraId="043A4659">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3、投标人须在质疑期内一次性提出针对同一采购程序环节的质疑。</w:t>
      </w:r>
    </w:p>
    <w:p w14:paraId="1E4860DC">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4、本项目按照深圳市龙华区教育局的相关采购规定执行，招标文件未明确的事项，参照政府采购有关法律法规执行。</w:t>
      </w:r>
    </w:p>
    <w:p w14:paraId="6377A994">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w:t>
      </w:r>
    </w:p>
    <w:p w14:paraId="41ECF5C1">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w:t>
      </w:r>
    </w:p>
    <w:p w14:paraId="5148DBAC">
      <w:pPr>
        <w:widowControl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br w:type="page"/>
      </w:r>
    </w:p>
    <w:p w14:paraId="0FFC7DFA">
      <w:pPr>
        <w:keepNext/>
        <w:keepLines/>
        <w:widowControl w:val="0"/>
        <w:bidi w:val="0"/>
        <w:spacing w:beforeLines="0" w:beforeAutospacing="0" w:afterLines="0" w:afterAutospacing="0" w:line="360" w:lineRule="auto"/>
        <w:jc w:val="center"/>
        <w:outlineLvl w:val="1"/>
        <w:rPr>
          <w:rFonts w:ascii="仿宋" w:eastAsia="仿宋" w:hAnsi="仿宋" w:cs="仿宋" w:hint="eastAsia"/>
          <w:b/>
          <w:kern w:val="2"/>
          <w:sz w:val="32"/>
          <w:lang w:eastAsia="zh-CN"/>
        </w:rPr>
      </w:pPr>
      <w:bookmarkStart w:id="21" w:name="_Toc29684"/>
      <w:r>
        <w:rPr>
          <w:rFonts w:ascii="仿宋" w:eastAsia="仿宋" w:hAnsi="仿宋" w:cs="仿宋" w:hint="eastAsia"/>
          <w:b/>
          <w:kern w:val="2"/>
          <w:sz w:val="32"/>
          <w:lang w:eastAsia="zh-CN"/>
        </w:rPr>
        <w:t>第四章  投标文件组成要求及格式</w:t>
      </w:r>
      <w:bookmarkEnd w:id="21"/>
    </w:p>
    <w:p w14:paraId="77990489">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投标文件组成：</w:t>
      </w:r>
    </w:p>
    <w:p w14:paraId="742366FE">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
          <w:kern w:val="2"/>
          <w:lang w:eastAsia="zh-CN"/>
        </w:rPr>
      </w:pPr>
      <w:bookmarkStart w:id="22" w:name="_Hlk72257771"/>
      <w:r>
        <w:rPr>
          <w:rFonts w:ascii="仿宋" w:eastAsia="仿宋" w:hAnsi="仿宋" w:cs="仿宋" w:hint="eastAsia"/>
          <w:b/>
          <w:kern w:val="2"/>
          <w:lang w:eastAsia="zh-CN"/>
        </w:rPr>
        <w:t>1.投标文件，主要包括以下内容：</w:t>
      </w:r>
    </w:p>
    <w:p w14:paraId="3BD27059">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w:t>
      </w:r>
      <w:bookmarkStart w:id="23" w:name="_Hlk72070784"/>
      <w:r>
        <w:rPr>
          <w:rFonts w:ascii="仿宋" w:eastAsia="仿宋" w:hAnsi="仿宋" w:cs="仿宋" w:hint="eastAsia"/>
          <w:bCs/>
          <w:kern w:val="2"/>
          <w:lang w:eastAsia="zh-CN"/>
        </w:rPr>
        <w:t>投标函</w:t>
      </w:r>
      <w:bookmarkEnd w:id="23"/>
    </w:p>
    <w:p w14:paraId="47E595B1">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（2）龙华区教育系统自行采购投标及履约承诺函</w:t>
      </w:r>
    </w:p>
    <w:p w14:paraId="4EA1902B">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（3）投标人情况及资格证明文件</w:t>
      </w:r>
    </w:p>
    <w:p w14:paraId="2B840832">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（4）分项报价清单</w:t>
      </w:r>
    </w:p>
    <w:p w14:paraId="23DF997A">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bookmarkStart w:id="24" w:name="_Hlk72257201"/>
      <w:r>
        <w:rPr>
          <w:rFonts w:ascii="仿宋" w:eastAsia="仿宋" w:hAnsi="仿宋" w:cs="仿宋" w:hint="eastAsia"/>
          <w:bCs/>
          <w:kern w:val="2"/>
          <w:lang w:eastAsia="zh-CN"/>
        </w:rPr>
        <w:t>（5）</w:t>
      </w:r>
      <w:bookmarkEnd w:id="24"/>
      <w:r>
        <w:rPr>
          <w:rFonts w:ascii="仿宋" w:eastAsia="仿宋" w:hAnsi="仿宋" w:cs="仿宋" w:hint="eastAsia"/>
          <w:bCs/>
          <w:kern w:val="2"/>
          <w:lang w:eastAsia="zh-CN"/>
        </w:rPr>
        <w:t>法定代表人资格证明书</w:t>
      </w:r>
    </w:p>
    <w:p w14:paraId="7D347825">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（6）投标文件签署授权委托书</w:t>
      </w:r>
    </w:p>
    <w:p w14:paraId="12C4B4C6">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（7）</w:t>
      </w:r>
      <w:r>
        <w:rPr>
          <w:rFonts w:ascii="仿宋" w:eastAsia="仿宋" w:hAnsi="仿宋" w:cs="仿宋" w:hint="eastAsia"/>
          <w:bCs/>
          <w:kern w:val="2"/>
          <w:lang w:val="en-US" w:eastAsia="zh-CN"/>
        </w:rPr>
        <w:t>实质性响应情况</w:t>
      </w:r>
      <w:r>
        <w:rPr>
          <w:rFonts w:ascii="仿宋" w:eastAsia="仿宋" w:hAnsi="仿宋" w:cs="仿宋" w:hint="eastAsia"/>
          <w:bCs/>
          <w:kern w:val="2"/>
          <w:lang w:eastAsia="zh-CN"/>
        </w:rPr>
        <w:t>表</w:t>
      </w:r>
    </w:p>
    <w:p w14:paraId="6396BC88">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（8）实施方案</w:t>
      </w:r>
    </w:p>
    <w:p w14:paraId="4F2919FC">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（9）项目重点难点分析、应对措施及相关的合理化建议</w:t>
      </w:r>
    </w:p>
    <w:p w14:paraId="3B2A456F">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（10）质量保障措施及方案</w:t>
      </w:r>
    </w:p>
    <w:p w14:paraId="5D51FC80">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（11）项目完成（服务期满）后的服务承诺</w:t>
      </w:r>
    </w:p>
    <w:p w14:paraId="221C4AC8">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（12）违约承诺</w:t>
      </w:r>
    </w:p>
    <w:p w14:paraId="0CEC0AA7">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（13）项目负责人情况（仅限1人）</w:t>
      </w:r>
    </w:p>
    <w:p w14:paraId="022F6E87">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（14）项目团队</w:t>
      </w:r>
      <w:r>
        <w:rPr>
          <w:rFonts w:ascii="仿宋" w:eastAsia="仿宋" w:hAnsi="仿宋" w:cs="仿宋" w:hint="eastAsia"/>
          <w:bCs/>
          <w:kern w:val="2"/>
          <w:lang w:val="en-US" w:eastAsia="zh-CN"/>
        </w:rPr>
        <w:t>成员</w:t>
      </w:r>
    </w:p>
    <w:p w14:paraId="3D682722">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（15）投标人认证情况</w:t>
      </w:r>
    </w:p>
    <w:p w14:paraId="40D1EF6A">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（16）食品安全保险情况</w:t>
      </w:r>
    </w:p>
    <w:p w14:paraId="78C07812">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（17）供应商获奖情况</w:t>
      </w:r>
    </w:p>
    <w:p w14:paraId="6FB6D59E">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（18）同类项目业绩</w:t>
      </w:r>
    </w:p>
    <w:p w14:paraId="5C1121C3">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（19）履约评价情况</w:t>
      </w:r>
    </w:p>
    <w:p w14:paraId="3CAF9BF9">
      <w:pPr>
        <w:pageBreakBefore w:val="0"/>
        <w:widowControl w:val="0"/>
        <w:kinsoku/>
        <w:wordWrap/>
        <w:overflowPunct/>
        <w:topLinePunct w:val="0"/>
        <w:autoSpaceDE/>
        <w:autoSpaceDN/>
        <w:bidi w:val="0"/>
        <w:snapToGrid w:val="0"/>
        <w:spacing w:line="360" w:lineRule="auto"/>
        <w:ind w:firstLine="480" w:firstLineChars="200"/>
        <w:jc w:val="both"/>
        <w:rPr>
          <w:rFonts w:ascii="仿宋" w:eastAsia="仿宋" w:hAnsi="仿宋" w:cs="仿宋" w:hint="eastAsia"/>
          <w:bCs/>
          <w:kern w:val="2"/>
          <w:lang w:eastAsia="zh-CN"/>
        </w:rPr>
      </w:pPr>
      <w:r>
        <w:rPr>
          <w:rFonts w:ascii="仿宋" w:eastAsia="仿宋" w:hAnsi="仿宋" w:cs="仿宋" w:hint="eastAsia"/>
          <w:bCs/>
          <w:kern w:val="2"/>
          <w:lang w:eastAsia="zh-CN"/>
        </w:rPr>
        <w:t>（20）诚信承诺函</w:t>
      </w:r>
    </w:p>
    <w:p w14:paraId="7EF2E4B6">
      <w:pPr>
        <w:pageBreakBefore w:val="0"/>
        <w:widowControl w:val="0"/>
        <w:kinsoku/>
        <w:wordWrap/>
        <w:overflowPunct/>
        <w:topLinePunct w:val="0"/>
        <w:autoSpaceDE/>
        <w:autoSpaceDN/>
        <w:bidi w:val="0"/>
        <w:snapToGrid w:val="0"/>
        <w:spacing w:line="360" w:lineRule="auto"/>
        <w:ind w:firstLine="480" w:firstLineChars="200"/>
        <w:jc w:val="both"/>
        <w:rPr>
          <w:rFonts w:eastAsia="宋体" w:hint="eastAsia"/>
          <w:kern w:val="2"/>
          <w:sz w:val="21"/>
          <w:lang w:eastAsia="zh-CN"/>
        </w:rPr>
      </w:pPr>
      <w:r>
        <w:rPr>
          <w:rFonts w:ascii="仿宋" w:eastAsia="仿宋" w:hAnsi="仿宋" w:cs="仿宋" w:hint="eastAsia"/>
          <w:bCs/>
          <w:kern w:val="2"/>
          <w:lang w:eastAsia="zh-CN"/>
        </w:rPr>
        <w:t>（</w:t>
      </w:r>
      <w:r>
        <w:rPr>
          <w:rFonts w:ascii="仿宋" w:eastAsia="仿宋" w:hAnsi="仿宋" w:cs="仿宋" w:hint="eastAsia"/>
          <w:bCs/>
          <w:kern w:val="2"/>
          <w:lang w:val="en-US" w:eastAsia="zh-CN"/>
        </w:rPr>
        <w:t>21</w:t>
      </w:r>
      <w:r>
        <w:rPr>
          <w:rFonts w:ascii="仿宋" w:eastAsia="仿宋" w:hAnsi="仿宋" w:cs="仿宋" w:hint="eastAsia"/>
          <w:bCs/>
          <w:kern w:val="2"/>
          <w:lang w:eastAsia="zh-CN"/>
        </w:rPr>
        <w:t>）评分标准和细则中其它所需的相关文件及证明材料（除投标文件附件中已有的外）</w:t>
      </w:r>
    </w:p>
    <w:bookmarkEnd w:id="22"/>
    <w:p w14:paraId="51975AD0">
      <w:pPr>
        <w:pageBreakBefore w:val="0"/>
        <w:widowControl w:val="0"/>
        <w:kinsoku/>
        <w:wordWrap/>
        <w:overflowPunct/>
        <w:topLinePunct w:val="0"/>
        <w:autoSpaceDE/>
        <w:autoSpaceDN/>
        <w:bidi w:val="0"/>
        <w:snapToGrid w:val="0"/>
        <w:spacing w:line="240" w:lineRule="auto"/>
        <w:jc w:val="both"/>
        <w:rPr>
          <w:rFonts w:ascii="仿宋" w:eastAsia="仿宋" w:hAnsi="仿宋" w:cs="仿宋" w:hint="eastAsia"/>
          <w:b/>
          <w:kern w:val="2"/>
          <w:lang w:eastAsia="zh-CN"/>
        </w:rPr>
      </w:pPr>
      <w:r>
        <w:rPr>
          <w:rFonts w:ascii="仿宋" w:eastAsia="仿宋" w:hAnsi="仿宋" w:cs="仿宋" w:hint="eastAsia"/>
          <w:b/>
          <w:kern w:val="2"/>
          <w:lang w:eastAsia="zh-CN"/>
        </w:rPr>
        <w:t>备注：</w:t>
      </w:r>
    </w:p>
    <w:p w14:paraId="22233FEA">
      <w:pPr>
        <w:pageBreakBefore w:val="0"/>
        <w:widowControl w:val="0"/>
        <w:kinsoku/>
        <w:wordWrap/>
        <w:overflowPunct/>
        <w:topLinePunct w:val="0"/>
        <w:autoSpaceDE/>
        <w:autoSpaceDN/>
        <w:bidi w:val="0"/>
        <w:snapToGrid w:val="0"/>
        <w:spacing w:line="24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1.本项目为网上电子投标项目，投标文件不需法人或授权委托人另行签字，无需加盖单位公章，招标文件另有规定的除外。</w:t>
      </w:r>
    </w:p>
    <w:p w14:paraId="48911739">
      <w:pPr>
        <w:pageBreakBefore w:val="0"/>
        <w:widowControl w:val="0"/>
        <w:kinsoku/>
        <w:wordWrap/>
        <w:overflowPunct/>
        <w:topLinePunct w:val="0"/>
        <w:autoSpaceDE/>
        <w:autoSpaceDN/>
        <w:bidi w:val="0"/>
        <w:snapToGrid w:val="0"/>
        <w:spacing w:line="240" w:lineRule="auto"/>
        <w:ind w:firstLine="480" w:firstLineChars="200"/>
        <w:jc w:val="both"/>
        <w:rPr>
          <w:rFonts w:ascii="仿宋" w:eastAsia="仿宋" w:hAnsi="仿宋" w:cs="仿宋" w:hint="eastAsia"/>
          <w:b/>
          <w:kern w:val="2"/>
          <w:lang w:eastAsia="zh-CN"/>
        </w:rPr>
      </w:pPr>
      <w:r>
        <w:rPr>
          <w:rFonts w:ascii="仿宋" w:eastAsia="仿宋" w:hAnsi="仿宋" w:cs="仿宋" w:hint="eastAsia"/>
          <w:b/>
          <w:kern w:val="2"/>
          <w:lang w:eastAsia="zh-CN"/>
        </w:rPr>
        <w:t>2.关于填写“开标一览表”的说明：“开标一览表”中除“投标总价”外，其他信息不作评审依据。</w:t>
      </w:r>
      <w:r>
        <w:rPr>
          <w:rFonts w:ascii="仿宋" w:eastAsia="仿宋" w:hAnsi="仿宋" w:cs="仿宋" w:hint="eastAsia"/>
          <w:b/>
          <w:kern w:val="2"/>
          <w:lang w:eastAsia="zh-CN"/>
        </w:rPr>
        <w:br w:type="page"/>
      </w:r>
    </w:p>
    <w:p w14:paraId="085E4BE2">
      <w:pPr>
        <w:keepNext/>
        <w:keepLines/>
        <w:widowControl w:val="0"/>
        <w:bidi w:val="0"/>
        <w:spacing w:beforeLines="0" w:beforeAutospacing="0" w:afterLines="0" w:afterAutospacing="0" w:line="360" w:lineRule="auto"/>
        <w:jc w:val="left"/>
        <w:outlineLvl w:val="2"/>
        <w:rPr>
          <w:rFonts w:ascii="仿宋" w:eastAsia="仿宋" w:hAnsi="仿宋" w:cs="仿宋" w:hint="eastAsia"/>
          <w:b/>
          <w:kern w:val="2"/>
          <w:sz w:val="32"/>
          <w:lang w:eastAsia="zh-CN"/>
        </w:rPr>
      </w:pPr>
      <w:bookmarkStart w:id="25" w:name="_Toc17883"/>
      <w:bookmarkStart w:id="26" w:name="_Toc31991"/>
      <w:r>
        <w:rPr>
          <w:rFonts w:ascii="仿宋" w:eastAsia="仿宋" w:hAnsi="仿宋" w:cs="仿宋" w:hint="eastAsia"/>
          <w:b/>
          <w:kern w:val="2"/>
          <w:sz w:val="32"/>
          <w:lang w:eastAsia="zh-CN"/>
        </w:rPr>
        <w:t>投标文件正文</w:t>
      </w:r>
      <w:bookmarkEnd w:id="25"/>
    </w:p>
    <w:p w14:paraId="2D57D639">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eastAsia="zh-CN"/>
        </w:rPr>
        <w:t>一、投标函</w:t>
      </w:r>
      <w:bookmarkEnd w:id="26"/>
    </w:p>
    <w:p w14:paraId="5370B47A">
      <w:pPr>
        <w:widowControl w:val="0"/>
        <w:spacing w:line="560" w:lineRule="exact"/>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致：</w:t>
      </w:r>
      <w:r>
        <w:rPr>
          <w:rFonts w:ascii="仿宋" w:eastAsia="仿宋" w:hAnsi="仿宋" w:cs="仿宋" w:hint="eastAsia"/>
          <w:kern w:val="2"/>
          <w:sz w:val="21"/>
          <w:szCs w:val="21"/>
          <w:u w:val="single"/>
          <w:lang w:eastAsia="zh-CN"/>
        </w:rPr>
        <w:t>广东五装建设工程有限公司</w:t>
      </w:r>
    </w:p>
    <w:p w14:paraId="5DE351BA">
      <w:pPr>
        <w:widowControl w:val="0"/>
        <w:spacing w:after="156" w:afterLines="50" w:line="560" w:lineRule="exact"/>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1、根据已收到贵单位的项目编号为</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的</w:t>
      </w:r>
      <w:r>
        <w:rPr>
          <w:rFonts w:ascii="仿宋" w:eastAsia="仿宋" w:hAnsi="仿宋" w:cs="仿宋" w:hint="eastAsia"/>
          <w:kern w:val="2"/>
          <w:sz w:val="21"/>
          <w:szCs w:val="21"/>
          <w:u w:val="single"/>
          <w:lang w:eastAsia="zh-CN"/>
        </w:rPr>
        <w:t xml:space="preserve">   （项目名称）   </w:t>
      </w:r>
      <w:r>
        <w:rPr>
          <w:rFonts w:ascii="仿宋" w:eastAsia="仿宋" w:hAnsi="仿宋" w:cs="仿宋" w:hint="eastAsia"/>
          <w:kern w:val="2"/>
          <w:sz w:val="21"/>
          <w:szCs w:val="21"/>
          <w:lang w:eastAsia="zh-CN"/>
        </w:rPr>
        <w:t>项目的招标文件，遵照《深圳经济特区政府采购条例》和《深圳网上政府采购管理暂行办法》等有关规定，我单位经研究上述招标文件的专用条款及通用条款后，愿意按照招标文件要求承包上述项目并修补其任何缺陷。</w:t>
      </w:r>
    </w:p>
    <w:p w14:paraId="78A070F9">
      <w:pPr>
        <w:widowControl w:val="0"/>
        <w:spacing w:after="156" w:afterLines="50" w:line="560" w:lineRule="exact"/>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2、投标价格见投标书编制软件中《开标一览表》中填写的投标总价。</w:t>
      </w:r>
    </w:p>
    <w:p w14:paraId="2CA36B1C">
      <w:pPr>
        <w:widowControl w:val="0"/>
        <w:spacing w:after="156" w:afterLines="50" w:line="560" w:lineRule="exact"/>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3、如果我单位中标，我单位将按照招标文件的要求足额提交履约担保。</w:t>
      </w:r>
    </w:p>
    <w:p w14:paraId="743159A8">
      <w:pPr>
        <w:widowControl w:val="0"/>
        <w:spacing w:after="156" w:afterLines="50" w:line="560" w:lineRule="exact"/>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4、我单位同意所递交的投标文件在“对通用条款的补充内容”中明确的投标有效期内有效，在此期间内我单位的投标有可能中标，我方将受此约束。</w:t>
      </w:r>
    </w:p>
    <w:p w14:paraId="7523995A">
      <w:pPr>
        <w:widowControl w:val="0"/>
        <w:spacing w:after="156" w:afterLines="50" w:line="560" w:lineRule="exact"/>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5、除非另外达成协议并生效，贵单位的中标通知书和本投标文件将构成合同的重要内容。</w:t>
      </w:r>
    </w:p>
    <w:p w14:paraId="443D86D9">
      <w:pPr>
        <w:widowControl w:val="0"/>
        <w:spacing w:after="156" w:afterLines="50" w:line="560" w:lineRule="exact"/>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6、我单位理解贵单位将不受必须接受所收到的最低报价或其它任何投标文件的约束。</w:t>
      </w:r>
    </w:p>
    <w:p w14:paraId="4A9D5F24">
      <w:pPr>
        <w:widowControl w:val="0"/>
        <w:spacing w:after="156" w:afterLines="50" w:line="560" w:lineRule="exact"/>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7、如我单位提交样品，且未在规定时间内取回样品的，视同放弃取回，同意广东五装建设工程有限公司对我单位提交的样品进行清理。</w:t>
      </w:r>
    </w:p>
    <w:p w14:paraId="6536DE70">
      <w:pPr>
        <w:widowControl w:val="0"/>
        <w:spacing w:line="560" w:lineRule="exact"/>
        <w:ind w:left="617" w:leftChars="257"/>
        <w:jc w:val="both"/>
        <w:rPr>
          <w:rFonts w:ascii="仿宋" w:eastAsia="仿宋" w:hAnsi="仿宋" w:cs="仿宋" w:hint="eastAsia"/>
          <w:kern w:val="2"/>
          <w:sz w:val="21"/>
          <w:szCs w:val="21"/>
          <w:u w:val="single"/>
          <w:lang w:eastAsia="zh-CN"/>
        </w:rPr>
      </w:pPr>
      <w:r>
        <w:rPr>
          <w:rFonts w:ascii="仿宋" w:eastAsia="仿宋" w:hAnsi="仿宋" w:cs="仿宋" w:hint="eastAsia"/>
          <w:kern w:val="2"/>
          <w:sz w:val="21"/>
          <w:szCs w:val="21"/>
          <w:lang w:eastAsia="zh-CN"/>
        </w:rPr>
        <w:t>投标人：</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 xml:space="preserve">    单位地址：</w:t>
      </w:r>
      <w:r>
        <w:rPr>
          <w:rFonts w:ascii="仿宋" w:eastAsia="仿宋" w:hAnsi="仿宋" w:cs="仿宋" w:hint="eastAsia"/>
          <w:kern w:val="2"/>
          <w:sz w:val="21"/>
          <w:szCs w:val="21"/>
          <w:u w:val="single"/>
          <w:lang w:eastAsia="zh-CN"/>
        </w:rPr>
        <w:t xml:space="preserve">               </w:t>
      </w:r>
    </w:p>
    <w:p w14:paraId="627384C9">
      <w:pPr>
        <w:widowControl w:val="0"/>
        <w:spacing w:line="560" w:lineRule="exact"/>
        <w:ind w:left="617" w:leftChars="257"/>
        <w:jc w:val="both"/>
        <w:rPr>
          <w:rFonts w:ascii="仿宋" w:eastAsia="仿宋" w:hAnsi="仿宋" w:cs="仿宋" w:hint="eastAsia"/>
          <w:kern w:val="2"/>
          <w:sz w:val="21"/>
          <w:szCs w:val="21"/>
          <w:u w:val="single"/>
          <w:lang w:eastAsia="zh-CN"/>
        </w:rPr>
      </w:pPr>
      <w:r>
        <w:rPr>
          <w:rFonts w:ascii="仿宋" w:eastAsia="仿宋" w:hAnsi="仿宋" w:cs="仿宋" w:hint="eastAsia"/>
          <w:kern w:val="2"/>
          <w:sz w:val="21"/>
          <w:szCs w:val="21"/>
          <w:lang w:eastAsia="zh-CN"/>
        </w:rPr>
        <w:t>法定代表人或其委托代理人：</w:t>
      </w:r>
      <w:r>
        <w:rPr>
          <w:rFonts w:ascii="仿宋" w:eastAsia="仿宋" w:hAnsi="仿宋" w:cs="仿宋" w:hint="eastAsia"/>
          <w:kern w:val="2"/>
          <w:sz w:val="21"/>
          <w:szCs w:val="21"/>
          <w:u w:val="single"/>
          <w:lang w:eastAsia="zh-CN"/>
        </w:rPr>
        <w:t xml:space="preserve">                   </w:t>
      </w:r>
    </w:p>
    <w:p w14:paraId="6722B2BA">
      <w:pPr>
        <w:widowControl w:val="0"/>
        <w:spacing w:line="560" w:lineRule="exact"/>
        <w:ind w:left="617" w:leftChars="257"/>
        <w:jc w:val="both"/>
        <w:rPr>
          <w:rFonts w:ascii="仿宋" w:eastAsia="仿宋" w:hAnsi="仿宋" w:cs="仿宋" w:hint="eastAsia"/>
          <w:kern w:val="2"/>
          <w:sz w:val="21"/>
          <w:szCs w:val="21"/>
          <w:u w:val="single"/>
          <w:lang w:eastAsia="zh-CN"/>
        </w:rPr>
      </w:pPr>
      <w:r>
        <w:rPr>
          <w:rFonts w:ascii="仿宋" w:eastAsia="仿宋" w:hAnsi="仿宋" w:cs="仿宋" w:hint="eastAsia"/>
          <w:kern w:val="2"/>
          <w:sz w:val="21"/>
          <w:szCs w:val="21"/>
          <w:lang w:eastAsia="zh-CN"/>
        </w:rPr>
        <w:t>邮政编码：</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 xml:space="preserve"> </w:t>
      </w:r>
    </w:p>
    <w:p w14:paraId="6CBD885D">
      <w:pPr>
        <w:widowControl w:val="0"/>
        <w:spacing w:line="560" w:lineRule="exact"/>
        <w:ind w:left="617" w:leftChars="257"/>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开户银行名称：</w:t>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lang w:eastAsia="zh-CN"/>
        </w:rPr>
        <w:tab/>
      </w:r>
      <w:r>
        <w:rPr>
          <w:rFonts w:ascii="仿宋" w:eastAsia="仿宋" w:hAnsi="仿宋" w:cs="仿宋" w:hint="eastAsia"/>
          <w:kern w:val="2"/>
          <w:sz w:val="21"/>
          <w:szCs w:val="21"/>
          <w:lang w:eastAsia="zh-CN"/>
        </w:rPr>
        <w:t>开户银行账号：</w:t>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p>
    <w:p w14:paraId="6625421D">
      <w:pPr>
        <w:widowControl w:val="0"/>
        <w:spacing w:line="560" w:lineRule="exact"/>
        <w:ind w:left="617" w:leftChars="257"/>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开户银行地址：</w:t>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lang w:eastAsia="zh-CN"/>
        </w:rPr>
        <w:tab/>
      </w:r>
      <w:r>
        <w:rPr>
          <w:rFonts w:ascii="仿宋" w:eastAsia="仿宋" w:hAnsi="仿宋" w:cs="仿宋" w:hint="eastAsia"/>
          <w:kern w:val="2"/>
          <w:sz w:val="21"/>
          <w:szCs w:val="21"/>
          <w:lang w:eastAsia="zh-CN"/>
        </w:rPr>
        <w:t>开户银行电话：</w:t>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r>
        <w:rPr>
          <w:rFonts w:ascii="仿宋" w:eastAsia="仿宋" w:hAnsi="仿宋" w:cs="仿宋" w:hint="eastAsia"/>
          <w:kern w:val="2"/>
          <w:sz w:val="21"/>
          <w:szCs w:val="21"/>
          <w:u w:val="single"/>
          <w:lang w:eastAsia="zh-CN"/>
        </w:rPr>
        <w:tab/>
      </w:r>
    </w:p>
    <w:p w14:paraId="02F9DC63">
      <w:pPr>
        <w:widowControl w:val="0"/>
        <w:spacing w:line="560" w:lineRule="exact"/>
        <w:ind w:firstLine="540" w:firstLineChars="257"/>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日期：</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年</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月</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 xml:space="preserve">日                  </w:t>
      </w:r>
    </w:p>
    <w:p w14:paraId="6F5548F2">
      <w:pPr>
        <w:widowControl w:val="0"/>
        <w:spacing w:line="360" w:lineRule="auto"/>
        <w:jc w:val="both"/>
        <w:rPr>
          <w:rFonts w:ascii="仿宋" w:eastAsia="仿宋" w:hAnsi="仿宋" w:cs="仿宋" w:hint="eastAsia"/>
          <w:b/>
          <w:kern w:val="2"/>
          <w:lang w:eastAsia="zh-CN"/>
        </w:rPr>
      </w:pPr>
    </w:p>
    <w:p w14:paraId="6078305B">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36254403">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eastAsia="zh-CN"/>
        </w:rPr>
        <w:t>二、龙华区教育局自行采购投标及履约承诺函</w:t>
      </w:r>
    </w:p>
    <w:p w14:paraId="06998A7B">
      <w:pPr>
        <w:shd w:val="clear" w:color="auto" w:fill="auto"/>
        <w:spacing w:line="480" w:lineRule="exact"/>
        <w:rPr>
          <w:rFonts w:ascii="仿宋" w:eastAsia="仿宋" w:hAnsi="仿宋" w:cs="仿宋" w:hint="eastAsia"/>
          <w:sz w:val="24"/>
          <w:szCs w:val="24"/>
          <w:lang w:eastAsia="zh-CN"/>
        </w:rPr>
      </w:pPr>
      <w:r>
        <w:rPr>
          <w:rFonts w:ascii="仿宋" w:eastAsia="仿宋" w:hAnsi="仿宋" w:cs="仿宋" w:hint="eastAsia"/>
          <w:sz w:val="24"/>
          <w:szCs w:val="24"/>
        </w:rPr>
        <w:t>致：</w:t>
      </w:r>
      <w:r>
        <w:rPr>
          <w:rFonts w:ascii="仿宋" w:eastAsia="仿宋" w:hAnsi="仿宋" w:cs="仿宋" w:hint="eastAsia"/>
          <w:color w:val="auto"/>
          <w:sz w:val="24"/>
          <w:szCs w:val="24"/>
          <w:highlight w:val="none"/>
          <w:u w:val="single"/>
        </w:rPr>
        <w:t>（采购人/招标代理机构）</w:t>
      </w:r>
    </w:p>
    <w:p w14:paraId="4E785228">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我单位承诺：</w:t>
      </w:r>
    </w:p>
    <w:p w14:paraId="0B7BCA0A">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1.我单位参与本项目所投标（响应）的货物、工程或服务，不存在侵犯知识产权的情况。</w:t>
      </w:r>
    </w:p>
    <w:p w14:paraId="05DBF716">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2.我单位参与本项目政府采购活动时不存在被有关部门禁止参与政府采购活动且在有效期内的情况。</w:t>
      </w:r>
    </w:p>
    <w:p w14:paraId="7DE4D921">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3.我单位具备《中华人民共和国政府采购法》第二十二条第一款规定的六项条件。</w:t>
      </w:r>
    </w:p>
    <w:p w14:paraId="3CA0969E">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 xml:space="preserve">4.我单位未被列入失信被执行人、重大税收违法案件当事人名单、政府采购严重违法失信行为记录名单。 </w:t>
      </w:r>
    </w:p>
    <w:p w14:paraId="051C18B2">
      <w:pPr>
        <w:pStyle w:val="NormalIndent"/>
        <w:shd w:val="clear" w:color="auto" w:fill="auto"/>
        <w:rPr>
          <w:rFonts w:ascii="仿宋" w:eastAsia="仿宋" w:hAnsi="仿宋" w:cs="仿宋" w:hint="eastAsia"/>
          <w:color w:val="FF0000"/>
          <w:sz w:val="24"/>
          <w:szCs w:val="24"/>
        </w:rPr>
      </w:pPr>
      <w:r>
        <w:rPr>
          <w:rFonts w:ascii="仿宋" w:eastAsia="仿宋" w:hAnsi="仿宋" w:cs="仿宋" w:hint="eastAsia"/>
          <w:color w:val="FF0000"/>
          <w:sz w:val="24"/>
          <w:szCs w:val="24"/>
        </w:rPr>
        <w:t>5.我单位不存在《深圳市财政局政府采购供应商信用信息管理办法》（深财规〔2023〕3号）列明的严重违法失信行为。</w:t>
      </w:r>
    </w:p>
    <w:p w14:paraId="0D400D59">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3B11FD4">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FBC9B0E">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7EF171A">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B8CF059">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9.我单位承诺中标后项目不转包，未经采购人同意不进行分包。</w:t>
      </w:r>
    </w:p>
    <w:p w14:paraId="6FD2097B">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F002543">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14:paraId="322B52E7">
      <w:pPr>
        <w:pStyle w:val="NormalIndent"/>
        <w:shd w:val="clear" w:color="auto" w:fill="auto"/>
        <w:rPr>
          <w:rFonts w:ascii="仿宋" w:eastAsia="仿宋" w:hAnsi="仿宋" w:cs="仿宋" w:hint="eastAsia"/>
          <w:color w:val="000000"/>
          <w:sz w:val="24"/>
          <w:szCs w:val="24"/>
        </w:rPr>
      </w:pPr>
      <w:r>
        <w:rPr>
          <w:rFonts w:ascii="仿宋" w:eastAsia="仿宋" w:hAnsi="仿宋" w:cs="仿宋" w:hint="eastAsia"/>
          <w:color w:val="000000"/>
          <w:sz w:val="24"/>
          <w:szCs w:val="24"/>
        </w:rPr>
        <w:t>12.我单位已知悉并同意中标（成交）结果信息公示（公开）的内容。</w:t>
      </w:r>
    </w:p>
    <w:p w14:paraId="7663EF0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ascii="仿宋" w:eastAsia="仿宋" w:hAnsi="仿宋" w:cs="仿宋" w:hint="eastAsia"/>
          <w:color w:val="000000"/>
          <w:kern w:val="2"/>
          <w:sz w:val="24"/>
          <w:szCs w:val="24"/>
          <w:lang w:val="en-US" w:eastAsia="zh-CN" w:bidi="ar-SA"/>
        </w:rPr>
      </w:pPr>
      <w:r>
        <w:rPr>
          <w:rFonts w:ascii="仿宋" w:eastAsia="仿宋" w:hAnsi="仿宋" w:cs="仿宋" w:hint="eastAsia"/>
          <w:color w:val="000000"/>
          <w:kern w:val="2"/>
          <w:sz w:val="24"/>
          <w:szCs w:val="24"/>
          <w:lang w:val="en-US" w:eastAsia="zh-CN" w:bidi="ar-SA"/>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w:t>
      </w:r>
      <w:r>
        <w:rPr>
          <w:rFonts w:ascii="仿宋" w:eastAsia="仿宋" w:hAnsi="仿宋" w:cs="仿宋" w:hint="eastAsia"/>
          <w:color w:val="FF0000"/>
          <w:kern w:val="2"/>
          <w:sz w:val="24"/>
          <w:szCs w:val="24"/>
          <w:lang w:val="en-US" w:eastAsia="zh-CN" w:bidi="ar-SA"/>
        </w:rPr>
        <w:t>若存在“不同供应商的董事、股东或其他高级管理人员为同一人的”情形的，我单位保证不存在串通投标、恶意串通或者视为串通投标的情形。</w:t>
      </w:r>
    </w:p>
    <w:p w14:paraId="7501BBDB">
      <w:pPr>
        <w:pStyle w:val="NormalIndent"/>
        <w:shd w:val="clear" w:color="auto" w:fill="auto"/>
        <w:rPr>
          <w:rFonts w:ascii="仿宋" w:eastAsia="仿宋" w:hAnsi="仿宋" w:cs="仿宋" w:hint="eastAsia"/>
          <w:b/>
          <w:bCs/>
          <w:color w:val="000000"/>
          <w:sz w:val="24"/>
          <w:szCs w:val="24"/>
        </w:rPr>
      </w:pPr>
      <w:r>
        <w:rPr>
          <w:rFonts w:ascii="仿宋" w:eastAsia="仿宋" w:hAnsi="仿宋" w:cs="仿宋" w:hint="eastAsia"/>
          <w:b/>
          <w:bCs/>
          <w:color w:val="000000"/>
          <w:sz w:val="24"/>
          <w:szCs w:val="24"/>
        </w:rPr>
        <w:t>14.我单位清楚，如存在违反投标承诺行为情节严重的，将根据《深圳市财政局关于印发&lt;深圳市财政局政府采购供应商信用信息管理办法&gt;的通知》，依法被列入失信信息。</w:t>
      </w:r>
    </w:p>
    <w:p w14:paraId="1EEBF26D">
      <w:pPr>
        <w:pStyle w:val="NormalIndent"/>
        <w:shd w:val="clear" w:color="auto" w:fill="auto"/>
        <w:rPr>
          <w:rFonts w:ascii="仿宋" w:eastAsia="仿宋" w:hAnsi="仿宋" w:cs="仿宋" w:hint="eastAsia"/>
          <w:color w:val="000000"/>
          <w:sz w:val="24"/>
          <w:szCs w:val="24"/>
        </w:rPr>
      </w:pPr>
    </w:p>
    <w:p w14:paraId="62A9C582">
      <w:pPr>
        <w:shd w:val="clear" w:color="auto" w:fill="auto"/>
        <w:ind w:firstLine="480" w:firstLineChars="200"/>
        <w:rPr>
          <w:rFonts w:ascii="仿宋" w:eastAsia="仿宋" w:hAnsi="仿宋" w:cs="仿宋" w:hint="eastAsia"/>
          <w:sz w:val="24"/>
          <w:szCs w:val="24"/>
        </w:rPr>
      </w:pPr>
    </w:p>
    <w:p w14:paraId="20768524">
      <w:pPr>
        <w:shd w:val="clear" w:color="auto" w:fill="auto"/>
        <w:ind w:firstLine="480" w:firstLineChars="200"/>
        <w:rPr>
          <w:rFonts w:ascii="仿宋" w:eastAsia="仿宋" w:hAnsi="仿宋" w:cs="仿宋" w:hint="eastAsia"/>
          <w:sz w:val="24"/>
          <w:szCs w:val="24"/>
        </w:rPr>
      </w:pPr>
      <w:r>
        <w:rPr>
          <w:rFonts w:ascii="仿宋" w:eastAsia="仿宋" w:hAnsi="仿宋" w:cs="仿宋" w:hint="eastAsia"/>
          <w:color w:val="000000"/>
          <w:sz w:val="24"/>
          <w:szCs w:val="24"/>
        </w:rPr>
        <w:t>以上承诺，如有违反，愿依照国家相关法律法规处理，并承担由此给采购人带来的损失。</w:t>
      </w:r>
    </w:p>
    <w:p w14:paraId="20D3AC72">
      <w:pPr>
        <w:widowControl w:val="0"/>
        <w:spacing w:line="560" w:lineRule="exact"/>
        <w:jc w:val="both"/>
        <w:rPr>
          <w:rFonts w:ascii="仿宋" w:eastAsia="仿宋" w:hAnsi="仿宋" w:cs="仿宋" w:hint="eastAsia"/>
          <w:kern w:val="2"/>
          <w:sz w:val="18"/>
          <w:szCs w:val="18"/>
          <w:lang w:eastAsia="zh-CN"/>
        </w:rPr>
      </w:pPr>
    </w:p>
    <w:p w14:paraId="1557FB69">
      <w:pPr>
        <w:widowControl w:val="0"/>
        <w:spacing w:line="560" w:lineRule="exact"/>
        <w:ind w:firstLine="645"/>
        <w:jc w:val="center"/>
        <w:rPr>
          <w:rFonts w:ascii="仿宋" w:eastAsia="仿宋" w:hAnsi="仿宋" w:cs="仿宋" w:hint="eastAsia"/>
          <w:kern w:val="2"/>
          <w:sz w:val="21"/>
          <w:szCs w:val="21"/>
          <w:u w:val="single"/>
          <w:lang w:eastAsia="zh-CN"/>
        </w:rPr>
      </w:pPr>
      <w:r>
        <w:rPr>
          <w:rFonts w:ascii="仿宋" w:eastAsia="仿宋" w:hAnsi="仿宋" w:cs="仿宋" w:hint="eastAsia"/>
          <w:kern w:val="2"/>
          <w:sz w:val="21"/>
          <w:szCs w:val="21"/>
          <w:lang w:eastAsia="zh-CN"/>
        </w:rPr>
        <w:t xml:space="preserve">                            投标人：</w:t>
      </w:r>
      <w:r>
        <w:rPr>
          <w:rFonts w:ascii="仿宋" w:eastAsia="仿宋" w:hAnsi="仿宋" w:cs="仿宋" w:hint="eastAsia"/>
          <w:kern w:val="2"/>
          <w:sz w:val="21"/>
          <w:szCs w:val="21"/>
          <w:u w:val="single"/>
          <w:lang w:eastAsia="zh-CN"/>
        </w:rPr>
        <w:t xml:space="preserve">                          </w:t>
      </w:r>
    </w:p>
    <w:p w14:paraId="3D7EF0CB">
      <w:pPr>
        <w:widowControl w:val="0"/>
        <w:wordWrap w:val="0"/>
        <w:spacing w:line="560" w:lineRule="exact"/>
        <w:ind w:firstLine="645"/>
        <w:jc w:val="right"/>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日期：</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年</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月</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日</w:t>
      </w:r>
    </w:p>
    <w:p w14:paraId="24FC4079">
      <w:pPr>
        <w:widowControl w:val="0"/>
        <w:spacing w:line="240" w:lineRule="auto"/>
        <w:jc w:val="both"/>
        <w:rPr>
          <w:rFonts w:ascii="仿宋" w:eastAsia="仿宋" w:hAnsi="仿宋" w:cs="仿宋" w:hint="eastAsia"/>
          <w:b/>
          <w:bCs/>
          <w:color w:val="FF0000"/>
          <w:kern w:val="2"/>
          <w:sz w:val="21"/>
          <w:szCs w:val="21"/>
          <w:lang w:eastAsia="zh-CN"/>
        </w:rPr>
      </w:pPr>
    </w:p>
    <w:p w14:paraId="161B1E6D">
      <w:pPr>
        <w:widowControl w:val="0"/>
        <w:spacing w:line="240" w:lineRule="auto"/>
        <w:jc w:val="both"/>
        <w:rPr>
          <w:rFonts w:ascii="仿宋" w:eastAsia="仿宋" w:hAnsi="仿宋" w:cs="仿宋" w:hint="eastAsia"/>
          <w:b/>
          <w:bCs/>
          <w:color w:val="FF0000"/>
          <w:kern w:val="2"/>
          <w:sz w:val="21"/>
          <w:szCs w:val="21"/>
          <w:lang w:eastAsia="zh-CN"/>
        </w:rPr>
      </w:pPr>
      <w:r>
        <w:rPr>
          <w:rFonts w:ascii="仿宋" w:eastAsia="仿宋" w:hAnsi="仿宋" w:cs="仿宋"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r>
        <w:rPr>
          <w:rFonts w:ascii="仿宋" w:eastAsia="仿宋" w:hAnsi="仿宋" w:cs="仿宋" w:hint="eastAsia"/>
          <w:b/>
          <w:bCs/>
          <w:color w:val="FF0000"/>
          <w:kern w:val="2"/>
          <w:sz w:val="21"/>
          <w:szCs w:val="21"/>
          <w:lang w:eastAsia="zh-CN"/>
        </w:rPr>
        <w:br w:type="page"/>
      </w:r>
    </w:p>
    <w:p w14:paraId="44BA3A57">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eastAsia="zh-CN"/>
        </w:rPr>
        <w:t>三、投标人情况及资格证明文件</w:t>
      </w:r>
    </w:p>
    <w:p w14:paraId="68428E70">
      <w:pPr>
        <w:widowControl w:val="0"/>
        <w:bidi w:val="0"/>
        <w:spacing w:line="360" w:lineRule="auto"/>
        <w:jc w:val="both"/>
        <w:rPr>
          <w:rFonts w:ascii="仿宋" w:eastAsia="仿宋" w:hAnsi="仿宋" w:cs="仿宋" w:hint="eastAsia"/>
          <w:b/>
          <w:bCs/>
          <w:kern w:val="2"/>
          <w:sz w:val="21"/>
          <w:lang w:eastAsia="zh-CN"/>
        </w:rPr>
      </w:pPr>
      <w:r>
        <w:rPr>
          <w:rFonts w:ascii="仿宋" w:eastAsia="仿宋" w:hAnsi="仿宋" w:cs="仿宋" w:hint="eastAsia"/>
          <w:b/>
          <w:bCs/>
          <w:kern w:val="2"/>
          <w:sz w:val="21"/>
          <w:lang w:eastAsia="zh-CN"/>
        </w:rPr>
        <w:t>（一）投标人资格证明文件</w:t>
      </w:r>
    </w:p>
    <w:p w14:paraId="1160BBA5">
      <w:pPr>
        <w:widowControl w:val="0"/>
        <w:spacing w:line="360" w:lineRule="auto"/>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（特别提示：投标人须按本招标文件第一册第一章招标公告 “资格要求”提供相关的资格证明资料，未提供或提供不完整、不符合要求的，将作投标无效处理。</w:t>
      </w:r>
    </w:p>
    <w:p w14:paraId="56505FA6">
      <w:pPr>
        <w:pStyle w:val="Heading4"/>
        <w:bidi w:val="0"/>
        <w:rPr>
          <w:rFonts w:hint="eastAsia"/>
          <w:lang w:val="en-US" w:eastAsia="zh-CN"/>
        </w:rPr>
      </w:pPr>
      <w:r>
        <w:rPr>
          <w:rFonts w:hint="eastAsia"/>
          <w:lang w:val="en-US" w:eastAsia="zh-CN"/>
        </w:rPr>
        <w:t>供应商基本情况表</w:t>
      </w:r>
    </w:p>
    <w:p w14:paraId="65C23427">
      <w:pPr>
        <w:shd w:val="clear" w:color="auto" w:fill="auto"/>
        <w:spacing w:before="216" w:after="0" w:line="0" w:lineRule="atLeast"/>
        <w:ind w:left="600" w:right="0" w:firstLine="0"/>
        <w:jc w:val="left"/>
        <w:rPr>
          <w:rFonts w:ascii="仿宋" w:eastAsia="仿宋" w:hAnsi="仿宋" w:cs="仿宋" w:hint="eastAsia"/>
          <w:lang w:val="en-US" w:eastAsia="zh-CN"/>
        </w:rPr>
      </w:pPr>
      <w:r>
        <w:rPr>
          <w:rFonts w:ascii="仿宋" w:eastAsia="仿宋" w:hAnsi="仿宋" w:cs="仿宋" w:hint="eastAsia"/>
          <w:sz w:val="23"/>
        </w:rPr>
        <w:t>填表单位：（加盖单位公章）              填表日期：       年    月    日</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937"/>
        <w:gridCol w:w="1227"/>
        <w:gridCol w:w="1161"/>
        <w:gridCol w:w="1341"/>
        <w:gridCol w:w="78"/>
        <w:gridCol w:w="1909"/>
        <w:gridCol w:w="1545"/>
        <w:gridCol w:w="1688"/>
      </w:tblGrid>
      <w:tr w14:paraId="514F2240">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rPr>
          <w:trHeight w:val="530"/>
        </w:trPr>
        <w:tc>
          <w:tcPr>
            <w:tcW w:w="1969" w:type="dxa"/>
            <w:gridSpan w:val="2"/>
            <w:noWrap w:val="0"/>
            <w:vAlign w:val="center"/>
          </w:tcPr>
          <w:p w14:paraId="7C0EC7A5">
            <w:pPr>
              <w:shd w:val="clear" w:color="auto" w:fill="auto"/>
              <w:spacing w:before="0" w:after="0" w:line="0" w:lineRule="atLeast"/>
              <w:ind w:left="106" w:right="0" w:firstLine="0"/>
              <w:jc w:val="left"/>
              <w:rPr>
                <w:rFonts w:ascii="仿宋" w:eastAsia="仿宋" w:hAnsi="仿宋" w:cs="仿宋" w:hint="eastAsia"/>
              </w:rPr>
            </w:pPr>
            <w:r>
              <w:rPr>
                <w:rFonts w:ascii="仿宋" w:eastAsia="仿宋" w:hAnsi="仿宋" w:cs="仿宋" w:hint="eastAsia"/>
                <w:sz w:val="18"/>
              </w:rPr>
              <w:t>采购人</w:t>
            </w:r>
          </w:p>
        </w:tc>
        <w:tc>
          <w:tcPr>
            <w:tcW w:w="2278" w:type="dxa"/>
            <w:gridSpan w:val="2"/>
            <w:noWrap w:val="0"/>
            <w:vAlign w:val="center"/>
          </w:tcPr>
          <w:p w14:paraId="38D91CCE">
            <w:pPr>
              <w:shd w:val="clear" w:color="auto" w:fill="auto"/>
              <w:spacing w:after="0" w:line="240" w:lineRule="auto"/>
              <w:rPr>
                <w:rFonts w:ascii="仿宋" w:eastAsia="仿宋" w:hAnsi="仿宋" w:cs="仿宋" w:hint="eastAsia"/>
              </w:rPr>
            </w:pPr>
          </w:p>
        </w:tc>
        <w:tc>
          <w:tcPr>
            <w:tcW w:w="1809" w:type="dxa"/>
            <w:gridSpan w:val="2"/>
            <w:noWrap w:val="0"/>
            <w:vAlign w:val="center"/>
          </w:tcPr>
          <w:p w14:paraId="64685FAD">
            <w:pPr>
              <w:shd w:val="clear" w:color="auto" w:fill="auto"/>
              <w:spacing w:before="0" w:after="0" w:line="0" w:lineRule="atLeast"/>
              <w:ind w:left="120" w:right="0" w:firstLine="0"/>
              <w:jc w:val="left"/>
              <w:rPr>
                <w:rFonts w:ascii="仿宋" w:eastAsia="仿宋" w:hAnsi="仿宋" w:cs="仿宋" w:hint="eastAsia"/>
              </w:rPr>
            </w:pPr>
            <w:r>
              <w:rPr>
                <w:rFonts w:ascii="仿宋" w:eastAsia="仿宋" w:hAnsi="仿宋" w:cs="仿宋" w:hint="eastAsia"/>
                <w:sz w:val="18"/>
              </w:rPr>
              <w:t>项目名称</w:t>
            </w:r>
          </w:p>
        </w:tc>
        <w:tc>
          <w:tcPr>
            <w:tcW w:w="2943" w:type="dxa"/>
            <w:gridSpan w:val="2"/>
            <w:noWrap w:val="0"/>
            <w:vAlign w:val="center"/>
          </w:tcPr>
          <w:p w14:paraId="0C8101CF">
            <w:pPr>
              <w:shd w:val="clear" w:color="auto" w:fill="auto"/>
              <w:spacing w:after="0" w:line="240" w:lineRule="auto"/>
              <w:rPr>
                <w:rFonts w:ascii="仿宋" w:eastAsia="仿宋" w:hAnsi="仿宋" w:cs="仿宋" w:hint="eastAsia"/>
              </w:rPr>
            </w:pPr>
          </w:p>
        </w:tc>
      </w:tr>
      <w:tr w14:paraId="480177F4">
        <w:tblPrEx>
          <w:tblW w:w="5000" w:type="pct"/>
          <w:tblInd w:w="0" w:type="dxa"/>
          <w:tblLayout w:type="fixed"/>
          <w:tblCellMar>
            <w:top w:w="0" w:type="dxa"/>
            <w:left w:w="10" w:type="dxa"/>
            <w:bottom w:w="0" w:type="dxa"/>
            <w:right w:w="10" w:type="dxa"/>
          </w:tblCellMar>
        </w:tblPrEx>
        <w:trPr>
          <w:trHeight w:val="620"/>
        </w:trPr>
        <w:tc>
          <w:tcPr>
            <w:tcW w:w="1969" w:type="dxa"/>
            <w:gridSpan w:val="2"/>
            <w:noWrap w:val="0"/>
            <w:vAlign w:val="center"/>
          </w:tcPr>
          <w:p w14:paraId="08E3ADA9">
            <w:pPr>
              <w:shd w:val="clear" w:color="auto" w:fill="auto"/>
              <w:spacing w:before="0" w:after="52" w:line="0" w:lineRule="atLeast"/>
              <w:ind w:left="90" w:right="0" w:firstLine="0"/>
              <w:jc w:val="left"/>
              <w:rPr>
                <w:rFonts w:ascii="仿宋" w:eastAsia="仿宋" w:hAnsi="仿宋" w:cs="仿宋" w:hint="eastAsia"/>
              </w:rPr>
            </w:pPr>
            <w:r>
              <w:rPr>
                <w:rFonts w:ascii="仿宋" w:eastAsia="仿宋" w:hAnsi="仿宋" w:cs="仿宋" w:hint="eastAsia"/>
                <w:sz w:val="18"/>
              </w:rPr>
              <w:t>投标（响应）供</w:t>
            </w:r>
          </w:p>
          <w:p w14:paraId="5814E7FB">
            <w:pPr>
              <w:shd w:val="clear" w:color="auto" w:fill="auto"/>
              <w:spacing w:before="0" w:after="0" w:line="0" w:lineRule="atLeast"/>
              <w:ind w:left="90" w:right="0" w:firstLine="0"/>
              <w:jc w:val="left"/>
              <w:rPr>
                <w:rFonts w:ascii="仿宋" w:eastAsia="仿宋" w:hAnsi="仿宋" w:cs="仿宋" w:hint="eastAsia"/>
              </w:rPr>
            </w:pPr>
            <w:r>
              <w:rPr>
                <w:rFonts w:ascii="仿宋" w:eastAsia="仿宋" w:hAnsi="仿宋" w:cs="仿宋" w:hint="eastAsia"/>
                <w:sz w:val="18"/>
              </w:rPr>
              <w:t>应商</w:t>
            </w:r>
          </w:p>
        </w:tc>
        <w:tc>
          <w:tcPr>
            <w:tcW w:w="2278" w:type="dxa"/>
            <w:gridSpan w:val="2"/>
            <w:noWrap w:val="0"/>
            <w:vAlign w:val="center"/>
          </w:tcPr>
          <w:p w14:paraId="6459ED81">
            <w:pPr>
              <w:shd w:val="clear" w:color="auto" w:fill="auto"/>
              <w:spacing w:after="0" w:line="240" w:lineRule="auto"/>
              <w:rPr>
                <w:rFonts w:ascii="仿宋" w:eastAsia="仿宋" w:hAnsi="仿宋" w:cs="仿宋" w:hint="eastAsia"/>
              </w:rPr>
            </w:pPr>
          </w:p>
        </w:tc>
        <w:tc>
          <w:tcPr>
            <w:tcW w:w="1809" w:type="dxa"/>
            <w:gridSpan w:val="2"/>
            <w:noWrap w:val="0"/>
            <w:vAlign w:val="center"/>
          </w:tcPr>
          <w:p w14:paraId="63A64FBA">
            <w:pPr>
              <w:shd w:val="clear" w:color="auto" w:fill="auto"/>
              <w:spacing w:before="0" w:after="54" w:line="0" w:lineRule="atLeast"/>
              <w:ind w:left="126" w:right="0" w:firstLine="0"/>
              <w:jc w:val="left"/>
              <w:rPr>
                <w:rFonts w:ascii="仿宋" w:eastAsia="仿宋" w:hAnsi="仿宋" w:cs="仿宋" w:hint="eastAsia"/>
              </w:rPr>
            </w:pPr>
            <w:r>
              <w:rPr>
                <w:rFonts w:ascii="仿宋" w:eastAsia="仿宋" w:hAnsi="仿宋" w:cs="仿宋" w:hint="eastAsia"/>
                <w:sz w:val="18"/>
              </w:rPr>
              <w:t>供应商统一社会</w:t>
            </w:r>
          </w:p>
          <w:p w14:paraId="1C4448AC">
            <w:pPr>
              <w:shd w:val="clear" w:color="auto" w:fill="auto"/>
              <w:spacing w:before="0" w:after="0" w:line="0" w:lineRule="atLeast"/>
              <w:ind w:left="126" w:right="0" w:firstLine="0"/>
              <w:jc w:val="left"/>
              <w:rPr>
                <w:rFonts w:ascii="仿宋" w:eastAsia="仿宋" w:hAnsi="仿宋" w:cs="仿宋" w:hint="eastAsia"/>
              </w:rPr>
            </w:pPr>
            <w:r>
              <w:rPr>
                <w:rFonts w:ascii="仿宋" w:eastAsia="仿宋" w:hAnsi="仿宋" w:cs="仿宋" w:hint="eastAsia"/>
                <w:sz w:val="18"/>
              </w:rPr>
              <w:t>信用代码</w:t>
            </w:r>
          </w:p>
        </w:tc>
        <w:tc>
          <w:tcPr>
            <w:tcW w:w="2943" w:type="dxa"/>
            <w:gridSpan w:val="2"/>
            <w:noWrap w:val="0"/>
            <w:vAlign w:val="center"/>
          </w:tcPr>
          <w:p w14:paraId="42CB22A6">
            <w:pPr>
              <w:shd w:val="clear" w:color="auto" w:fill="auto"/>
              <w:spacing w:after="0" w:line="240" w:lineRule="auto"/>
              <w:rPr>
                <w:rFonts w:ascii="仿宋" w:eastAsia="仿宋" w:hAnsi="仿宋" w:cs="仿宋" w:hint="eastAsia"/>
              </w:rPr>
            </w:pPr>
          </w:p>
        </w:tc>
      </w:tr>
      <w:tr w14:paraId="4AB41F39">
        <w:tblPrEx>
          <w:tblW w:w="5000" w:type="pct"/>
          <w:tblInd w:w="0" w:type="dxa"/>
          <w:tblLayout w:type="fixed"/>
          <w:tblCellMar>
            <w:top w:w="0" w:type="dxa"/>
            <w:left w:w="10" w:type="dxa"/>
            <w:bottom w:w="0" w:type="dxa"/>
            <w:right w:w="10" w:type="dxa"/>
          </w:tblCellMar>
        </w:tblPrEx>
        <w:trPr>
          <w:trHeight w:val="530"/>
        </w:trPr>
        <w:tc>
          <w:tcPr>
            <w:tcW w:w="8999" w:type="dxa"/>
            <w:gridSpan w:val="8"/>
            <w:noWrap w:val="0"/>
            <w:vAlign w:val="center"/>
          </w:tcPr>
          <w:p w14:paraId="7218AD7B">
            <w:pPr>
              <w:shd w:val="clear" w:color="auto" w:fill="auto"/>
              <w:spacing w:before="0" w:after="0" w:line="0" w:lineRule="atLeast"/>
              <w:ind w:left="102" w:right="0" w:firstLine="0"/>
              <w:jc w:val="left"/>
              <w:rPr>
                <w:rFonts w:ascii="仿宋" w:eastAsia="仿宋" w:hAnsi="仿宋" w:cs="仿宋" w:hint="eastAsia"/>
              </w:rPr>
            </w:pPr>
            <w:r>
              <w:rPr>
                <w:rFonts w:ascii="仿宋" w:eastAsia="仿宋" w:hAnsi="仿宋" w:cs="仿宋" w:hint="eastAsia"/>
                <w:sz w:val="18"/>
              </w:rPr>
              <w:t>投标（响应）供应商相关人员情况</w:t>
            </w:r>
          </w:p>
        </w:tc>
      </w:tr>
      <w:tr w14:paraId="13257FBB">
        <w:tblPrEx>
          <w:tblW w:w="5000" w:type="pct"/>
          <w:tblInd w:w="0" w:type="dxa"/>
          <w:tblLayout w:type="fixed"/>
          <w:tblCellMar>
            <w:top w:w="0" w:type="dxa"/>
            <w:left w:w="10" w:type="dxa"/>
            <w:bottom w:w="0" w:type="dxa"/>
            <w:right w:w="10" w:type="dxa"/>
          </w:tblCellMar>
        </w:tblPrEx>
        <w:trPr>
          <w:trHeight w:val="620"/>
        </w:trPr>
        <w:tc>
          <w:tcPr>
            <w:tcW w:w="852" w:type="dxa"/>
            <w:noWrap w:val="0"/>
            <w:vAlign w:val="center"/>
          </w:tcPr>
          <w:p w14:paraId="4A7F677C">
            <w:pPr>
              <w:shd w:val="clear" w:color="auto" w:fill="auto"/>
              <w:spacing w:before="0" w:after="0" w:line="0" w:lineRule="atLeast"/>
              <w:ind w:left="112" w:right="0" w:firstLine="0"/>
              <w:jc w:val="left"/>
              <w:rPr>
                <w:rFonts w:ascii="仿宋" w:eastAsia="仿宋" w:hAnsi="仿宋" w:cs="仿宋" w:hint="eastAsia"/>
              </w:rPr>
            </w:pPr>
            <w:r>
              <w:rPr>
                <w:rFonts w:ascii="仿宋" w:eastAsia="仿宋" w:hAnsi="仿宋" w:cs="仿宋" w:hint="eastAsia"/>
                <w:sz w:val="18"/>
              </w:rPr>
              <w:t>序号</w:t>
            </w:r>
          </w:p>
        </w:tc>
        <w:tc>
          <w:tcPr>
            <w:tcW w:w="2174" w:type="dxa"/>
            <w:gridSpan w:val="2"/>
            <w:noWrap w:val="0"/>
            <w:vAlign w:val="center"/>
          </w:tcPr>
          <w:p w14:paraId="3F38D620">
            <w:pPr>
              <w:shd w:val="clear" w:color="auto" w:fill="auto"/>
              <w:spacing w:before="0" w:after="0" w:line="0" w:lineRule="atLeast"/>
              <w:ind w:left="118" w:right="0" w:firstLine="0"/>
              <w:jc w:val="left"/>
              <w:rPr>
                <w:rFonts w:ascii="仿宋" w:eastAsia="仿宋" w:hAnsi="仿宋" w:cs="仿宋" w:hint="eastAsia"/>
              </w:rPr>
            </w:pPr>
            <w:r>
              <w:rPr>
                <w:rFonts w:ascii="仿宋" w:eastAsia="仿宋" w:hAnsi="仿宋" w:cs="仿宋" w:hint="eastAsia"/>
                <w:sz w:val="18"/>
              </w:rPr>
              <w:t>职务</w:t>
            </w:r>
          </w:p>
        </w:tc>
        <w:tc>
          <w:tcPr>
            <w:tcW w:w="1221" w:type="dxa"/>
            <w:noWrap w:val="0"/>
            <w:vAlign w:val="center"/>
          </w:tcPr>
          <w:p w14:paraId="24BEF14D">
            <w:pPr>
              <w:shd w:val="clear" w:color="auto" w:fill="auto"/>
              <w:spacing w:before="0" w:after="0" w:line="0" w:lineRule="atLeast"/>
              <w:ind w:left="120" w:right="0" w:firstLine="0"/>
              <w:jc w:val="left"/>
              <w:rPr>
                <w:rFonts w:ascii="仿宋" w:eastAsia="仿宋" w:hAnsi="仿宋" w:cs="仿宋" w:hint="eastAsia"/>
              </w:rPr>
            </w:pPr>
            <w:r>
              <w:rPr>
                <w:rFonts w:ascii="仿宋" w:eastAsia="仿宋" w:hAnsi="仿宋" w:cs="仿宋" w:hint="eastAsia"/>
                <w:sz w:val="18"/>
              </w:rPr>
              <w:t>姓名</w:t>
            </w:r>
          </w:p>
        </w:tc>
        <w:tc>
          <w:tcPr>
            <w:tcW w:w="1809" w:type="dxa"/>
            <w:gridSpan w:val="2"/>
            <w:noWrap w:val="0"/>
            <w:vAlign w:val="center"/>
          </w:tcPr>
          <w:p w14:paraId="04731279">
            <w:pPr>
              <w:shd w:val="clear" w:color="auto" w:fill="auto"/>
              <w:spacing w:before="0" w:after="0" w:line="0" w:lineRule="atLeast"/>
              <w:ind w:left="136" w:right="0" w:firstLine="0"/>
              <w:jc w:val="left"/>
              <w:rPr>
                <w:rFonts w:ascii="仿宋" w:eastAsia="仿宋" w:hAnsi="仿宋" w:cs="仿宋" w:hint="eastAsia"/>
              </w:rPr>
            </w:pPr>
            <w:r>
              <w:rPr>
                <w:rFonts w:ascii="仿宋" w:eastAsia="仿宋" w:hAnsi="仿宋" w:cs="仿宋" w:hint="eastAsia"/>
                <w:sz w:val="18"/>
              </w:rPr>
              <w:t>身份证号码</w:t>
            </w:r>
          </w:p>
        </w:tc>
        <w:tc>
          <w:tcPr>
            <w:tcW w:w="1406" w:type="dxa"/>
            <w:noWrap w:val="0"/>
            <w:vAlign w:val="center"/>
          </w:tcPr>
          <w:p w14:paraId="4D11AFFE">
            <w:pPr>
              <w:shd w:val="clear" w:color="auto" w:fill="auto"/>
              <w:spacing w:before="0" w:after="54" w:line="0" w:lineRule="atLeast"/>
              <w:ind w:left="372" w:right="0" w:firstLine="0"/>
              <w:jc w:val="left"/>
              <w:rPr>
                <w:rFonts w:ascii="仿宋" w:eastAsia="仿宋" w:hAnsi="仿宋" w:cs="仿宋" w:hint="eastAsia"/>
              </w:rPr>
            </w:pPr>
            <w:r>
              <w:rPr>
                <w:rFonts w:ascii="仿宋" w:eastAsia="仿宋" w:hAnsi="仿宋" w:cs="仿宋" w:hint="eastAsia"/>
                <w:sz w:val="18"/>
              </w:rPr>
              <w:t>劳动合同</w:t>
            </w:r>
          </w:p>
          <w:p w14:paraId="6A070A71">
            <w:pPr>
              <w:shd w:val="clear" w:color="auto" w:fill="auto"/>
              <w:spacing w:before="0" w:after="0" w:line="0" w:lineRule="atLeast"/>
              <w:ind w:left="372" w:right="0" w:firstLine="0"/>
              <w:jc w:val="left"/>
              <w:rPr>
                <w:rFonts w:ascii="仿宋" w:eastAsia="仿宋" w:hAnsi="仿宋" w:cs="仿宋" w:hint="eastAsia"/>
              </w:rPr>
            </w:pPr>
            <w:r>
              <w:rPr>
                <w:rFonts w:ascii="仿宋" w:eastAsia="仿宋" w:hAnsi="仿宋" w:cs="仿宋" w:hint="eastAsia"/>
                <w:sz w:val="18"/>
              </w:rPr>
              <w:t>关系单位</w:t>
            </w:r>
          </w:p>
        </w:tc>
        <w:tc>
          <w:tcPr>
            <w:tcW w:w="1537" w:type="dxa"/>
            <w:noWrap w:val="0"/>
            <w:vAlign w:val="center"/>
          </w:tcPr>
          <w:p w14:paraId="64187CDD">
            <w:pPr>
              <w:shd w:val="clear" w:color="auto" w:fill="auto"/>
              <w:spacing w:before="0" w:after="58" w:line="0" w:lineRule="atLeast"/>
              <w:ind w:left="530" w:right="0" w:firstLine="0"/>
              <w:jc w:val="left"/>
              <w:rPr>
                <w:rFonts w:ascii="仿宋" w:eastAsia="仿宋" w:hAnsi="仿宋" w:cs="仿宋" w:hint="eastAsia"/>
              </w:rPr>
            </w:pPr>
            <w:r>
              <w:rPr>
                <w:rFonts w:ascii="仿宋" w:eastAsia="仿宋" w:hAnsi="仿宋" w:cs="仿宋" w:hint="eastAsia"/>
                <w:sz w:val="18"/>
              </w:rPr>
              <w:t>缴纳社会</w:t>
            </w:r>
          </w:p>
          <w:p w14:paraId="4556BBFF">
            <w:pPr>
              <w:shd w:val="clear" w:color="auto" w:fill="auto"/>
              <w:spacing w:before="0" w:after="0" w:line="0" w:lineRule="atLeast"/>
              <w:ind w:left="530" w:right="0" w:firstLine="0"/>
              <w:jc w:val="left"/>
              <w:rPr>
                <w:rFonts w:ascii="仿宋" w:eastAsia="仿宋" w:hAnsi="仿宋" w:cs="仿宋" w:hint="eastAsia"/>
              </w:rPr>
            </w:pPr>
            <w:r>
              <w:rPr>
                <w:rFonts w:ascii="仿宋" w:eastAsia="仿宋" w:hAnsi="仿宋" w:cs="仿宋" w:hint="eastAsia"/>
                <w:sz w:val="18"/>
              </w:rPr>
              <w:t>保险单位</w:t>
            </w:r>
          </w:p>
        </w:tc>
      </w:tr>
      <w:tr w14:paraId="111C3FD8">
        <w:tblPrEx>
          <w:tblW w:w="5000" w:type="pct"/>
          <w:tblInd w:w="0" w:type="dxa"/>
          <w:tblLayout w:type="fixed"/>
          <w:tblCellMar>
            <w:top w:w="0" w:type="dxa"/>
            <w:left w:w="10" w:type="dxa"/>
            <w:bottom w:w="0" w:type="dxa"/>
            <w:right w:w="10" w:type="dxa"/>
          </w:tblCellMar>
        </w:tblPrEx>
        <w:trPr>
          <w:trHeight w:val="1060"/>
        </w:trPr>
        <w:tc>
          <w:tcPr>
            <w:tcW w:w="852" w:type="dxa"/>
            <w:noWrap w:val="0"/>
            <w:vAlign w:val="center"/>
          </w:tcPr>
          <w:p w14:paraId="6D57C189">
            <w:pPr>
              <w:shd w:val="clear" w:color="auto" w:fill="auto"/>
              <w:spacing w:before="0" w:after="0" w:line="0" w:lineRule="atLeast"/>
              <w:ind w:left="118" w:right="0" w:firstLine="0"/>
              <w:jc w:val="left"/>
              <w:rPr>
                <w:rFonts w:ascii="仿宋" w:eastAsia="仿宋" w:hAnsi="仿宋" w:cs="仿宋" w:hint="eastAsia"/>
              </w:rPr>
            </w:pPr>
            <w:r>
              <w:rPr>
                <w:rFonts w:ascii="仿宋" w:eastAsia="仿宋" w:hAnsi="仿宋" w:cs="仿宋" w:hint="eastAsia"/>
                <w:sz w:val="13"/>
              </w:rPr>
              <w:t>1</w:t>
            </w:r>
          </w:p>
        </w:tc>
        <w:tc>
          <w:tcPr>
            <w:tcW w:w="2174" w:type="dxa"/>
            <w:gridSpan w:val="2"/>
            <w:noWrap w:val="0"/>
            <w:vAlign w:val="center"/>
          </w:tcPr>
          <w:p w14:paraId="4BF3DD2B">
            <w:pPr>
              <w:shd w:val="clear" w:color="auto" w:fill="auto"/>
              <w:spacing w:before="0" w:after="162" w:line="0" w:lineRule="atLeast"/>
              <w:ind w:left="136" w:right="0" w:firstLine="0"/>
              <w:jc w:val="left"/>
              <w:rPr>
                <w:rFonts w:ascii="仿宋" w:eastAsia="仿宋" w:hAnsi="仿宋" w:cs="仿宋" w:hint="eastAsia"/>
              </w:rPr>
            </w:pPr>
            <w:r>
              <w:rPr>
                <w:rFonts w:ascii="仿宋" w:eastAsia="仿宋" w:hAnsi="仿宋" w:cs="仿宋" w:hint="eastAsia"/>
                <w:sz w:val="18"/>
              </w:rPr>
              <w:t>法定代表人/单位负责</w:t>
            </w:r>
          </w:p>
          <w:p w14:paraId="346B1D96">
            <w:pPr>
              <w:shd w:val="clear" w:color="auto" w:fill="auto"/>
              <w:spacing w:before="0" w:after="0" w:line="0" w:lineRule="atLeast"/>
              <w:ind w:left="136" w:right="0" w:firstLine="0"/>
              <w:jc w:val="left"/>
              <w:rPr>
                <w:rFonts w:ascii="仿宋" w:eastAsia="仿宋" w:hAnsi="仿宋" w:cs="仿宋" w:hint="eastAsia"/>
              </w:rPr>
            </w:pPr>
            <w:r>
              <w:rPr>
                <w:rFonts w:ascii="仿宋" w:eastAsia="仿宋" w:hAnsi="仿宋" w:cs="仿宋" w:hint="eastAsia"/>
                <w:sz w:val="18"/>
              </w:rPr>
              <w:t>人/主要经营负责人</w:t>
            </w:r>
          </w:p>
        </w:tc>
        <w:tc>
          <w:tcPr>
            <w:tcW w:w="1221" w:type="dxa"/>
            <w:noWrap w:val="0"/>
            <w:vAlign w:val="center"/>
          </w:tcPr>
          <w:p w14:paraId="3C4ADFC3">
            <w:pPr>
              <w:shd w:val="clear" w:color="auto" w:fill="auto"/>
              <w:spacing w:after="0" w:line="240" w:lineRule="auto"/>
              <w:rPr>
                <w:rFonts w:ascii="仿宋" w:eastAsia="仿宋" w:hAnsi="仿宋" w:cs="仿宋" w:hint="eastAsia"/>
              </w:rPr>
            </w:pPr>
          </w:p>
        </w:tc>
        <w:tc>
          <w:tcPr>
            <w:tcW w:w="1809" w:type="dxa"/>
            <w:gridSpan w:val="2"/>
            <w:noWrap w:val="0"/>
            <w:vAlign w:val="center"/>
          </w:tcPr>
          <w:p w14:paraId="7A7E9990">
            <w:pPr>
              <w:shd w:val="clear" w:color="auto" w:fill="auto"/>
              <w:spacing w:after="0" w:line="240" w:lineRule="auto"/>
              <w:rPr>
                <w:rFonts w:ascii="仿宋" w:eastAsia="仿宋" w:hAnsi="仿宋" w:cs="仿宋" w:hint="eastAsia"/>
              </w:rPr>
            </w:pPr>
          </w:p>
        </w:tc>
        <w:tc>
          <w:tcPr>
            <w:tcW w:w="1406" w:type="dxa"/>
            <w:noWrap w:val="0"/>
            <w:vAlign w:val="center"/>
          </w:tcPr>
          <w:p w14:paraId="13737120">
            <w:pPr>
              <w:shd w:val="clear" w:color="auto" w:fill="auto"/>
              <w:spacing w:after="0" w:line="240" w:lineRule="auto"/>
              <w:rPr>
                <w:rFonts w:ascii="仿宋" w:eastAsia="仿宋" w:hAnsi="仿宋" w:cs="仿宋" w:hint="eastAsia"/>
              </w:rPr>
            </w:pPr>
          </w:p>
        </w:tc>
        <w:tc>
          <w:tcPr>
            <w:tcW w:w="1537" w:type="dxa"/>
            <w:noWrap w:val="0"/>
            <w:vAlign w:val="center"/>
          </w:tcPr>
          <w:p w14:paraId="531D15F8">
            <w:pPr>
              <w:shd w:val="clear" w:color="auto" w:fill="auto"/>
              <w:spacing w:after="0" w:line="240" w:lineRule="auto"/>
              <w:rPr>
                <w:rFonts w:ascii="仿宋" w:eastAsia="仿宋" w:hAnsi="仿宋" w:cs="仿宋" w:hint="eastAsia"/>
              </w:rPr>
            </w:pPr>
          </w:p>
        </w:tc>
      </w:tr>
      <w:tr w14:paraId="0C5608B2">
        <w:tblPrEx>
          <w:tblW w:w="5000" w:type="pct"/>
          <w:tblInd w:w="0" w:type="dxa"/>
          <w:tblLayout w:type="fixed"/>
          <w:tblCellMar>
            <w:top w:w="0" w:type="dxa"/>
            <w:left w:w="10" w:type="dxa"/>
            <w:bottom w:w="0" w:type="dxa"/>
            <w:right w:w="10" w:type="dxa"/>
          </w:tblCellMar>
        </w:tblPrEx>
        <w:trPr>
          <w:trHeight w:val="520"/>
        </w:trPr>
        <w:tc>
          <w:tcPr>
            <w:tcW w:w="852" w:type="dxa"/>
            <w:noWrap w:val="0"/>
            <w:vAlign w:val="center"/>
          </w:tcPr>
          <w:p w14:paraId="053FFF49">
            <w:pPr>
              <w:shd w:val="clear" w:color="auto" w:fill="auto"/>
              <w:spacing w:before="0" w:after="0" w:line="0" w:lineRule="atLeast"/>
              <w:ind w:left="112" w:right="0" w:firstLine="0"/>
              <w:jc w:val="left"/>
              <w:rPr>
                <w:rFonts w:ascii="仿宋" w:eastAsia="仿宋" w:hAnsi="仿宋" w:cs="仿宋" w:hint="eastAsia"/>
              </w:rPr>
            </w:pPr>
            <w:r>
              <w:rPr>
                <w:rFonts w:ascii="仿宋" w:eastAsia="仿宋" w:hAnsi="仿宋" w:cs="仿宋" w:hint="eastAsia"/>
                <w:sz w:val="14"/>
              </w:rPr>
              <w:t>2</w:t>
            </w:r>
          </w:p>
        </w:tc>
        <w:tc>
          <w:tcPr>
            <w:tcW w:w="2174" w:type="dxa"/>
            <w:gridSpan w:val="2"/>
            <w:noWrap w:val="0"/>
            <w:vAlign w:val="center"/>
          </w:tcPr>
          <w:p w14:paraId="2C92DC50">
            <w:pPr>
              <w:shd w:val="clear" w:color="auto" w:fill="auto"/>
              <w:spacing w:before="0" w:after="0" w:line="0" w:lineRule="atLeast"/>
              <w:ind w:left="118" w:right="0" w:firstLine="0"/>
              <w:jc w:val="left"/>
              <w:rPr>
                <w:rFonts w:ascii="仿宋" w:eastAsia="仿宋" w:hAnsi="仿宋" w:cs="仿宋" w:hint="eastAsia"/>
              </w:rPr>
            </w:pPr>
            <w:r>
              <w:rPr>
                <w:rFonts w:ascii="仿宋" w:eastAsia="仿宋" w:hAnsi="仿宋" w:cs="仿宋" w:hint="eastAsia"/>
                <w:sz w:val="18"/>
              </w:rPr>
              <w:t>项目投标授权代表人</w:t>
            </w:r>
          </w:p>
        </w:tc>
        <w:tc>
          <w:tcPr>
            <w:tcW w:w="1221" w:type="dxa"/>
            <w:noWrap w:val="0"/>
            <w:vAlign w:val="center"/>
          </w:tcPr>
          <w:p w14:paraId="1D73E144">
            <w:pPr>
              <w:shd w:val="clear" w:color="auto" w:fill="auto"/>
              <w:spacing w:after="0" w:line="240" w:lineRule="auto"/>
              <w:rPr>
                <w:rFonts w:ascii="仿宋" w:eastAsia="仿宋" w:hAnsi="仿宋" w:cs="仿宋" w:hint="eastAsia"/>
              </w:rPr>
            </w:pPr>
          </w:p>
        </w:tc>
        <w:tc>
          <w:tcPr>
            <w:tcW w:w="1809" w:type="dxa"/>
            <w:gridSpan w:val="2"/>
            <w:noWrap w:val="0"/>
            <w:vAlign w:val="center"/>
          </w:tcPr>
          <w:p w14:paraId="169E268E">
            <w:pPr>
              <w:shd w:val="clear" w:color="auto" w:fill="auto"/>
              <w:spacing w:after="0" w:line="240" w:lineRule="auto"/>
              <w:rPr>
                <w:rFonts w:ascii="仿宋" w:eastAsia="仿宋" w:hAnsi="仿宋" w:cs="仿宋" w:hint="eastAsia"/>
              </w:rPr>
            </w:pPr>
          </w:p>
        </w:tc>
        <w:tc>
          <w:tcPr>
            <w:tcW w:w="1406" w:type="dxa"/>
            <w:noWrap w:val="0"/>
            <w:vAlign w:val="center"/>
          </w:tcPr>
          <w:p w14:paraId="25946E3C">
            <w:pPr>
              <w:shd w:val="clear" w:color="auto" w:fill="auto"/>
              <w:spacing w:after="0" w:line="240" w:lineRule="auto"/>
              <w:rPr>
                <w:rFonts w:ascii="仿宋" w:eastAsia="仿宋" w:hAnsi="仿宋" w:cs="仿宋" w:hint="eastAsia"/>
              </w:rPr>
            </w:pPr>
          </w:p>
        </w:tc>
        <w:tc>
          <w:tcPr>
            <w:tcW w:w="1537" w:type="dxa"/>
            <w:noWrap w:val="0"/>
            <w:vAlign w:val="center"/>
          </w:tcPr>
          <w:p w14:paraId="51EB8E82">
            <w:pPr>
              <w:shd w:val="clear" w:color="auto" w:fill="auto"/>
              <w:spacing w:after="0" w:line="240" w:lineRule="auto"/>
              <w:rPr>
                <w:rFonts w:ascii="仿宋" w:eastAsia="仿宋" w:hAnsi="仿宋" w:cs="仿宋" w:hint="eastAsia"/>
              </w:rPr>
            </w:pPr>
          </w:p>
        </w:tc>
      </w:tr>
      <w:tr w14:paraId="5FC9304A">
        <w:tblPrEx>
          <w:tblW w:w="5000" w:type="pct"/>
          <w:tblInd w:w="0" w:type="dxa"/>
          <w:tblLayout w:type="fixed"/>
          <w:tblCellMar>
            <w:top w:w="0" w:type="dxa"/>
            <w:left w:w="10" w:type="dxa"/>
            <w:bottom w:w="0" w:type="dxa"/>
            <w:right w:w="10" w:type="dxa"/>
          </w:tblCellMar>
        </w:tblPrEx>
        <w:trPr>
          <w:trHeight w:val="530"/>
        </w:trPr>
        <w:tc>
          <w:tcPr>
            <w:tcW w:w="852" w:type="dxa"/>
            <w:noWrap w:val="0"/>
            <w:vAlign w:val="center"/>
          </w:tcPr>
          <w:p w14:paraId="5F210636">
            <w:pPr>
              <w:shd w:val="clear" w:color="auto" w:fill="auto"/>
              <w:spacing w:before="0" w:after="0" w:line="0" w:lineRule="atLeast"/>
              <w:ind w:left="112" w:right="0" w:firstLine="0"/>
              <w:jc w:val="left"/>
              <w:rPr>
                <w:rFonts w:ascii="仿宋" w:eastAsia="仿宋" w:hAnsi="仿宋" w:cs="仿宋" w:hint="eastAsia"/>
              </w:rPr>
            </w:pPr>
            <w:r>
              <w:rPr>
                <w:rFonts w:ascii="仿宋" w:eastAsia="仿宋" w:hAnsi="仿宋" w:cs="仿宋" w:hint="eastAsia"/>
                <w:sz w:val="15"/>
              </w:rPr>
              <w:t>3</w:t>
            </w:r>
          </w:p>
        </w:tc>
        <w:tc>
          <w:tcPr>
            <w:tcW w:w="2174" w:type="dxa"/>
            <w:gridSpan w:val="2"/>
            <w:noWrap w:val="0"/>
            <w:vAlign w:val="center"/>
          </w:tcPr>
          <w:p w14:paraId="28066E4D">
            <w:pPr>
              <w:shd w:val="clear" w:color="auto" w:fill="auto"/>
              <w:spacing w:before="0" w:after="0" w:line="0" w:lineRule="atLeast"/>
              <w:ind w:left="130" w:right="0" w:firstLine="0"/>
              <w:jc w:val="left"/>
              <w:rPr>
                <w:rFonts w:ascii="仿宋" w:eastAsia="仿宋" w:hAnsi="仿宋" w:cs="仿宋" w:hint="eastAsia"/>
              </w:rPr>
            </w:pPr>
            <w:r>
              <w:rPr>
                <w:rFonts w:ascii="仿宋" w:eastAsia="仿宋" w:hAnsi="仿宋" w:cs="仿宋" w:hint="eastAsia"/>
                <w:sz w:val="18"/>
              </w:rPr>
              <w:t>项目负责人</w:t>
            </w:r>
          </w:p>
        </w:tc>
        <w:tc>
          <w:tcPr>
            <w:tcW w:w="1221" w:type="dxa"/>
            <w:noWrap w:val="0"/>
            <w:vAlign w:val="center"/>
          </w:tcPr>
          <w:p w14:paraId="398785D4">
            <w:pPr>
              <w:shd w:val="clear" w:color="auto" w:fill="auto"/>
              <w:spacing w:after="0" w:line="240" w:lineRule="auto"/>
              <w:rPr>
                <w:rFonts w:ascii="仿宋" w:eastAsia="仿宋" w:hAnsi="仿宋" w:cs="仿宋" w:hint="eastAsia"/>
              </w:rPr>
            </w:pPr>
          </w:p>
        </w:tc>
        <w:tc>
          <w:tcPr>
            <w:tcW w:w="1809" w:type="dxa"/>
            <w:gridSpan w:val="2"/>
            <w:noWrap w:val="0"/>
            <w:vAlign w:val="center"/>
          </w:tcPr>
          <w:p w14:paraId="3C8DF387">
            <w:pPr>
              <w:shd w:val="clear" w:color="auto" w:fill="auto"/>
              <w:spacing w:after="0" w:line="240" w:lineRule="auto"/>
              <w:rPr>
                <w:rFonts w:ascii="仿宋" w:eastAsia="仿宋" w:hAnsi="仿宋" w:cs="仿宋" w:hint="eastAsia"/>
              </w:rPr>
            </w:pPr>
          </w:p>
        </w:tc>
        <w:tc>
          <w:tcPr>
            <w:tcW w:w="1406" w:type="dxa"/>
            <w:noWrap w:val="0"/>
            <w:vAlign w:val="center"/>
          </w:tcPr>
          <w:p w14:paraId="490DF42B">
            <w:pPr>
              <w:shd w:val="clear" w:color="auto" w:fill="auto"/>
              <w:spacing w:after="0" w:line="240" w:lineRule="auto"/>
              <w:rPr>
                <w:rFonts w:ascii="仿宋" w:eastAsia="仿宋" w:hAnsi="仿宋" w:cs="仿宋" w:hint="eastAsia"/>
              </w:rPr>
            </w:pPr>
          </w:p>
        </w:tc>
        <w:tc>
          <w:tcPr>
            <w:tcW w:w="1537" w:type="dxa"/>
            <w:noWrap w:val="0"/>
            <w:vAlign w:val="center"/>
          </w:tcPr>
          <w:p w14:paraId="66E731AF">
            <w:pPr>
              <w:shd w:val="clear" w:color="auto" w:fill="auto"/>
              <w:spacing w:after="0" w:line="240" w:lineRule="auto"/>
              <w:rPr>
                <w:rFonts w:ascii="仿宋" w:eastAsia="仿宋" w:hAnsi="仿宋" w:cs="仿宋" w:hint="eastAsia"/>
              </w:rPr>
            </w:pPr>
          </w:p>
        </w:tc>
      </w:tr>
      <w:tr w14:paraId="2DA978B7">
        <w:tblPrEx>
          <w:tblW w:w="5000" w:type="pct"/>
          <w:tblInd w:w="0" w:type="dxa"/>
          <w:tblLayout w:type="fixed"/>
          <w:tblCellMar>
            <w:top w:w="0" w:type="dxa"/>
            <w:left w:w="10" w:type="dxa"/>
            <w:bottom w:w="0" w:type="dxa"/>
            <w:right w:w="10" w:type="dxa"/>
          </w:tblCellMar>
        </w:tblPrEx>
        <w:trPr>
          <w:trHeight w:val="530"/>
        </w:trPr>
        <w:tc>
          <w:tcPr>
            <w:tcW w:w="852" w:type="dxa"/>
            <w:noWrap w:val="0"/>
            <w:vAlign w:val="center"/>
          </w:tcPr>
          <w:p w14:paraId="763E9CE1">
            <w:pPr>
              <w:shd w:val="clear" w:color="auto" w:fill="auto"/>
              <w:spacing w:before="0" w:after="0" w:line="0" w:lineRule="atLeast"/>
              <w:ind w:left="124" w:right="0" w:firstLine="0"/>
              <w:jc w:val="left"/>
              <w:rPr>
                <w:rFonts w:ascii="仿宋" w:eastAsia="仿宋" w:hAnsi="仿宋" w:cs="仿宋" w:hint="eastAsia"/>
              </w:rPr>
            </w:pPr>
            <w:r>
              <w:rPr>
                <w:rFonts w:ascii="仿宋" w:eastAsia="仿宋" w:hAnsi="仿宋" w:cs="仿宋" w:hint="eastAsia"/>
                <w:sz w:val="14"/>
              </w:rPr>
              <w:t>4</w:t>
            </w:r>
          </w:p>
        </w:tc>
        <w:tc>
          <w:tcPr>
            <w:tcW w:w="2174" w:type="dxa"/>
            <w:gridSpan w:val="2"/>
            <w:noWrap w:val="0"/>
            <w:vAlign w:val="center"/>
          </w:tcPr>
          <w:p w14:paraId="163A6B8F">
            <w:pPr>
              <w:shd w:val="clear" w:color="auto" w:fill="auto"/>
              <w:spacing w:before="0" w:after="0" w:line="0" w:lineRule="atLeast"/>
              <w:ind w:left="136" w:right="0" w:firstLine="0"/>
              <w:jc w:val="left"/>
              <w:rPr>
                <w:rFonts w:ascii="仿宋" w:eastAsia="仿宋" w:hAnsi="仿宋" w:cs="仿宋" w:hint="eastAsia"/>
              </w:rPr>
            </w:pPr>
            <w:r>
              <w:rPr>
                <w:rFonts w:ascii="仿宋" w:eastAsia="仿宋" w:hAnsi="仿宋" w:cs="仿宋" w:hint="eastAsia"/>
                <w:sz w:val="18"/>
              </w:rPr>
              <w:t>主要技术人员</w:t>
            </w:r>
          </w:p>
        </w:tc>
        <w:tc>
          <w:tcPr>
            <w:tcW w:w="1221" w:type="dxa"/>
            <w:noWrap w:val="0"/>
            <w:vAlign w:val="center"/>
          </w:tcPr>
          <w:p w14:paraId="4ABAE3C8">
            <w:pPr>
              <w:shd w:val="clear" w:color="auto" w:fill="auto"/>
              <w:spacing w:after="0" w:line="240" w:lineRule="auto"/>
              <w:rPr>
                <w:rFonts w:ascii="仿宋" w:eastAsia="仿宋" w:hAnsi="仿宋" w:cs="仿宋" w:hint="eastAsia"/>
              </w:rPr>
            </w:pPr>
          </w:p>
        </w:tc>
        <w:tc>
          <w:tcPr>
            <w:tcW w:w="1809" w:type="dxa"/>
            <w:gridSpan w:val="2"/>
            <w:noWrap w:val="0"/>
            <w:vAlign w:val="center"/>
          </w:tcPr>
          <w:p w14:paraId="44AB5A1D">
            <w:pPr>
              <w:shd w:val="clear" w:color="auto" w:fill="auto"/>
              <w:spacing w:after="0" w:line="240" w:lineRule="auto"/>
              <w:rPr>
                <w:rFonts w:ascii="仿宋" w:eastAsia="仿宋" w:hAnsi="仿宋" w:cs="仿宋" w:hint="eastAsia"/>
              </w:rPr>
            </w:pPr>
          </w:p>
        </w:tc>
        <w:tc>
          <w:tcPr>
            <w:tcW w:w="1406" w:type="dxa"/>
            <w:noWrap w:val="0"/>
            <w:vAlign w:val="center"/>
          </w:tcPr>
          <w:p w14:paraId="70F7F73B">
            <w:pPr>
              <w:shd w:val="clear" w:color="auto" w:fill="auto"/>
              <w:spacing w:after="0" w:line="240" w:lineRule="auto"/>
              <w:rPr>
                <w:rFonts w:ascii="仿宋" w:eastAsia="仿宋" w:hAnsi="仿宋" w:cs="仿宋" w:hint="eastAsia"/>
              </w:rPr>
            </w:pPr>
          </w:p>
        </w:tc>
        <w:tc>
          <w:tcPr>
            <w:tcW w:w="1537" w:type="dxa"/>
            <w:noWrap w:val="0"/>
            <w:vAlign w:val="center"/>
          </w:tcPr>
          <w:p w14:paraId="779A28FD">
            <w:pPr>
              <w:shd w:val="clear" w:color="auto" w:fill="auto"/>
              <w:spacing w:after="0" w:line="240" w:lineRule="auto"/>
              <w:rPr>
                <w:rFonts w:ascii="仿宋" w:eastAsia="仿宋" w:hAnsi="仿宋" w:cs="仿宋" w:hint="eastAsia"/>
              </w:rPr>
            </w:pPr>
          </w:p>
        </w:tc>
      </w:tr>
      <w:tr w14:paraId="67BE9F15">
        <w:tblPrEx>
          <w:tblW w:w="5000" w:type="pct"/>
          <w:tblInd w:w="0" w:type="dxa"/>
          <w:tblLayout w:type="fixed"/>
          <w:tblCellMar>
            <w:top w:w="0" w:type="dxa"/>
            <w:left w:w="10" w:type="dxa"/>
            <w:bottom w:w="0" w:type="dxa"/>
            <w:right w:w="10" w:type="dxa"/>
          </w:tblCellMar>
        </w:tblPrEx>
        <w:trPr>
          <w:trHeight w:val="530"/>
        </w:trPr>
        <w:tc>
          <w:tcPr>
            <w:tcW w:w="852" w:type="dxa"/>
            <w:noWrap w:val="0"/>
            <w:vAlign w:val="center"/>
          </w:tcPr>
          <w:p w14:paraId="28884F4F">
            <w:pPr>
              <w:shd w:val="clear" w:color="auto" w:fill="auto"/>
              <w:spacing w:before="0" w:after="0" w:line="0" w:lineRule="atLeast"/>
              <w:ind w:left="112" w:right="0" w:firstLine="0"/>
              <w:jc w:val="left"/>
              <w:rPr>
                <w:rFonts w:ascii="仿宋" w:eastAsia="仿宋" w:hAnsi="仿宋" w:cs="仿宋" w:hint="eastAsia"/>
              </w:rPr>
            </w:pPr>
            <w:r>
              <w:rPr>
                <w:rFonts w:ascii="仿宋" w:eastAsia="仿宋" w:hAnsi="仿宋" w:cs="仿宋" w:hint="eastAsia"/>
                <w:sz w:val="13"/>
              </w:rPr>
              <w:t>5</w:t>
            </w:r>
          </w:p>
        </w:tc>
        <w:tc>
          <w:tcPr>
            <w:tcW w:w="2174" w:type="dxa"/>
            <w:gridSpan w:val="2"/>
            <w:noWrap w:val="0"/>
            <w:vAlign w:val="center"/>
          </w:tcPr>
          <w:p w14:paraId="2D97D78F">
            <w:pPr>
              <w:shd w:val="clear" w:color="auto" w:fill="auto"/>
              <w:spacing w:before="0" w:after="0" w:line="0" w:lineRule="atLeast"/>
              <w:ind w:left="108" w:right="0" w:firstLine="0"/>
              <w:jc w:val="left"/>
              <w:rPr>
                <w:rFonts w:ascii="仿宋" w:eastAsia="仿宋" w:hAnsi="仿宋" w:cs="仿宋" w:hint="eastAsia"/>
              </w:rPr>
            </w:pPr>
            <w:r>
              <w:rPr>
                <w:rFonts w:ascii="仿宋" w:eastAsia="仿宋" w:hAnsi="仿宋" w:cs="仿宋" w:hint="eastAsia"/>
                <w:sz w:val="18"/>
              </w:rPr>
              <w:t>投标文件编制人员</w:t>
            </w:r>
          </w:p>
        </w:tc>
        <w:tc>
          <w:tcPr>
            <w:tcW w:w="1221" w:type="dxa"/>
            <w:noWrap w:val="0"/>
            <w:vAlign w:val="center"/>
          </w:tcPr>
          <w:p w14:paraId="24BEED4D">
            <w:pPr>
              <w:shd w:val="clear" w:color="auto" w:fill="auto"/>
              <w:spacing w:after="0" w:line="240" w:lineRule="auto"/>
              <w:rPr>
                <w:rFonts w:ascii="仿宋" w:eastAsia="仿宋" w:hAnsi="仿宋" w:cs="仿宋" w:hint="eastAsia"/>
              </w:rPr>
            </w:pPr>
          </w:p>
        </w:tc>
        <w:tc>
          <w:tcPr>
            <w:tcW w:w="1809" w:type="dxa"/>
            <w:gridSpan w:val="2"/>
            <w:noWrap w:val="0"/>
            <w:vAlign w:val="center"/>
          </w:tcPr>
          <w:p w14:paraId="4654E460">
            <w:pPr>
              <w:shd w:val="clear" w:color="auto" w:fill="auto"/>
              <w:spacing w:after="0" w:line="240" w:lineRule="auto"/>
              <w:rPr>
                <w:rFonts w:ascii="仿宋" w:eastAsia="仿宋" w:hAnsi="仿宋" w:cs="仿宋" w:hint="eastAsia"/>
              </w:rPr>
            </w:pPr>
          </w:p>
        </w:tc>
        <w:tc>
          <w:tcPr>
            <w:tcW w:w="1406" w:type="dxa"/>
            <w:noWrap w:val="0"/>
            <w:vAlign w:val="center"/>
          </w:tcPr>
          <w:p w14:paraId="1D534F74">
            <w:pPr>
              <w:shd w:val="clear" w:color="auto" w:fill="auto"/>
              <w:spacing w:after="0" w:line="240" w:lineRule="auto"/>
              <w:rPr>
                <w:rFonts w:ascii="仿宋" w:eastAsia="仿宋" w:hAnsi="仿宋" w:cs="仿宋" w:hint="eastAsia"/>
              </w:rPr>
            </w:pPr>
          </w:p>
        </w:tc>
        <w:tc>
          <w:tcPr>
            <w:tcW w:w="1537" w:type="dxa"/>
            <w:noWrap w:val="0"/>
            <w:vAlign w:val="center"/>
          </w:tcPr>
          <w:p w14:paraId="57E430DA">
            <w:pPr>
              <w:shd w:val="clear" w:color="auto" w:fill="auto"/>
              <w:spacing w:after="0" w:line="240" w:lineRule="auto"/>
              <w:rPr>
                <w:rFonts w:ascii="仿宋" w:eastAsia="仿宋" w:hAnsi="仿宋" w:cs="仿宋" w:hint="eastAsia"/>
              </w:rPr>
            </w:pPr>
          </w:p>
        </w:tc>
      </w:tr>
      <w:tr w14:paraId="2658CF68">
        <w:tblPrEx>
          <w:tblW w:w="5000" w:type="pct"/>
          <w:tblInd w:w="0" w:type="dxa"/>
          <w:tblLayout w:type="fixed"/>
          <w:tblCellMar>
            <w:top w:w="0" w:type="dxa"/>
            <w:left w:w="10" w:type="dxa"/>
            <w:bottom w:w="0" w:type="dxa"/>
            <w:right w:w="10" w:type="dxa"/>
          </w:tblCellMar>
        </w:tblPrEx>
        <w:trPr>
          <w:trHeight w:val="530"/>
        </w:trPr>
        <w:tc>
          <w:tcPr>
            <w:tcW w:w="8999" w:type="dxa"/>
            <w:gridSpan w:val="8"/>
            <w:noWrap w:val="0"/>
            <w:vAlign w:val="center"/>
          </w:tcPr>
          <w:p w14:paraId="596167F1">
            <w:pPr>
              <w:shd w:val="clear" w:color="auto" w:fill="auto"/>
              <w:spacing w:before="0" w:after="0" w:line="0" w:lineRule="atLeast"/>
              <w:ind w:left="102" w:right="0" w:firstLine="0"/>
              <w:jc w:val="left"/>
              <w:rPr>
                <w:rFonts w:ascii="仿宋" w:eastAsia="仿宋" w:hAnsi="仿宋" w:cs="仿宋" w:hint="eastAsia"/>
              </w:rPr>
            </w:pPr>
            <w:r>
              <w:rPr>
                <w:rFonts w:ascii="仿宋" w:eastAsia="仿宋" w:hAnsi="仿宋" w:cs="仿宋" w:hint="eastAsia"/>
                <w:sz w:val="18"/>
              </w:rPr>
              <w:t>说明：同一职务有多人担任（如主要技术人员），应分行填写。</w:t>
            </w:r>
          </w:p>
        </w:tc>
      </w:tr>
      <w:tr w14:paraId="048AD70B">
        <w:tblPrEx>
          <w:tblW w:w="5000" w:type="pct"/>
          <w:tblInd w:w="0" w:type="dxa"/>
          <w:tblLayout w:type="fixed"/>
          <w:tblCellMar>
            <w:top w:w="0" w:type="dxa"/>
            <w:left w:w="10" w:type="dxa"/>
            <w:bottom w:w="0" w:type="dxa"/>
            <w:right w:w="10" w:type="dxa"/>
          </w:tblCellMar>
        </w:tblPrEx>
        <w:trPr>
          <w:trHeight w:val="530"/>
        </w:trPr>
        <w:tc>
          <w:tcPr>
            <w:tcW w:w="8999" w:type="dxa"/>
            <w:gridSpan w:val="8"/>
            <w:noWrap w:val="0"/>
            <w:vAlign w:val="center"/>
          </w:tcPr>
          <w:p w14:paraId="6B13D944">
            <w:pPr>
              <w:shd w:val="clear" w:color="auto" w:fill="auto"/>
              <w:spacing w:before="0" w:after="0" w:line="0" w:lineRule="atLeast"/>
              <w:ind w:left="106" w:right="0" w:firstLine="0"/>
              <w:jc w:val="left"/>
              <w:rPr>
                <w:rFonts w:ascii="仿宋" w:eastAsia="仿宋" w:hAnsi="仿宋" w:cs="仿宋" w:hint="eastAsia"/>
              </w:rPr>
            </w:pPr>
            <w:r>
              <w:rPr>
                <w:rFonts w:ascii="仿宋" w:eastAsia="仿宋" w:hAnsi="仿宋" w:cs="仿宋" w:hint="eastAsia"/>
                <w:sz w:val="18"/>
              </w:rPr>
              <w:t>投标（响应）供应商关联关系情况</w:t>
            </w:r>
          </w:p>
        </w:tc>
      </w:tr>
      <w:tr w14:paraId="5A4D36DD">
        <w:tblPrEx>
          <w:tblW w:w="5000" w:type="pct"/>
          <w:tblInd w:w="0" w:type="dxa"/>
          <w:tblLayout w:type="fixed"/>
          <w:tblCellMar>
            <w:top w:w="0" w:type="dxa"/>
            <w:left w:w="10" w:type="dxa"/>
            <w:bottom w:w="0" w:type="dxa"/>
            <w:right w:w="10" w:type="dxa"/>
          </w:tblCellMar>
        </w:tblPrEx>
        <w:trPr>
          <w:trHeight w:val="530"/>
        </w:trPr>
        <w:tc>
          <w:tcPr>
            <w:tcW w:w="852" w:type="dxa"/>
            <w:noWrap w:val="0"/>
            <w:vAlign w:val="center"/>
          </w:tcPr>
          <w:p w14:paraId="65F77D24">
            <w:pPr>
              <w:shd w:val="clear" w:color="auto" w:fill="auto"/>
              <w:spacing w:before="0" w:after="0" w:line="0" w:lineRule="atLeast"/>
              <w:ind w:left="118" w:right="0" w:firstLine="0"/>
              <w:jc w:val="left"/>
              <w:rPr>
                <w:rFonts w:ascii="仿宋" w:eastAsia="仿宋" w:hAnsi="仿宋" w:cs="仿宋" w:hint="eastAsia"/>
              </w:rPr>
            </w:pPr>
            <w:r>
              <w:rPr>
                <w:rFonts w:ascii="仿宋" w:eastAsia="仿宋" w:hAnsi="仿宋" w:cs="仿宋" w:hint="eastAsia"/>
                <w:sz w:val="18"/>
              </w:rPr>
              <w:t>序号</w:t>
            </w:r>
          </w:p>
        </w:tc>
        <w:tc>
          <w:tcPr>
            <w:tcW w:w="2174" w:type="dxa"/>
            <w:gridSpan w:val="2"/>
            <w:noWrap w:val="0"/>
            <w:vAlign w:val="center"/>
          </w:tcPr>
          <w:p w14:paraId="34AA2E96">
            <w:pPr>
              <w:shd w:val="clear" w:color="auto" w:fill="auto"/>
              <w:spacing w:before="0" w:after="0" w:line="0" w:lineRule="atLeast"/>
              <w:ind w:left="124" w:right="0" w:firstLine="0"/>
              <w:jc w:val="left"/>
              <w:rPr>
                <w:rFonts w:ascii="仿宋" w:eastAsia="仿宋" w:hAnsi="仿宋" w:cs="仿宋" w:hint="eastAsia"/>
              </w:rPr>
            </w:pPr>
            <w:r>
              <w:rPr>
                <w:rFonts w:ascii="仿宋" w:eastAsia="仿宋" w:hAnsi="仿宋" w:cs="仿宋" w:hint="eastAsia"/>
                <w:sz w:val="18"/>
              </w:rPr>
              <w:t>关联关系类型</w:t>
            </w:r>
          </w:p>
        </w:tc>
        <w:tc>
          <w:tcPr>
            <w:tcW w:w="1292" w:type="dxa"/>
            <w:gridSpan w:val="2"/>
            <w:noWrap w:val="0"/>
            <w:vAlign w:val="center"/>
          </w:tcPr>
          <w:p w14:paraId="3468F107">
            <w:pPr>
              <w:shd w:val="clear" w:color="auto" w:fill="auto"/>
              <w:spacing w:before="0" w:after="0" w:line="0" w:lineRule="atLeast"/>
              <w:ind w:left="132" w:right="0" w:firstLine="0"/>
              <w:jc w:val="left"/>
              <w:rPr>
                <w:rFonts w:ascii="仿宋" w:eastAsia="仿宋" w:hAnsi="仿宋" w:cs="仿宋" w:hint="eastAsia"/>
              </w:rPr>
            </w:pPr>
            <w:r>
              <w:rPr>
                <w:rFonts w:ascii="仿宋" w:eastAsia="仿宋" w:hAnsi="仿宋" w:cs="仿宋" w:hint="eastAsia"/>
                <w:sz w:val="18"/>
              </w:rPr>
              <w:t>关联主体名称</w:t>
            </w:r>
          </w:p>
        </w:tc>
        <w:tc>
          <w:tcPr>
            <w:tcW w:w="4681" w:type="dxa"/>
            <w:gridSpan w:val="3"/>
            <w:noWrap w:val="0"/>
            <w:vAlign w:val="center"/>
          </w:tcPr>
          <w:p w14:paraId="3AA9884E">
            <w:pPr>
              <w:shd w:val="clear" w:color="auto" w:fill="auto"/>
              <w:spacing w:before="0" w:after="0" w:line="0" w:lineRule="atLeast"/>
              <w:ind w:left="110" w:right="0" w:firstLine="0"/>
              <w:jc w:val="left"/>
              <w:rPr>
                <w:rFonts w:ascii="仿宋" w:eastAsia="仿宋" w:hAnsi="仿宋" w:cs="仿宋" w:hint="eastAsia"/>
              </w:rPr>
            </w:pPr>
            <w:r>
              <w:rPr>
                <w:rFonts w:ascii="仿宋" w:eastAsia="仿宋" w:hAnsi="仿宋" w:cs="仿宋" w:hint="eastAsia"/>
                <w:sz w:val="18"/>
              </w:rPr>
              <w:t>备注</w:t>
            </w:r>
          </w:p>
        </w:tc>
      </w:tr>
      <w:tr w14:paraId="01A5B5EA">
        <w:tblPrEx>
          <w:tblW w:w="5000" w:type="pct"/>
          <w:tblInd w:w="0" w:type="dxa"/>
          <w:tblLayout w:type="fixed"/>
          <w:tblCellMar>
            <w:top w:w="0" w:type="dxa"/>
            <w:left w:w="10" w:type="dxa"/>
            <w:bottom w:w="0" w:type="dxa"/>
            <w:right w:w="10" w:type="dxa"/>
          </w:tblCellMar>
        </w:tblPrEx>
        <w:trPr>
          <w:trHeight w:val="1200"/>
        </w:trPr>
        <w:tc>
          <w:tcPr>
            <w:tcW w:w="852" w:type="dxa"/>
            <w:noWrap w:val="0"/>
            <w:vAlign w:val="center"/>
          </w:tcPr>
          <w:p w14:paraId="6AEB94E2">
            <w:pPr>
              <w:shd w:val="clear" w:color="auto" w:fill="auto"/>
              <w:spacing w:before="0" w:after="0" w:line="0" w:lineRule="atLeast"/>
              <w:ind w:left="112" w:right="0" w:firstLine="0"/>
              <w:jc w:val="left"/>
              <w:rPr>
                <w:rFonts w:ascii="仿宋" w:eastAsia="仿宋" w:hAnsi="仿宋" w:cs="仿宋" w:hint="eastAsia"/>
              </w:rPr>
            </w:pPr>
            <w:r>
              <w:rPr>
                <w:rFonts w:ascii="仿宋" w:eastAsia="仿宋" w:hAnsi="仿宋" w:cs="仿宋" w:hint="eastAsia"/>
                <w:sz w:val="13"/>
              </w:rPr>
              <w:t>1</w:t>
            </w:r>
          </w:p>
        </w:tc>
        <w:tc>
          <w:tcPr>
            <w:tcW w:w="2174" w:type="dxa"/>
            <w:gridSpan w:val="2"/>
            <w:noWrap w:val="0"/>
            <w:vAlign w:val="center"/>
          </w:tcPr>
          <w:p w14:paraId="51D19DD3">
            <w:pPr>
              <w:shd w:val="clear" w:color="auto" w:fill="auto"/>
              <w:spacing w:before="0" w:after="0" w:line="0" w:lineRule="atLeast"/>
              <w:ind w:left="102" w:right="0" w:firstLine="0"/>
              <w:jc w:val="left"/>
              <w:rPr>
                <w:rFonts w:ascii="仿宋" w:eastAsia="仿宋" w:hAnsi="仿宋" w:cs="仿宋" w:hint="eastAsia"/>
              </w:rPr>
            </w:pPr>
            <w:r>
              <w:rPr>
                <w:rFonts w:ascii="仿宋" w:eastAsia="仿宋" w:hAnsi="仿宋" w:cs="仿宋" w:hint="eastAsia"/>
                <w:sz w:val="18"/>
              </w:rPr>
              <w:t>控股股东</w:t>
            </w:r>
          </w:p>
        </w:tc>
        <w:tc>
          <w:tcPr>
            <w:tcW w:w="1292" w:type="dxa"/>
            <w:gridSpan w:val="2"/>
            <w:noWrap w:val="0"/>
            <w:vAlign w:val="center"/>
          </w:tcPr>
          <w:p w14:paraId="088AF199">
            <w:pPr>
              <w:shd w:val="clear" w:color="auto" w:fill="auto"/>
              <w:spacing w:after="0" w:line="240" w:lineRule="auto"/>
              <w:rPr>
                <w:rFonts w:ascii="仿宋" w:eastAsia="仿宋" w:hAnsi="仿宋" w:cs="仿宋" w:hint="eastAsia"/>
              </w:rPr>
            </w:pPr>
          </w:p>
        </w:tc>
        <w:tc>
          <w:tcPr>
            <w:tcW w:w="4681" w:type="dxa"/>
            <w:gridSpan w:val="3"/>
            <w:noWrap w:val="0"/>
            <w:vAlign w:val="center"/>
          </w:tcPr>
          <w:p w14:paraId="5833B6A9">
            <w:pPr>
              <w:shd w:val="clear" w:color="auto" w:fill="auto"/>
              <w:spacing w:before="0" w:after="44" w:line="0" w:lineRule="atLeast"/>
              <w:ind w:left="110" w:right="0" w:firstLine="0"/>
              <w:jc w:val="left"/>
              <w:rPr>
                <w:rFonts w:ascii="仿宋" w:eastAsia="仿宋" w:hAnsi="仿宋" w:cs="仿宋" w:hint="eastAsia"/>
              </w:rPr>
            </w:pPr>
            <w:r>
              <w:rPr>
                <w:rFonts w:ascii="仿宋" w:eastAsia="仿宋" w:hAnsi="仿宋" w:cs="仿宋" w:hint="eastAsia"/>
                <w:sz w:val="18"/>
              </w:rPr>
              <w:t>指出资额（或持有股份）占投标（响应）供应商资本总</w:t>
            </w:r>
          </w:p>
          <w:p w14:paraId="670439FF">
            <w:pPr>
              <w:shd w:val="clear" w:color="auto" w:fill="auto"/>
              <w:spacing w:before="0" w:after="44" w:line="0" w:lineRule="atLeast"/>
              <w:ind w:left="110" w:right="0" w:firstLine="0"/>
              <w:jc w:val="left"/>
              <w:rPr>
                <w:rFonts w:ascii="仿宋" w:eastAsia="仿宋" w:hAnsi="仿宋" w:cs="仿宋" w:hint="eastAsia"/>
              </w:rPr>
            </w:pPr>
            <w:r>
              <w:rPr>
                <w:rFonts w:ascii="仿宋" w:eastAsia="仿宋" w:hAnsi="仿宋" w:cs="仿宋" w:hint="eastAsia"/>
                <w:sz w:val="18"/>
              </w:rPr>
              <w:t>额（或股本总额）50%以上的股东，以及出资额（或持</w:t>
            </w:r>
          </w:p>
          <w:p w14:paraId="4A6CD6F4">
            <w:pPr>
              <w:shd w:val="clear" w:color="auto" w:fill="auto"/>
              <w:spacing w:before="0" w:after="44" w:line="0" w:lineRule="atLeast"/>
              <w:ind w:left="110" w:right="0" w:firstLine="0"/>
              <w:jc w:val="left"/>
              <w:rPr>
                <w:rFonts w:ascii="仿宋" w:eastAsia="仿宋" w:hAnsi="仿宋" w:cs="仿宋" w:hint="eastAsia"/>
              </w:rPr>
            </w:pPr>
            <w:r>
              <w:rPr>
                <w:rFonts w:ascii="仿宋" w:eastAsia="仿宋" w:hAnsi="仿宋" w:cs="仿宋" w:hint="eastAsia"/>
                <w:sz w:val="18"/>
              </w:rPr>
              <w:t>有股份）的比例虽然不足50%，但依其出资额（或持有</w:t>
            </w:r>
          </w:p>
          <w:p w14:paraId="16F3BA6F">
            <w:pPr>
              <w:shd w:val="clear" w:color="auto" w:fill="auto"/>
              <w:spacing w:before="0" w:after="44" w:line="0" w:lineRule="atLeast"/>
              <w:ind w:left="110" w:right="0" w:firstLine="0"/>
              <w:jc w:val="left"/>
              <w:rPr>
                <w:rFonts w:ascii="仿宋" w:eastAsia="仿宋" w:hAnsi="仿宋" w:cs="仿宋" w:hint="eastAsia"/>
              </w:rPr>
            </w:pPr>
            <w:r>
              <w:rPr>
                <w:rFonts w:ascii="仿宋" w:eastAsia="仿宋" w:hAnsi="仿宋" w:cs="仿宋" w:hint="eastAsia"/>
                <w:sz w:val="18"/>
              </w:rPr>
              <w:t>股份）所享有的表决权已足以对投标（响应）供应商股</w:t>
            </w:r>
          </w:p>
          <w:p w14:paraId="3AEFC474">
            <w:pPr>
              <w:shd w:val="clear" w:color="auto" w:fill="auto"/>
              <w:spacing w:before="0" w:after="0" w:line="0" w:lineRule="atLeast"/>
              <w:ind w:left="110" w:right="0" w:firstLine="0"/>
              <w:jc w:val="left"/>
              <w:rPr>
                <w:rFonts w:ascii="仿宋" w:eastAsia="仿宋" w:hAnsi="仿宋" w:cs="仿宋" w:hint="eastAsia"/>
              </w:rPr>
            </w:pPr>
            <w:r>
              <w:rPr>
                <w:rFonts w:ascii="仿宋" w:eastAsia="仿宋" w:hAnsi="仿宋" w:cs="仿宋" w:hint="eastAsia"/>
                <w:sz w:val="18"/>
              </w:rPr>
              <w:t>东会（或股东大会）的决议产生重要影响的股东。</w:t>
            </w:r>
          </w:p>
        </w:tc>
      </w:tr>
      <w:tr w14:paraId="4C2A8A6B">
        <w:tblPrEx>
          <w:tblW w:w="5000" w:type="pct"/>
          <w:tblInd w:w="0" w:type="dxa"/>
          <w:tblLayout w:type="fixed"/>
          <w:tblCellMar>
            <w:top w:w="0" w:type="dxa"/>
            <w:left w:w="10" w:type="dxa"/>
            <w:bottom w:w="0" w:type="dxa"/>
            <w:right w:w="10" w:type="dxa"/>
          </w:tblCellMar>
        </w:tblPrEx>
        <w:trPr>
          <w:trHeight w:val="610"/>
        </w:trPr>
        <w:tc>
          <w:tcPr>
            <w:tcW w:w="852" w:type="dxa"/>
            <w:noWrap w:val="0"/>
            <w:vAlign w:val="center"/>
          </w:tcPr>
          <w:p w14:paraId="60F58D7C">
            <w:pPr>
              <w:shd w:val="clear" w:color="auto" w:fill="auto"/>
              <w:spacing w:before="0" w:after="0" w:line="0" w:lineRule="atLeast"/>
              <w:ind w:left="106" w:right="0" w:firstLine="0"/>
              <w:jc w:val="left"/>
              <w:rPr>
                <w:rFonts w:ascii="仿宋" w:eastAsia="仿宋" w:hAnsi="仿宋" w:cs="仿宋" w:hint="eastAsia"/>
              </w:rPr>
            </w:pPr>
            <w:r>
              <w:rPr>
                <w:rFonts w:ascii="仿宋" w:eastAsia="仿宋" w:hAnsi="仿宋" w:cs="仿宋" w:hint="eastAsia"/>
                <w:sz w:val="14"/>
              </w:rPr>
              <w:t>2</w:t>
            </w:r>
          </w:p>
        </w:tc>
        <w:tc>
          <w:tcPr>
            <w:tcW w:w="2174" w:type="dxa"/>
            <w:gridSpan w:val="2"/>
            <w:noWrap w:val="0"/>
            <w:vAlign w:val="center"/>
          </w:tcPr>
          <w:p w14:paraId="70278628">
            <w:pPr>
              <w:shd w:val="clear" w:color="auto" w:fill="auto"/>
              <w:spacing w:before="0" w:after="0" w:line="0" w:lineRule="atLeast"/>
              <w:ind w:left="130" w:right="0" w:firstLine="0"/>
              <w:jc w:val="left"/>
              <w:rPr>
                <w:rFonts w:ascii="仿宋" w:eastAsia="仿宋" w:hAnsi="仿宋" w:cs="仿宋" w:hint="eastAsia"/>
              </w:rPr>
            </w:pPr>
            <w:r>
              <w:rPr>
                <w:rFonts w:ascii="仿宋" w:eastAsia="仿宋" w:hAnsi="仿宋" w:cs="仿宋" w:hint="eastAsia"/>
                <w:sz w:val="18"/>
              </w:rPr>
              <w:t>管理关系</w:t>
            </w:r>
          </w:p>
        </w:tc>
        <w:tc>
          <w:tcPr>
            <w:tcW w:w="1292" w:type="dxa"/>
            <w:gridSpan w:val="2"/>
            <w:noWrap w:val="0"/>
            <w:vAlign w:val="center"/>
          </w:tcPr>
          <w:p w14:paraId="72486BE2">
            <w:pPr>
              <w:shd w:val="clear" w:color="auto" w:fill="auto"/>
              <w:spacing w:after="0" w:line="240" w:lineRule="auto"/>
              <w:rPr>
                <w:rFonts w:ascii="仿宋" w:eastAsia="仿宋" w:hAnsi="仿宋" w:cs="仿宋" w:hint="eastAsia"/>
              </w:rPr>
            </w:pPr>
          </w:p>
        </w:tc>
        <w:tc>
          <w:tcPr>
            <w:tcW w:w="4681" w:type="dxa"/>
            <w:gridSpan w:val="3"/>
            <w:noWrap w:val="0"/>
            <w:vAlign w:val="center"/>
          </w:tcPr>
          <w:p w14:paraId="462C2509">
            <w:pPr>
              <w:shd w:val="clear" w:color="auto" w:fill="auto"/>
              <w:spacing w:before="0" w:after="60" w:line="0" w:lineRule="atLeast"/>
              <w:ind w:left="128" w:right="0" w:firstLine="0"/>
              <w:jc w:val="left"/>
              <w:rPr>
                <w:rFonts w:ascii="仿宋" w:eastAsia="仿宋" w:hAnsi="仿宋" w:cs="仿宋" w:hint="eastAsia"/>
              </w:rPr>
            </w:pPr>
            <w:r>
              <w:rPr>
                <w:rFonts w:ascii="仿宋" w:eastAsia="仿宋" w:hAnsi="仿宋" w:cs="仿宋" w:hint="eastAsia"/>
                <w:sz w:val="18"/>
              </w:rPr>
              <w:t>指对投标（响应）供应商不具有出资持股</w:t>
            </w:r>
          </w:p>
          <w:p w14:paraId="51901F19">
            <w:pPr>
              <w:shd w:val="clear" w:color="auto" w:fill="auto"/>
              <w:spacing w:before="0" w:after="0" w:line="0" w:lineRule="atLeast"/>
              <w:ind w:left="128" w:right="0" w:firstLine="0"/>
              <w:jc w:val="left"/>
              <w:rPr>
                <w:rFonts w:ascii="仿宋" w:eastAsia="仿宋" w:hAnsi="仿宋" w:cs="仿宋" w:hint="eastAsia"/>
              </w:rPr>
            </w:pPr>
            <w:r>
              <w:rPr>
                <w:rFonts w:ascii="仿宋" w:eastAsia="仿宋" w:hAnsi="仿宋" w:cs="仿宋" w:hint="eastAsia"/>
                <w:sz w:val="18"/>
              </w:rPr>
              <w:t>关系，但对其存在管理关系的主体。</w:t>
            </w:r>
          </w:p>
        </w:tc>
      </w:tr>
      <w:tr w14:paraId="246FAC3A">
        <w:tblPrEx>
          <w:tblW w:w="5000" w:type="pct"/>
          <w:tblInd w:w="0" w:type="dxa"/>
          <w:tblLayout w:type="fixed"/>
          <w:tblCellMar>
            <w:top w:w="0" w:type="dxa"/>
            <w:left w:w="10" w:type="dxa"/>
            <w:bottom w:w="0" w:type="dxa"/>
            <w:right w:w="10" w:type="dxa"/>
          </w:tblCellMar>
        </w:tblPrEx>
        <w:trPr>
          <w:trHeight w:val="320"/>
        </w:trPr>
        <w:tc>
          <w:tcPr>
            <w:tcW w:w="8999" w:type="dxa"/>
            <w:gridSpan w:val="8"/>
            <w:noWrap w:val="0"/>
            <w:vAlign w:val="center"/>
          </w:tcPr>
          <w:p w14:paraId="141765BD">
            <w:pPr>
              <w:shd w:val="clear" w:color="auto" w:fill="auto"/>
              <w:spacing w:before="0" w:after="0" w:line="0" w:lineRule="atLeast"/>
              <w:ind w:left="102" w:right="0" w:firstLine="0"/>
              <w:jc w:val="left"/>
              <w:rPr>
                <w:rFonts w:ascii="仿宋" w:eastAsia="仿宋" w:hAnsi="仿宋" w:cs="仿宋" w:hint="eastAsia"/>
              </w:rPr>
            </w:pPr>
            <w:r>
              <w:rPr>
                <w:rFonts w:ascii="仿宋" w:eastAsia="仿宋" w:hAnsi="仿宋" w:cs="仿宋" w:hint="eastAsia"/>
                <w:sz w:val="18"/>
              </w:rPr>
              <w:t>说明：同一关联关系类型有多个主体的，应分行填写。</w:t>
            </w:r>
          </w:p>
        </w:tc>
      </w:tr>
    </w:tbl>
    <w:p w14:paraId="0D2018C2">
      <w:pPr>
        <w:shd w:val="clear" w:color="auto" w:fill="auto"/>
        <w:bidi w:val="0"/>
        <w:rPr>
          <w:rFonts w:ascii="仿宋" w:eastAsia="仿宋" w:hAnsi="仿宋" w:cs="仿宋" w:hint="eastAsia"/>
          <w:highlight w:val="yellow"/>
          <w:lang w:val="en-US" w:eastAsia="zh-CN"/>
        </w:rPr>
      </w:pPr>
      <w:r>
        <w:rPr>
          <w:rFonts w:ascii="仿宋" w:eastAsia="仿宋" w:hAnsi="仿宋" w:cs="仿宋" w:hint="eastAsia"/>
          <w:highlight w:val="yellow"/>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1506D6B">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b/>
          <w:bCs/>
          <w:color w:val="auto"/>
          <w:sz w:val="24"/>
          <w:szCs w:val="24"/>
          <w:highlight w:val="none"/>
          <w:lang w:val="en-US" w:eastAsia="zh-CN"/>
        </w:rPr>
        <w:t>附：请投标人提供上表所涉及人员近三个月（含开标当月）中的任意一个月的社保缴纳情况。</w:t>
      </w:r>
    </w:p>
    <w:p w14:paraId="477B26E4">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（1）法定代表人（单位负责人）</w:t>
      </w:r>
    </w:p>
    <w:p w14:paraId="67F85303">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近三个月（含开标当月）中的任意一个月的社保缴纳凭证：</w:t>
      </w:r>
    </w:p>
    <w:p w14:paraId="577B6206">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（2）主要经营负责人</w:t>
      </w:r>
    </w:p>
    <w:p w14:paraId="0A907D99">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近三个月（含开标当月）中的任意一个月的社保缴纳凭证：</w:t>
      </w:r>
    </w:p>
    <w:p w14:paraId="3ED6176B">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（3）项目投标授权代表人</w:t>
      </w:r>
    </w:p>
    <w:p w14:paraId="6ADF5A85">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近三个月（含开标当月）中的任意一个月的社保缴纳凭证：</w:t>
      </w:r>
    </w:p>
    <w:p w14:paraId="7D082417">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（4）项目负责人</w:t>
      </w:r>
    </w:p>
    <w:p w14:paraId="3FAB4577">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近三个月（含开标当月）中的任意一个月的社保缴纳凭证：</w:t>
      </w:r>
    </w:p>
    <w:p w14:paraId="6D402F54">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（5）主要技术人员</w:t>
      </w:r>
    </w:p>
    <w:p w14:paraId="040E721B">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近三个月（含开标当月）中的任意一个月的社保缴纳凭证：</w:t>
      </w:r>
    </w:p>
    <w:p w14:paraId="517ED1F4">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 xml:space="preserve">（6）投标文件编制人员 </w:t>
      </w:r>
    </w:p>
    <w:p w14:paraId="2F53C47B">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80" w:firstLineChars="200"/>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近三个月（含开标当月）中的任意一个月的社保缴纳凭证：</w:t>
      </w:r>
    </w:p>
    <w:p w14:paraId="1CA4691F">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40" w:firstLineChars="200"/>
        <w:textAlignment w:val="auto"/>
        <w:rPr>
          <w:rFonts w:ascii="仿宋" w:eastAsia="仿宋" w:hAnsi="仿宋" w:cs="仿宋" w:hint="eastAsia"/>
          <w:b/>
          <w:bCs w:val="0"/>
          <w:color w:val="auto"/>
          <w:sz w:val="22"/>
          <w:szCs w:val="22"/>
          <w:highlight w:val="none"/>
          <w:lang w:val="en-US" w:eastAsia="zh-CN"/>
        </w:rPr>
      </w:pPr>
      <w:r>
        <w:rPr>
          <w:rFonts w:ascii="仿宋" w:eastAsia="仿宋" w:hAnsi="仿宋" w:cs="仿宋" w:hint="eastAsia"/>
          <w:b/>
          <w:bCs w:val="0"/>
          <w:color w:val="auto"/>
          <w:sz w:val="22"/>
          <w:szCs w:val="22"/>
          <w:highlight w:val="none"/>
          <w:lang w:val="en-US" w:eastAsia="zh-CN"/>
        </w:rPr>
        <w:t>注：</w:t>
      </w:r>
    </w:p>
    <w:p w14:paraId="6EABD488">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40" w:firstLineChars="200"/>
        <w:textAlignment w:val="auto"/>
        <w:rPr>
          <w:rFonts w:ascii="仿宋" w:eastAsia="仿宋" w:hAnsi="仿宋" w:cs="仿宋" w:hint="eastAsia"/>
          <w:b/>
          <w:bCs w:val="0"/>
          <w:color w:val="auto"/>
          <w:sz w:val="22"/>
          <w:szCs w:val="22"/>
          <w:highlight w:val="none"/>
          <w:lang w:val="en-US" w:eastAsia="zh-CN"/>
        </w:rPr>
      </w:pPr>
      <w:r>
        <w:rPr>
          <w:rFonts w:ascii="仿宋" w:eastAsia="仿宋" w:hAnsi="仿宋" w:cs="仿宋" w:hint="eastAsia"/>
          <w:b/>
          <w:bCs w:val="0"/>
          <w:color w:val="auto"/>
          <w:sz w:val="22"/>
          <w:szCs w:val="22"/>
          <w:highlight w:val="none"/>
          <w:lang w:val="en-US" w:eastAsia="zh-CN"/>
        </w:rPr>
        <w:t>1.投标人应如实提供上述人员的社会保险证明，如上述人员的社会保险未由投标人缴纳，亦须提供相应单位为其缴纳的社会保险证明。</w:t>
      </w:r>
    </w:p>
    <w:p w14:paraId="087BCC72">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40" w:firstLineChars="200"/>
        <w:textAlignment w:val="auto"/>
        <w:rPr>
          <w:rFonts w:ascii="仿宋" w:eastAsia="仿宋" w:hAnsi="仿宋" w:cs="仿宋" w:hint="eastAsia"/>
          <w:b/>
          <w:bCs w:val="0"/>
          <w:color w:val="auto"/>
          <w:sz w:val="22"/>
          <w:szCs w:val="22"/>
          <w:highlight w:val="none"/>
          <w:lang w:val="en-US" w:eastAsia="zh-CN"/>
        </w:rPr>
      </w:pPr>
      <w:r>
        <w:rPr>
          <w:rFonts w:ascii="仿宋" w:eastAsia="仿宋" w:hAnsi="仿宋" w:cs="仿宋" w:hint="eastAsia"/>
          <w:b/>
          <w:bCs w:val="0"/>
          <w:color w:val="auto"/>
          <w:sz w:val="22"/>
          <w:szCs w:val="22"/>
          <w:highlight w:val="none"/>
          <w:lang w:val="en-US" w:eastAsia="zh-CN"/>
        </w:rPr>
        <w:t>2.如投标人为新成立企业且成立时间不足一个月可提供加盖投标人公章的情况说明或者证明材料亦视为符合。</w:t>
      </w:r>
    </w:p>
    <w:p w14:paraId="0121E705">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40" w:firstLineChars="200"/>
        <w:textAlignment w:val="auto"/>
        <w:rPr>
          <w:rFonts w:ascii="仿宋" w:eastAsia="仿宋" w:hAnsi="仿宋" w:cs="仿宋" w:hint="eastAsia"/>
          <w:b/>
          <w:bCs w:val="0"/>
          <w:color w:val="auto"/>
          <w:sz w:val="22"/>
          <w:szCs w:val="22"/>
          <w:highlight w:val="none"/>
          <w:lang w:val="en-US" w:eastAsia="zh-CN"/>
        </w:rPr>
      </w:pPr>
      <w:r>
        <w:rPr>
          <w:rFonts w:ascii="仿宋" w:eastAsia="仿宋" w:hAnsi="仿宋" w:cs="仿宋" w:hint="eastAsia"/>
          <w:b/>
          <w:bCs w:val="0"/>
          <w:color w:val="auto"/>
          <w:sz w:val="22"/>
          <w:szCs w:val="22"/>
          <w:highlight w:val="none"/>
          <w:lang w:val="en-US" w:eastAsia="zh-CN"/>
        </w:rPr>
        <w:t>3.若为退休人员，提供退休证明亦可。</w:t>
      </w:r>
    </w:p>
    <w:p w14:paraId="69F34C19">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40" w:firstLineChars="200"/>
        <w:textAlignment w:val="auto"/>
        <w:rPr>
          <w:rFonts w:ascii="仿宋" w:eastAsia="仿宋" w:hAnsi="仿宋" w:cs="仿宋" w:hint="eastAsia"/>
          <w:b/>
          <w:bCs w:val="0"/>
          <w:color w:val="auto"/>
          <w:sz w:val="22"/>
          <w:szCs w:val="22"/>
          <w:highlight w:val="none"/>
          <w:lang w:val="en-US" w:eastAsia="zh-CN"/>
        </w:rPr>
      </w:pPr>
      <w:r>
        <w:rPr>
          <w:rFonts w:ascii="仿宋" w:eastAsia="仿宋" w:hAnsi="仿宋" w:cs="仿宋" w:hint="eastAsia"/>
          <w:b/>
          <w:bCs w:val="0"/>
          <w:color w:val="auto"/>
          <w:sz w:val="22"/>
          <w:szCs w:val="22"/>
          <w:highlight w:val="none"/>
          <w:lang w:val="en-US" w:eastAsia="zh-CN"/>
        </w:rPr>
        <w:t>4.如依法不需要缴纳社会保险的，应提供相应文件证明。</w:t>
      </w:r>
    </w:p>
    <w:p w14:paraId="238662F1">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40" w:firstLineChars="200"/>
        <w:textAlignment w:val="auto"/>
        <w:rPr>
          <w:rFonts w:ascii="仿宋" w:eastAsia="仿宋" w:hAnsi="仿宋" w:cs="仿宋" w:hint="eastAsia"/>
          <w:b/>
          <w:bCs w:val="0"/>
          <w:color w:val="auto"/>
          <w:sz w:val="22"/>
          <w:szCs w:val="22"/>
          <w:highlight w:val="none"/>
          <w:lang w:val="en-US" w:eastAsia="zh-CN"/>
        </w:rPr>
      </w:pPr>
      <w:r>
        <w:rPr>
          <w:rFonts w:ascii="仿宋" w:eastAsia="仿宋" w:hAnsi="仿宋" w:cs="仿宋" w:hint="eastAsia"/>
          <w:b/>
          <w:bCs w:val="0"/>
          <w:color w:val="auto"/>
          <w:sz w:val="22"/>
          <w:szCs w:val="22"/>
          <w:highlight w:val="none"/>
          <w:lang w:val="en-US" w:eastAsia="zh-CN"/>
        </w:rPr>
        <w:t>5.若因为社保部门或税务部门原因无法提供的，需提供劳动合同及社保部门或税务部门官方通知证明（或官网公告截图）。</w:t>
      </w:r>
    </w:p>
    <w:p w14:paraId="0D870C79">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40" w:firstLineChars="200"/>
        <w:textAlignment w:val="auto"/>
        <w:rPr>
          <w:rFonts w:ascii="仿宋" w:eastAsia="仿宋" w:hAnsi="仿宋" w:cs="仿宋" w:hint="eastAsia"/>
          <w:b/>
          <w:bCs w:val="0"/>
          <w:color w:val="auto"/>
          <w:sz w:val="22"/>
          <w:szCs w:val="22"/>
          <w:highlight w:val="none"/>
          <w:lang w:val="en-US" w:eastAsia="zh-CN"/>
        </w:rPr>
      </w:pPr>
      <w:r>
        <w:rPr>
          <w:rFonts w:ascii="仿宋" w:eastAsia="仿宋" w:hAnsi="仿宋" w:cs="仿宋" w:hint="eastAsia"/>
          <w:b/>
          <w:bCs w:val="0"/>
          <w:color w:val="auto"/>
          <w:sz w:val="22"/>
          <w:szCs w:val="22"/>
          <w:highlight w:val="none"/>
          <w:lang w:val="en-US" w:eastAsia="zh-CN"/>
        </w:rPr>
        <w:t>6.如本项目未安排项目投标授权代表人、项目负责人、主要技术人员的，无需提供项目投标授权代表人、项目负责人、主要技术人员的社会保险证明。</w:t>
      </w:r>
    </w:p>
    <w:p w14:paraId="546E9A88">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afterLines="0" w:line="360" w:lineRule="auto"/>
        <w:ind w:firstLine="440" w:firstLineChars="200"/>
        <w:textAlignment w:val="auto"/>
        <w:rPr>
          <w:rFonts w:ascii="仿宋" w:eastAsia="仿宋" w:hAnsi="仿宋" w:cs="仿宋" w:hint="eastAsia"/>
          <w:color w:val="auto"/>
          <w:sz w:val="22"/>
          <w:szCs w:val="22"/>
          <w:highlight w:val="none"/>
        </w:rPr>
      </w:pPr>
      <w:r>
        <w:rPr>
          <w:rFonts w:ascii="仿宋" w:eastAsia="仿宋" w:hAnsi="仿宋" w:cs="仿宋" w:hint="eastAsia"/>
          <w:b/>
          <w:bCs w:val="0"/>
          <w:color w:val="auto"/>
          <w:sz w:val="22"/>
          <w:szCs w:val="22"/>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4D5C3F32">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jc w:val="both"/>
        <w:rPr>
          <w:rFonts w:ascii="仿宋" w:eastAsia="仿宋" w:hAnsi="仿宋" w:cs="仿宋" w:hint="eastAsia"/>
          <w:b/>
          <w:color w:val="auto"/>
          <w:sz w:val="22"/>
          <w:szCs w:val="22"/>
          <w:highlight w:val="yellow"/>
          <w:lang w:val="en-US" w:eastAsia="zh-CN"/>
        </w:rPr>
      </w:pPr>
      <w:r>
        <w:rPr>
          <w:rFonts w:ascii="仿宋" w:eastAsia="仿宋" w:hAnsi="仿宋" w:cs="仿宋" w:hint="eastAsia"/>
          <w:b/>
          <w:bCs/>
          <w:color w:val="auto"/>
          <w:sz w:val="22"/>
          <w:szCs w:val="22"/>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6533DB93">
      <w:pPr>
        <w:widowControl w:val="0"/>
        <w:autoSpaceDE w:val="0"/>
        <w:autoSpaceDN w:val="0"/>
        <w:adjustRightInd w:val="0"/>
        <w:snapToGrid w:val="0"/>
        <w:spacing w:line="360" w:lineRule="auto"/>
        <w:ind w:firstLine="0" w:firstLineChars="0"/>
        <w:jc w:val="left"/>
        <w:rPr>
          <w:rFonts w:ascii="仿宋" w:eastAsia="仿宋" w:hAnsi="仿宋" w:cs="仿宋" w:hint="eastAsia"/>
          <w:bCs/>
          <w:color w:val="000000"/>
          <w:kern w:val="2"/>
          <w:sz w:val="21"/>
          <w:szCs w:val="21"/>
          <w:lang w:eastAsia="zh-CN"/>
        </w:rPr>
      </w:pPr>
      <w:r>
        <w:rPr>
          <w:rFonts w:ascii="仿宋" w:eastAsia="仿宋" w:hAnsi="仿宋" w:cs="仿宋" w:hint="eastAsia"/>
          <w:kern w:val="2"/>
          <w:sz w:val="21"/>
          <w:lang w:eastAsia="zh-CN"/>
        </w:rPr>
        <w:br w:type="page"/>
      </w:r>
      <w:r>
        <w:rPr>
          <w:rFonts w:ascii="仿宋" w:eastAsia="仿宋" w:hAnsi="仿宋" w:cs="仿宋" w:hint="eastAsia"/>
          <w:bCs/>
          <w:color w:val="000000"/>
          <w:kern w:val="2"/>
          <w:sz w:val="21"/>
          <w:szCs w:val="21"/>
          <w:lang w:eastAsia="zh-CN"/>
        </w:rPr>
        <w:t>示例：市场监督部门官网的“股东信息”（股权占比最多的前5名人员或单位即可）截图</w:t>
      </w:r>
    </w:p>
    <w:p w14:paraId="18D37CC4">
      <w:pPr>
        <w:widowControl w:val="0"/>
        <w:spacing w:line="360" w:lineRule="auto"/>
        <w:jc w:val="center"/>
        <w:rPr>
          <w:rFonts w:ascii="仿宋" w:eastAsia="仿宋" w:hAnsi="仿宋" w:cs="仿宋" w:hint="eastAsia"/>
          <w:b/>
          <w:kern w:val="2"/>
          <w:lang w:eastAsia="zh-CN"/>
        </w:rPr>
      </w:pPr>
      <w:r>
        <w:rPr>
          <w:rFonts w:ascii="仿宋" w:eastAsia="仿宋" w:hAnsi="仿宋" w:cs="仿宋" w:hint="eastAsia"/>
          <w:b w:val="0"/>
          <w:bCs/>
          <w:sz w:val="21"/>
          <w:szCs w:val="21"/>
          <w:highlight w:val="none"/>
          <w:lang w:eastAsia="zh-CN"/>
        </w:rPr>
        <w:drawing>
          <wp:inline distT="0" distB="0" distL="114300" distR="114300">
            <wp:extent cx="4840605" cy="5513705"/>
            <wp:effectExtent l="0" t="0" r="10795" b="10795"/>
            <wp:docPr id="3" name="图片 2"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2e5581987e7a988a89e173886a93ac"/>
                    <pic:cNvPicPr>
                      <a:picLocks noChangeAspect="1"/>
                    </pic:cNvPicPr>
                  </pic:nvPicPr>
                  <pic:blipFill>
                    <a:blip xmlns:r="http://schemas.openxmlformats.org/officeDocument/2006/relationships" r:embed="rId4"/>
                    <a:stretch>
                      <a:fillRect/>
                    </a:stretch>
                  </pic:blipFill>
                  <pic:spPr>
                    <a:xfrm>
                      <a:off x="0" y="0"/>
                      <a:ext cx="4840605" cy="5513705"/>
                    </a:xfrm>
                    <a:prstGeom prst="rect">
                      <a:avLst/>
                    </a:prstGeom>
                    <a:noFill/>
                    <a:ln>
                      <a:noFill/>
                    </a:ln>
                  </pic:spPr>
                </pic:pic>
              </a:graphicData>
            </a:graphic>
          </wp:inline>
        </w:drawing>
      </w:r>
      <w:r>
        <w:rPr>
          <w:rFonts w:ascii="仿宋" w:eastAsia="仿宋" w:hAnsi="仿宋" w:cs="仿宋" w:hint="eastAsia"/>
          <w:b w:val="0"/>
          <w:bCs/>
          <w:sz w:val="21"/>
          <w:szCs w:val="21"/>
          <w:highlight w:val="none"/>
          <w:lang w:eastAsia="zh-CN"/>
        </w:rPr>
        <w:drawing>
          <wp:inline distT="0" distB="0" distL="114300" distR="114300">
            <wp:extent cx="4070985" cy="1966595"/>
            <wp:effectExtent l="0" t="0" r="5715" b="1905"/>
            <wp:docPr id="4" name="图片 3"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908ea879b86cdd1bf2ab4494434741"/>
                    <pic:cNvPicPr>
                      <a:picLocks noChangeAspect="1"/>
                    </pic:cNvPicPr>
                  </pic:nvPicPr>
                  <pic:blipFill>
                    <a:blip xmlns:r="http://schemas.openxmlformats.org/officeDocument/2006/relationships" r:embed="rId5"/>
                    <a:stretch>
                      <a:fillRect/>
                    </a:stretch>
                  </pic:blipFill>
                  <pic:spPr>
                    <a:xfrm>
                      <a:off x="0" y="0"/>
                      <a:ext cx="4070985" cy="1966595"/>
                    </a:xfrm>
                    <a:prstGeom prst="rect">
                      <a:avLst/>
                    </a:prstGeom>
                    <a:noFill/>
                    <a:ln>
                      <a:noFill/>
                    </a:ln>
                  </pic:spPr>
                </pic:pic>
              </a:graphicData>
            </a:graphic>
          </wp:inline>
        </w:drawing>
      </w:r>
    </w:p>
    <w:p w14:paraId="3D65C413">
      <w:pPr>
        <w:widowControl w:val="0"/>
        <w:spacing w:line="360" w:lineRule="auto"/>
        <w:jc w:val="both"/>
        <w:rPr>
          <w:rFonts w:ascii="仿宋" w:eastAsia="仿宋" w:hAnsi="仿宋" w:cs="仿宋" w:hint="eastAsia"/>
          <w:b/>
          <w:bCs/>
          <w:kern w:val="2"/>
          <w:sz w:val="21"/>
          <w:lang w:eastAsia="zh-CN"/>
        </w:rPr>
      </w:pPr>
      <w:r>
        <w:rPr>
          <w:rFonts w:ascii="仿宋" w:eastAsia="仿宋" w:hAnsi="仿宋" w:cs="仿宋" w:hint="eastAsia"/>
          <w:kern w:val="2"/>
          <w:sz w:val="21"/>
          <w:lang w:eastAsia="zh-CN"/>
        </w:rPr>
        <w:br w:type="page"/>
      </w:r>
      <w:r>
        <w:rPr>
          <w:rFonts w:ascii="仿宋" w:eastAsia="仿宋" w:hAnsi="仿宋" w:cs="仿宋" w:hint="eastAsia"/>
          <w:b/>
          <w:bCs/>
          <w:kern w:val="2"/>
          <w:sz w:val="21"/>
          <w:lang w:eastAsia="zh-CN"/>
        </w:rPr>
        <w:t>（二）中小企业声明函、残疾人福利性单位声明函及监狱企业声明函</w:t>
      </w:r>
    </w:p>
    <w:p w14:paraId="242D17C7">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填写指引：</w:t>
      </w:r>
    </w:p>
    <w:p w14:paraId="78250343">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089EE9E">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2、该部分内容填写需要参考的相关文件：</w:t>
      </w:r>
    </w:p>
    <w:p w14:paraId="14FB38E5">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(1)财政部《政府采购促进中小企业发展管理办法》（财库〔2020〕46号）；</w:t>
      </w:r>
    </w:p>
    <w:p w14:paraId="1FC68284">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(2)《工业和信息化部、国家统计局、国家发展和改革委员会、财政部关于印发中小企业划型标准规定的通知》（工信部联企业〔2011〕300 号，以下简称300号文）；</w:t>
      </w:r>
    </w:p>
    <w:p w14:paraId="07409DB0">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(3)《统计上大中小微型企业划分办法(2017)》（国统字〔2017〕213 号）；</w:t>
      </w:r>
    </w:p>
    <w:p w14:paraId="562618FB">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(4)《关于促进残疾人就业政府采购政策的通知》（财库〔2017〕141号）；</w:t>
      </w:r>
    </w:p>
    <w:p w14:paraId="7FF05ACC">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(5)《关于政府采购支持监狱企业发展有关问题的通知》（财库〔2014〕68号）</w:t>
      </w:r>
    </w:p>
    <w:p w14:paraId="07B4F8B8">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3、请依照提供的格式和内容填写声明函，不要随意变更格式；声明函不需要盖章或签字；满足多项优惠政策的投标人，不重复享受多项价格扣除政策。</w:t>
      </w:r>
    </w:p>
    <w:p w14:paraId="42782C0A">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4、声明函具体填写要求：</w:t>
      </w:r>
    </w:p>
    <w:p w14:paraId="3FF0003B">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（1）声明是中小企业须填写《中小企业声明函》的以下内容：</w:t>
      </w:r>
    </w:p>
    <w:p w14:paraId="7A329993">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第一处，在“单位名称”下划线处如实填写采购人名称（深圳公共资源交易中心不是本项目的采购人，而是组织实施机构）；</w:t>
      </w:r>
    </w:p>
    <w:p w14:paraId="25B03941">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第二处，在“项目名称”下划线处如实填写采购项目名称；</w:t>
      </w:r>
    </w:p>
    <w:p w14:paraId="614E39E4">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07B8B232">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14:paraId="742DC225">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340C62AD">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（2）声明是残疾人福利性单位须填写《残疾人福利性单位声明函》的相关内容，具体参照以上《中小企业声明函》填写要求执行。</w:t>
      </w:r>
    </w:p>
    <w:p w14:paraId="5562E713">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（3）声明是监狱企业须填写《监狱企业声明函》的三项内容（填写位置的字体已加粗），具体参照以上《中小企业声明函》填写要求执行。</w:t>
      </w:r>
    </w:p>
    <w:p w14:paraId="3C7843E4">
      <w:pPr>
        <w:widowControl w:val="0"/>
        <w:bidi w:val="0"/>
        <w:spacing w:line="240" w:lineRule="auto"/>
        <w:ind w:firstLine="420" w:firstLineChars="200"/>
        <w:jc w:val="both"/>
        <w:rPr>
          <w:rFonts w:ascii="仿宋" w:eastAsia="仿宋" w:hAnsi="仿宋" w:cs="仿宋" w:hint="eastAsia"/>
          <w:b/>
          <w:bCs/>
          <w:color w:val="FF0000"/>
          <w:kern w:val="2"/>
          <w:sz w:val="21"/>
          <w:lang w:eastAsia="zh-CN"/>
        </w:rPr>
      </w:pPr>
      <w:r>
        <w:rPr>
          <w:rFonts w:ascii="仿宋" w:eastAsia="仿宋" w:hAnsi="仿宋" w:cs="仿宋" w:hint="eastAsia"/>
          <w:b/>
          <w:bCs/>
          <w:color w:val="FF0000"/>
          <w:kern w:val="2"/>
          <w:sz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4ED197F">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7C8FEDDB">
      <w:pPr>
        <w:widowControl w:val="0"/>
        <w:spacing w:line="360" w:lineRule="auto"/>
        <w:jc w:val="center"/>
        <w:rPr>
          <w:rFonts w:ascii="仿宋" w:eastAsia="仿宋" w:hAnsi="仿宋" w:cs="仿宋" w:hint="eastAsia"/>
          <w:b/>
          <w:bCs/>
          <w:kern w:val="2"/>
          <w:lang w:eastAsia="zh-CN"/>
        </w:rPr>
      </w:pPr>
      <w:r>
        <w:rPr>
          <w:rFonts w:ascii="仿宋" w:eastAsia="仿宋" w:hAnsi="仿宋" w:cs="仿宋" w:hint="eastAsia"/>
          <w:b/>
          <w:bCs/>
          <w:kern w:val="2"/>
          <w:lang w:eastAsia="zh-CN"/>
        </w:rPr>
        <w:t>中小企业声明函（服务）</w:t>
      </w:r>
    </w:p>
    <w:p w14:paraId="7A534840">
      <w:pPr>
        <w:widowControl w:val="0"/>
        <w:bidi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lang w:eastAsia="zh-CN"/>
        </w:rPr>
        <w:t>本公司郑重声明，根据《政府采购促进中小企业发展管理办法》（财库﹝2020﹞46号）的规定，本公司参加</w:t>
      </w:r>
      <w:r>
        <w:rPr>
          <w:rFonts w:ascii="仿宋" w:eastAsia="仿宋" w:hAnsi="仿宋" w:cs="仿宋" w:hint="eastAsia"/>
          <w:b/>
          <w:bCs/>
          <w:kern w:val="2"/>
          <w:sz w:val="21"/>
          <w:u w:val="single"/>
          <w:lang w:eastAsia="zh-CN"/>
        </w:rPr>
        <w:t xml:space="preserve">    （单位名称）    </w:t>
      </w:r>
      <w:r>
        <w:rPr>
          <w:rFonts w:ascii="仿宋" w:eastAsia="仿宋" w:hAnsi="仿宋" w:cs="仿宋" w:hint="eastAsia"/>
          <w:kern w:val="2"/>
          <w:sz w:val="21"/>
          <w:lang w:eastAsia="zh-CN"/>
        </w:rPr>
        <w:t>的</w:t>
      </w:r>
      <w:r>
        <w:rPr>
          <w:rFonts w:ascii="仿宋" w:eastAsia="仿宋" w:hAnsi="仿宋" w:cs="仿宋" w:hint="eastAsia"/>
          <w:b/>
          <w:bCs/>
          <w:kern w:val="2"/>
          <w:sz w:val="21"/>
          <w:u w:val="single"/>
          <w:lang w:eastAsia="zh-CN"/>
        </w:rPr>
        <w:t xml:space="preserve">    （项目名称）    </w:t>
      </w:r>
      <w:r>
        <w:rPr>
          <w:rFonts w:ascii="仿宋" w:eastAsia="仿宋" w:hAnsi="仿宋" w:cs="仿宋" w:hint="eastAsia"/>
          <w:kern w:val="2"/>
          <w:sz w:val="21"/>
          <w:lang w:eastAsia="zh-CN"/>
        </w:rPr>
        <w:t>采购活动，服务全部由符合政策要求的中小企业承接。相关企业（含联合体中的中小企业、签订分包意向协议的中小企业）的具体情况如下：</w:t>
      </w:r>
    </w:p>
    <w:p w14:paraId="3019D61C">
      <w:pPr>
        <w:widowControl w:val="0"/>
        <w:bidi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lang w:eastAsia="zh-CN"/>
        </w:rPr>
        <w:t>1.</w:t>
      </w:r>
      <w:r>
        <w:rPr>
          <w:rFonts w:ascii="仿宋" w:eastAsia="仿宋" w:hAnsi="仿宋" w:cs="仿宋" w:hint="eastAsia"/>
          <w:b/>
          <w:bCs/>
          <w:kern w:val="2"/>
          <w:sz w:val="21"/>
          <w:u w:val="single"/>
          <w:lang w:eastAsia="zh-CN"/>
        </w:rPr>
        <w:t xml:space="preserve">    （标的名称）     </w:t>
      </w:r>
      <w:r>
        <w:rPr>
          <w:rFonts w:ascii="仿宋" w:eastAsia="仿宋" w:hAnsi="仿宋" w:cs="仿宋" w:hint="eastAsia"/>
          <w:kern w:val="2"/>
          <w:sz w:val="21"/>
          <w:lang w:eastAsia="zh-CN"/>
        </w:rPr>
        <w:t>，属于</w:t>
      </w:r>
      <w:r>
        <w:rPr>
          <w:rFonts w:ascii="仿宋" w:eastAsia="仿宋" w:hAnsi="仿宋" w:cs="仿宋" w:hint="eastAsia"/>
          <w:b/>
          <w:bCs/>
          <w:kern w:val="2"/>
          <w:sz w:val="21"/>
          <w:u w:val="single"/>
          <w:lang w:eastAsia="zh-CN"/>
        </w:rPr>
        <w:t xml:space="preserve">        </w:t>
      </w:r>
      <w:r>
        <w:rPr>
          <w:rFonts w:ascii="仿宋" w:eastAsia="仿宋" w:hAnsi="仿宋" w:cs="仿宋" w:hint="eastAsia"/>
          <w:kern w:val="2"/>
          <w:sz w:val="21"/>
          <w:lang w:eastAsia="zh-CN"/>
        </w:rPr>
        <w:t>行业；承接企业为</w:t>
      </w:r>
      <w:r>
        <w:rPr>
          <w:rFonts w:ascii="仿宋" w:eastAsia="仿宋" w:hAnsi="仿宋" w:cs="仿宋" w:hint="eastAsia"/>
          <w:b/>
          <w:bCs/>
          <w:kern w:val="2"/>
          <w:sz w:val="21"/>
          <w:u w:val="single"/>
          <w:lang w:eastAsia="zh-CN"/>
        </w:rPr>
        <w:t xml:space="preserve">    （企业名称，要求承接企业本身所属行业应当与招标文件要求的行业相一致）    </w:t>
      </w:r>
      <w:r>
        <w:rPr>
          <w:rFonts w:ascii="仿宋" w:eastAsia="仿宋" w:hAnsi="仿宋" w:cs="仿宋" w:hint="eastAsia"/>
          <w:kern w:val="2"/>
          <w:sz w:val="21"/>
          <w:lang w:eastAsia="zh-CN"/>
        </w:rPr>
        <w:t>，从业人员</w:t>
      </w:r>
      <w:r>
        <w:rPr>
          <w:rFonts w:ascii="仿宋" w:eastAsia="仿宋" w:hAnsi="仿宋" w:cs="仿宋" w:hint="eastAsia"/>
          <w:b/>
          <w:bCs/>
          <w:kern w:val="2"/>
          <w:sz w:val="21"/>
          <w:u w:val="single"/>
          <w:lang w:eastAsia="zh-CN"/>
        </w:rPr>
        <w:t xml:space="preserve">        </w:t>
      </w:r>
      <w:r>
        <w:rPr>
          <w:rFonts w:ascii="仿宋" w:eastAsia="仿宋" w:hAnsi="仿宋" w:cs="仿宋" w:hint="eastAsia"/>
          <w:kern w:val="2"/>
          <w:sz w:val="21"/>
          <w:lang w:eastAsia="zh-CN"/>
        </w:rPr>
        <w:t>人，营业收入为</w:t>
      </w:r>
      <w:r>
        <w:rPr>
          <w:rFonts w:ascii="仿宋" w:eastAsia="仿宋" w:hAnsi="仿宋" w:cs="仿宋" w:hint="eastAsia"/>
          <w:b/>
          <w:bCs/>
          <w:kern w:val="2"/>
          <w:sz w:val="21"/>
          <w:u w:val="single"/>
          <w:lang w:eastAsia="zh-CN"/>
        </w:rPr>
        <w:t xml:space="preserve">        </w:t>
      </w:r>
      <w:r>
        <w:rPr>
          <w:rFonts w:ascii="仿宋" w:eastAsia="仿宋" w:hAnsi="仿宋" w:cs="仿宋" w:hint="eastAsia"/>
          <w:kern w:val="2"/>
          <w:sz w:val="21"/>
          <w:lang w:eastAsia="zh-CN"/>
        </w:rPr>
        <w:t>万元，资产总额为</w:t>
      </w:r>
      <w:r>
        <w:rPr>
          <w:rFonts w:ascii="仿宋" w:eastAsia="仿宋" w:hAnsi="仿宋" w:cs="仿宋" w:hint="eastAsia"/>
          <w:b/>
          <w:bCs/>
          <w:kern w:val="2"/>
          <w:sz w:val="21"/>
          <w:u w:val="single"/>
          <w:lang w:eastAsia="zh-CN"/>
        </w:rPr>
        <w:t xml:space="preserve">        </w:t>
      </w:r>
      <w:r>
        <w:rPr>
          <w:rFonts w:ascii="仿宋" w:eastAsia="仿宋" w:hAnsi="仿宋" w:cs="仿宋" w:hint="eastAsia"/>
          <w:kern w:val="2"/>
          <w:sz w:val="21"/>
          <w:lang w:eastAsia="zh-CN"/>
        </w:rPr>
        <w:t>万元，属于</w:t>
      </w:r>
      <w:r>
        <w:rPr>
          <w:rFonts w:ascii="仿宋" w:eastAsia="仿宋" w:hAnsi="仿宋" w:cs="仿宋" w:hint="eastAsia"/>
          <w:b/>
          <w:bCs/>
          <w:kern w:val="2"/>
          <w:sz w:val="21"/>
          <w:u w:val="single"/>
          <w:lang w:eastAsia="zh-CN"/>
        </w:rPr>
        <w:t xml:space="preserve">    （中型企业、小型企业、微型企业）    </w:t>
      </w:r>
      <w:r>
        <w:rPr>
          <w:rFonts w:ascii="仿宋" w:eastAsia="仿宋" w:hAnsi="仿宋" w:cs="仿宋" w:hint="eastAsia"/>
          <w:kern w:val="2"/>
          <w:sz w:val="21"/>
          <w:lang w:eastAsia="zh-CN"/>
        </w:rPr>
        <w:t>；</w:t>
      </w:r>
    </w:p>
    <w:p w14:paraId="4C84D981">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w:t>
      </w:r>
    </w:p>
    <w:p w14:paraId="1C3F2865">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以上企业，不属于大企业的分支机构，不存在控股股东为大企业的情形，也不存在与大企业的负责人为同一人的情形。</w:t>
      </w:r>
    </w:p>
    <w:p w14:paraId="71484EBA">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本企业对上述声明内容的真实性负责。如有虚假，将依法承担相应责任。</w:t>
      </w:r>
    </w:p>
    <w:p w14:paraId="2E16BBDF">
      <w:pPr>
        <w:widowControl w:val="0"/>
        <w:spacing w:line="360" w:lineRule="auto"/>
        <w:ind w:firstLine="420" w:firstLineChars="200"/>
        <w:jc w:val="both"/>
        <w:rPr>
          <w:rFonts w:ascii="仿宋" w:eastAsia="仿宋" w:hAnsi="仿宋" w:cs="仿宋" w:hint="eastAsia"/>
          <w:kern w:val="2"/>
          <w:lang w:eastAsia="zh-CN"/>
        </w:rPr>
      </w:pPr>
      <w:bookmarkStart w:id="27" w:name="_Hlk73562275"/>
      <w:r>
        <w:rPr>
          <w:rFonts w:ascii="仿宋" w:eastAsia="仿宋" w:hAnsi="仿宋" w:cs="仿宋"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14:paraId="30CD2FF8">
      <w:pPr>
        <w:widowControl/>
        <w:spacing w:line="360" w:lineRule="auto"/>
        <w:ind w:firstLine="420" w:firstLineChars="200"/>
        <w:jc w:val="both"/>
        <w:textAlignment w:val="baseline"/>
        <w:rPr>
          <w:rFonts w:ascii="仿宋" w:eastAsia="仿宋" w:hAnsi="仿宋" w:cs="仿宋" w:hint="eastAsia"/>
          <w:kern w:val="2"/>
          <w:sz w:val="21"/>
          <w:szCs w:val="21"/>
          <w:lang w:eastAsia="zh-CN"/>
        </w:rPr>
      </w:pPr>
    </w:p>
    <w:p w14:paraId="6C29E398">
      <w:pPr>
        <w:widowControl/>
        <w:spacing w:line="360" w:lineRule="auto"/>
        <w:ind w:firstLine="420" w:firstLineChars="200"/>
        <w:jc w:val="both"/>
        <w:textAlignment w:val="baseline"/>
        <w:rPr>
          <w:rFonts w:ascii="仿宋" w:eastAsia="仿宋" w:hAnsi="仿宋" w:cs="仿宋" w:hint="eastAsia"/>
          <w:kern w:val="2"/>
          <w:sz w:val="21"/>
          <w:szCs w:val="21"/>
          <w:lang w:eastAsia="zh-CN"/>
        </w:rPr>
      </w:pPr>
    </w:p>
    <w:p w14:paraId="45D85254">
      <w:pPr>
        <w:widowControl/>
        <w:spacing w:line="360" w:lineRule="auto"/>
        <w:ind w:firstLine="420" w:firstLineChars="200"/>
        <w:jc w:val="both"/>
        <w:textAlignment w:val="baseline"/>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企业名称：（盖章）</w:t>
      </w:r>
    </w:p>
    <w:p w14:paraId="57334093">
      <w:pPr>
        <w:widowControl/>
        <w:spacing w:line="360" w:lineRule="auto"/>
        <w:ind w:firstLine="420" w:firstLineChars="200"/>
        <w:jc w:val="both"/>
        <w:textAlignment w:val="baseline"/>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日期：</w:t>
      </w:r>
    </w:p>
    <w:p w14:paraId="37881473">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6A949826">
      <w:pPr>
        <w:widowControl w:val="0"/>
        <w:spacing w:line="360" w:lineRule="auto"/>
        <w:jc w:val="center"/>
        <w:rPr>
          <w:rFonts w:ascii="仿宋" w:eastAsia="仿宋" w:hAnsi="仿宋" w:cs="仿宋" w:hint="eastAsia"/>
          <w:b/>
          <w:bCs/>
          <w:kern w:val="2"/>
          <w:lang w:eastAsia="zh-CN"/>
        </w:rPr>
      </w:pPr>
      <w:r>
        <w:rPr>
          <w:rFonts w:ascii="仿宋" w:eastAsia="仿宋" w:hAnsi="仿宋" w:cs="仿宋" w:hint="eastAsia"/>
          <w:b/>
          <w:bCs/>
          <w:kern w:val="2"/>
          <w:lang w:eastAsia="zh-CN"/>
        </w:rPr>
        <w:t>残疾人福利性单位声明函（服务类）</w:t>
      </w:r>
    </w:p>
    <w:p w14:paraId="169708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仿宋" w:eastAsia="仿宋" w:hAnsi="仿宋" w:cs="仿宋" w:hint="eastAsia"/>
          <w:kern w:val="2"/>
          <w:sz w:val="21"/>
          <w:szCs w:val="21"/>
          <w:lang w:eastAsia="zh-CN"/>
        </w:rPr>
      </w:pPr>
      <w:bookmarkStart w:id="28" w:name="_Hlk73562331"/>
      <w:r>
        <w:rPr>
          <w:rFonts w:ascii="仿宋" w:eastAsia="仿宋" w:hAnsi="仿宋" w:cs="仿宋"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仿宋" w:eastAsia="仿宋" w:hAnsi="仿宋" w:cs="仿宋" w:hint="eastAsia"/>
          <w:b/>
          <w:bCs/>
          <w:kern w:val="2"/>
          <w:sz w:val="21"/>
          <w:szCs w:val="21"/>
          <w:u w:val="single"/>
          <w:lang w:eastAsia="zh-CN"/>
        </w:rPr>
        <w:t xml:space="preserve">    （单位名称）    </w:t>
      </w:r>
      <w:r>
        <w:rPr>
          <w:rFonts w:ascii="仿宋" w:eastAsia="仿宋" w:hAnsi="仿宋" w:cs="仿宋" w:hint="eastAsia"/>
          <w:kern w:val="2"/>
          <w:sz w:val="21"/>
          <w:szCs w:val="21"/>
          <w:lang w:eastAsia="zh-CN"/>
        </w:rPr>
        <w:t>单位的</w:t>
      </w:r>
      <w:r>
        <w:rPr>
          <w:rFonts w:ascii="仿宋" w:eastAsia="仿宋" w:hAnsi="仿宋" w:cs="仿宋" w:hint="eastAsia"/>
          <w:b/>
          <w:bCs/>
          <w:kern w:val="2"/>
          <w:sz w:val="21"/>
          <w:szCs w:val="21"/>
          <w:u w:val="single"/>
          <w:lang w:eastAsia="zh-CN"/>
        </w:rPr>
        <w:t xml:space="preserve">    （项目名称）    </w:t>
      </w:r>
      <w:r>
        <w:rPr>
          <w:rFonts w:ascii="仿宋" w:eastAsia="仿宋" w:hAnsi="仿宋" w:cs="仿宋" w:hint="eastAsia"/>
          <w:kern w:val="2"/>
          <w:sz w:val="21"/>
          <w:szCs w:val="21"/>
          <w:lang w:eastAsia="zh-CN"/>
        </w:rPr>
        <w:t>项目采购活动由本单位提供服务。</w:t>
      </w:r>
    </w:p>
    <w:p w14:paraId="66A5F2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本单位对上述声明的真实性负责。如有虚假，将依法承担相应责任。</w:t>
      </w:r>
    </w:p>
    <w:p w14:paraId="1EF7D592">
      <w:pPr>
        <w:widowControl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8"/>
    </w:p>
    <w:p w14:paraId="76FD4BCD">
      <w:pPr>
        <w:widowControl/>
        <w:spacing w:line="360" w:lineRule="auto"/>
        <w:ind w:firstLine="420" w:firstLineChars="200"/>
        <w:jc w:val="both"/>
        <w:textAlignment w:val="baseline"/>
        <w:rPr>
          <w:rFonts w:ascii="仿宋" w:eastAsia="仿宋" w:hAnsi="仿宋" w:cs="仿宋" w:hint="eastAsia"/>
          <w:kern w:val="2"/>
          <w:sz w:val="21"/>
          <w:szCs w:val="21"/>
          <w:lang w:eastAsia="zh-CN"/>
        </w:rPr>
      </w:pPr>
    </w:p>
    <w:p w14:paraId="41310873">
      <w:pPr>
        <w:widowControl/>
        <w:spacing w:line="360" w:lineRule="auto"/>
        <w:ind w:firstLine="420" w:firstLineChars="200"/>
        <w:jc w:val="both"/>
        <w:textAlignment w:val="baseline"/>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企业名称：（盖章）</w:t>
      </w:r>
    </w:p>
    <w:p w14:paraId="25E3D989">
      <w:pPr>
        <w:widowControl/>
        <w:spacing w:line="360" w:lineRule="auto"/>
        <w:ind w:firstLine="420" w:firstLineChars="200"/>
        <w:jc w:val="both"/>
        <w:textAlignment w:val="baseline"/>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日期：</w:t>
      </w:r>
    </w:p>
    <w:p w14:paraId="72EE5CAE">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0F205E5D">
      <w:pPr>
        <w:widowControl w:val="0"/>
        <w:spacing w:line="360" w:lineRule="auto"/>
        <w:jc w:val="center"/>
        <w:rPr>
          <w:rFonts w:ascii="仿宋" w:eastAsia="仿宋" w:hAnsi="仿宋" w:cs="仿宋" w:hint="eastAsia"/>
          <w:b/>
          <w:bCs/>
          <w:kern w:val="2"/>
          <w:lang w:eastAsia="zh-CN"/>
        </w:rPr>
      </w:pPr>
      <w:r>
        <w:rPr>
          <w:rFonts w:ascii="仿宋" w:eastAsia="仿宋" w:hAnsi="仿宋" w:cs="仿宋" w:hint="eastAsia"/>
          <w:b/>
          <w:bCs/>
          <w:kern w:val="2"/>
          <w:lang w:eastAsia="zh-CN"/>
        </w:rPr>
        <w:t>监狱企业声明函【服务类，监狱企业如需享受优惠政策，还须另行提供省级以上监狱管理局、戒毒管理局（含新疆生产建设兵团）出具的监狱企业证明文件】</w:t>
      </w:r>
    </w:p>
    <w:p w14:paraId="79472703">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本投标人郑重声明，根据《财政部司法部关于政府采购支持监狱企业发展有关问题的通知》（财库〔2014〕68号）的规定，本投标人参加</w:t>
      </w:r>
      <w:r>
        <w:rPr>
          <w:rFonts w:ascii="仿宋" w:eastAsia="仿宋" w:hAnsi="仿宋" w:cs="仿宋" w:hint="eastAsia"/>
          <w:b/>
          <w:bCs/>
          <w:kern w:val="2"/>
          <w:sz w:val="21"/>
          <w:szCs w:val="21"/>
          <w:u w:val="single"/>
          <w:lang w:eastAsia="zh-CN"/>
        </w:rPr>
        <w:t>（采购人名称）</w:t>
      </w:r>
      <w:r>
        <w:rPr>
          <w:rFonts w:ascii="仿宋" w:eastAsia="仿宋" w:hAnsi="仿宋" w:cs="仿宋" w:hint="eastAsia"/>
          <w:kern w:val="2"/>
          <w:sz w:val="21"/>
          <w:szCs w:val="21"/>
          <w:lang w:eastAsia="zh-CN"/>
        </w:rPr>
        <w:t>的</w:t>
      </w:r>
      <w:r>
        <w:rPr>
          <w:rFonts w:ascii="仿宋" w:eastAsia="仿宋" w:hAnsi="仿宋" w:cs="仿宋" w:hint="eastAsia"/>
          <w:b/>
          <w:bCs/>
          <w:kern w:val="2"/>
          <w:sz w:val="21"/>
          <w:szCs w:val="21"/>
          <w:u w:val="single"/>
          <w:lang w:eastAsia="zh-CN"/>
        </w:rPr>
        <w:t>（项目名称）</w:t>
      </w:r>
      <w:r>
        <w:rPr>
          <w:rFonts w:ascii="仿宋" w:eastAsia="仿宋" w:hAnsi="仿宋" w:cs="仿宋" w:hint="eastAsia"/>
          <w:kern w:val="2"/>
          <w:sz w:val="21"/>
          <w:szCs w:val="21"/>
          <w:lang w:eastAsia="zh-CN"/>
        </w:rPr>
        <w:t>采购活动，服务全部由符合政策要求的监狱企业承接。相关监狱企业的具体情况如下：</w:t>
      </w:r>
    </w:p>
    <w:p w14:paraId="44EE6EC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w:t>
      </w:r>
      <w:r>
        <w:rPr>
          <w:rFonts w:ascii="仿宋" w:eastAsia="仿宋" w:hAnsi="仿宋" w:cs="仿宋" w:hint="eastAsia"/>
          <w:b/>
          <w:bCs/>
          <w:kern w:val="2"/>
          <w:sz w:val="21"/>
          <w:szCs w:val="21"/>
          <w:u w:val="single"/>
          <w:lang w:eastAsia="zh-CN"/>
        </w:rPr>
        <w:t xml:space="preserve"> （标的名称）</w:t>
      </w:r>
      <w:r>
        <w:rPr>
          <w:rFonts w:ascii="仿宋" w:eastAsia="仿宋" w:hAnsi="仿宋" w:cs="仿宋" w:hint="eastAsia"/>
          <w:kern w:val="2"/>
          <w:sz w:val="21"/>
          <w:szCs w:val="21"/>
          <w:lang w:eastAsia="zh-CN"/>
        </w:rPr>
        <w:t xml:space="preserve"> ，承接单位为</w:t>
      </w:r>
      <w:r>
        <w:rPr>
          <w:rFonts w:ascii="仿宋" w:eastAsia="仿宋" w:hAnsi="仿宋" w:cs="仿宋" w:hint="eastAsia"/>
          <w:b/>
          <w:bCs/>
          <w:kern w:val="2"/>
          <w:sz w:val="21"/>
          <w:szCs w:val="21"/>
          <w:u w:val="single"/>
          <w:lang w:eastAsia="zh-CN"/>
        </w:rPr>
        <w:t>（企业名称）</w:t>
      </w:r>
      <w:r>
        <w:rPr>
          <w:rFonts w:ascii="仿宋" w:eastAsia="仿宋" w:hAnsi="仿宋" w:cs="仿宋" w:hint="eastAsia"/>
          <w:kern w:val="2"/>
          <w:sz w:val="21"/>
          <w:szCs w:val="21"/>
          <w:lang w:eastAsia="zh-CN"/>
        </w:rPr>
        <w:t>，属于</w:t>
      </w:r>
      <w:r>
        <w:rPr>
          <w:rFonts w:ascii="仿宋" w:eastAsia="仿宋" w:hAnsi="仿宋" w:cs="仿宋" w:hint="eastAsia"/>
          <w:b/>
          <w:bCs/>
          <w:kern w:val="2"/>
          <w:sz w:val="21"/>
          <w:szCs w:val="21"/>
          <w:u w:val="single"/>
          <w:lang w:eastAsia="zh-CN"/>
        </w:rPr>
        <w:t>监狱企业</w:t>
      </w:r>
      <w:r>
        <w:rPr>
          <w:rFonts w:ascii="仿宋" w:eastAsia="仿宋" w:hAnsi="仿宋" w:cs="仿宋" w:hint="eastAsia"/>
          <w:kern w:val="2"/>
          <w:sz w:val="21"/>
          <w:szCs w:val="21"/>
          <w:lang w:eastAsia="zh-CN"/>
        </w:rPr>
        <w:t>；</w:t>
      </w:r>
    </w:p>
    <w:p w14:paraId="19B82ABC">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w:t>
      </w:r>
    </w:p>
    <w:p w14:paraId="71FDFCA8">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本投标人对上述声明内容的真实性负责。如有虚假，将依法承担相应责任。</w:t>
      </w:r>
    </w:p>
    <w:p w14:paraId="53F3908D">
      <w:pPr>
        <w:widowControl w:val="0"/>
        <w:spacing w:line="360" w:lineRule="auto"/>
        <w:ind w:firstLine="420" w:firstLineChars="200"/>
        <w:jc w:val="both"/>
        <w:rPr>
          <w:rFonts w:ascii="仿宋" w:eastAsia="仿宋" w:hAnsi="仿宋" w:cs="仿宋" w:hint="eastAsia"/>
          <w:b/>
          <w:bCs/>
          <w:color w:val="FF0000"/>
          <w:kern w:val="2"/>
          <w:sz w:val="21"/>
          <w:szCs w:val="21"/>
          <w:lang w:eastAsia="zh-CN"/>
        </w:rPr>
      </w:pPr>
      <w:r>
        <w:rPr>
          <w:rFonts w:ascii="仿宋" w:eastAsia="仿宋" w:hAnsi="仿宋" w:cs="仿宋" w:hint="eastAsia"/>
          <w:kern w:val="2"/>
          <w:sz w:val="21"/>
          <w:szCs w:val="21"/>
          <w:lang w:eastAsia="zh-CN"/>
        </w:rPr>
        <w:t>附：省级以上监狱管理局、戒毒管理局（含新疆生产建设兵团）出具的监狱企业证明文件。</w:t>
      </w:r>
    </w:p>
    <w:p w14:paraId="6D2AEA96">
      <w:pPr>
        <w:widowControl w:val="0"/>
        <w:spacing w:line="360" w:lineRule="auto"/>
        <w:jc w:val="both"/>
        <w:rPr>
          <w:rFonts w:ascii="仿宋" w:eastAsia="仿宋" w:hAnsi="仿宋" w:cs="仿宋" w:hint="eastAsia"/>
          <w:b/>
          <w:kern w:val="2"/>
          <w:sz w:val="21"/>
          <w:szCs w:val="21"/>
          <w:lang w:eastAsia="zh-CN"/>
        </w:rPr>
      </w:pPr>
    </w:p>
    <w:p w14:paraId="1363D4CB">
      <w:pPr>
        <w:widowControl/>
        <w:spacing w:line="360" w:lineRule="auto"/>
        <w:ind w:firstLine="420" w:firstLineChars="200"/>
        <w:jc w:val="both"/>
        <w:textAlignment w:val="baseline"/>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企业名称：（盖章）</w:t>
      </w:r>
    </w:p>
    <w:p w14:paraId="76FADFD0">
      <w:pPr>
        <w:widowControl/>
        <w:spacing w:line="360" w:lineRule="auto"/>
        <w:ind w:firstLine="420" w:firstLineChars="200"/>
        <w:jc w:val="both"/>
        <w:textAlignment w:val="baseline"/>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日期：</w:t>
      </w:r>
    </w:p>
    <w:p w14:paraId="6BDE8461">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br w:type="page"/>
      </w:r>
    </w:p>
    <w:p w14:paraId="52307709">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eastAsia="zh-CN"/>
        </w:rPr>
        <w:t>四、分项报价清单</w:t>
      </w:r>
    </w:p>
    <w:tbl>
      <w:tblPr>
        <w:tblStyle w:val="TableNormal"/>
        <w:tblW w:w="5000" w:type="pct"/>
        <w:jc w:val="center"/>
        <w:tblLayout w:type="fixed"/>
        <w:tblCellMar>
          <w:top w:w="0" w:type="dxa"/>
          <w:left w:w="108" w:type="dxa"/>
          <w:bottom w:w="0" w:type="dxa"/>
          <w:right w:w="108" w:type="dxa"/>
        </w:tblCellMar>
      </w:tblPr>
      <w:tblGrid>
        <w:gridCol w:w="723"/>
        <w:gridCol w:w="4880"/>
        <w:gridCol w:w="3229"/>
        <w:gridCol w:w="1250"/>
      </w:tblGrid>
      <w:tr w14:paraId="7BC82890">
        <w:tblPrEx>
          <w:tblW w:w="5000" w:type="pct"/>
          <w:jc w:val="center"/>
          <w:tblLayout w:type="fixed"/>
          <w:tblCellMar>
            <w:top w:w="0" w:type="dxa"/>
            <w:left w:w="108" w:type="dxa"/>
            <w:bottom w:w="0" w:type="dxa"/>
            <w:right w:w="108" w:type="dxa"/>
          </w:tblCellMar>
        </w:tblPrEx>
        <w:trPr>
          <w:trHeight w:val="377"/>
          <w:jc w:val="center"/>
        </w:trPr>
        <w:tc>
          <w:tcPr>
            <w:tcW w:w="668" w:type="dxa"/>
            <w:tcBorders>
              <w:top w:val="single" w:sz="8" w:space="0" w:color="auto"/>
              <w:left w:val="single" w:sz="8" w:space="0" w:color="auto"/>
              <w:bottom w:val="single" w:sz="4" w:space="0" w:color="auto"/>
              <w:right w:val="single" w:sz="4" w:space="0" w:color="auto"/>
            </w:tcBorders>
            <w:shd w:val="clear" w:color="000000" w:fill="E7E6E6"/>
            <w:vAlign w:val="center"/>
          </w:tcPr>
          <w:p w14:paraId="1C0E8AC6">
            <w:pPr>
              <w:widowControl/>
              <w:spacing w:line="360" w:lineRule="auto"/>
              <w:jc w:val="center"/>
              <w:rPr>
                <w:rFonts w:ascii="仿宋" w:eastAsia="仿宋" w:hAnsi="仿宋" w:cs="仿宋" w:hint="eastAsia"/>
                <w:b/>
                <w:bCs/>
                <w:sz w:val="20"/>
                <w:szCs w:val="20"/>
                <w:lang w:eastAsia="zh-CN"/>
              </w:rPr>
            </w:pPr>
            <w:r>
              <w:rPr>
                <w:rFonts w:ascii="仿宋" w:eastAsia="仿宋" w:hAnsi="仿宋" w:cs="仿宋" w:hint="eastAsia"/>
                <w:b/>
                <w:bCs/>
                <w:sz w:val="20"/>
                <w:szCs w:val="20"/>
                <w:lang w:eastAsia="zh-CN"/>
              </w:rPr>
              <w:t>序号</w:t>
            </w:r>
          </w:p>
        </w:tc>
        <w:tc>
          <w:tcPr>
            <w:tcW w:w="4510" w:type="dxa"/>
            <w:tcBorders>
              <w:top w:val="single" w:sz="8" w:space="0" w:color="auto"/>
              <w:left w:val="nil"/>
              <w:bottom w:val="single" w:sz="4" w:space="0" w:color="auto"/>
              <w:right w:val="single" w:sz="4" w:space="0" w:color="auto"/>
            </w:tcBorders>
            <w:shd w:val="clear" w:color="000000" w:fill="E7E6E6"/>
            <w:vAlign w:val="center"/>
          </w:tcPr>
          <w:p w14:paraId="288D153F">
            <w:pPr>
              <w:widowControl/>
              <w:spacing w:line="360" w:lineRule="auto"/>
              <w:jc w:val="center"/>
              <w:rPr>
                <w:rFonts w:ascii="仿宋" w:eastAsia="仿宋" w:hAnsi="仿宋" w:cs="仿宋" w:hint="eastAsia"/>
                <w:b/>
                <w:bCs/>
                <w:sz w:val="20"/>
                <w:szCs w:val="20"/>
                <w:lang w:eastAsia="zh-CN"/>
              </w:rPr>
            </w:pPr>
            <w:r>
              <w:rPr>
                <w:rFonts w:ascii="仿宋" w:eastAsia="仿宋" w:hAnsi="仿宋" w:cs="仿宋" w:hint="eastAsia"/>
                <w:b/>
                <w:bCs/>
                <w:sz w:val="20"/>
                <w:szCs w:val="20"/>
                <w:lang w:eastAsia="zh-CN"/>
              </w:rPr>
              <w:t>项目名称</w:t>
            </w:r>
          </w:p>
        </w:tc>
        <w:tc>
          <w:tcPr>
            <w:tcW w:w="2984" w:type="dxa"/>
            <w:tcBorders>
              <w:top w:val="single" w:sz="8" w:space="0" w:color="auto"/>
              <w:left w:val="nil"/>
              <w:bottom w:val="single" w:sz="4" w:space="0" w:color="auto"/>
              <w:right w:val="single" w:sz="4" w:space="0" w:color="auto"/>
            </w:tcBorders>
            <w:shd w:val="clear" w:color="000000" w:fill="E7E6E6"/>
            <w:vAlign w:val="center"/>
          </w:tcPr>
          <w:p w14:paraId="0D949E69">
            <w:pPr>
              <w:widowControl/>
              <w:spacing w:line="360" w:lineRule="auto"/>
              <w:jc w:val="center"/>
              <w:rPr>
                <w:rFonts w:ascii="仿宋" w:eastAsia="仿宋" w:hAnsi="仿宋" w:cs="仿宋" w:hint="eastAsia"/>
                <w:b/>
                <w:bCs/>
                <w:sz w:val="20"/>
                <w:szCs w:val="20"/>
                <w:lang w:eastAsia="zh-CN"/>
              </w:rPr>
            </w:pPr>
            <w:r>
              <w:rPr>
                <w:rFonts w:ascii="仿宋" w:eastAsia="仿宋" w:hAnsi="仿宋" w:cs="仿宋" w:hint="eastAsia"/>
                <w:b/>
                <w:bCs/>
                <w:sz w:val="20"/>
                <w:szCs w:val="20"/>
                <w:lang w:eastAsia="zh-CN"/>
              </w:rPr>
              <w:t>金额（元）</w:t>
            </w:r>
          </w:p>
        </w:tc>
        <w:tc>
          <w:tcPr>
            <w:tcW w:w="1155" w:type="dxa"/>
            <w:tcBorders>
              <w:top w:val="single" w:sz="8" w:space="0" w:color="auto"/>
              <w:left w:val="nil"/>
              <w:bottom w:val="single" w:sz="4" w:space="0" w:color="auto"/>
              <w:right w:val="single" w:sz="8" w:space="0" w:color="auto"/>
            </w:tcBorders>
            <w:shd w:val="clear" w:color="000000" w:fill="E7E6E6"/>
            <w:vAlign w:val="center"/>
          </w:tcPr>
          <w:p w14:paraId="5794902A">
            <w:pPr>
              <w:widowControl/>
              <w:spacing w:line="360" w:lineRule="auto"/>
              <w:jc w:val="center"/>
              <w:rPr>
                <w:rFonts w:ascii="仿宋" w:eastAsia="仿宋" w:hAnsi="仿宋" w:cs="仿宋" w:hint="eastAsia"/>
                <w:b/>
                <w:bCs/>
                <w:sz w:val="20"/>
                <w:szCs w:val="20"/>
                <w:lang w:eastAsia="zh-CN"/>
              </w:rPr>
            </w:pPr>
            <w:r>
              <w:rPr>
                <w:rFonts w:ascii="仿宋" w:eastAsia="仿宋" w:hAnsi="仿宋" w:cs="仿宋" w:hint="eastAsia"/>
                <w:b/>
                <w:bCs/>
                <w:sz w:val="20"/>
                <w:szCs w:val="20"/>
                <w:lang w:eastAsia="zh-CN"/>
              </w:rPr>
              <w:t>说明</w:t>
            </w:r>
          </w:p>
        </w:tc>
      </w:tr>
      <w:tr w14:paraId="5C2B5DAF">
        <w:tblPrEx>
          <w:tblW w:w="5000" w:type="pct"/>
          <w:jc w:val="center"/>
          <w:tblLayout w:type="fixed"/>
          <w:tblCellMar>
            <w:top w:w="0" w:type="dxa"/>
            <w:left w:w="108" w:type="dxa"/>
            <w:bottom w:w="0" w:type="dxa"/>
            <w:right w:w="108" w:type="dxa"/>
          </w:tblCellMar>
        </w:tblPrEx>
        <w:trPr>
          <w:trHeight w:val="663"/>
          <w:jc w:val="center"/>
        </w:trPr>
        <w:tc>
          <w:tcPr>
            <w:tcW w:w="668" w:type="dxa"/>
            <w:tcBorders>
              <w:top w:val="single" w:sz="4" w:space="0" w:color="auto"/>
              <w:left w:val="single" w:sz="8" w:space="0" w:color="auto"/>
              <w:bottom w:val="single" w:sz="4" w:space="0" w:color="auto"/>
              <w:right w:val="single" w:sz="4" w:space="0" w:color="auto"/>
            </w:tcBorders>
            <w:shd w:val="clear" w:color="auto" w:fill="auto"/>
            <w:vAlign w:val="center"/>
          </w:tcPr>
          <w:p w14:paraId="79AA0BAD">
            <w:pPr>
              <w:widowControl/>
              <w:spacing w:line="360" w:lineRule="auto"/>
              <w:jc w:val="center"/>
              <w:rPr>
                <w:rFonts w:ascii="仿宋" w:eastAsia="仿宋" w:hAnsi="仿宋" w:cs="仿宋" w:hint="eastAsia"/>
                <w:sz w:val="20"/>
                <w:szCs w:val="20"/>
                <w:lang w:eastAsia="zh-CN"/>
              </w:rPr>
            </w:pPr>
            <w:r>
              <w:rPr>
                <w:rFonts w:ascii="仿宋" w:eastAsia="仿宋" w:hAnsi="仿宋" w:cs="仿宋" w:hint="eastAsia"/>
                <w:sz w:val="20"/>
                <w:szCs w:val="20"/>
                <w:lang w:eastAsia="zh-CN"/>
              </w:rPr>
              <w:t>1</w:t>
            </w:r>
          </w:p>
        </w:tc>
        <w:tc>
          <w:tcPr>
            <w:tcW w:w="4510" w:type="dxa"/>
            <w:tcBorders>
              <w:top w:val="single" w:sz="4" w:space="0" w:color="auto"/>
              <w:left w:val="nil"/>
              <w:bottom w:val="single" w:sz="4" w:space="0" w:color="auto"/>
              <w:right w:val="single" w:sz="4" w:space="0" w:color="auto"/>
            </w:tcBorders>
            <w:shd w:val="clear" w:color="auto" w:fill="auto"/>
            <w:vAlign w:val="center"/>
          </w:tcPr>
          <w:p w14:paraId="62EEB9CC">
            <w:pPr>
              <w:widowControl/>
              <w:spacing w:line="360" w:lineRule="auto"/>
              <w:jc w:val="center"/>
              <w:rPr>
                <w:rFonts w:ascii="仿宋" w:eastAsia="仿宋" w:hAnsi="仿宋" w:cs="仿宋" w:hint="eastAsia"/>
                <w:sz w:val="20"/>
                <w:szCs w:val="20"/>
                <w:lang w:eastAsia="zh-CN"/>
              </w:rPr>
            </w:pPr>
            <w:r>
              <w:rPr>
                <w:rFonts w:ascii="仿宋" w:eastAsia="仿宋" w:hAnsi="仿宋" w:cs="仿宋" w:hint="eastAsia"/>
                <w:sz w:val="20"/>
                <w:szCs w:val="20"/>
                <w:lang w:eastAsia="zh-CN"/>
              </w:rPr>
              <w:t xml:space="preserve"> 2026年食堂管理服务</w:t>
            </w:r>
          </w:p>
        </w:tc>
        <w:tc>
          <w:tcPr>
            <w:tcW w:w="2984" w:type="dxa"/>
            <w:tcBorders>
              <w:top w:val="single" w:sz="4" w:space="0" w:color="auto"/>
              <w:left w:val="nil"/>
              <w:bottom w:val="single" w:sz="4" w:space="0" w:color="auto"/>
              <w:right w:val="single" w:sz="4" w:space="0" w:color="auto"/>
            </w:tcBorders>
            <w:shd w:val="clear" w:color="000000" w:fill="FFFFFF"/>
            <w:vAlign w:val="center"/>
          </w:tcPr>
          <w:p w14:paraId="443F7D4D">
            <w:pPr>
              <w:widowControl/>
              <w:spacing w:line="360" w:lineRule="auto"/>
              <w:jc w:val="right"/>
              <w:rPr>
                <w:rFonts w:ascii="仿宋" w:eastAsia="仿宋" w:hAnsi="仿宋" w:cs="仿宋" w:hint="eastAsia"/>
                <w:sz w:val="20"/>
                <w:szCs w:val="20"/>
                <w:lang w:eastAsia="zh-CN"/>
              </w:rPr>
            </w:pPr>
            <w:r>
              <w:rPr>
                <w:rFonts w:ascii="仿宋" w:eastAsia="仿宋" w:hAnsi="仿宋" w:cs="仿宋" w:hint="eastAsia"/>
                <w:sz w:val="20"/>
                <w:szCs w:val="20"/>
                <w:lang w:eastAsia="zh-CN"/>
              </w:rPr>
              <w:t>　</w:t>
            </w:r>
          </w:p>
        </w:tc>
        <w:tc>
          <w:tcPr>
            <w:tcW w:w="1155" w:type="dxa"/>
            <w:tcBorders>
              <w:top w:val="single" w:sz="4" w:space="0" w:color="auto"/>
              <w:left w:val="nil"/>
              <w:bottom w:val="single" w:sz="4" w:space="0" w:color="auto"/>
              <w:right w:val="single" w:sz="8" w:space="0" w:color="auto"/>
            </w:tcBorders>
            <w:shd w:val="clear" w:color="auto" w:fill="auto"/>
            <w:vAlign w:val="center"/>
          </w:tcPr>
          <w:p w14:paraId="32C75F40">
            <w:pPr>
              <w:widowControl/>
              <w:spacing w:line="360" w:lineRule="auto"/>
              <w:jc w:val="left"/>
              <w:rPr>
                <w:rFonts w:ascii="仿宋" w:eastAsia="仿宋" w:hAnsi="仿宋" w:cs="仿宋" w:hint="eastAsia"/>
                <w:sz w:val="20"/>
                <w:szCs w:val="20"/>
                <w:lang w:eastAsia="zh-CN"/>
              </w:rPr>
            </w:pPr>
          </w:p>
        </w:tc>
      </w:tr>
    </w:tbl>
    <w:p w14:paraId="0EB170F9">
      <w:pPr>
        <w:widowControl w:val="0"/>
        <w:bidi w:val="0"/>
        <w:spacing w:line="360" w:lineRule="auto"/>
        <w:jc w:val="both"/>
        <w:rPr>
          <w:rFonts w:ascii="仿宋" w:eastAsia="仿宋" w:hAnsi="仿宋" w:cs="仿宋" w:hint="eastAsia"/>
          <w:kern w:val="2"/>
          <w:sz w:val="21"/>
          <w:lang w:eastAsia="zh-CN"/>
        </w:rPr>
      </w:pPr>
    </w:p>
    <w:p w14:paraId="21996DAD">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五、</w:t>
      </w:r>
      <w:r>
        <w:rPr>
          <w:rFonts w:ascii="仿宋" w:eastAsia="仿宋" w:hAnsi="仿宋" w:cs="仿宋" w:hint="eastAsia"/>
          <w:b/>
          <w:kern w:val="2"/>
          <w:sz w:val="28"/>
          <w:lang w:eastAsia="zh-CN"/>
        </w:rPr>
        <w:t>法定代表人资格证明书</w:t>
      </w:r>
    </w:p>
    <w:p w14:paraId="4FEE2977">
      <w:pPr>
        <w:widowControl w:val="0"/>
        <w:spacing w:line="360" w:lineRule="auto"/>
        <w:ind w:firstLine="480" w:firstLineChars="200"/>
        <w:jc w:val="both"/>
        <w:rPr>
          <w:rFonts w:ascii="仿宋" w:eastAsia="仿宋" w:hAnsi="仿宋" w:cs="仿宋" w:hint="eastAsia"/>
          <w:kern w:val="2"/>
          <w:sz w:val="21"/>
          <w:szCs w:val="21"/>
          <w:lang w:eastAsia="zh-CN"/>
        </w:rPr>
      </w:pPr>
      <w:r>
        <w:rPr>
          <w:rFonts w:ascii="仿宋" w:eastAsia="仿宋" w:hAnsi="仿宋" w:cs="仿宋" w:hint="eastAsia"/>
          <w:kern w:val="2"/>
          <w:lang w:eastAsia="zh-CN"/>
        </w:rPr>
        <w:t xml:space="preserve"> </w:t>
      </w:r>
      <w:r>
        <w:rPr>
          <w:rFonts w:ascii="仿宋" w:eastAsia="仿宋" w:hAnsi="仿宋" w:cs="仿宋" w:hint="eastAsia"/>
          <w:kern w:val="2"/>
          <w:sz w:val="21"/>
          <w:lang w:eastAsia="zh-CN"/>
        </w:rPr>
        <w:t xml:space="preserve">   </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（姓名），现任我单位</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职务，为法定代表人（负责人），身份证件号为：</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，联系电话：</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w:t>
      </w:r>
    </w:p>
    <w:p w14:paraId="3A75BC49">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特此证明。</w:t>
      </w:r>
    </w:p>
    <w:p w14:paraId="36579A2B">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说明：1、法定代表人为投标人（企业事业单位、国家机关、社会团体）的主要行政负责人。</w:t>
      </w:r>
    </w:p>
    <w:p w14:paraId="4B4FA6FD">
      <w:pPr>
        <w:widowControl w:val="0"/>
        <w:numPr>
          <w:ilvl w:val="0"/>
          <w:numId w:val="14"/>
        </w:numPr>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Hans"/>
        </w:rPr>
        <w:t>本证明书</w:t>
      </w:r>
      <w:r>
        <w:rPr>
          <w:rFonts w:ascii="仿宋" w:eastAsia="仿宋" w:hAnsi="仿宋" w:cs="仿宋" w:hint="eastAsia"/>
          <w:kern w:val="2"/>
          <w:sz w:val="21"/>
          <w:szCs w:val="21"/>
          <w:lang w:eastAsia="zh-CN"/>
        </w:rPr>
        <w:t>要提</w:t>
      </w:r>
      <w:r>
        <w:rPr>
          <w:rFonts w:ascii="仿宋" w:eastAsia="仿宋" w:hAnsi="仿宋" w:cs="仿宋" w:hint="eastAsia"/>
          <w:kern w:val="2"/>
          <w:sz w:val="21"/>
          <w:szCs w:val="21"/>
          <w:lang w:eastAsia="zh-Hans"/>
        </w:rPr>
        <w:t>供法定代表人（负责人）</w:t>
      </w:r>
      <w:r>
        <w:rPr>
          <w:rFonts w:ascii="仿宋" w:eastAsia="仿宋" w:hAnsi="仿宋" w:cs="仿宋"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14:paraId="7DEBBC65">
      <w:pPr>
        <w:widowControl w:val="0"/>
        <w:numPr>
          <w:ilvl w:val="0"/>
          <w:numId w:val="14"/>
        </w:numPr>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Hans"/>
        </w:rPr>
        <w:t>本项目投标授权代表为法定代表人（负责人）的，无需提供</w:t>
      </w:r>
      <w:r>
        <w:rPr>
          <w:rFonts w:ascii="仿宋" w:eastAsia="仿宋" w:hAnsi="仿宋" w:cs="仿宋" w:hint="eastAsia"/>
          <w:kern w:val="2"/>
          <w:sz w:val="21"/>
          <w:szCs w:val="21"/>
          <w:lang w:eastAsia="zh-CN"/>
        </w:rPr>
        <w:t>《投标文件签署授权委托书》</w:t>
      </w:r>
      <w:r>
        <w:rPr>
          <w:rFonts w:ascii="仿宋" w:eastAsia="仿宋" w:hAnsi="仿宋" w:cs="仿宋" w:hint="eastAsia"/>
          <w:kern w:val="2"/>
          <w:sz w:val="21"/>
          <w:szCs w:val="21"/>
          <w:lang w:eastAsia="zh-Hans"/>
        </w:rPr>
        <w:t>。</w:t>
      </w:r>
    </w:p>
    <w:p w14:paraId="4F908D9E">
      <w:pPr>
        <w:widowControl w:val="0"/>
        <w:numPr>
          <w:ilvl w:val="0"/>
          <w:numId w:val="14"/>
        </w:numPr>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内容必须填写真实、清楚，涂改无效，不得转让、买卖。</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040"/>
        <w:gridCol w:w="5042"/>
      </w:tblGrid>
      <w:tr w14:paraId="2025377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45"/>
          <w:jc w:val="center"/>
        </w:trPr>
        <w:tc>
          <w:tcPr>
            <w:tcW w:w="4309" w:type="dxa"/>
          </w:tcPr>
          <w:p w14:paraId="754D4ED2">
            <w:pPr>
              <w:widowControl w:val="0"/>
              <w:spacing w:line="360" w:lineRule="auto"/>
              <w:jc w:val="center"/>
              <w:rPr>
                <w:rFonts w:ascii="仿宋" w:eastAsia="仿宋" w:hAnsi="仿宋" w:cs="仿宋" w:hint="eastAsia"/>
                <w:kern w:val="2"/>
                <w:sz w:val="21"/>
                <w:lang w:eastAsia="zh-CN"/>
              </w:rPr>
            </w:pPr>
            <w:r>
              <w:rPr>
                <w:rFonts w:ascii="仿宋" w:eastAsia="仿宋" w:hAnsi="仿宋" w:cs="仿宋" w:hint="eastAsia"/>
                <w:kern w:val="2"/>
                <w:sz w:val="21"/>
                <w:lang w:eastAsia="zh-CN"/>
              </w:rPr>
              <w:t>证件扫描件正面</w:t>
            </w:r>
          </w:p>
          <w:p w14:paraId="21F53EA5">
            <w:pPr>
              <w:widowControl w:val="0"/>
              <w:spacing w:line="360" w:lineRule="auto"/>
              <w:jc w:val="center"/>
              <w:rPr>
                <w:rFonts w:ascii="仿宋" w:eastAsia="仿宋" w:hAnsi="仿宋" w:cs="仿宋" w:hint="eastAsia"/>
                <w:b/>
                <w:kern w:val="2"/>
                <w:lang w:eastAsia="zh-CN"/>
              </w:rPr>
            </w:pPr>
          </w:p>
          <w:p w14:paraId="4A763E00">
            <w:pPr>
              <w:widowControl w:val="0"/>
              <w:spacing w:line="360" w:lineRule="auto"/>
              <w:jc w:val="center"/>
              <w:rPr>
                <w:rFonts w:ascii="仿宋" w:eastAsia="仿宋" w:hAnsi="仿宋" w:cs="仿宋" w:hint="eastAsia"/>
                <w:kern w:val="2"/>
                <w:lang w:eastAsia="zh-CN"/>
              </w:rPr>
            </w:pPr>
          </w:p>
        </w:tc>
        <w:tc>
          <w:tcPr>
            <w:tcW w:w="4310" w:type="dxa"/>
          </w:tcPr>
          <w:p w14:paraId="285878CC">
            <w:pPr>
              <w:widowControl w:val="0"/>
              <w:spacing w:line="360" w:lineRule="auto"/>
              <w:jc w:val="center"/>
              <w:rPr>
                <w:rFonts w:ascii="仿宋" w:eastAsia="仿宋" w:hAnsi="仿宋" w:cs="仿宋" w:hint="eastAsia"/>
                <w:kern w:val="2"/>
                <w:sz w:val="21"/>
                <w:lang w:eastAsia="zh-CN"/>
              </w:rPr>
            </w:pPr>
            <w:r>
              <w:rPr>
                <w:rFonts w:ascii="仿宋" w:eastAsia="仿宋" w:hAnsi="仿宋" w:cs="仿宋" w:hint="eastAsia"/>
                <w:kern w:val="2"/>
                <w:sz w:val="21"/>
                <w:lang w:eastAsia="zh-CN"/>
              </w:rPr>
              <w:t>证件扫描件反面</w:t>
            </w:r>
          </w:p>
          <w:p w14:paraId="181C1072">
            <w:pPr>
              <w:widowControl w:val="0"/>
              <w:spacing w:line="360" w:lineRule="auto"/>
              <w:jc w:val="center"/>
              <w:rPr>
                <w:rFonts w:ascii="仿宋" w:eastAsia="仿宋" w:hAnsi="仿宋" w:cs="仿宋" w:hint="eastAsia"/>
                <w:b/>
                <w:kern w:val="2"/>
                <w:lang w:eastAsia="zh-CN"/>
              </w:rPr>
            </w:pPr>
          </w:p>
          <w:p w14:paraId="1612C426">
            <w:pPr>
              <w:widowControl w:val="0"/>
              <w:spacing w:line="360" w:lineRule="auto"/>
              <w:jc w:val="center"/>
              <w:rPr>
                <w:rFonts w:ascii="仿宋" w:eastAsia="仿宋" w:hAnsi="仿宋" w:cs="仿宋" w:hint="eastAsia"/>
                <w:kern w:val="2"/>
                <w:lang w:eastAsia="zh-CN"/>
              </w:rPr>
            </w:pPr>
          </w:p>
        </w:tc>
      </w:tr>
    </w:tbl>
    <w:p w14:paraId="2E06EE43">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w:t>
      </w:r>
    </w:p>
    <w:p w14:paraId="4AD38FF3">
      <w:pPr>
        <w:widowControl w:val="0"/>
        <w:spacing w:line="360" w:lineRule="auto"/>
        <w:ind w:firstLine="3150" w:firstLineChars="1500"/>
        <w:jc w:val="left"/>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法定代表人或授权委托人：  </w:t>
      </w:r>
    </w:p>
    <w:p w14:paraId="7891B2B2">
      <w:pPr>
        <w:widowControl w:val="0"/>
        <w:spacing w:line="360" w:lineRule="auto"/>
        <w:ind w:firstLine="3150" w:firstLineChars="1500"/>
        <w:jc w:val="left"/>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投标单位：</w:t>
      </w:r>
    </w:p>
    <w:p w14:paraId="2E4DA931">
      <w:pPr>
        <w:widowControl w:val="0"/>
        <w:spacing w:line="360" w:lineRule="auto"/>
        <w:ind w:firstLine="3150" w:firstLineChars="1500"/>
        <w:jc w:val="left"/>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日期：   年  月  日</w:t>
      </w:r>
    </w:p>
    <w:p w14:paraId="0137C17A">
      <w:pPr>
        <w:widowControl w:val="0"/>
        <w:spacing w:line="360" w:lineRule="auto"/>
        <w:jc w:val="both"/>
        <w:rPr>
          <w:rFonts w:ascii="仿宋" w:eastAsia="仿宋" w:hAnsi="仿宋" w:cs="仿宋" w:hint="eastAsia"/>
          <w:bCs/>
          <w:kern w:val="2"/>
          <w:sz w:val="21"/>
          <w:lang w:eastAsia="zh-CN"/>
        </w:rPr>
      </w:pPr>
      <w:r>
        <w:rPr>
          <w:rFonts w:ascii="仿宋" w:eastAsia="仿宋" w:hAnsi="仿宋" w:cs="仿宋" w:hint="eastAsia"/>
          <w:bCs/>
          <w:kern w:val="2"/>
          <w:sz w:val="21"/>
          <w:lang w:eastAsia="zh-CN"/>
        </w:rPr>
        <w:br w:type="page"/>
      </w:r>
    </w:p>
    <w:p w14:paraId="4B65E539">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六、</w:t>
      </w:r>
      <w:r>
        <w:rPr>
          <w:rFonts w:ascii="仿宋" w:eastAsia="仿宋" w:hAnsi="仿宋" w:cs="仿宋" w:hint="eastAsia"/>
          <w:b/>
          <w:kern w:val="2"/>
          <w:sz w:val="28"/>
          <w:lang w:eastAsia="zh-CN"/>
        </w:rPr>
        <w:t>投标文件签署授权委托书</w:t>
      </w:r>
    </w:p>
    <w:p w14:paraId="2A1AB841">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本授权委托书声明：我</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（姓名）系</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（投标人名称）的法定代表人（负责人），现授权委托</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2302F653">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代理人无转委托权，特此委托。</w:t>
      </w:r>
    </w:p>
    <w:p w14:paraId="6093CECA">
      <w:pPr>
        <w:widowControl w:val="0"/>
        <w:spacing w:line="360" w:lineRule="auto"/>
        <w:ind w:firstLine="420" w:firstLineChars="200"/>
        <w:jc w:val="both"/>
        <w:rPr>
          <w:rFonts w:ascii="仿宋" w:eastAsia="仿宋" w:hAnsi="仿宋" w:cs="仿宋" w:hint="eastAsia"/>
          <w:kern w:val="2"/>
          <w:sz w:val="21"/>
          <w:szCs w:val="21"/>
          <w:lang w:eastAsia="zh-CN"/>
        </w:rPr>
      </w:pPr>
    </w:p>
    <w:p w14:paraId="6F8D0C3C">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代理人：</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w:t>
      </w:r>
    </w:p>
    <w:p w14:paraId="07CDF3BA">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身份证件号：</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，职务：</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w:t>
      </w:r>
    </w:p>
    <w:p w14:paraId="2148277C">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联系电话：</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，手机：</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，电子邮箱：</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w:t>
      </w:r>
    </w:p>
    <w:p w14:paraId="1D6A7CCE">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授权委托日期：</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年</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 xml:space="preserve">月 </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日。</w:t>
      </w:r>
    </w:p>
    <w:p w14:paraId="4C56119A">
      <w:pPr>
        <w:widowControl w:val="0"/>
        <w:spacing w:line="360" w:lineRule="auto"/>
        <w:ind w:firstLine="3150" w:firstLineChars="1500"/>
        <w:jc w:val="left"/>
        <w:rPr>
          <w:rFonts w:ascii="仿宋" w:eastAsia="仿宋" w:hAnsi="仿宋" w:cs="仿宋" w:hint="eastAsia"/>
          <w:b/>
          <w:color w:val="FF0000"/>
          <w:kern w:val="2"/>
          <w:sz w:val="21"/>
          <w:szCs w:val="21"/>
          <w:lang w:eastAsia="zh-CN"/>
        </w:rPr>
      </w:pPr>
      <w:r>
        <w:rPr>
          <w:rFonts w:ascii="仿宋" w:eastAsia="仿宋" w:hAnsi="仿宋" w:cs="仿宋"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040"/>
        <w:gridCol w:w="5042"/>
      </w:tblGrid>
      <w:tr w14:paraId="1D6B7E7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96"/>
          <w:jc w:val="center"/>
        </w:trPr>
        <w:tc>
          <w:tcPr>
            <w:tcW w:w="4339" w:type="dxa"/>
          </w:tcPr>
          <w:p w14:paraId="281511E2">
            <w:pPr>
              <w:widowControl w:val="0"/>
              <w:spacing w:line="360" w:lineRule="auto"/>
              <w:jc w:val="center"/>
              <w:rPr>
                <w:rFonts w:ascii="仿宋" w:eastAsia="仿宋" w:hAnsi="仿宋" w:cs="仿宋" w:hint="eastAsia"/>
                <w:kern w:val="2"/>
                <w:sz w:val="21"/>
                <w:lang w:eastAsia="zh-CN"/>
              </w:rPr>
            </w:pPr>
            <w:r>
              <w:rPr>
                <w:rFonts w:ascii="仿宋" w:eastAsia="仿宋" w:hAnsi="仿宋" w:cs="仿宋" w:hint="eastAsia"/>
                <w:kern w:val="2"/>
                <w:sz w:val="21"/>
                <w:lang w:eastAsia="zh-CN"/>
              </w:rPr>
              <w:t>证件扫描件正面</w:t>
            </w:r>
          </w:p>
          <w:p w14:paraId="4AF65623">
            <w:pPr>
              <w:widowControl w:val="0"/>
              <w:spacing w:line="360" w:lineRule="auto"/>
              <w:jc w:val="center"/>
              <w:rPr>
                <w:rFonts w:ascii="仿宋" w:eastAsia="仿宋" w:hAnsi="仿宋" w:cs="仿宋" w:hint="eastAsia"/>
                <w:b/>
                <w:kern w:val="2"/>
                <w:lang w:eastAsia="zh-CN"/>
              </w:rPr>
            </w:pPr>
          </w:p>
          <w:p w14:paraId="79734452">
            <w:pPr>
              <w:widowControl w:val="0"/>
              <w:spacing w:line="360" w:lineRule="auto"/>
              <w:jc w:val="center"/>
              <w:rPr>
                <w:rFonts w:ascii="仿宋" w:eastAsia="仿宋" w:hAnsi="仿宋" w:cs="仿宋" w:hint="eastAsia"/>
                <w:kern w:val="2"/>
                <w:lang w:eastAsia="zh-CN"/>
              </w:rPr>
            </w:pPr>
          </w:p>
        </w:tc>
        <w:tc>
          <w:tcPr>
            <w:tcW w:w="4340" w:type="dxa"/>
          </w:tcPr>
          <w:p w14:paraId="4DBB5AAC">
            <w:pPr>
              <w:widowControl w:val="0"/>
              <w:spacing w:line="360" w:lineRule="auto"/>
              <w:jc w:val="center"/>
              <w:rPr>
                <w:rFonts w:ascii="仿宋" w:eastAsia="仿宋" w:hAnsi="仿宋" w:cs="仿宋" w:hint="eastAsia"/>
                <w:kern w:val="2"/>
                <w:sz w:val="21"/>
                <w:lang w:eastAsia="zh-CN"/>
              </w:rPr>
            </w:pPr>
            <w:r>
              <w:rPr>
                <w:rFonts w:ascii="仿宋" w:eastAsia="仿宋" w:hAnsi="仿宋" w:cs="仿宋" w:hint="eastAsia"/>
                <w:kern w:val="2"/>
                <w:sz w:val="21"/>
                <w:lang w:eastAsia="zh-CN"/>
              </w:rPr>
              <w:t>证件扫描件反面</w:t>
            </w:r>
          </w:p>
          <w:p w14:paraId="03C9B4D4">
            <w:pPr>
              <w:widowControl w:val="0"/>
              <w:spacing w:line="360" w:lineRule="auto"/>
              <w:jc w:val="center"/>
              <w:rPr>
                <w:rFonts w:ascii="仿宋" w:eastAsia="仿宋" w:hAnsi="仿宋" w:cs="仿宋" w:hint="eastAsia"/>
                <w:b/>
                <w:kern w:val="2"/>
                <w:lang w:eastAsia="zh-CN"/>
              </w:rPr>
            </w:pPr>
          </w:p>
          <w:p w14:paraId="7194F968">
            <w:pPr>
              <w:widowControl w:val="0"/>
              <w:spacing w:line="360" w:lineRule="auto"/>
              <w:jc w:val="center"/>
              <w:rPr>
                <w:rFonts w:ascii="仿宋" w:eastAsia="仿宋" w:hAnsi="仿宋" w:cs="仿宋" w:hint="eastAsia"/>
                <w:kern w:val="2"/>
                <w:lang w:eastAsia="zh-CN"/>
              </w:rPr>
            </w:pPr>
          </w:p>
        </w:tc>
      </w:tr>
    </w:tbl>
    <w:p w14:paraId="660652C1">
      <w:pPr>
        <w:widowControl w:val="0"/>
        <w:spacing w:line="360" w:lineRule="auto"/>
        <w:ind w:firstLine="3150" w:firstLineChars="1500"/>
        <w:jc w:val="left"/>
        <w:rPr>
          <w:rFonts w:ascii="仿宋" w:eastAsia="仿宋" w:hAnsi="仿宋" w:cs="仿宋" w:hint="eastAsia"/>
          <w:b/>
          <w:color w:val="FF0000"/>
          <w:kern w:val="2"/>
          <w:sz w:val="21"/>
          <w:szCs w:val="21"/>
          <w:lang w:eastAsia="zh-CN"/>
        </w:rPr>
      </w:pPr>
    </w:p>
    <w:p w14:paraId="49FE51CA">
      <w:pPr>
        <w:widowControl w:val="0"/>
        <w:spacing w:line="360" w:lineRule="auto"/>
        <w:ind w:firstLine="3150" w:firstLineChars="1500"/>
        <w:jc w:val="left"/>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法定代表人或授权委托人：  </w:t>
      </w:r>
    </w:p>
    <w:p w14:paraId="0D1F0D3E">
      <w:pPr>
        <w:widowControl w:val="0"/>
        <w:spacing w:line="360" w:lineRule="auto"/>
        <w:ind w:firstLine="3150" w:firstLineChars="1500"/>
        <w:jc w:val="left"/>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投标单位：</w:t>
      </w:r>
    </w:p>
    <w:p w14:paraId="6A4A1A6D">
      <w:pPr>
        <w:widowControl w:val="0"/>
        <w:spacing w:line="360" w:lineRule="auto"/>
        <w:ind w:firstLine="3150" w:firstLineChars="1500"/>
        <w:jc w:val="left"/>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日期：   年  月  日</w:t>
      </w:r>
    </w:p>
    <w:p w14:paraId="1E38F12B">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6C026D75">
      <w:pPr>
        <w:keepNext/>
        <w:keepLines/>
        <w:widowControl w:val="0"/>
        <w:numPr>
          <w:ilvl w:val="0"/>
          <w:numId w:val="15"/>
        </w:numPr>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实质性响应情况表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4"/>
        <w:gridCol w:w="4312"/>
        <w:gridCol w:w="1913"/>
        <w:gridCol w:w="1566"/>
        <w:gridCol w:w="1427"/>
      </w:tblGrid>
      <w:tr w14:paraId="791D9A9D">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14:paraId="776027A2">
            <w:pPr>
              <w:pageBreakBefore w:val="0"/>
              <w:overflowPunct/>
              <w:topLinePunct w:val="0"/>
              <w:bidi w:val="0"/>
              <w:adjustRightInd w:val="0"/>
              <w:snapToGrid w:val="0"/>
              <w:spacing w:line="240" w:lineRule="auto"/>
              <w:jc w:val="center"/>
              <w:rPr>
                <w:rFonts w:ascii="仿宋" w:eastAsia="仿宋" w:hAnsi="仿宋" w:cs="仿宋" w:hint="eastAsia"/>
                <w:kern w:val="0"/>
                <w:sz w:val="24"/>
                <w:szCs w:val="24"/>
                <w:highlight w:val="none"/>
              </w:rPr>
            </w:pPr>
            <w:bookmarkStart w:id="29" w:name="_Hlk72092651"/>
            <w:r>
              <w:rPr>
                <w:rFonts w:ascii="仿宋" w:eastAsia="仿宋" w:hAnsi="仿宋" w:cs="仿宋" w:hint="eastAsia"/>
                <w:kern w:val="0"/>
                <w:sz w:val="24"/>
                <w:szCs w:val="24"/>
                <w:highlight w:val="none"/>
              </w:rPr>
              <w:t>序号</w:t>
            </w:r>
          </w:p>
        </w:tc>
        <w:tc>
          <w:tcPr>
            <w:tcW w:w="3514" w:type="dxa"/>
            <w:vAlign w:val="center"/>
          </w:tcPr>
          <w:p w14:paraId="7C2FF17A">
            <w:pPr>
              <w:pageBreakBefore w:val="0"/>
              <w:overflowPunct/>
              <w:topLinePunct w:val="0"/>
              <w:bidi w:val="0"/>
              <w:adjustRightInd w:val="0"/>
              <w:snapToGrid w:val="0"/>
              <w:spacing w:line="240" w:lineRule="auto"/>
              <w:jc w:val="center"/>
              <w:rPr>
                <w:rFonts w:ascii="仿宋" w:eastAsia="仿宋" w:hAnsi="仿宋" w:cs="仿宋" w:hint="eastAsia"/>
                <w:kern w:val="0"/>
                <w:sz w:val="24"/>
                <w:szCs w:val="24"/>
                <w:highlight w:val="none"/>
              </w:rPr>
            </w:pPr>
            <w:r>
              <w:rPr>
                <w:rFonts w:ascii="仿宋" w:eastAsia="仿宋" w:hAnsi="仿宋" w:cs="仿宋" w:hint="eastAsia"/>
                <w:kern w:val="0"/>
                <w:sz w:val="24"/>
                <w:szCs w:val="24"/>
                <w:highlight w:val="none"/>
                <w:lang w:val="en-US" w:eastAsia="zh-CN"/>
              </w:rPr>
              <w:t>实质性条款</w:t>
            </w:r>
            <w:r>
              <w:rPr>
                <w:rFonts w:ascii="仿宋" w:eastAsia="仿宋" w:hAnsi="仿宋" w:cs="仿宋" w:hint="eastAsia"/>
                <w:kern w:val="0"/>
                <w:sz w:val="24"/>
                <w:szCs w:val="24"/>
                <w:highlight w:val="none"/>
              </w:rPr>
              <w:t>具体内容</w:t>
            </w:r>
          </w:p>
        </w:tc>
        <w:tc>
          <w:tcPr>
            <w:tcW w:w="1559" w:type="dxa"/>
            <w:vAlign w:val="center"/>
          </w:tcPr>
          <w:p w14:paraId="6C5927C4">
            <w:pPr>
              <w:pageBreakBefore w:val="0"/>
              <w:overflowPunct/>
              <w:topLinePunct w:val="0"/>
              <w:bidi w:val="0"/>
              <w:adjustRightInd w:val="0"/>
              <w:snapToGrid w:val="0"/>
              <w:spacing w:line="240" w:lineRule="auto"/>
              <w:jc w:val="center"/>
              <w:rPr>
                <w:rFonts w:ascii="仿宋" w:eastAsia="仿宋" w:hAnsi="仿宋" w:cs="仿宋" w:hint="eastAsia"/>
                <w:kern w:val="0"/>
                <w:sz w:val="24"/>
                <w:szCs w:val="24"/>
                <w:highlight w:val="none"/>
              </w:rPr>
            </w:pPr>
            <w:r>
              <w:rPr>
                <w:rFonts w:ascii="仿宋" w:eastAsia="仿宋" w:hAnsi="仿宋" w:cs="仿宋" w:hint="eastAsia"/>
                <w:sz w:val="24"/>
                <w:szCs w:val="24"/>
                <w:highlight w:val="none"/>
              </w:rPr>
              <w:t>投标响应</w:t>
            </w:r>
          </w:p>
        </w:tc>
        <w:tc>
          <w:tcPr>
            <w:tcW w:w="1276" w:type="dxa"/>
            <w:vAlign w:val="center"/>
          </w:tcPr>
          <w:p w14:paraId="0BCFB08B">
            <w:pPr>
              <w:pageBreakBefore w:val="0"/>
              <w:overflowPunct/>
              <w:topLinePunct w:val="0"/>
              <w:bidi w:val="0"/>
              <w:adjustRightInd w:val="0"/>
              <w:snapToGrid w:val="0"/>
              <w:spacing w:line="240" w:lineRule="auto"/>
              <w:jc w:val="center"/>
              <w:rPr>
                <w:rFonts w:ascii="仿宋" w:eastAsia="仿宋" w:hAnsi="仿宋" w:cs="仿宋" w:hint="eastAsia"/>
                <w:kern w:val="0"/>
                <w:sz w:val="24"/>
                <w:szCs w:val="24"/>
                <w:highlight w:val="none"/>
              </w:rPr>
            </w:pPr>
            <w:r>
              <w:rPr>
                <w:rFonts w:ascii="仿宋" w:eastAsia="仿宋" w:hAnsi="仿宋" w:cs="仿宋" w:hint="eastAsia"/>
                <w:sz w:val="24"/>
                <w:szCs w:val="24"/>
                <w:highlight w:val="none"/>
              </w:rPr>
              <w:t>偏离情况</w:t>
            </w:r>
          </w:p>
        </w:tc>
        <w:tc>
          <w:tcPr>
            <w:tcW w:w="1163" w:type="dxa"/>
            <w:vAlign w:val="center"/>
          </w:tcPr>
          <w:p w14:paraId="566BAE19">
            <w:pPr>
              <w:pageBreakBefore w:val="0"/>
              <w:overflowPunct/>
              <w:topLinePunct w:val="0"/>
              <w:bidi w:val="0"/>
              <w:adjustRightInd w:val="0"/>
              <w:snapToGrid w:val="0"/>
              <w:spacing w:line="240" w:lineRule="auto"/>
              <w:jc w:val="center"/>
              <w:rPr>
                <w:rFonts w:ascii="仿宋" w:eastAsia="仿宋" w:hAnsi="仿宋" w:cs="仿宋" w:hint="eastAsia"/>
                <w:kern w:val="0"/>
                <w:sz w:val="24"/>
                <w:szCs w:val="24"/>
                <w:highlight w:val="none"/>
              </w:rPr>
            </w:pPr>
            <w:r>
              <w:rPr>
                <w:rFonts w:ascii="仿宋" w:eastAsia="仿宋" w:hAnsi="仿宋" w:cs="仿宋" w:hint="eastAsia"/>
                <w:sz w:val="24"/>
                <w:szCs w:val="24"/>
                <w:highlight w:val="none"/>
              </w:rPr>
              <w:t>说明</w:t>
            </w:r>
          </w:p>
        </w:tc>
      </w:tr>
      <w:bookmarkEnd w:id="29"/>
      <w:tr w14:paraId="3E91A623">
        <w:tblPrEx>
          <w:tblW w:w="5000" w:type="pct"/>
          <w:tblInd w:w="0" w:type="dxa"/>
          <w:tblLayout w:type="fixed"/>
          <w:tblCellMar>
            <w:top w:w="0" w:type="dxa"/>
            <w:left w:w="108" w:type="dxa"/>
            <w:bottom w:w="0" w:type="dxa"/>
            <w:right w:w="108" w:type="dxa"/>
          </w:tblCellMar>
        </w:tblPrEx>
        <w:tc>
          <w:tcPr>
            <w:tcW w:w="705" w:type="dxa"/>
            <w:vAlign w:val="center"/>
          </w:tcPr>
          <w:p w14:paraId="7F08B177">
            <w:pPr>
              <w:pageBreakBefore w:val="0"/>
              <w:overflowPunct/>
              <w:topLinePunct w:val="0"/>
              <w:bidi w:val="0"/>
              <w:spacing w:line="240" w:lineRule="auto"/>
              <w:jc w:val="center"/>
              <w:rPr>
                <w:rFonts w:ascii="仿宋" w:eastAsia="仿宋" w:hAnsi="仿宋" w:cs="仿宋" w:hint="eastAsia"/>
                <w:kern w:val="0"/>
                <w:sz w:val="24"/>
                <w:szCs w:val="24"/>
                <w:highlight w:val="none"/>
              </w:rPr>
            </w:pPr>
            <w:r>
              <w:rPr>
                <w:rFonts w:ascii="仿宋" w:eastAsia="仿宋" w:hAnsi="仿宋" w:cs="仿宋" w:hint="eastAsia"/>
                <w:sz w:val="24"/>
                <w:szCs w:val="24"/>
                <w:highlight w:val="none"/>
                <w:vertAlign w:val="baseline"/>
                <w:lang w:val="en-US" w:eastAsia="zh-CN"/>
              </w:rPr>
              <w:t>1</w:t>
            </w:r>
          </w:p>
        </w:tc>
        <w:tc>
          <w:tcPr>
            <w:tcW w:w="3514" w:type="dxa"/>
            <w:vAlign w:val="center"/>
          </w:tcPr>
          <w:p w14:paraId="3D888C88">
            <w:pPr>
              <w:pageBreakBefore w:val="0"/>
              <w:overflowPunct/>
              <w:topLinePunct w:val="0"/>
              <w:bidi w:val="0"/>
              <w:spacing w:line="240" w:lineRule="auto"/>
              <w:jc w:val="left"/>
              <w:rPr>
                <w:rFonts w:ascii="仿宋" w:eastAsia="仿宋" w:hAnsi="仿宋" w:cs="仿宋" w:hint="eastAsia"/>
                <w:sz w:val="24"/>
                <w:szCs w:val="24"/>
                <w:highlight w:val="none"/>
                <w:vertAlign w:val="baseline"/>
                <w:lang w:val="en-US" w:eastAsia="zh-CN"/>
              </w:rPr>
            </w:pPr>
            <w:r>
              <w:rPr>
                <w:rFonts w:ascii="仿宋" w:eastAsia="仿宋" w:hAnsi="仿宋" w:cs="仿宋" w:hint="eastAsia"/>
                <w:sz w:val="24"/>
                <w:szCs w:val="24"/>
                <w:highlight w:val="none"/>
                <w:vertAlign w:val="baseline"/>
                <w:lang w:val="en-US" w:eastAsia="zh-CN"/>
              </w:rPr>
              <w:t>★完全满足本项目★标记条款的要求。</w:t>
            </w:r>
          </w:p>
        </w:tc>
        <w:tc>
          <w:tcPr>
            <w:tcW w:w="1559" w:type="dxa"/>
          </w:tcPr>
          <w:p w14:paraId="1800CCE2">
            <w:pPr>
              <w:pageBreakBefore w:val="0"/>
              <w:overflowPunct/>
              <w:topLinePunct w:val="0"/>
              <w:bidi w:val="0"/>
              <w:adjustRightInd w:val="0"/>
              <w:snapToGrid w:val="0"/>
              <w:spacing w:line="240" w:lineRule="auto"/>
              <w:rPr>
                <w:rFonts w:ascii="仿宋" w:eastAsia="仿宋" w:hAnsi="仿宋" w:cs="仿宋" w:hint="eastAsia"/>
                <w:kern w:val="0"/>
                <w:sz w:val="24"/>
                <w:szCs w:val="24"/>
                <w:highlight w:val="none"/>
              </w:rPr>
            </w:pPr>
          </w:p>
        </w:tc>
        <w:tc>
          <w:tcPr>
            <w:tcW w:w="1276" w:type="dxa"/>
          </w:tcPr>
          <w:p w14:paraId="2297F093">
            <w:pPr>
              <w:pageBreakBefore w:val="0"/>
              <w:overflowPunct/>
              <w:topLinePunct w:val="0"/>
              <w:bidi w:val="0"/>
              <w:adjustRightInd w:val="0"/>
              <w:snapToGrid w:val="0"/>
              <w:spacing w:line="240" w:lineRule="auto"/>
              <w:rPr>
                <w:rFonts w:ascii="仿宋" w:eastAsia="仿宋" w:hAnsi="仿宋" w:cs="仿宋" w:hint="eastAsia"/>
                <w:kern w:val="0"/>
                <w:sz w:val="24"/>
                <w:szCs w:val="24"/>
                <w:highlight w:val="none"/>
              </w:rPr>
            </w:pPr>
          </w:p>
        </w:tc>
        <w:tc>
          <w:tcPr>
            <w:tcW w:w="1163" w:type="dxa"/>
          </w:tcPr>
          <w:p w14:paraId="03923FC4">
            <w:pPr>
              <w:pageBreakBefore w:val="0"/>
              <w:overflowPunct/>
              <w:topLinePunct w:val="0"/>
              <w:bidi w:val="0"/>
              <w:adjustRightInd w:val="0"/>
              <w:snapToGrid w:val="0"/>
              <w:spacing w:line="240" w:lineRule="auto"/>
              <w:rPr>
                <w:rFonts w:ascii="仿宋" w:eastAsia="仿宋" w:hAnsi="仿宋" w:cs="仿宋" w:hint="eastAsia"/>
                <w:kern w:val="0"/>
                <w:sz w:val="24"/>
                <w:szCs w:val="24"/>
                <w:highlight w:val="none"/>
              </w:rPr>
            </w:pPr>
          </w:p>
        </w:tc>
      </w:tr>
    </w:tbl>
    <w:p w14:paraId="36D32720">
      <w:pPr>
        <w:keepNext/>
        <w:keepLines/>
        <w:widowControl w:val="0"/>
        <w:numPr>
          <w:numId w:val="0"/>
        </w:numPr>
        <w:bidi w:val="0"/>
        <w:spacing w:beforeLines="0" w:beforeAutospacing="0" w:afterLines="0" w:afterAutospacing="0" w:line="360" w:lineRule="auto"/>
        <w:jc w:val="both"/>
        <w:outlineLvl w:val="3"/>
        <w:rPr>
          <w:rFonts w:ascii="仿宋" w:eastAsia="仿宋" w:hAnsi="仿宋" w:cs="仿宋" w:hint="eastAsia"/>
          <w:b/>
          <w:kern w:val="2"/>
          <w:sz w:val="28"/>
          <w:lang w:eastAsia="zh-CN"/>
        </w:rPr>
      </w:pPr>
    </w:p>
    <w:p w14:paraId="763A2AEA">
      <w:pPr>
        <w:keepNext/>
        <w:keepLines/>
        <w:widowControl w:val="0"/>
        <w:numPr>
          <w:ilvl w:val="0"/>
          <w:numId w:val="0"/>
        </w:numPr>
        <w:bidi w:val="0"/>
        <w:spacing w:beforeLines="0" w:beforeAutospacing="0" w:afterLines="0" w:afterAutospacing="0" w:line="360" w:lineRule="auto"/>
        <w:jc w:val="both"/>
        <w:outlineLvl w:val="3"/>
        <w:rPr>
          <w:rFonts w:ascii="仿宋" w:eastAsia="仿宋" w:hAnsi="仿宋" w:cs="仿宋" w:hint="eastAsia"/>
          <w:b/>
          <w:kern w:val="2"/>
          <w:sz w:val="28"/>
          <w:lang w:eastAsia="zh-CN"/>
        </w:rPr>
      </w:pPr>
    </w:p>
    <w:p w14:paraId="3507C65E">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八、</w:t>
      </w:r>
      <w:r>
        <w:rPr>
          <w:rFonts w:ascii="仿宋" w:eastAsia="仿宋" w:hAnsi="仿宋" w:cs="仿宋" w:hint="eastAsia"/>
          <w:b/>
          <w:kern w:val="2"/>
          <w:sz w:val="28"/>
          <w:lang w:eastAsia="zh-CN"/>
        </w:rPr>
        <w:t>实施方案</w:t>
      </w:r>
    </w:p>
    <w:p w14:paraId="54CE1306">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九、</w:t>
      </w:r>
      <w:r>
        <w:rPr>
          <w:rFonts w:ascii="仿宋" w:eastAsia="仿宋" w:hAnsi="仿宋" w:cs="仿宋" w:hint="eastAsia"/>
          <w:b/>
          <w:kern w:val="2"/>
          <w:sz w:val="28"/>
          <w:lang w:eastAsia="zh-CN"/>
        </w:rPr>
        <w:t>项目重点难点分析、应对措施及相关的合理化建议</w:t>
      </w:r>
    </w:p>
    <w:p w14:paraId="3B922F8F">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w:t>
      </w:r>
      <w:r>
        <w:rPr>
          <w:rFonts w:ascii="仿宋" w:eastAsia="仿宋" w:hAnsi="仿宋" w:cs="仿宋" w:hint="eastAsia"/>
          <w:b/>
          <w:kern w:val="2"/>
          <w:sz w:val="28"/>
          <w:lang w:eastAsia="zh-CN"/>
        </w:rPr>
        <w:t>质量保障措施及方案</w:t>
      </w:r>
    </w:p>
    <w:p w14:paraId="0DBD4C65">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十一、</w:t>
      </w:r>
      <w:r>
        <w:rPr>
          <w:rFonts w:ascii="仿宋" w:eastAsia="仿宋" w:hAnsi="仿宋" w:cs="仿宋" w:hint="eastAsia"/>
          <w:b/>
          <w:kern w:val="2"/>
          <w:sz w:val="28"/>
          <w:lang w:eastAsia="zh-CN"/>
        </w:rPr>
        <w:t>项目完成（服务期满）后的服务承诺</w:t>
      </w:r>
    </w:p>
    <w:p w14:paraId="3FF660F0">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十二、</w:t>
      </w:r>
      <w:r>
        <w:rPr>
          <w:rFonts w:ascii="仿宋" w:eastAsia="仿宋" w:hAnsi="仿宋" w:cs="仿宋" w:hint="eastAsia"/>
          <w:b/>
          <w:kern w:val="2"/>
          <w:sz w:val="28"/>
          <w:lang w:eastAsia="zh-CN"/>
        </w:rPr>
        <w:t>违约承诺</w:t>
      </w:r>
    </w:p>
    <w:p w14:paraId="28A40231">
      <w:pPr>
        <w:jc w:val="center"/>
        <w:rPr>
          <w:rFonts w:ascii="仿宋" w:eastAsia="仿宋" w:hAnsi="仿宋" w:cs="仿宋" w:hint="eastAsia"/>
          <w:b/>
          <w:bCs/>
          <w:color w:val="000000"/>
          <w:sz w:val="24"/>
          <w:szCs w:val="24"/>
          <w:highlight w:val="none"/>
        </w:rPr>
      </w:pPr>
      <w:r>
        <w:rPr>
          <w:rFonts w:ascii="仿宋" w:eastAsia="仿宋" w:hAnsi="仿宋" w:cs="仿宋" w:hint="eastAsia"/>
          <w:b/>
          <w:bCs/>
          <w:color w:val="000000"/>
          <w:sz w:val="24"/>
          <w:szCs w:val="24"/>
          <w:highlight w:val="none"/>
        </w:rPr>
        <w:t>违约承诺函（举例）</w:t>
      </w:r>
    </w:p>
    <w:p w14:paraId="6BF79576">
      <w:pPr>
        <w:rPr>
          <w:rFonts w:ascii="仿宋" w:eastAsia="仿宋" w:hAnsi="仿宋" w:cs="仿宋" w:hint="eastAsia"/>
          <w:b/>
          <w:bCs/>
          <w:color w:val="000000"/>
          <w:sz w:val="24"/>
          <w:szCs w:val="24"/>
          <w:highlight w:val="none"/>
        </w:rPr>
      </w:pPr>
      <w:r>
        <w:rPr>
          <w:rFonts w:ascii="仿宋" w:eastAsia="仿宋" w:hAnsi="仿宋" w:cs="仿宋" w:hint="eastAsia"/>
          <w:b/>
          <w:bCs/>
          <w:color w:val="000000"/>
          <w:sz w:val="24"/>
          <w:szCs w:val="24"/>
          <w:highlight w:val="none"/>
        </w:rPr>
        <w:t>主要内容应包括但不限于以下内容（格式自定）</w:t>
      </w:r>
    </w:p>
    <w:p w14:paraId="769876D4">
      <w:pPr>
        <w:widowControl/>
        <w:wordWrap w:val="0"/>
        <w:jc w:val="left"/>
        <w:rPr>
          <w:rFonts w:ascii="仿宋" w:eastAsia="仿宋" w:hAnsi="仿宋" w:cs="仿宋" w:hint="eastAsia"/>
          <w:b/>
          <w:bCs/>
          <w:color w:val="000000"/>
          <w:sz w:val="24"/>
          <w:szCs w:val="24"/>
          <w:highlight w:val="none"/>
        </w:rPr>
      </w:pPr>
      <w:r>
        <w:rPr>
          <w:rFonts w:ascii="仿宋" w:eastAsia="仿宋" w:hAnsi="仿宋" w:cs="仿宋" w:hint="eastAsia"/>
          <w:b/>
          <w:bCs/>
          <w:color w:val="000000"/>
          <w:sz w:val="24"/>
          <w:szCs w:val="24"/>
          <w:highlight w:val="none"/>
        </w:rPr>
        <w:t>致：</w:t>
      </w:r>
    </w:p>
    <w:p w14:paraId="31A52320">
      <w:pPr>
        <w:rPr>
          <w:rFonts w:ascii="仿宋" w:eastAsia="仿宋" w:hAnsi="仿宋" w:cs="仿宋" w:hint="eastAsia"/>
          <w:b/>
          <w:color w:val="000000"/>
          <w:sz w:val="24"/>
          <w:szCs w:val="24"/>
          <w:highlight w:val="none"/>
        </w:rPr>
      </w:pPr>
      <w:r>
        <w:rPr>
          <w:rFonts w:ascii="仿宋" w:eastAsia="仿宋" w:hAnsi="仿宋" w:cs="仿宋" w:hint="eastAsia"/>
          <w:color w:val="000000"/>
          <w:sz w:val="24"/>
          <w:szCs w:val="24"/>
          <w:highlight w:val="none"/>
        </w:rPr>
        <w:t xml:space="preserve">    我公司承诺，在参与贵单位组织的</w:t>
      </w:r>
      <w:r>
        <w:rPr>
          <w:rFonts w:ascii="仿宋" w:eastAsia="仿宋" w:hAnsi="仿宋" w:cs="仿宋" w:hint="eastAsia"/>
          <w:color w:val="000000"/>
          <w:sz w:val="24"/>
          <w:szCs w:val="24"/>
          <w:highlight w:val="none"/>
          <w:u w:val="single"/>
        </w:rPr>
        <w:t xml:space="preserve">       （项目名称）    （项目编号：      ） </w:t>
      </w:r>
      <w:r>
        <w:rPr>
          <w:rFonts w:ascii="仿宋" w:eastAsia="仿宋" w:hAnsi="仿宋" w:cs="仿宋" w:hint="eastAsia"/>
          <w:color w:val="000000"/>
          <w:sz w:val="24"/>
          <w:szCs w:val="24"/>
          <w:highlight w:val="none"/>
        </w:rPr>
        <w:t>自行采购活动中，我单位承诺：</w:t>
      </w:r>
      <w:r>
        <w:rPr>
          <w:rFonts w:ascii="仿宋" w:eastAsia="仿宋" w:hAnsi="仿宋" w:cs="仿宋" w:hint="eastAsia"/>
          <w:b/>
          <w:color w:val="000000"/>
          <w:sz w:val="24"/>
          <w:szCs w:val="24"/>
          <w:highlight w:val="none"/>
        </w:rPr>
        <w:t>采购单位应在本承诺函中自行填写违约承诺的具体内容（采购单位自拟内容）。</w:t>
      </w:r>
    </w:p>
    <w:p w14:paraId="1059B879">
      <w:pPr>
        <w:pStyle w:val="NormalWeb"/>
        <w:widowControl/>
        <w:spacing w:line="264" w:lineRule="atLeast"/>
        <w:rPr>
          <w:rFonts w:ascii="仿宋" w:eastAsia="仿宋" w:hAnsi="仿宋" w:cs="仿宋" w:hint="eastAsia"/>
          <w:sz w:val="24"/>
          <w:szCs w:val="24"/>
          <w:highlight w:val="none"/>
        </w:rPr>
      </w:pPr>
      <w:r>
        <w:rPr>
          <w:rFonts w:ascii="仿宋" w:eastAsia="仿宋" w:hAnsi="仿宋" w:cs="仿宋" w:hint="eastAsia"/>
          <w:color w:val="000000"/>
          <w:sz w:val="24"/>
          <w:szCs w:val="24"/>
          <w:highlight w:val="none"/>
        </w:rPr>
        <w:t xml:space="preserve"> </w:t>
      </w:r>
    </w:p>
    <w:p w14:paraId="507F452A">
      <w:pPr>
        <w:rPr>
          <w:rFonts w:ascii="仿宋" w:eastAsia="仿宋" w:hAnsi="仿宋" w:cs="仿宋" w:hint="eastAsia"/>
          <w:sz w:val="24"/>
          <w:szCs w:val="24"/>
          <w:highlight w:val="none"/>
        </w:rPr>
      </w:pPr>
      <w:r>
        <w:rPr>
          <w:rFonts w:ascii="仿宋" w:eastAsia="仿宋" w:hAnsi="仿宋" w:cs="仿宋" w:hint="eastAsia"/>
          <w:sz w:val="24"/>
          <w:szCs w:val="24"/>
          <w:highlight w:val="none"/>
        </w:rPr>
        <w:t xml:space="preserve">    特此承诺。</w:t>
      </w:r>
    </w:p>
    <w:p w14:paraId="3AFC936D">
      <w:pPr>
        <w:rPr>
          <w:rFonts w:ascii="仿宋" w:eastAsia="仿宋" w:hAnsi="仿宋" w:cs="仿宋" w:hint="eastAsia"/>
          <w:sz w:val="24"/>
          <w:szCs w:val="24"/>
          <w:highlight w:val="none"/>
        </w:rPr>
      </w:pPr>
    </w:p>
    <w:p w14:paraId="7A0A45F4">
      <w:pPr>
        <w:pStyle w:val="BodyText"/>
        <w:rPr>
          <w:rFonts w:ascii="仿宋" w:eastAsia="仿宋" w:hAnsi="仿宋" w:cs="仿宋" w:hint="eastAsia"/>
          <w:sz w:val="24"/>
          <w:szCs w:val="24"/>
          <w:highlight w:val="none"/>
          <w:lang w:eastAsia="zh-CN"/>
        </w:rPr>
      </w:pPr>
    </w:p>
    <w:p w14:paraId="5EE2612F">
      <w:pPr>
        <w:ind w:firstLine="3600" w:firstLineChars="1500"/>
        <w:jc w:val="left"/>
        <w:rPr>
          <w:rFonts w:ascii="仿宋" w:eastAsia="仿宋" w:hAnsi="仿宋" w:cs="仿宋" w:hint="eastAsia"/>
          <w:sz w:val="24"/>
          <w:szCs w:val="24"/>
          <w:highlight w:val="none"/>
        </w:rPr>
      </w:pPr>
      <w:r>
        <w:rPr>
          <w:rFonts w:ascii="仿宋" w:eastAsia="仿宋" w:hAnsi="仿宋" w:cs="仿宋" w:hint="eastAsia"/>
          <w:sz w:val="24"/>
          <w:szCs w:val="24"/>
          <w:highlight w:val="none"/>
        </w:rPr>
        <w:t>投标单位：</w:t>
      </w:r>
    </w:p>
    <w:p w14:paraId="639C6C15">
      <w:pPr>
        <w:ind w:firstLine="3600" w:firstLineChars="1500"/>
        <w:jc w:val="left"/>
        <w:rPr>
          <w:rFonts w:ascii="仿宋" w:eastAsia="仿宋" w:hAnsi="仿宋" w:cs="仿宋" w:hint="eastAsia"/>
          <w:sz w:val="24"/>
          <w:szCs w:val="24"/>
          <w:highlight w:val="none"/>
        </w:rPr>
      </w:pPr>
    </w:p>
    <w:p w14:paraId="66C372D2">
      <w:pPr>
        <w:ind w:firstLine="3600" w:firstLineChars="1500"/>
        <w:jc w:val="left"/>
        <w:rPr>
          <w:rFonts w:ascii="仿宋" w:eastAsia="仿宋" w:hAnsi="仿宋" w:cs="仿宋" w:hint="eastAsia"/>
          <w:sz w:val="24"/>
          <w:szCs w:val="24"/>
          <w:highlight w:val="none"/>
        </w:rPr>
      </w:pPr>
      <w:r>
        <w:rPr>
          <w:rFonts w:ascii="仿宋" w:eastAsia="仿宋" w:hAnsi="仿宋" w:cs="仿宋" w:hint="eastAsia"/>
          <w:sz w:val="24"/>
          <w:szCs w:val="24"/>
          <w:highlight w:val="none"/>
        </w:rPr>
        <w:t>日期：   年  月  日</w:t>
      </w:r>
    </w:p>
    <w:p w14:paraId="33BE7A21">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p>
    <w:p w14:paraId="2D8D7554">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十三、</w:t>
      </w:r>
      <w:r>
        <w:rPr>
          <w:rFonts w:ascii="仿宋" w:eastAsia="仿宋" w:hAnsi="仿宋" w:cs="仿宋" w:hint="eastAsia"/>
          <w:b/>
          <w:kern w:val="2"/>
          <w:sz w:val="28"/>
          <w:lang w:eastAsia="zh-CN"/>
        </w:rPr>
        <w:t>项目负责人情况（仅限1人）</w:t>
      </w:r>
    </w:p>
    <w:p w14:paraId="6EBC6D2D">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十四、</w:t>
      </w:r>
      <w:r>
        <w:rPr>
          <w:rFonts w:ascii="仿宋" w:eastAsia="仿宋" w:hAnsi="仿宋" w:cs="仿宋" w:hint="eastAsia"/>
          <w:b/>
          <w:kern w:val="2"/>
          <w:sz w:val="28"/>
          <w:lang w:eastAsia="zh-CN"/>
        </w:rPr>
        <w:t>项目团队</w:t>
      </w:r>
      <w:r>
        <w:rPr>
          <w:rFonts w:ascii="仿宋" w:eastAsia="仿宋" w:hAnsi="仿宋" w:cs="仿宋" w:hint="eastAsia"/>
          <w:b/>
          <w:kern w:val="2"/>
          <w:sz w:val="28"/>
          <w:lang w:val="en-US" w:eastAsia="zh-CN"/>
        </w:rPr>
        <w:t>成员</w:t>
      </w:r>
    </w:p>
    <w:p w14:paraId="5540B890">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十五、</w:t>
      </w:r>
      <w:r>
        <w:rPr>
          <w:rFonts w:ascii="仿宋" w:eastAsia="仿宋" w:hAnsi="仿宋" w:cs="仿宋" w:hint="eastAsia"/>
          <w:b/>
          <w:kern w:val="2"/>
          <w:sz w:val="28"/>
          <w:lang w:eastAsia="zh-CN"/>
        </w:rPr>
        <w:t>投标人认证情况</w:t>
      </w:r>
    </w:p>
    <w:p w14:paraId="5A857BDA">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十六、</w:t>
      </w:r>
      <w:r>
        <w:rPr>
          <w:rFonts w:ascii="仿宋" w:eastAsia="仿宋" w:hAnsi="仿宋" w:cs="仿宋" w:hint="eastAsia"/>
          <w:b/>
          <w:kern w:val="2"/>
          <w:sz w:val="28"/>
          <w:lang w:eastAsia="zh-CN"/>
        </w:rPr>
        <w:t>食品安全保险情况</w:t>
      </w:r>
    </w:p>
    <w:p w14:paraId="534CB44B">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十七、</w:t>
      </w:r>
      <w:r>
        <w:rPr>
          <w:rFonts w:ascii="仿宋" w:eastAsia="仿宋" w:hAnsi="仿宋" w:cs="仿宋" w:hint="eastAsia"/>
          <w:b/>
          <w:kern w:val="2"/>
          <w:sz w:val="28"/>
          <w:lang w:eastAsia="zh-CN"/>
        </w:rPr>
        <w:t>供应商获奖情况</w:t>
      </w:r>
    </w:p>
    <w:p w14:paraId="7214F3A9">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十八、</w:t>
      </w:r>
      <w:r>
        <w:rPr>
          <w:rFonts w:ascii="仿宋" w:eastAsia="仿宋" w:hAnsi="仿宋" w:cs="仿宋" w:hint="eastAsia"/>
          <w:b/>
          <w:kern w:val="2"/>
          <w:sz w:val="28"/>
          <w:lang w:eastAsia="zh-CN"/>
        </w:rPr>
        <w:t>同类项目业绩</w:t>
      </w:r>
    </w:p>
    <w:p w14:paraId="01A6F8D8">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十九、</w:t>
      </w:r>
      <w:r>
        <w:rPr>
          <w:rFonts w:ascii="仿宋" w:eastAsia="仿宋" w:hAnsi="仿宋" w:cs="仿宋" w:hint="eastAsia"/>
          <w:b/>
          <w:kern w:val="2"/>
          <w:sz w:val="28"/>
          <w:lang w:eastAsia="zh-CN"/>
        </w:rPr>
        <w:t>履约评价情况</w:t>
      </w:r>
    </w:p>
    <w:p w14:paraId="35FC3DBE">
      <w:pPr>
        <w:bidi w:val="0"/>
        <w:rPr>
          <w:rFonts w:hint="eastAsia"/>
          <w:lang w:eastAsia="zh-CN"/>
        </w:rPr>
      </w:pPr>
    </w:p>
    <w:p w14:paraId="50575BC8">
      <w:pPr>
        <w:keepNext/>
        <w:keepLines/>
        <w:widowControl w:val="0"/>
        <w:bidi w:val="0"/>
        <w:spacing w:beforeLines="0" w:beforeAutospacing="0" w:afterLines="0" w:afterAutospacing="0" w:line="360" w:lineRule="auto"/>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val="en-US" w:eastAsia="zh-CN"/>
        </w:rPr>
        <w:t>二十、</w:t>
      </w:r>
      <w:r>
        <w:rPr>
          <w:rFonts w:ascii="仿宋" w:eastAsia="仿宋" w:hAnsi="仿宋" w:cs="仿宋" w:hint="eastAsia"/>
          <w:b/>
          <w:kern w:val="2"/>
          <w:sz w:val="28"/>
          <w:lang w:eastAsia="zh-CN"/>
        </w:rPr>
        <w:t>诚信承诺函</w:t>
      </w:r>
    </w:p>
    <w:p w14:paraId="0530E20D">
      <w:pPr>
        <w:widowControl/>
        <w:wordWrap w:val="0"/>
        <w:spacing w:line="360" w:lineRule="auto"/>
        <w:jc w:val="left"/>
        <w:rPr>
          <w:rFonts w:ascii="仿宋" w:eastAsia="仿宋" w:hAnsi="仿宋" w:cs="仿宋" w:hint="eastAsia"/>
          <w:b/>
          <w:bCs/>
          <w:color w:val="000000"/>
          <w:kern w:val="2"/>
          <w:sz w:val="21"/>
          <w:szCs w:val="21"/>
          <w:lang w:eastAsia="zh-CN"/>
        </w:rPr>
      </w:pPr>
      <w:r>
        <w:rPr>
          <w:rFonts w:ascii="仿宋" w:eastAsia="仿宋" w:hAnsi="仿宋" w:cs="仿宋" w:hint="eastAsia"/>
          <w:b/>
          <w:bCs/>
          <w:color w:val="000000"/>
          <w:kern w:val="2"/>
          <w:sz w:val="21"/>
          <w:szCs w:val="21"/>
          <w:lang w:eastAsia="zh-CN"/>
        </w:rPr>
        <w:t>致深圳市龙华区书香小学 、广东五装建设工程有限公司：</w:t>
      </w:r>
    </w:p>
    <w:p w14:paraId="33C8ED97">
      <w:pPr>
        <w:widowControl w:val="0"/>
        <w:spacing w:line="360" w:lineRule="auto"/>
        <w:jc w:val="both"/>
        <w:rPr>
          <w:rFonts w:ascii="仿宋" w:eastAsia="仿宋" w:hAnsi="仿宋" w:cs="仿宋" w:hint="eastAsia"/>
          <w:bCs/>
          <w:kern w:val="2"/>
          <w:sz w:val="21"/>
          <w:lang w:eastAsia="zh-CN"/>
        </w:rPr>
      </w:pPr>
    </w:p>
    <w:p w14:paraId="73356C68">
      <w:pPr>
        <w:widowControl w:val="0"/>
        <w:spacing w:after="156" w:afterLines="50"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我公司承诺，在参与贵单位组织的</w:t>
      </w:r>
      <w:r>
        <w:rPr>
          <w:rFonts w:ascii="仿宋" w:eastAsia="仿宋" w:hAnsi="仿宋" w:cs="仿宋" w:hint="eastAsia"/>
          <w:kern w:val="2"/>
          <w:sz w:val="21"/>
          <w:szCs w:val="21"/>
          <w:u w:val="single"/>
          <w:lang w:eastAsia="zh-CN"/>
        </w:rPr>
        <w:t xml:space="preserve">       （项目名称）    （项目编号：      ） </w:t>
      </w:r>
      <w:r>
        <w:rPr>
          <w:rFonts w:ascii="仿宋" w:eastAsia="仿宋" w:hAnsi="仿宋" w:cs="仿宋" w:hint="eastAsia"/>
          <w:kern w:val="2"/>
          <w:sz w:val="21"/>
          <w:szCs w:val="21"/>
          <w:lang w:eastAsia="zh-CN"/>
        </w:rPr>
        <w:t>自行采购活动中，我单位承诺：本公司不存在违反《深圳市政府采购投标人诚信管理暂行办法》的情形。</w:t>
      </w:r>
    </w:p>
    <w:p w14:paraId="5E19E629">
      <w:pPr>
        <w:widowControl w:val="0"/>
        <w:spacing w:after="156" w:afterLines="50"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我公司对该承诺的真实性负责，如有不实，自愿接受相关法律法规的处罚及其他一切后果（含自愿接受将此不良行为记入投标人诚信档案和自愿接受虚假响应导致禁止参加龙华区教育局自行采购活动的处罚等）。</w:t>
      </w:r>
    </w:p>
    <w:p w14:paraId="3165F703">
      <w:pPr>
        <w:widowControl w:val="0"/>
        <w:spacing w:after="156" w:afterLines="50"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特此承诺。</w:t>
      </w:r>
    </w:p>
    <w:p w14:paraId="3BCC6260">
      <w:pPr>
        <w:widowControl w:val="0"/>
        <w:spacing w:after="156" w:afterLines="50" w:line="360" w:lineRule="auto"/>
        <w:ind w:firstLine="412" w:firstLineChars="196"/>
        <w:jc w:val="both"/>
        <w:rPr>
          <w:rFonts w:ascii="仿宋" w:eastAsia="仿宋" w:hAnsi="仿宋" w:cs="仿宋" w:hint="eastAsia"/>
          <w:kern w:val="2"/>
          <w:sz w:val="21"/>
          <w:szCs w:val="21"/>
          <w:lang w:eastAsia="zh-CN"/>
        </w:rPr>
      </w:pPr>
    </w:p>
    <w:p w14:paraId="13C598B3">
      <w:pPr>
        <w:widowControl w:val="0"/>
        <w:spacing w:after="156" w:afterLines="50"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投标单位（公章）：            </w:t>
      </w:r>
    </w:p>
    <w:p w14:paraId="394E9644">
      <w:pPr>
        <w:widowControl w:val="0"/>
        <w:spacing w:after="156" w:afterLines="50"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法定代表人或其授权代表签名：       </w:t>
      </w:r>
    </w:p>
    <w:p w14:paraId="78B9126B">
      <w:pPr>
        <w:widowControl w:val="0"/>
        <w:spacing w:after="156" w:afterLines="50" w:line="360" w:lineRule="auto"/>
        <w:ind w:firstLine="412" w:firstLineChars="196"/>
        <w:jc w:val="both"/>
        <w:rPr>
          <w:rFonts w:ascii="仿宋" w:eastAsia="仿宋" w:hAnsi="仿宋" w:cs="仿宋" w:hint="eastAsia"/>
          <w:b/>
          <w:kern w:val="2"/>
          <w:sz w:val="28"/>
          <w:lang w:eastAsia="zh-CN"/>
        </w:rPr>
      </w:pPr>
      <w:r>
        <w:rPr>
          <w:rFonts w:ascii="仿宋" w:eastAsia="仿宋" w:hAnsi="仿宋" w:cs="仿宋" w:hint="eastAsia"/>
          <w:kern w:val="2"/>
          <w:sz w:val="21"/>
          <w:szCs w:val="21"/>
          <w:lang w:eastAsia="zh-CN"/>
        </w:rPr>
        <w:t>日期：      年    月    日</w:t>
      </w:r>
    </w:p>
    <w:p w14:paraId="2CE9825C">
      <w:pPr>
        <w:widowControl w:val="0"/>
        <w:spacing w:line="360" w:lineRule="auto"/>
        <w:jc w:val="both"/>
        <w:rPr>
          <w:rFonts w:ascii="仿宋" w:eastAsia="仿宋" w:hAnsi="仿宋" w:cs="仿宋" w:hint="eastAsia"/>
          <w:b/>
          <w:kern w:val="2"/>
          <w:sz w:val="28"/>
          <w:lang w:eastAsia="zh-CN"/>
        </w:rPr>
      </w:pPr>
    </w:p>
    <w:p w14:paraId="74A1D671">
      <w:pPr>
        <w:keepNext/>
        <w:keepLines/>
        <w:widowControl w:val="0"/>
        <w:numPr>
          <w:ilvl w:val="0"/>
          <w:numId w:val="0"/>
        </w:numPr>
        <w:bidi w:val="0"/>
        <w:spacing w:beforeLines="0" w:beforeAutospacing="0" w:afterLines="0" w:afterAutospacing="0" w:line="360" w:lineRule="auto"/>
        <w:ind w:left="0" w:firstLine="0"/>
        <w:jc w:val="center"/>
        <w:outlineLvl w:val="3"/>
        <w:rPr>
          <w:rFonts w:ascii="仿宋" w:eastAsia="仿宋" w:hAnsi="仿宋" w:cs="仿宋" w:hint="eastAsia"/>
          <w:b/>
          <w:kern w:val="2"/>
          <w:sz w:val="28"/>
          <w:lang w:eastAsia="zh-CN"/>
        </w:rPr>
      </w:pPr>
      <w:r>
        <w:rPr>
          <w:rFonts w:ascii="仿宋" w:eastAsia="仿宋" w:hAnsi="仿宋" w:cs="仿宋" w:hint="eastAsia"/>
          <w:b/>
          <w:kern w:val="2"/>
          <w:sz w:val="28"/>
          <w:lang w:eastAsia="zh-CN"/>
        </w:rPr>
        <w:t>二十三、其他招标文件要求或投标人认为需要补充的内容（格式自拟）</w:t>
      </w:r>
    </w:p>
    <w:p w14:paraId="3D965265">
      <w:pPr>
        <w:shd w:val="clear" w:color="auto" w:fill="auto"/>
        <w:spacing w:before="0" w:beforeLines="0" w:after="157" w:afterLines="50" w:line="360" w:lineRule="exact"/>
        <w:ind w:firstLine="480" w:firstLineChars="200"/>
        <w:rPr>
          <w:rFonts w:ascii="仿宋" w:eastAsia="仿宋" w:hAnsi="仿宋" w:cs="仿宋" w:hint="eastAsia"/>
          <w:b/>
          <w:bCs/>
          <w:color w:val="auto"/>
          <w:sz w:val="24"/>
          <w:szCs w:val="24"/>
          <w:lang w:val="en-US" w:eastAsia="zh-CN"/>
        </w:rPr>
      </w:pPr>
      <w:r>
        <w:rPr>
          <w:rFonts w:ascii="仿宋" w:eastAsia="仿宋" w:hAnsi="仿宋" w:cs="仿宋" w:hint="eastAsia"/>
          <w:b/>
          <w:bCs/>
          <w:color w:val="auto"/>
          <w:sz w:val="24"/>
          <w:szCs w:val="24"/>
          <w:lang w:eastAsia="zh-CN"/>
        </w:rPr>
        <w:t>我</w:t>
      </w:r>
      <w:r>
        <w:rPr>
          <w:rFonts w:ascii="仿宋" w:eastAsia="仿宋" w:hAnsi="仿宋" w:cs="仿宋" w:hint="eastAsia"/>
          <w:b/>
          <w:bCs/>
          <w:color w:val="auto"/>
          <w:sz w:val="24"/>
          <w:szCs w:val="24"/>
          <w:lang w:val="en-US" w:eastAsia="zh-CN"/>
        </w:rPr>
        <w:t>单位</w:t>
      </w:r>
      <w:r>
        <w:rPr>
          <w:rFonts w:ascii="仿宋" w:eastAsia="仿宋" w:hAnsi="仿宋" w:cs="仿宋" w:hint="eastAsia"/>
          <w:b/>
          <w:bCs/>
          <w:color w:val="auto"/>
          <w:sz w:val="24"/>
          <w:szCs w:val="24"/>
        </w:rPr>
        <w:t>在投标前已充分知悉以下情形为参与政府采购活动时的重大风险事项，并承诺已对下述风险提示事项重点排查，</w:t>
      </w:r>
      <w:r>
        <w:rPr>
          <w:rFonts w:ascii="仿宋" w:eastAsia="仿宋" w:hAnsi="仿宋" w:cs="仿宋" w:hint="eastAsia"/>
          <w:b/>
          <w:bCs/>
          <w:color w:val="auto"/>
          <w:sz w:val="24"/>
          <w:szCs w:val="24"/>
          <w:lang w:val="en-US" w:eastAsia="zh-CN"/>
        </w:rPr>
        <w:t>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1"/>
        <w:gridCol w:w="9241"/>
      </w:tblGrid>
      <w:tr w14:paraId="5668826A">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14:paraId="1D5D1E9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序号</w:t>
            </w:r>
          </w:p>
        </w:tc>
        <w:tc>
          <w:tcPr>
            <w:tcW w:w="7811" w:type="dxa"/>
            <w:noWrap w:val="0"/>
            <w:vAlign w:val="top"/>
          </w:tcPr>
          <w:p w14:paraId="670A465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b/>
                <w:bCs/>
                <w:color w:val="auto"/>
                <w:sz w:val="24"/>
                <w:szCs w:val="24"/>
                <w:highlight w:val="none"/>
                <w:lang w:val="en-US" w:eastAsia="zh-CN"/>
              </w:rPr>
              <w:t>供应商参与投标禁止情形</w:t>
            </w:r>
          </w:p>
        </w:tc>
      </w:tr>
      <w:tr w14:paraId="63662EDA">
        <w:tblPrEx>
          <w:tblW w:w="5000" w:type="pct"/>
          <w:tblInd w:w="0" w:type="dxa"/>
          <w:tblLayout w:type="fixed"/>
          <w:tblCellMar>
            <w:top w:w="0" w:type="dxa"/>
            <w:left w:w="108" w:type="dxa"/>
            <w:bottom w:w="0" w:type="dxa"/>
            <w:right w:w="108" w:type="dxa"/>
          </w:tblCellMar>
        </w:tblPrEx>
        <w:tc>
          <w:tcPr>
            <w:tcW w:w="711" w:type="dxa"/>
            <w:noWrap w:val="0"/>
            <w:vAlign w:val="top"/>
          </w:tcPr>
          <w:p w14:paraId="033C25A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1</w:t>
            </w:r>
          </w:p>
        </w:tc>
        <w:tc>
          <w:tcPr>
            <w:tcW w:w="7811" w:type="dxa"/>
            <w:noWrap w:val="0"/>
            <w:vAlign w:val="center"/>
          </w:tcPr>
          <w:p w14:paraId="2C61678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与其他投标供应商的法定代表人、主要经营负责人、投标授权代表人、项目负责人、主要技术人员为</w:t>
            </w:r>
            <w:r>
              <w:rPr>
                <w:rFonts w:ascii="仿宋" w:eastAsia="仿宋" w:hAnsi="仿宋" w:cs="仿宋" w:hint="eastAsia"/>
                <w:b/>
                <w:bCs/>
                <w:color w:val="auto"/>
                <w:sz w:val="24"/>
                <w:szCs w:val="24"/>
                <w:highlight w:val="none"/>
                <w:lang w:val="en-US" w:eastAsia="zh-CN"/>
              </w:rPr>
              <w:t>同一人、属同一单位或者在同一单位缴纳社会保险</w:t>
            </w:r>
            <w:r>
              <w:rPr>
                <w:rFonts w:ascii="仿宋" w:eastAsia="仿宋" w:hAnsi="仿宋" w:cs="仿宋" w:hint="eastAsia"/>
                <w:color w:val="auto"/>
                <w:sz w:val="24"/>
                <w:szCs w:val="24"/>
                <w:highlight w:val="none"/>
                <w:lang w:val="en-US" w:eastAsia="zh-CN"/>
              </w:rPr>
              <w:t>。</w:t>
            </w:r>
          </w:p>
        </w:tc>
      </w:tr>
      <w:tr w14:paraId="2CA9B062">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14:paraId="7D30018B">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2</w:t>
            </w:r>
          </w:p>
        </w:tc>
        <w:tc>
          <w:tcPr>
            <w:tcW w:w="7811" w:type="dxa"/>
            <w:noWrap w:val="0"/>
            <w:vAlign w:val="center"/>
          </w:tcPr>
          <w:p w14:paraId="10E0109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参与本项目政府采购活动时，与其他投标供应商存在单位负责人为</w:t>
            </w:r>
            <w:r>
              <w:rPr>
                <w:rFonts w:ascii="仿宋" w:eastAsia="仿宋" w:hAnsi="仿宋" w:cs="仿宋" w:hint="eastAsia"/>
                <w:b/>
                <w:bCs/>
                <w:color w:val="auto"/>
                <w:sz w:val="24"/>
                <w:szCs w:val="24"/>
                <w:highlight w:val="none"/>
                <w:lang w:val="en-US" w:eastAsia="zh-CN"/>
              </w:rPr>
              <w:t>同一人或直接控股、管理关系</w:t>
            </w:r>
            <w:r>
              <w:rPr>
                <w:rFonts w:ascii="仿宋" w:eastAsia="仿宋" w:hAnsi="仿宋" w:cs="仿宋" w:hint="eastAsia"/>
                <w:color w:val="auto"/>
                <w:sz w:val="24"/>
                <w:szCs w:val="24"/>
                <w:highlight w:val="none"/>
                <w:lang w:val="en-US" w:eastAsia="zh-CN"/>
              </w:rPr>
              <w:t>。</w:t>
            </w:r>
          </w:p>
        </w:tc>
      </w:tr>
      <w:tr w14:paraId="498D0BE1">
        <w:tblPrEx>
          <w:tblW w:w="5000" w:type="pct"/>
          <w:tblInd w:w="0" w:type="dxa"/>
          <w:tblLayout w:type="fixed"/>
          <w:tblCellMar>
            <w:top w:w="0" w:type="dxa"/>
            <w:left w:w="108" w:type="dxa"/>
            <w:bottom w:w="0" w:type="dxa"/>
            <w:right w:w="108" w:type="dxa"/>
          </w:tblCellMar>
        </w:tblPrEx>
        <w:tc>
          <w:tcPr>
            <w:tcW w:w="711" w:type="dxa"/>
            <w:noWrap w:val="0"/>
            <w:vAlign w:val="top"/>
          </w:tcPr>
          <w:p w14:paraId="2CD3D9F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3</w:t>
            </w:r>
          </w:p>
        </w:tc>
        <w:tc>
          <w:tcPr>
            <w:tcW w:w="7811" w:type="dxa"/>
            <w:noWrap w:val="0"/>
            <w:vAlign w:val="center"/>
          </w:tcPr>
          <w:p w14:paraId="321684D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与其他投标供应商的投标文件或部分投标文件</w:t>
            </w:r>
            <w:r>
              <w:rPr>
                <w:rFonts w:ascii="仿宋" w:eastAsia="仿宋" w:hAnsi="仿宋" w:cs="仿宋" w:hint="eastAsia"/>
                <w:b/>
                <w:bCs/>
                <w:color w:val="auto"/>
                <w:sz w:val="24"/>
                <w:szCs w:val="24"/>
                <w:highlight w:val="none"/>
                <w:lang w:val="en-US" w:eastAsia="zh-CN"/>
              </w:rPr>
              <w:t>相互混装或存在非正常一致</w:t>
            </w:r>
            <w:r>
              <w:rPr>
                <w:rFonts w:ascii="仿宋" w:eastAsia="仿宋" w:hAnsi="仿宋" w:cs="仿宋" w:hint="eastAsia"/>
                <w:color w:val="auto"/>
                <w:sz w:val="24"/>
                <w:szCs w:val="24"/>
                <w:highlight w:val="none"/>
                <w:lang w:val="en-US" w:eastAsia="zh-CN"/>
              </w:rPr>
              <w:t>。</w:t>
            </w:r>
          </w:p>
        </w:tc>
      </w:tr>
      <w:tr w14:paraId="4DEB0870">
        <w:tblPrEx>
          <w:tblW w:w="5000" w:type="pct"/>
          <w:tblInd w:w="0" w:type="dxa"/>
          <w:tblLayout w:type="fixed"/>
          <w:tblCellMar>
            <w:top w:w="0" w:type="dxa"/>
            <w:left w:w="108" w:type="dxa"/>
            <w:bottom w:w="0" w:type="dxa"/>
            <w:right w:w="108" w:type="dxa"/>
          </w:tblCellMar>
        </w:tblPrEx>
        <w:tc>
          <w:tcPr>
            <w:tcW w:w="711" w:type="dxa"/>
            <w:noWrap w:val="0"/>
            <w:vAlign w:val="top"/>
          </w:tcPr>
          <w:p w14:paraId="6EF5DCF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4</w:t>
            </w:r>
          </w:p>
        </w:tc>
        <w:tc>
          <w:tcPr>
            <w:tcW w:w="7811" w:type="dxa"/>
            <w:noWrap w:val="0"/>
            <w:vAlign w:val="center"/>
          </w:tcPr>
          <w:p w14:paraId="0C6496A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ascii="仿宋" w:eastAsia="仿宋" w:hAnsi="仿宋" w:cs="仿宋" w:hint="eastAsia"/>
                <w:color w:val="auto"/>
                <w:kern w:val="2"/>
                <w:sz w:val="24"/>
                <w:szCs w:val="24"/>
                <w:highlight w:val="none"/>
                <w:lang w:val="en-US" w:eastAsia="zh-CN" w:bidi="ar-SA"/>
              </w:rPr>
            </w:pPr>
            <w:r>
              <w:rPr>
                <w:rFonts w:ascii="仿宋" w:eastAsia="仿宋" w:hAnsi="仿宋" w:cs="仿宋" w:hint="eastAsia"/>
                <w:color w:val="auto"/>
                <w:sz w:val="24"/>
                <w:szCs w:val="24"/>
                <w:highlight w:val="none"/>
                <w:lang w:val="en-US" w:eastAsia="zh-CN"/>
              </w:rPr>
              <w:t>与其他投标供应商的投标文件由</w:t>
            </w:r>
            <w:r>
              <w:rPr>
                <w:rFonts w:ascii="仿宋" w:eastAsia="仿宋" w:hAnsi="仿宋" w:cs="仿宋" w:hint="eastAsia"/>
                <w:b/>
                <w:bCs/>
                <w:color w:val="auto"/>
                <w:sz w:val="24"/>
                <w:szCs w:val="24"/>
                <w:highlight w:val="none"/>
                <w:lang w:val="en-US" w:eastAsia="zh-CN"/>
              </w:rPr>
              <w:t>同一单位或者同一人编制</w:t>
            </w:r>
            <w:r>
              <w:rPr>
                <w:rFonts w:ascii="仿宋" w:eastAsia="仿宋" w:hAnsi="仿宋" w:cs="仿宋" w:hint="eastAsia"/>
                <w:color w:val="auto"/>
                <w:sz w:val="24"/>
                <w:szCs w:val="24"/>
                <w:highlight w:val="none"/>
                <w:lang w:val="en-US" w:eastAsia="zh-CN"/>
              </w:rPr>
              <w:t>，或者使用</w:t>
            </w:r>
            <w:r>
              <w:rPr>
                <w:rFonts w:ascii="仿宋" w:eastAsia="仿宋" w:hAnsi="仿宋" w:cs="仿宋" w:hint="eastAsia"/>
                <w:b/>
                <w:bCs/>
                <w:color w:val="auto"/>
                <w:sz w:val="24"/>
                <w:szCs w:val="24"/>
                <w:highlight w:val="none"/>
                <w:lang w:val="en-US" w:eastAsia="zh-CN"/>
              </w:rPr>
              <w:t>同一设备编制</w:t>
            </w:r>
            <w:r>
              <w:rPr>
                <w:rFonts w:ascii="仿宋" w:eastAsia="仿宋" w:hAnsi="仿宋" w:cs="仿宋" w:hint="eastAsia"/>
                <w:color w:val="auto"/>
                <w:sz w:val="24"/>
                <w:szCs w:val="24"/>
                <w:highlight w:val="none"/>
                <w:lang w:val="en-US" w:eastAsia="zh-CN"/>
              </w:rPr>
              <w:t>（“文件制作机器码”“文件创建标识码”一致）。</w:t>
            </w:r>
          </w:p>
        </w:tc>
      </w:tr>
      <w:tr w14:paraId="2DCFFA5F">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14:paraId="45F5AB9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5</w:t>
            </w:r>
          </w:p>
        </w:tc>
        <w:tc>
          <w:tcPr>
            <w:tcW w:w="7811" w:type="dxa"/>
            <w:noWrap w:val="0"/>
            <w:vAlign w:val="center"/>
          </w:tcPr>
          <w:p w14:paraId="6814B8A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提供</w:t>
            </w:r>
            <w:r>
              <w:rPr>
                <w:rFonts w:ascii="仿宋" w:eastAsia="仿宋" w:hAnsi="仿宋" w:cs="仿宋" w:hint="eastAsia"/>
                <w:b/>
                <w:bCs/>
                <w:color w:val="auto"/>
                <w:sz w:val="24"/>
                <w:szCs w:val="24"/>
                <w:highlight w:val="none"/>
                <w:lang w:val="en-US" w:eastAsia="zh-CN"/>
              </w:rPr>
              <w:t>未经出具机构核实</w:t>
            </w:r>
            <w:r>
              <w:rPr>
                <w:rFonts w:ascii="仿宋" w:eastAsia="仿宋" w:hAnsi="仿宋" w:cs="仿宋" w:hint="eastAsia"/>
                <w:color w:val="auto"/>
                <w:sz w:val="24"/>
                <w:szCs w:val="24"/>
                <w:highlight w:val="none"/>
                <w:lang w:val="en-US" w:eastAsia="zh-CN"/>
              </w:rPr>
              <w:t>的虚假的检验检测报告、业绩材料、社保缴纳证明、学历学位证书、职称认证证书等材料。</w:t>
            </w:r>
          </w:p>
        </w:tc>
      </w:tr>
      <w:tr w14:paraId="2FDB2960">
        <w:tblPrEx>
          <w:tblW w:w="5000" w:type="pct"/>
          <w:tblInd w:w="0" w:type="dxa"/>
          <w:tblLayout w:type="fixed"/>
          <w:tblCellMar>
            <w:top w:w="0" w:type="dxa"/>
            <w:left w:w="108" w:type="dxa"/>
            <w:bottom w:w="0" w:type="dxa"/>
            <w:right w:w="108" w:type="dxa"/>
          </w:tblCellMar>
        </w:tblPrEx>
        <w:tc>
          <w:tcPr>
            <w:tcW w:w="711" w:type="dxa"/>
            <w:noWrap w:val="0"/>
            <w:vAlign w:val="top"/>
          </w:tcPr>
          <w:p w14:paraId="50E4E9B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ascii="仿宋" w:eastAsia="仿宋" w:hAnsi="仿宋" w:cs="仿宋" w:hint="eastAsia"/>
                <w:color w:val="auto"/>
                <w:sz w:val="24"/>
                <w:szCs w:val="24"/>
                <w:highlight w:val="none"/>
                <w:lang w:val="en-US" w:eastAsia="zh-CN"/>
              </w:rPr>
            </w:pPr>
            <w:r>
              <w:rPr>
                <w:rFonts w:ascii="仿宋" w:eastAsia="仿宋" w:hAnsi="仿宋" w:cs="仿宋" w:hint="eastAsia"/>
                <w:color w:val="auto"/>
                <w:sz w:val="24"/>
                <w:szCs w:val="24"/>
                <w:highlight w:val="none"/>
                <w:lang w:val="en-US" w:eastAsia="zh-CN"/>
              </w:rPr>
              <w:t>6</w:t>
            </w:r>
          </w:p>
        </w:tc>
        <w:tc>
          <w:tcPr>
            <w:tcW w:w="7811" w:type="dxa"/>
            <w:noWrap w:val="0"/>
            <w:vAlign w:val="center"/>
          </w:tcPr>
          <w:p w14:paraId="1305888C">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ascii="仿宋" w:eastAsia="仿宋" w:hAnsi="仿宋" w:cs="仿宋" w:hint="eastAsia"/>
                <w:color w:val="auto"/>
                <w:kern w:val="2"/>
                <w:sz w:val="24"/>
                <w:szCs w:val="24"/>
                <w:highlight w:val="none"/>
                <w:lang w:val="en-US" w:eastAsia="zh-CN" w:bidi="ar-SA"/>
              </w:rPr>
            </w:pPr>
            <w:r>
              <w:rPr>
                <w:rFonts w:ascii="仿宋" w:eastAsia="仿宋" w:hAnsi="仿宋" w:cs="仿宋" w:hint="eastAsia"/>
                <w:color w:val="auto"/>
                <w:sz w:val="24"/>
                <w:szCs w:val="24"/>
                <w:highlight w:val="none"/>
                <w:lang w:val="en-US" w:eastAsia="zh-CN"/>
              </w:rPr>
              <w:t>擅自将投标密钥或电子营业执照出借他人使用或未妥善保管。</w:t>
            </w:r>
          </w:p>
        </w:tc>
      </w:tr>
    </w:tbl>
    <w:p w14:paraId="2ACCE4B3">
      <w:pPr>
        <w:shd w:val="clear" w:color="auto" w:fill="auto"/>
        <w:spacing w:before="157" w:beforeLines="50" w:line="380" w:lineRule="exact"/>
        <w:ind w:firstLine="480" w:firstLineChars="200"/>
        <w:rPr>
          <w:rFonts w:ascii="仿宋" w:eastAsia="仿宋" w:hAnsi="仿宋" w:cs="仿宋" w:hint="eastAsia"/>
          <w:b/>
          <w:color w:val="auto"/>
        </w:rPr>
      </w:pPr>
      <w:r>
        <w:rPr>
          <w:rFonts w:ascii="仿宋" w:eastAsia="仿宋" w:hAnsi="仿宋" w:cs="仿宋" w:hint="eastAsia"/>
          <w:b/>
          <w:color w:val="auto"/>
        </w:rPr>
        <w:t>一、</w:t>
      </w:r>
      <w:r>
        <w:rPr>
          <w:rFonts w:ascii="仿宋" w:eastAsia="仿宋" w:hAnsi="仿宋" w:cs="仿宋" w:hint="eastAsia"/>
          <w:b/>
          <w:color w:val="auto"/>
          <w:lang w:eastAsia="zh-CN"/>
        </w:rPr>
        <w:t>我</w:t>
      </w:r>
      <w:r>
        <w:rPr>
          <w:rFonts w:ascii="仿宋" w:eastAsia="仿宋" w:hAnsi="仿宋" w:cs="仿宋" w:hint="eastAsia"/>
          <w:b/>
          <w:color w:val="auto"/>
          <w:lang w:val="en-US" w:eastAsia="zh-CN"/>
        </w:rPr>
        <w:t>单位</w:t>
      </w:r>
      <w:r>
        <w:rPr>
          <w:rFonts w:ascii="仿宋" w:eastAsia="仿宋" w:hAnsi="仿宋" w:cs="仿宋" w:hint="eastAsia"/>
          <w:b/>
          <w:color w:val="auto"/>
        </w:rPr>
        <w:t>已充分知悉“隐瞒真实情况，提供虚假资料”的法定情形，包括但不限于：</w:t>
      </w:r>
    </w:p>
    <w:p w14:paraId="5031A096">
      <w:pPr>
        <w:shd w:val="clear" w:color="auto" w:fill="auto"/>
        <w:spacing w:beforeLines="0" w:line="380" w:lineRule="exact"/>
        <w:ind w:firstLine="480" w:firstLineChars="200"/>
        <w:rPr>
          <w:rFonts w:ascii="仿宋" w:eastAsia="仿宋" w:hAnsi="仿宋" w:cs="仿宋" w:hint="eastAsia"/>
          <w:color w:val="auto"/>
        </w:rPr>
      </w:pPr>
      <w:r>
        <w:rPr>
          <w:rFonts w:ascii="仿宋" w:eastAsia="仿宋" w:hAnsi="仿宋" w:cs="仿宋" w:hint="eastAsia"/>
          <w:color w:val="auto"/>
        </w:rPr>
        <w:t>（一）通过转让或者租借等方式从其他单位获取资格或者资质证书投标的</w:t>
      </w:r>
      <w:r>
        <w:rPr>
          <w:rFonts w:ascii="仿宋" w:eastAsia="仿宋" w:hAnsi="仿宋" w:cs="仿宋" w:hint="eastAsia"/>
          <w:color w:val="auto"/>
          <w:highlight w:val="none"/>
        </w:rPr>
        <w:t>。</w:t>
      </w:r>
    </w:p>
    <w:p w14:paraId="7D866C94">
      <w:pPr>
        <w:shd w:val="clear" w:color="auto" w:fill="auto"/>
        <w:spacing w:beforeLines="0" w:line="380" w:lineRule="exact"/>
        <w:ind w:firstLine="480" w:firstLineChars="200"/>
        <w:rPr>
          <w:rFonts w:ascii="仿宋" w:eastAsia="仿宋" w:hAnsi="仿宋" w:cs="仿宋" w:hint="eastAsia"/>
          <w:color w:val="auto"/>
        </w:rPr>
      </w:pPr>
      <w:r>
        <w:rPr>
          <w:rFonts w:ascii="仿宋" w:eastAsia="仿宋" w:hAnsi="仿宋" w:cs="仿宋" w:hint="eastAsia"/>
          <w:color w:val="auto"/>
        </w:rPr>
        <w:t>（二）由其他单位或者其他单位负责人在投标供应商编制的投标文件上加盖印章或者签字的。</w:t>
      </w:r>
    </w:p>
    <w:p w14:paraId="1562F944">
      <w:pPr>
        <w:shd w:val="clear" w:color="auto" w:fill="auto"/>
        <w:spacing w:beforeLines="0" w:line="380" w:lineRule="exact"/>
        <w:ind w:firstLine="480" w:firstLineChars="200"/>
        <w:rPr>
          <w:rFonts w:ascii="仿宋" w:eastAsia="仿宋" w:hAnsi="仿宋" w:cs="仿宋" w:hint="eastAsia"/>
          <w:color w:val="auto"/>
        </w:rPr>
      </w:pPr>
      <w:r>
        <w:rPr>
          <w:rFonts w:ascii="仿宋" w:eastAsia="仿宋" w:hAnsi="仿宋" w:cs="仿宋" w:hint="eastAsia"/>
          <w:color w:val="auto"/>
        </w:rPr>
        <w:t>（三）项目负责人或者主要技术人员不是本单位人员的。</w:t>
      </w:r>
    </w:p>
    <w:p w14:paraId="3E2E1136">
      <w:pPr>
        <w:shd w:val="clear" w:color="auto" w:fill="auto"/>
        <w:spacing w:beforeLines="0" w:line="380" w:lineRule="exact"/>
        <w:ind w:firstLine="480" w:firstLineChars="200"/>
        <w:rPr>
          <w:rFonts w:ascii="仿宋" w:eastAsia="仿宋" w:hAnsi="仿宋" w:cs="仿宋" w:hint="eastAsia"/>
          <w:color w:val="auto"/>
        </w:rPr>
      </w:pPr>
      <w:r>
        <w:rPr>
          <w:rFonts w:ascii="仿宋" w:eastAsia="仿宋" w:hAnsi="仿宋" w:cs="仿宋" w:hint="eastAsia"/>
          <w:color w:val="auto"/>
        </w:rPr>
        <w:t>（四）投标保证金不是从投标供应商基本账户转出的。</w:t>
      </w:r>
    </w:p>
    <w:p w14:paraId="2A66189F">
      <w:pPr>
        <w:shd w:val="clear" w:color="auto" w:fill="auto"/>
        <w:spacing w:beforeLines="0" w:line="380" w:lineRule="exact"/>
        <w:ind w:firstLine="480" w:firstLineChars="200"/>
        <w:rPr>
          <w:rFonts w:ascii="仿宋" w:eastAsia="仿宋" w:hAnsi="仿宋" w:cs="仿宋" w:hint="eastAsia"/>
          <w:color w:val="auto"/>
        </w:rPr>
      </w:pPr>
      <w:r>
        <w:rPr>
          <w:rFonts w:ascii="仿宋" w:eastAsia="仿宋" w:hAnsi="仿宋" w:cs="仿宋" w:hint="eastAsia"/>
          <w:color w:val="auto"/>
        </w:rPr>
        <w:t>（五）其他隐瞒真实情况、提供虚假资料的行为。</w:t>
      </w:r>
    </w:p>
    <w:p w14:paraId="4951F716">
      <w:pPr>
        <w:shd w:val="clear" w:color="auto" w:fill="auto"/>
        <w:spacing w:beforeLines="0" w:line="380" w:lineRule="exact"/>
        <w:ind w:firstLine="480" w:firstLineChars="200"/>
        <w:rPr>
          <w:rFonts w:ascii="仿宋" w:eastAsia="仿宋" w:hAnsi="仿宋" w:cs="仿宋" w:hint="eastAsia"/>
          <w:b/>
          <w:color w:val="auto"/>
        </w:rPr>
      </w:pPr>
      <w:r>
        <w:rPr>
          <w:rFonts w:ascii="仿宋" w:eastAsia="仿宋" w:hAnsi="仿宋" w:cs="仿宋" w:hint="eastAsia"/>
          <w:b/>
          <w:color w:val="auto"/>
        </w:rPr>
        <w:t>二、</w:t>
      </w:r>
      <w:r>
        <w:rPr>
          <w:rFonts w:ascii="仿宋" w:eastAsia="仿宋" w:hAnsi="仿宋" w:cs="仿宋" w:hint="eastAsia"/>
          <w:b/>
          <w:color w:val="auto"/>
          <w:lang w:eastAsia="zh-CN"/>
        </w:rPr>
        <w:t>我</w:t>
      </w:r>
      <w:r>
        <w:rPr>
          <w:rFonts w:ascii="仿宋" w:eastAsia="仿宋" w:hAnsi="仿宋" w:cs="仿宋" w:hint="eastAsia"/>
          <w:b/>
          <w:color w:val="auto"/>
          <w:lang w:val="en-US" w:eastAsia="zh-CN"/>
        </w:rPr>
        <w:t>单位</w:t>
      </w:r>
      <w:r>
        <w:rPr>
          <w:rFonts w:ascii="仿宋" w:eastAsia="仿宋" w:hAnsi="仿宋" w:cs="仿宋" w:hint="eastAsia"/>
          <w:b/>
          <w:color w:val="auto"/>
        </w:rPr>
        <w:t>已充分知悉“与其他采购参加人串通投标”的法定情形，包括但不限于：</w:t>
      </w:r>
    </w:p>
    <w:p w14:paraId="73732686">
      <w:pPr>
        <w:shd w:val="clear" w:color="auto" w:fill="auto"/>
        <w:spacing w:beforeLines="0" w:line="380" w:lineRule="exact"/>
        <w:ind w:firstLine="480" w:firstLineChars="200"/>
        <w:rPr>
          <w:rFonts w:ascii="仿宋" w:eastAsia="仿宋" w:hAnsi="仿宋" w:cs="仿宋" w:hint="eastAsia"/>
          <w:color w:val="auto"/>
        </w:rPr>
      </w:pPr>
      <w:r>
        <w:rPr>
          <w:rFonts w:ascii="仿宋" w:eastAsia="仿宋" w:hAnsi="仿宋" w:cs="仿宋" w:hint="eastAsia"/>
          <w:color w:val="auto"/>
        </w:rPr>
        <w:t>（一）投标供应商之间相互约定给予未中标的供应商利益补偿。</w:t>
      </w:r>
    </w:p>
    <w:p w14:paraId="4CD68290">
      <w:pPr>
        <w:shd w:val="clear" w:color="auto" w:fill="auto"/>
        <w:spacing w:beforeLines="0" w:line="380" w:lineRule="exact"/>
        <w:ind w:firstLine="480" w:firstLineChars="200"/>
        <w:rPr>
          <w:rFonts w:ascii="仿宋" w:eastAsia="仿宋" w:hAnsi="仿宋" w:cs="仿宋" w:hint="eastAsia"/>
          <w:color w:val="auto"/>
        </w:rPr>
      </w:pPr>
      <w:r>
        <w:rPr>
          <w:rFonts w:ascii="仿宋" w:eastAsia="仿宋" w:hAnsi="仿宋" w:cs="仿宋" w:hint="eastAsia"/>
          <w:color w:val="auto"/>
        </w:rPr>
        <w:t>（二）不同投标供应商的法定代表人、主要经营负责人、项目投标授权代表人、项目负责人、主要技术人员为同一人、属同一单位或者在同一单位缴纳社会保险。</w:t>
      </w:r>
    </w:p>
    <w:p w14:paraId="19DA1364">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（三）不同投标供应商的投标文件由同一单位或者同一人编制，或者由同一人分阶段参与编制的。</w:t>
      </w:r>
    </w:p>
    <w:p w14:paraId="5ECAAB24">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（四）不同投标供应商的投标文件或部分投标文件相互混装。</w:t>
      </w:r>
    </w:p>
    <w:p w14:paraId="71103B46">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（五）不同投标供应商的投标文件内容存在非正常一致。</w:t>
      </w:r>
    </w:p>
    <w:p w14:paraId="47C1E837">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（六）由同一单位工作人员为两家以上（含两家）供应商进行同一项投标活动的。</w:t>
      </w:r>
    </w:p>
    <w:p w14:paraId="78062A30">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（七）不同投标人的投标报价呈规律性差异。</w:t>
      </w:r>
    </w:p>
    <w:p w14:paraId="7DF0D2C5">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（八）不同投标人的投标保证金从同一单位或者个人的账户转出。</w:t>
      </w:r>
    </w:p>
    <w:p w14:paraId="0E79EF5B">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（九）主管部门依照法律、法规认定的其他情形。</w:t>
      </w:r>
    </w:p>
    <w:p w14:paraId="282EB208">
      <w:pPr>
        <w:shd w:val="clear" w:color="auto" w:fill="auto"/>
        <w:spacing w:beforeLines="0" w:line="340" w:lineRule="exact"/>
        <w:ind w:firstLine="480" w:firstLineChars="200"/>
        <w:rPr>
          <w:rFonts w:ascii="仿宋" w:eastAsia="仿宋" w:hAnsi="仿宋" w:cs="仿宋" w:hint="eastAsia"/>
          <w:b/>
          <w:color w:val="auto"/>
        </w:rPr>
      </w:pPr>
      <w:r>
        <w:rPr>
          <w:rFonts w:ascii="仿宋" w:eastAsia="仿宋" w:hAnsi="仿宋" w:cs="仿宋" w:hint="eastAsia"/>
          <w:b/>
          <w:color w:val="auto"/>
        </w:rPr>
        <w:t>三、</w:t>
      </w:r>
      <w:r>
        <w:rPr>
          <w:rFonts w:ascii="仿宋" w:eastAsia="仿宋" w:hAnsi="仿宋" w:cs="仿宋" w:hint="eastAsia"/>
          <w:b/>
          <w:color w:val="auto"/>
          <w:lang w:eastAsia="zh-CN"/>
        </w:rPr>
        <w:t>我</w:t>
      </w:r>
      <w:r>
        <w:rPr>
          <w:rFonts w:ascii="仿宋" w:eastAsia="仿宋" w:hAnsi="仿宋" w:cs="仿宋" w:hint="eastAsia"/>
          <w:b/>
          <w:color w:val="auto"/>
          <w:lang w:val="en-US" w:eastAsia="zh-CN"/>
        </w:rPr>
        <w:t>单位</w:t>
      </w:r>
      <w:r>
        <w:rPr>
          <w:rFonts w:ascii="仿宋" w:eastAsia="仿宋" w:hAnsi="仿宋" w:cs="仿宋" w:hint="eastAsia"/>
          <w:b/>
          <w:color w:val="auto"/>
        </w:rPr>
        <w:t>已充分知悉下列情形</w:t>
      </w:r>
      <w:r>
        <w:rPr>
          <w:rFonts w:ascii="仿宋" w:eastAsia="仿宋" w:hAnsi="仿宋" w:cs="仿宋" w:hint="eastAsia"/>
          <w:b/>
          <w:color w:val="auto"/>
          <w:lang w:eastAsia="zh-CN"/>
        </w:rPr>
        <w:t>存在</w:t>
      </w:r>
      <w:r>
        <w:rPr>
          <w:rFonts w:ascii="仿宋" w:eastAsia="仿宋" w:hAnsi="仿宋" w:cs="仿宋" w:hint="eastAsia"/>
          <w:b/>
          <w:color w:val="auto"/>
        </w:rPr>
        <w:t>法律风险，在投标前已对相关风险事项进行排</w:t>
      </w:r>
      <w:r>
        <w:rPr>
          <w:rFonts w:ascii="仿宋" w:eastAsia="仿宋" w:hAnsi="仿宋" w:cs="仿宋" w:hint="eastAsia"/>
          <w:b/>
          <w:color w:val="auto"/>
          <w:highlight w:val="none"/>
        </w:rPr>
        <w:t>查。</w:t>
      </w:r>
    </w:p>
    <w:p w14:paraId="5CF24AE0">
      <w:pPr>
        <w:shd w:val="clear" w:color="auto" w:fill="auto"/>
        <w:spacing w:beforeLines="0" w:line="340" w:lineRule="exact"/>
        <w:ind w:firstLine="480" w:firstLineChars="200"/>
        <w:rPr>
          <w:rFonts w:ascii="仿宋" w:eastAsia="仿宋" w:hAnsi="仿宋" w:cs="仿宋" w:hint="eastAsia"/>
          <w:b/>
          <w:color w:val="auto"/>
        </w:rPr>
      </w:pPr>
      <w:r>
        <w:rPr>
          <w:rFonts w:ascii="仿宋" w:eastAsia="仿宋" w:hAnsi="仿宋" w:cs="仿宋" w:hint="eastAsia"/>
          <w:color w:val="auto"/>
        </w:rPr>
        <w:t>（一）对于从其他主体获取的投标资料，</w:t>
      </w:r>
      <w:r>
        <w:rPr>
          <w:rFonts w:ascii="仿宋" w:eastAsia="仿宋" w:hAnsi="仿宋" w:cs="仿宋" w:hint="eastAsia"/>
          <w:color w:val="auto"/>
          <w:lang w:eastAsia="zh-CN"/>
        </w:rPr>
        <w:t>我</w:t>
      </w:r>
      <w:r>
        <w:rPr>
          <w:rFonts w:ascii="仿宋" w:eastAsia="仿宋" w:hAnsi="仿宋" w:cs="仿宋" w:hint="eastAsia"/>
          <w:color w:val="auto"/>
          <w:lang w:val="en-US" w:eastAsia="zh-CN"/>
        </w:rPr>
        <w:t>单位</w:t>
      </w:r>
      <w:r>
        <w:rPr>
          <w:rFonts w:ascii="仿宋" w:eastAsia="仿宋" w:hAnsi="仿宋" w:cs="仿宋" w:hint="eastAsia"/>
          <w:color w:val="auto"/>
        </w:rPr>
        <w:t>应审慎核查，确保</w:t>
      </w:r>
      <w:r>
        <w:rPr>
          <w:rFonts w:ascii="仿宋" w:eastAsia="仿宋" w:hAnsi="仿宋" w:cs="仿宋" w:hint="eastAsia"/>
          <w:color w:val="auto"/>
          <w:lang w:eastAsia="zh-CN"/>
        </w:rPr>
        <w:t>其</w:t>
      </w:r>
      <w:r>
        <w:rPr>
          <w:rFonts w:ascii="仿宋" w:eastAsia="仿宋" w:hAnsi="仿宋" w:cs="仿宋" w:hint="eastAsia"/>
          <w:color w:val="auto"/>
        </w:rPr>
        <w:t>真实性。</w:t>
      </w:r>
      <w:r>
        <w:rPr>
          <w:rFonts w:ascii="仿宋" w:eastAsia="仿宋" w:hAnsi="仿宋" w:cs="仿宋" w:hint="eastAsia"/>
          <w:b/>
          <w:color w:val="auto"/>
        </w:rPr>
        <w:t>如主管部门查实投标文件中存在虚假资料的，无论相关资料是否由第三方或本公司员工提供，均不影响主管部门对供应商存在“隐瞒真实情况，提供虚假资料”违法行为的认定。</w:t>
      </w:r>
    </w:p>
    <w:p w14:paraId="6F06529A">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（二）对于涉及国家机关出具的公文、证件、证明材料等文件，一旦涉嫌虚假，经查实，主管部门将依法从严处理，并移送有关部门追究法律责任；涉嫌犯罪的，移送司法机关</w:t>
      </w:r>
      <w:r>
        <w:rPr>
          <w:rFonts w:ascii="仿宋" w:eastAsia="仿宋" w:hAnsi="仿宋" w:cs="仿宋" w:hint="eastAsia"/>
          <w:color w:val="auto"/>
          <w:lang w:eastAsia="zh-CN"/>
        </w:rPr>
        <w:t>处理</w:t>
      </w:r>
      <w:r>
        <w:rPr>
          <w:rFonts w:ascii="仿宋" w:eastAsia="仿宋" w:hAnsi="仿宋" w:cs="仿宋" w:hint="eastAsia"/>
          <w:color w:val="auto"/>
        </w:rPr>
        <w:t>。</w:t>
      </w:r>
    </w:p>
    <w:p w14:paraId="63FCBDD8">
      <w:pPr>
        <w:shd w:val="clear" w:color="auto" w:fill="auto"/>
        <w:spacing w:beforeLines="0" w:line="340" w:lineRule="exact"/>
        <w:ind w:firstLine="480" w:firstLineChars="200"/>
        <w:rPr>
          <w:rFonts w:ascii="仿宋" w:eastAsia="仿宋" w:hAnsi="仿宋" w:cs="仿宋" w:hint="eastAsia"/>
          <w:color w:val="auto"/>
        </w:rPr>
      </w:pPr>
      <w:r>
        <w:rPr>
          <w:rFonts w:ascii="仿宋" w:eastAsia="仿宋" w:hAnsi="仿宋" w:cs="仿宋" w:hint="eastAsia"/>
          <w:color w:val="auto"/>
        </w:rPr>
        <w:t>（</w:t>
      </w:r>
      <w:r>
        <w:rPr>
          <w:rFonts w:ascii="仿宋" w:eastAsia="仿宋" w:hAnsi="仿宋" w:cs="仿宋" w:hint="eastAsia"/>
          <w:color w:val="auto"/>
          <w:lang w:eastAsia="zh-CN"/>
        </w:rPr>
        <w:t>三</w:t>
      </w:r>
      <w:r>
        <w:rPr>
          <w:rFonts w:ascii="仿宋" w:eastAsia="仿宋" w:hAnsi="仿宋" w:cs="仿宋" w:hint="eastAsia"/>
          <w:color w:val="auto"/>
        </w:rPr>
        <w:t>）</w:t>
      </w:r>
      <w:r>
        <w:rPr>
          <w:rFonts w:ascii="仿宋" w:eastAsia="仿宋" w:hAnsi="仿宋" w:cs="仿宋" w:hint="eastAsia"/>
          <w:color w:val="auto"/>
          <w:lang w:eastAsia="zh-CN"/>
        </w:rPr>
        <w:t>我</w:t>
      </w:r>
      <w:r>
        <w:rPr>
          <w:rFonts w:ascii="仿宋" w:eastAsia="仿宋" w:hAnsi="仿宋" w:cs="仿宋" w:hint="eastAsia"/>
          <w:color w:val="auto"/>
          <w:lang w:val="en-US" w:eastAsia="zh-CN"/>
        </w:rPr>
        <w:t>单位</w:t>
      </w:r>
      <w:r>
        <w:rPr>
          <w:rFonts w:ascii="仿宋" w:eastAsia="仿宋" w:hAnsi="仿宋" w:cs="仿宋" w:hint="eastAsia"/>
          <w:color w:val="auto"/>
        </w:rPr>
        <w:t>对投标电子密钥</w:t>
      </w:r>
      <w:r>
        <w:rPr>
          <w:rFonts w:ascii="仿宋" w:eastAsia="仿宋" w:hAnsi="仿宋" w:cs="仿宋" w:hint="eastAsia"/>
          <w:color w:val="auto"/>
          <w:lang w:eastAsia="zh-CN"/>
        </w:rPr>
        <w:t>或</w:t>
      </w:r>
      <w:r>
        <w:rPr>
          <w:rFonts w:ascii="仿宋" w:eastAsia="仿宋" w:hAnsi="仿宋" w:cs="仿宋" w:hint="eastAsia"/>
          <w:color w:val="auto"/>
          <w:lang w:val="en-US" w:eastAsia="zh-CN"/>
        </w:rPr>
        <w:t>电子营业执照</w:t>
      </w:r>
      <w:r>
        <w:rPr>
          <w:rFonts w:ascii="仿宋" w:eastAsia="仿宋" w:hAnsi="仿宋" w:cs="仿宋" w:hint="eastAsia"/>
          <w:color w:val="auto"/>
        </w:rPr>
        <w:t>负有妥善保管、及时变更和续期等主体责任</w:t>
      </w:r>
      <w:r>
        <w:rPr>
          <w:rFonts w:ascii="仿宋" w:eastAsia="仿宋" w:hAnsi="仿宋" w:cs="仿宋" w:hint="eastAsia"/>
          <w:color w:val="auto"/>
          <w:lang w:eastAsia="zh-CN"/>
        </w:rPr>
        <w:t>；</w:t>
      </w:r>
      <w:r>
        <w:rPr>
          <w:rFonts w:ascii="仿宋" w:eastAsia="仿宋" w:hAnsi="仿宋" w:cs="仿宋" w:hint="eastAsia"/>
          <w:color w:val="auto"/>
        </w:rPr>
        <w:t>使用电子密钥</w:t>
      </w:r>
      <w:r>
        <w:rPr>
          <w:rFonts w:ascii="仿宋" w:eastAsia="仿宋" w:hAnsi="仿宋" w:cs="仿宋" w:hint="eastAsia"/>
          <w:color w:val="auto"/>
          <w:lang w:eastAsia="zh-CN"/>
        </w:rPr>
        <w:t>或</w:t>
      </w:r>
      <w:r>
        <w:rPr>
          <w:rFonts w:ascii="仿宋" w:eastAsia="仿宋" w:hAnsi="仿宋" w:cs="仿宋" w:hint="eastAsia"/>
          <w:color w:val="auto"/>
          <w:lang w:val="en-US" w:eastAsia="zh-CN"/>
        </w:rPr>
        <w:t>电子营业执照</w:t>
      </w:r>
      <w:r>
        <w:rPr>
          <w:rFonts w:ascii="仿宋" w:eastAsia="仿宋" w:hAnsi="仿宋" w:cs="仿宋" w:hint="eastAsia"/>
          <w:color w:val="auto"/>
        </w:rPr>
        <w:t>在深圳政府采购网站进行的活动，均具有法律效力，须承担相应的法律后果。</w:t>
      </w:r>
      <w:r>
        <w:rPr>
          <w:rFonts w:ascii="仿宋" w:eastAsia="仿宋" w:hAnsi="仿宋" w:cs="仿宋" w:hint="eastAsia"/>
          <w:color w:val="auto"/>
          <w:lang w:eastAsia="zh-CN"/>
        </w:rPr>
        <w:t>若</w:t>
      </w:r>
      <w:r>
        <w:rPr>
          <w:rFonts w:ascii="仿宋" w:eastAsia="仿宋" w:hAnsi="仿宋" w:cs="仿宋" w:hint="eastAsia"/>
          <w:b/>
          <w:bCs/>
          <w:color w:val="auto"/>
        </w:rPr>
        <w:t>擅自将投标密钥</w:t>
      </w:r>
      <w:r>
        <w:rPr>
          <w:rFonts w:ascii="仿宋" w:eastAsia="仿宋" w:hAnsi="仿宋" w:cs="仿宋" w:hint="eastAsia"/>
          <w:b/>
          <w:bCs/>
          <w:color w:val="auto"/>
          <w:lang w:eastAsia="zh-CN"/>
        </w:rPr>
        <w:t>或</w:t>
      </w:r>
      <w:r>
        <w:rPr>
          <w:rFonts w:ascii="仿宋" w:eastAsia="仿宋" w:hAnsi="仿宋" w:cs="仿宋" w:hint="eastAsia"/>
          <w:b/>
          <w:bCs/>
          <w:color w:val="auto"/>
          <w:lang w:val="en-US" w:eastAsia="zh-CN"/>
        </w:rPr>
        <w:t>电子营业执照</w:t>
      </w:r>
      <w:r>
        <w:rPr>
          <w:rFonts w:ascii="仿宋" w:eastAsia="仿宋" w:hAnsi="仿宋" w:cs="仿宋" w:hint="eastAsia"/>
          <w:b/>
          <w:bCs/>
          <w:color w:val="auto"/>
        </w:rPr>
        <w:t>出借他人使用所造成的法律后果，由</w:t>
      </w:r>
      <w:r>
        <w:rPr>
          <w:rFonts w:ascii="仿宋" w:eastAsia="仿宋" w:hAnsi="仿宋" w:cs="仿宋" w:hint="eastAsia"/>
          <w:b/>
          <w:bCs/>
          <w:color w:val="auto"/>
          <w:lang w:eastAsia="zh-CN"/>
        </w:rPr>
        <w:t>我</w:t>
      </w:r>
      <w:r>
        <w:rPr>
          <w:rFonts w:ascii="仿宋" w:eastAsia="仿宋" w:hAnsi="仿宋" w:cs="仿宋" w:hint="eastAsia"/>
          <w:b/>
          <w:bCs/>
          <w:color w:val="auto"/>
          <w:lang w:val="en-US" w:eastAsia="zh-CN"/>
        </w:rPr>
        <w:t>单位</w:t>
      </w:r>
      <w:r>
        <w:rPr>
          <w:rFonts w:ascii="仿宋" w:eastAsia="仿宋" w:hAnsi="仿宋" w:cs="仿宋" w:hint="eastAsia"/>
          <w:b/>
          <w:bCs/>
          <w:color w:val="auto"/>
        </w:rPr>
        <w:t>自行承担</w:t>
      </w:r>
      <w:r>
        <w:rPr>
          <w:rFonts w:ascii="仿宋" w:eastAsia="仿宋" w:hAnsi="仿宋" w:cs="仿宋" w:hint="eastAsia"/>
          <w:color w:val="auto"/>
        </w:rPr>
        <w:t>。</w:t>
      </w:r>
    </w:p>
    <w:p w14:paraId="636FE827">
      <w:pPr>
        <w:shd w:val="clear" w:color="auto" w:fill="auto"/>
        <w:spacing w:beforeLines="0" w:line="340" w:lineRule="exact"/>
        <w:ind w:firstLine="480" w:firstLineChars="200"/>
        <w:rPr>
          <w:rFonts w:ascii="仿宋" w:eastAsia="仿宋" w:hAnsi="仿宋" w:cs="仿宋" w:hint="eastAsia"/>
          <w:b/>
          <w:color w:val="auto"/>
        </w:rPr>
      </w:pPr>
      <w:r>
        <w:rPr>
          <w:rFonts w:ascii="仿宋" w:eastAsia="仿宋" w:hAnsi="仿宋" w:cs="仿宋" w:hint="eastAsia"/>
          <w:b/>
          <w:color w:val="auto"/>
        </w:rPr>
        <w:t>四、</w:t>
      </w:r>
      <w:r>
        <w:rPr>
          <w:rFonts w:ascii="仿宋" w:eastAsia="仿宋" w:hAnsi="仿宋" w:cs="仿宋" w:hint="eastAsia"/>
          <w:b/>
          <w:color w:val="auto"/>
          <w:lang w:eastAsia="zh-CN"/>
        </w:rPr>
        <w:t>我</w:t>
      </w:r>
      <w:r>
        <w:rPr>
          <w:rFonts w:ascii="仿宋" w:eastAsia="仿宋" w:hAnsi="仿宋" w:cs="仿宋" w:hint="eastAsia"/>
          <w:b/>
          <w:color w:val="auto"/>
          <w:lang w:val="en-US" w:eastAsia="zh-CN"/>
        </w:rPr>
        <w:t>单位</w:t>
      </w:r>
      <w:r>
        <w:rPr>
          <w:rFonts w:ascii="仿宋" w:eastAsia="仿宋" w:hAnsi="仿宋" w:cs="仿宋" w:hint="eastAsia"/>
          <w:b/>
          <w:color w:val="auto"/>
        </w:rPr>
        <w:t>已充分知悉政府采购违法、违规行为的法律</w:t>
      </w:r>
      <w:r>
        <w:rPr>
          <w:rFonts w:ascii="仿宋" w:eastAsia="仿宋" w:hAnsi="仿宋" w:cs="仿宋" w:hint="eastAsia"/>
          <w:b/>
          <w:color w:val="auto"/>
          <w:highlight w:val="none"/>
        </w:rPr>
        <w:t>后果。</w:t>
      </w:r>
    </w:p>
    <w:p w14:paraId="423C3D22">
      <w:pPr>
        <w:shd w:val="clear" w:color="auto" w:fill="auto"/>
        <w:spacing w:beforeLines="0" w:line="340" w:lineRule="exact"/>
        <w:ind w:firstLine="480" w:firstLineChars="200"/>
        <w:rPr>
          <w:rFonts w:ascii="仿宋" w:eastAsia="仿宋" w:hAnsi="仿宋" w:cs="仿宋" w:hint="eastAsia"/>
          <w:color w:val="auto"/>
          <w:highlight w:val="none"/>
        </w:rPr>
      </w:pPr>
      <w:r>
        <w:rPr>
          <w:rFonts w:ascii="仿宋" w:eastAsia="仿宋" w:hAnsi="仿宋" w:cs="仿宋" w:hint="eastAsia"/>
          <w:color w:val="auto"/>
        </w:rPr>
        <w:t>经查实，若</w:t>
      </w:r>
      <w:r>
        <w:rPr>
          <w:rFonts w:ascii="仿宋" w:eastAsia="仿宋" w:hAnsi="仿宋" w:cs="仿宋" w:hint="eastAsia"/>
          <w:color w:val="auto"/>
          <w:lang w:eastAsia="zh-CN"/>
        </w:rPr>
        <w:t>我</w:t>
      </w:r>
      <w:r>
        <w:rPr>
          <w:rFonts w:ascii="仿宋" w:eastAsia="仿宋" w:hAnsi="仿宋" w:cs="仿宋" w:hint="eastAsia"/>
          <w:color w:val="auto"/>
          <w:lang w:val="en-US" w:eastAsia="zh-CN"/>
        </w:rPr>
        <w:t>单位</w:t>
      </w:r>
      <w:r>
        <w:rPr>
          <w:rFonts w:ascii="仿宋" w:eastAsia="仿宋" w:hAnsi="仿宋" w:cs="仿宋"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仿宋" w:eastAsia="仿宋" w:hAnsi="仿宋" w:cs="仿宋" w:hint="eastAsia"/>
          <w:color w:val="auto"/>
          <w:highlight w:val="none"/>
        </w:rPr>
        <w:t>分之二十以上千分之三十以下罚款，由市场监管部门依法吊销营业执照。</w:t>
      </w:r>
    </w:p>
    <w:p w14:paraId="3BCA01DC">
      <w:pPr>
        <w:shd w:val="clear" w:color="auto" w:fill="auto"/>
        <w:spacing w:beforeLines="0" w:line="340" w:lineRule="exact"/>
        <w:ind w:firstLine="480" w:firstLineChars="200"/>
        <w:rPr>
          <w:rFonts w:ascii="仿宋" w:eastAsia="仿宋" w:hAnsi="仿宋" w:cs="仿宋" w:hint="eastAsia"/>
          <w:color w:val="auto"/>
          <w:highlight w:val="none"/>
        </w:rPr>
      </w:pPr>
      <w:r>
        <w:rPr>
          <w:rFonts w:ascii="仿宋" w:eastAsia="仿宋" w:hAnsi="仿宋" w:cs="仿宋" w:hint="eastAsia"/>
          <w:color w:val="auto"/>
          <w:highlight w:val="none"/>
        </w:rPr>
        <w:t>以下文字请投标供应商抄写并确认：“</w:t>
      </w:r>
      <w:r>
        <w:rPr>
          <w:rFonts w:ascii="仿宋" w:eastAsia="仿宋" w:hAnsi="仿宋" w:cs="仿宋" w:hint="eastAsia"/>
          <w:color w:val="auto"/>
          <w:highlight w:val="none"/>
          <w:lang w:eastAsia="zh-CN"/>
        </w:rPr>
        <w:t>我</w:t>
      </w:r>
      <w:r>
        <w:rPr>
          <w:rFonts w:ascii="仿宋" w:eastAsia="仿宋" w:hAnsi="仿宋" w:cs="仿宋" w:hint="eastAsia"/>
          <w:color w:val="auto"/>
          <w:lang w:val="en-US" w:eastAsia="zh-CN"/>
        </w:rPr>
        <w:t>单位</w:t>
      </w:r>
      <w:r>
        <w:rPr>
          <w:rFonts w:ascii="仿宋" w:eastAsia="仿宋" w:hAnsi="仿宋" w:cs="仿宋" w:hint="eastAsia"/>
          <w:color w:val="auto"/>
          <w:highlight w:val="none"/>
        </w:rPr>
        <w:t>已仔细阅读《政府采购违法行为风险知悉确认书》，充分知悉违法行为的法律后果，并承诺将严谨、诚信、依法依规参与政府采购活动”。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082"/>
      </w:tblGrid>
      <w:tr w14:paraId="7B875776">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14:paraId="450886A5">
            <w:pPr>
              <w:widowControl w:val="0"/>
              <w:shd w:val="clear" w:color="auto" w:fill="auto"/>
              <w:autoSpaceDE w:val="0"/>
              <w:autoSpaceDN w:val="0"/>
              <w:spacing w:beforeLines="0" w:line="340" w:lineRule="exact"/>
              <w:ind w:firstLine="1866"/>
              <w:jc w:val="both"/>
              <w:rPr>
                <w:rFonts w:ascii="仿宋" w:eastAsia="仿宋" w:hAnsi="仿宋" w:cs="仿宋" w:hint="eastAsia"/>
                <w:color w:val="auto"/>
                <w:spacing w:val="-4"/>
                <w:kern w:val="0"/>
                <w:szCs w:val="21"/>
                <w:highlight w:val="none"/>
              </w:rPr>
            </w:pPr>
          </w:p>
        </w:tc>
      </w:tr>
      <w:tr w14:paraId="5E1A0DA5">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14:paraId="31E24CD2">
            <w:pPr>
              <w:widowControl w:val="0"/>
              <w:shd w:val="clear" w:color="auto" w:fill="auto"/>
              <w:autoSpaceDE w:val="0"/>
              <w:autoSpaceDN w:val="0"/>
              <w:spacing w:beforeLines="0" w:line="340" w:lineRule="exact"/>
              <w:ind w:firstLine="1866"/>
              <w:jc w:val="both"/>
              <w:rPr>
                <w:rFonts w:ascii="仿宋" w:eastAsia="仿宋" w:hAnsi="仿宋" w:cs="仿宋" w:hint="eastAsia"/>
                <w:color w:val="auto"/>
                <w:spacing w:val="-4"/>
                <w:kern w:val="0"/>
                <w:szCs w:val="21"/>
              </w:rPr>
            </w:pPr>
          </w:p>
        </w:tc>
      </w:tr>
      <w:tr w14:paraId="0A1E4EA4">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14:paraId="085204FD">
            <w:pPr>
              <w:widowControl w:val="0"/>
              <w:shd w:val="clear" w:color="auto" w:fill="auto"/>
              <w:autoSpaceDE w:val="0"/>
              <w:autoSpaceDN w:val="0"/>
              <w:spacing w:beforeLines="0" w:line="340" w:lineRule="exact"/>
              <w:ind w:firstLine="1866"/>
              <w:jc w:val="both"/>
              <w:rPr>
                <w:rFonts w:ascii="仿宋" w:eastAsia="仿宋" w:hAnsi="仿宋" w:cs="仿宋" w:hint="eastAsia"/>
                <w:color w:val="auto"/>
                <w:spacing w:val="-4"/>
                <w:kern w:val="0"/>
                <w:szCs w:val="21"/>
              </w:rPr>
            </w:pPr>
          </w:p>
        </w:tc>
      </w:tr>
      <w:tr w14:paraId="300F4E0B">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14:paraId="6FB4A024">
            <w:pPr>
              <w:widowControl w:val="0"/>
              <w:shd w:val="clear" w:color="auto" w:fill="auto"/>
              <w:autoSpaceDE w:val="0"/>
              <w:autoSpaceDN w:val="0"/>
              <w:spacing w:beforeLines="0" w:line="340" w:lineRule="exact"/>
              <w:ind w:firstLine="1866"/>
              <w:jc w:val="both"/>
              <w:rPr>
                <w:rFonts w:ascii="仿宋" w:eastAsia="仿宋" w:hAnsi="仿宋" w:cs="仿宋" w:hint="eastAsia"/>
                <w:color w:val="auto"/>
                <w:spacing w:val="-4"/>
                <w:kern w:val="0"/>
                <w:szCs w:val="21"/>
              </w:rPr>
            </w:pPr>
          </w:p>
        </w:tc>
      </w:tr>
    </w:tbl>
    <w:p w14:paraId="0D065305">
      <w:pPr>
        <w:widowControl/>
        <w:shd w:val="clear" w:color="auto" w:fill="auto"/>
        <w:wordWrap w:val="0"/>
        <w:autoSpaceDE w:val="0"/>
        <w:autoSpaceDN w:val="0"/>
        <w:spacing w:beforeLines="0" w:line="340" w:lineRule="exact"/>
        <w:ind w:right="808" w:firstLine="480" w:firstLineChars="200"/>
        <w:jc w:val="right"/>
        <w:rPr>
          <w:rFonts w:ascii="仿宋" w:eastAsia="仿宋" w:hAnsi="仿宋" w:cs="仿宋" w:hint="eastAsia"/>
          <w:color w:val="auto"/>
          <w:spacing w:val="-4"/>
          <w:kern w:val="0"/>
          <w:szCs w:val="21"/>
        </w:rPr>
      </w:pPr>
    </w:p>
    <w:p w14:paraId="1A757A21">
      <w:pPr>
        <w:widowControl/>
        <w:shd w:val="clear" w:color="auto" w:fill="auto"/>
        <w:wordWrap w:val="0"/>
        <w:autoSpaceDE w:val="0"/>
        <w:autoSpaceDN w:val="0"/>
        <w:spacing w:beforeLines="0" w:line="340" w:lineRule="exact"/>
        <w:ind w:right="808" w:firstLine="480" w:firstLineChars="200"/>
        <w:jc w:val="right"/>
        <w:rPr>
          <w:rFonts w:ascii="仿宋" w:eastAsia="仿宋" w:hAnsi="仿宋" w:cs="仿宋" w:hint="eastAsia"/>
          <w:color w:val="auto"/>
          <w:spacing w:val="-4"/>
          <w:kern w:val="0"/>
          <w:szCs w:val="21"/>
          <w:u w:val="single"/>
        </w:rPr>
      </w:pPr>
      <w:r>
        <w:rPr>
          <w:rFonts w:ascii="仿宋" w:eastAsia="仿宋" w:hAnsi="仿宋" w:cs="仿宋" w:hint="eastAsia"/>
          <w:color w:val="auto"/>
          <w:spacing w:val="-4"/>
          <w:kern w:val="0"/>
          <w:szCs w:val="21"/>
          <w:lang w:eastAsia="zh-CN"/>
        </w:rPr>
        <w:t>单位</w:t>
      </w:r>
      <w:r>
        <w:rPr>
          <w:rFonts w:ascii="仿宋" w:eastAsia="仿宋" w:hAnsi="仿宋" w:cs="仿宋" w:hint="eastAsia"/>
          <w:color w:val="auto"/>
          <w:spacing w:val="-4"/>
          <w:kern w:val="0"/>
          <w:szCs w:val="21"/>
        </w:rPr>
        <w:t>负责人签名：</w:t>
      </w:r>
      <w:r>
        <w:rPr>
          <w:rFonts w:ascii="仿宋" w:eastAsia="仿宋" w:hAnsi="仿宋" w:cs="仿宋" w:hint="eastAsia"/>
          <w:color w:val="auto"/>
          <w:spacing w:val="-4"/>
          <w:kern w:val="0"/>
          <w:szCs w:val="21"/>
          <w:u w:val="single"/>
        </w:rPr>
        <w:t xml:space="preserve">              </w:t>
      </w:r>
    </w:p>
    <w:p w14:paraId="2B4E6F7F">
      <w:pPr>
        <w:widowControl/>
        <w:shd w:val="clear" w:color="auto" w:fill="auto"/>
        <w:wordWrap w:val="0"/>
        <w:autoSpaceDE w:val="0"/>
        <w:autoSpaceDN w:val="0"/>
        <w:spacing w:beforeLines="0" w:line="340" w:lineRule="exact"/>
        <w:ind w:right="808" w:firstLine="480" w:firstLineChars="200"/>
        <w:jc w:val="center"/>
        <w:rPr>
          <w:rFonts w:ascii="仿宋" w:eastAsia="仿宋" w:hAnsi="仿宋" w:cs="仿宋" w:hint="eastAsia"/>
          <w:color w:val="auto"/>
          <w:spacing w:val="-4"/>
          <w:kern w:val="0"/>
          <w:szCs w:val="21"/>
          <w:u w:val="single"/>
        </w:rPr>
      </w:pPr>
      <w:r>
        <w:rPr>
          <w:rFonts w:ascii="仿宋" w:eastAsia="仿宋" w:hAnsi="仿宋" w:cs="仿宋" w:hint="eastAsia"/>
          <w:color w:val="auto"/>
          <w:spacing w:val="-4"/>
          <w:kern w:val="0"/>
          <w:szCs w:val="21"/>
          <w:lang w:val="en-US" w:eastAsia="zh-CN"/>
        </w:rPr>
        <w:t xml:space="preserve">                                 </w:t>
      </w:r>
      <w:r>
        <w:rPr>
          <w:rFonts w:ascii="仿宋" w:eastAsia="仿宋" w:hAnsi="仿宋" w:cs="仿宋" w:hint="eastAsia"/>
          <w:color w:val="auto"/>
          <w:spacing w:val="-4"/>
          <w:kern w:val="0"/>
          <w:szCs w:val="21"/>
          <w:lang w:eastAsia="zh-CN"/>
        </w:rPr>
        <w:t>（加盖</w:t>
      </w:r>
      <w:r>
        <w:rPr>
          <w:rFonts w:ascii="仿宋" w:eastAsia="仿宋" w:hAnsi="仿宋" w:cs="仿宋" w:hint="eastAsia"/>
          <w:color w:val="auto"/>
          <w:spacing w:val="-4"/>
          <w:kern w:val="0"/>
          <w:szCs w:val="21"/>
        </w:rPr>
        <w:t>公章</w:t>
      </w:r>
      <w:r>
        <w:rPr>
          <w:rFonts w:ascii="仿宋" w:eastAsia="仿宋" w:hAnsi="仿宋" w:cs="仿宋" w:hint="eastAsia"/>
          <w:color w:val="auto"/>
          <w:spacing w:val="-4"/>
          <w:kern w:val="0"/>
          <w:szCs w:val="21"/>
          <w:lang w:eastAsia="zh-CN"/>
        </w:rPr>
        <w:t>）</w:t>
      </w:r>
    </w:p>
    <w:p w14:paraId="73EEB722">
      <w:pPr>
        <w:widowControl/>
        <w:shd w:val="clear" w:color="auto" w:fill="auto"/>
        <w:wordWrap w:val="0"/>
        <w:autoSpaceDE w:val="0"/>
        <w:autoSpaceDN w:val="0"/>
        <w:spacing w:beforeLines="0" w:line="340" w:lineRule="exact"/>
        <w:ind w:right="808" w:firstLine="480" w:firstLineChars="200"/>
        <w:jc w:val="right"/>
        <w:rPr>
          <w:rFonts w:ascii="仿宋" w:eastAsia="仿宋" w:hAnsi="仿宋" w:cs="仿宋" w:hint="eastAsia"/>
          <w:color w:val="auto"/>
          <w:spacing w:val="-4"/>
          <w:kern w:val="0"/>
          <w:szCs w:val="21"/>
          <w:u w:val="single"/>
        </w:rPr>
      </w:pPr>
      <w:r>
        <w:rPr>
          <w:rFonts w:ascii="仿宋" w:eastAsia="仿宋" w:hAnsi="仿宋" w:cs="仿宋" w:hint="eastAsia"/>
          <w:color w:val="auto"/>
          <w:spacing w:val="-4"/>
          <w:kern w:val="0"/>
          <w:szCs w:val="21"/>
        </w:rPr>
        <w:t xml:space="preserve">     日期：</w:t>
      </w:r>
      <w:r>
        <w:rPr>
          <w:rFonts w:ascii="仿宋" w:eastAsia="仿宋" w:hAnsi="仿宋" w:cs="仿宋" w:hint="eastAsia"/>
          <w:color w:val="auto"/>
          <w:spacing w:val="-4"/>
          <w:kern w:val="0"/>
          <w:szCs w:val="21"/>
          <w:u w:val="single"/>
        </w:rPr>
        <w:t xml:space="preserve">              </w:t>
      </w:r>
    </w:p>
    <w:p w14:paraId="3F7E606F">
      <w:pPr>
        <w:widowControl/>
        <w:shd w:val="clear" w:color="auto" w:fill="auto"/>
        <w:autoSpaceDE w:val="0"/>
        <w:autoSpaceDN w:val="0"/>
        <w:spacing w:beforeLines="0" w:line="340" w:lineRule="exact"/>
        <w:ind w:firstLine="480" w:firstLineChars="200"/>
        <w:jc w:val="left"/>
        <w:rPr>
          <w:rFonts w:ascii="仿宋" w:eastAsia="仿宋" w:hAnsi="仿宋" w:cs="仿宋" w:hint="eastAsia"/>
          <w:b/>
          <w:bCs/>
          <w:color w:val="auto"/>
          <w:spacing w:val="-4"/>
          <w:kern w:val="0"/>
          <w:szCs w:val="21"/>
        </w:rPr>
      </w:pPr>
    </w:p>
    <w:p w14:paraId="5C4B0B3A">
      <w:pPr>
        <w:keepNext w:val="0"/>
        <w:keepLines w:val="0"/>
        <w:pageBreakBefore w:val="0"/>
        <w:widowControl/>
        <w:suppressLineNumbers w:val="0"/>
        <w:shd w:val="clear" w:color="auto" w:fill="auto"/>
        <w:kinsoku/>
        <w:wordWrap/>
        <w:overflowPunct/>
        <w:topLinePunct w:val="0"/>
        <w:autoSpaceDE w:val="0"/>
        <w:autoSpaceDN w:val="0"/>
        <w:bidi w:val="0"/>
        <w:adjustRightInd/>
        <w:snapToGrid/>
        <w:spacing w:beforeLines="0" w:line="340" w:lineRule="exact"/>
        <w:ind w:firstLine="480" w:firstLineChars="200"/>
        <w:jc w:val="left"/>
        <w:textAlignment w:val="auto"/>
        <w:rPr>
          <w:rFonts w:ascii="仿宋" w:eastAsia="仿宋" w:hAnsi="仿宋" w:cs="仿宋" w:hint="eastAsia"/>
          <w:b/>
          <w:bCs/>
          <w:color w:val="auto"/>
          <w:spacing w:val="-4"/>
          <w:kern w:val="0"/>
          <w:szCs w:val="21"/>
          <w:highlight w:val="none"/>
        </w:rPr>
      </w:pPr>
      <w:r>
        <w:rPr>
          <w:rFonts w:ascii="仿宋" w:eastAsia="仿宋" w:hAnsi="仿宋" w:cs="仿宋" w:hint="eastAsia"/>
          <w:b/>
          <w:bCs/>
          <w:color w:val="auto"/>
          <w:spacing w:val="-4"/>
          <w:kern w:val="0"/>
          <w:szCs w:val="21"/>
        </w:rPr>
        <w:t>注：</w:t>
      </w:r>
      <w:r>
        <w:rPr>
          <w:rFonts w:ascii="仿宋" w:eastAsia="仿宋" w:hAnsi="仿宋" w:cs="仿宋" w:hint="eastAsia"/>
          <w:b/>
          <w:bCs/>
          <w:color w:val="auto"/>
          <w:spacing w:val="-4"/>
          <w:kern w:val="0"/>
          <w:szCs w:val="21"/>
          <w:lang w:eastAsia="zh-CN"/>
        </w:rPr>
        <w:t>《</w:t>
      </w:r>
      <w:r>
        <w:rPr>
          <w:rFonts w:ascii="仿宋" w:eastAsia="仿宋" w:hAnsi="仿宋" w:cs="仿宋" w:hint="eastAsia"/>
          <w:b/>
          <w:bCs/>
          <w:color w:val="auto"/>
          <w:spacing w:val="-4"/>
          <w:kern w:val="0"/>
          <w:szCs w:val="21"/>
          <w:lang w:val="en-US" w:eastAsia="zh-CN"/>
        </w:rPr>
        <w:t>政府采购违法行为风险知悉确认书</w:t>
      </w:r>
      <w:r>
        <w:rPr>
          <w:rFonts w:ascii="仿宋" w:eastAsia="仿宋" w:hAnsi="仿宋" w:cs="仿宋" w:hint="eastAsia"/>
          <w:b/>
          <w:bCs/>
          <w:color w:val="auto"/>
          <w:spacing w:val="-4"/>
          <w:kern w:val="0"/>
          <w:szCs w:val="21"/>
          <w:lang w:eastAsia="zh-CN"/>
        </w:rPr>
        <w:t>》需由</w:t>
      </w:r>
      <w:r>
        <w:rPr>
          <w:rFonts w:ascii="仿宋" w:eastAsia="仿宋" w:hAnsi="仿宋" w:cs="仿宋" w:hint="eastAsia"/>
          <w:b/>
          <w:bCs/>
          <w:color w:val="auto"/>
          <w:spacing w:val="-4"/>
          <w:kern w:val="0"/>
          <w:szCs w:val="21"/>
          <w:highlight w:val="none"/>
        </w:rPr>
        <w:t>投标供应商负责人签字并加盖单位公章后，扫描上传至投标文件一并提交。</w:t>
      </w:r>
    </w:p>
    <w:p w14:paraId="056515C9">
      <w:pPr>
        <w:bidi w:val="0"/>
        <w:rPr>
          <w:rFonts w:ascii="仿宋" w:eastAsia="仿宋" w:hAnsi="仿宋" w:cs="仿宋" w:hint="eastAsia"/>
          <w:lang w:eastAsia="zh-CN"/>
        </w:rPr>
      </w:pPr>
    </w:p>
    <w:p w14:paraId="68A9A272">
      <w:pPr>
        <w:bidi w:val="0"/>
        <w:rPr>
          <w:rFonts w:ascii="仿宋" w:eastAsia="仿宋" w:hAnsi="仿宋" w:cs="仿宋" w:hint="eastAsia"/>
          <w:lang w:eastAsia="zh-CN"/>
        </w:rPr>
      </w:pPr>
    </w:p>
    <w:p w14:paraId="3DBBBCA3">
      <w:pPr>
        <w:bidi w:val="0"/>
        <w:rPr>
          <w:rFonts w:ascii="仿宋" w:eastAsia="仿宋" w:hAnsi="仿宋" w:cs="仿宋" w:hint="eastAsia"/>
          <w:lang w:eastAsia="zh-CN"/>
        </w:rPr>
      </w:pPr>
    </w:p>
    <w:p w14:paraId="4D46D128">
      <w:pPr>
        <w:bidi w:val="0"/>
        <w:jc w:val="center"/>
        <w:rPr>
          <w:rFonts w:ascii="仿宋" w:eastAsia="仿宋" w:hAnsi="仿宋" w:cs="仿宋" w:hint="eastAsia"/>
          <w:lang w:eastAsia="zh-CN"/>
        </w:rPr>
      </w:pPr>
      <w:r>
        <w:rPr>
          <w:rFonts w:ascii="仿宋" w:eastAsia="仿宋" w:hAnsi="仿宋" w:cs="仿宋" w:hint="eastAsia"/>
          <w:lang w:eastAsia="zh-CN"/>
        </w:rPr>
        <w:t>服务条款响应表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6"/>
        <w:gridCol w:w="2366"/>
        <w:gridCol w:w="5170"/>
        <w:gridCol w:w="1550"/>
      </w:tblGrid>
      <w:tr w14:paraId="2347928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24"/>
          <w:jc w:val="center"/>
        </w:trPr>
        <w:tc>
          <w:tcPr>
            <w:tcW w:w="890" w:type="dxa"/>
            <w:shd w:val="clear" w:color="auto" w:fill="auto"/>
            <w:noWrap w:val="0"/>
            <w:vAlign w:val="center"/>
          </w:tcPr>
          <w:p w14:paraId="7DA4F8E0">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jc w:val="center"/>
              <w:rPr>
                <w:rFonts w:ascii="仿宋" w:eastAsia="仿宋" w:hAnsi="仿宋" w:cs="仿宋" w:hint="eastAsia"/>
                <w:b/>
                <w:bCs/>
                <w:color w:val="000000"/>
                <w:sz w:val="24"/>
                <w:szCs w:val="24"/>
                <w:highlight w:val="none"/>
              </w:rPr>
            </w:pPr>
            <w:r>
              <w:rPr>
                <w:rFonts w:ascii="仿宋" w:eastAsia="仿宋" w:hAnsi="仿宋" w:cs="仿宋" w:hint="eastAsia"/>
                <w:b/>
                <w:bCs/>
                <w:color w:val="000000"/>
                <w:sz w:val="24"/>
                <w:szCs w:val="24"/>
                <w:highlight w:val="none"/>
              </w:rPr>
              <w:t>序号</w:t>
            </w:r>
          </w:p>
        </w:tc>
        <w:tc>
          <w:tcPr>
            <w:tcW w:w="2113" w:type="dxa"/>
            <w:shd w:val="clear" w:color="auto" w:fill="auto"/>
            <w:noWrap w:val="0"/>
            <w:vAlign w:val="center"/>
          </w:tcPr>
          <w:p w14:paraId="48238B1B">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jc w:val="center"/>
              <w:rPr>
                <w:rFonts w:ascii="仿宋" w:eastAsia="仿宋" w:hAnsi="仿宋" w:cs="仿宋" w:hint="eastAsia"/>
                <w:b/>
                <w:bCs/>
                <w:color w:val="000000"/>
                <w:sz w:val="24"/>
                <w:szCs w:val="24"/>
                <w:highlight w:val="none"/>
              </w:rPr>
            </w:pPr>
            <w:r>
              <w:rPr>
                <w:rFonts w:ascii="仿宋" w:eastAsia="仿宋" w:hAnsi="仿宋" w:cs="仿宋" w:hint="eastAsia"/>
                <w:b/>
                <w:bCs/>
                <w:color w:val="000000"/>
                <w:sz w:val="24"/>
                <w:szCs w:val="24"/>
                <w:highlight w:val="none"/>
              </w:rPr>
              <w:t>服务条款要求</w:t>
            </w:r>
          </w:p>
        </w:tc>
        <w:tc>
          <w:tcPr>
            <w:tcW w:w="4618" w:type="dxa"/>
            <w:shd w:val="clear" w:color="auto" w:fill="auto"/>
            <w:noWrap w:val="0"/>
            <w:vAlign w:val="center"/>
          </w:tcPr>
          <w:p w14:paraId="483FE383">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jc w:val="center"/>
              <w:rPr>
                <w:rFonts w:ascii="仿宋" w:eastAsia="仿宋" w:hAnsi="仿宋" w:cs="仿宋" w:hint="eastAsia"/>
                <w:b/>
                <w:bCs/>
                <w:color w:val="000000"/>
                <w:sz w:val="24"/>
                <w:szCs w:val="24"/>
                <w:highlight w:val="none"/>
              </w:rPr>
            </w:pPr>
            <w:r>
              <w:rPr>
                <w:rFonts w:ascii="仿宋" w:eastAsia="仿宋" w:hAnsi="仿宋" w:cs="仿宋" w:hint="eastAsia"/>
                <w:b/>
                <w:bCs/>
                <w:color w:val="000000"/>
                <w:sz w:val="24"/>
                <w:szCs w:val="24"/>
                <w:highlight w:val="none"/>
              </w:rPr>
              <w:t>投标文件服务条款响应情况</w:t>
            </w:r>
          </w:p>
        </w:tc>
        <w:tc>
          <w:tcPr>
            <w:tcW w:w="1384" w:type="dxa"/>
            <w:shd w:val="clear" w:color="auto" w:fill="auto"/>
            <w:noWrap w:val="0"/>
            <w:vAlign w:val="top"/>
          </w:tcPr>
          <w:p w14:paraId="15DFB751">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jc w:val="center"/>
              <w:rPr>
                <w:rFonts w:ascii="仿宋" w:eastAsia="仿宋" w:hAnsi="仿宋" w:cs="仿宋" w:hint="eastAsia"/>
                <w:b/>
                <w:bCs/>
                <w:color w:val="000000"/>
                <w:sz w:val="24"/>
                <w:szCs w:val="24"/>
                <w:highlight w:val="none"/>
              </w:rPr>
            </w:pPr>
            <w:r>
              <w:rPr>
                <w:rFonts w:ascii="仿宋" w:eastAsia="仿宋" w:hAnsi="仿宋" w:cs="仿宋" w:hint="eastAsia"/>
                <w:b/>
                <w:bCs/>
                <w:color w:val="000000"/>
                <w:sz w:val="24"/>
                <w:szCs w:val="24"/>
                <w:highlight w:val="none"/>
              </w:rPr>
              <w:t>偏离说明</w:t>
            </w:r>
          </w:p>
        </w:tc>
      </w:tr>
      <w:tr w14:paraId="1820859B">
        <w:tblPrEx>
          <w:tblW w:w="5000" w:type="pct"/>
          <w:jc w:val="center"/>
          <w:tblLayout w:type="fixed"/>
          <w:tblCellMar>
            <w:top w:w="0" w:type="dxa"/>
            <w:left w:w="108" w:type="dxa"/>
            <w:bottom w:w="0" w:type="dxa"/>
            <w:right w:w="108" w:type="dxa"/>
          </w:tblCellMar>
        </w:tblPrEx>
        <w:trPr>
          <w:trHeight w:val="624"/>
          <w:jc w:val="center"/>
        </w:trPr>
        <w:tc>
          <w:tcPr>
            <w:tcW w:w="890" w:type="dxa"/>
            <w:noWrap w:val="0"/>
            <w:vAlign w:val="center"/>
          </w:tcPr>
          <w:p w14:paraId="551423DF">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rPr>
                <w:rFonts w:ascii="仿宋" w:eastAsia="仿宋" w:hAnsi="仿宋" w:cs="仿宋" w:hint="eastAsia"/>
                <w:color w:val="000000"/>
                <w:sz w:val="24"/>
                <w:szCs w:val="24"/>
                <w:highlight w:val="none"/>
              </w:rPr>
            </w:pPr>
            <w:r>
              <w:rPr>
                <w:rFonts w:ascii="仿宋" w:eastAsia="仿宋" w:hAnsi="仿宋" w:cs="仿宋" w:hint="eastAsia"/>
                <w:color w:val="000000"/>
                <w:sz w:val="24"/>
                <w:szCs w:val="24"/>
                <w:highlight w:val="none"/>
              </w:rPr>
              <w:t>1</w:t>
            </w:r>
          </w:p>
        </w:tc>
        <w:tc>
          <w:tcPr>
            <w:tcW w:w="2113" w:type="dxa"/>
            <w:noWrap w:val="0"/>
            <w:vAlign w:val="center"/>
          </w:tcPr>
          <w:p w14:paraId="50F43E0A">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rPr>
                <w:rFonts w:ascii="仿宋" w:eastAsia="仿宋" w:hAnsi="仿宋" w:cs="仿宋" w:hint="eastAsia"/>
                <w:color w:val="000000"/>
                <w:sz w:val="24"/>
                <w:szCs w:val="24"/>
                <w:highlight w:val="none"/>
              </w:rPr>
            </w:pPr>
            <w:r>
              <w:rPr>
                <w:rFonts w:ascii="仿宋" w:eastAsia="仿宋" w:hAnsi="仿宋" w:cs="仿宋" w:hint="eastAsia"/>
                <w:color w:val="000000"/>
                <w:sz w:val="24"/>
                <w:szCs w:val="24"/>
                <w:highlight w:val="none"/>
              </w:rPr>
              <w:t>此项内容为招标文件第四部分</w:t>
            </w:r>
            <w:hyperlink w:anchor="_Toc488762883" w:history="1">
              <w:r>
                <w:rPr>
                  <w:rFonts w:ascii="仿宋" w:eastAsia="仿宋" w:hAnsi="仿宋" w:cs="仿宋" w:hint="eastAsia"/>
                  <w:b/>
                  <w:bCs/>
                  <w:color w:val="000000"/>
                  <w:sz w:val="24"/>
                  <w:szCs w:val="24"/>
                  <w:highlight w:val="none"/>
                  <w:lang w:val="en-US" w:eastAsia="zh-CN"/>
                </w:rPr>
                <w:t>招标项目情况及要求</w:t>
              </w:r>
            </w:hyperlink>
            <w:r>
              <w:rPr>
                <w:rFonts w:ascii="仿宋" w:eastAsia="仿宋" w:hAnsi="仿宋" w:cs="仿宋" w:hint="eastAsia"/>
                <w:color w:val="000000"/>
                <w:sz w:val="24"/>
                <w:szCs w:val="24"/>
                <w:highlight w:val="none"/>
              </w:rPr>
              <w:t>中的所有条款要求。</w:t>
            </w:r>
          </w:p>
        </w:tc>
        <w:tc>
          <w:tcPr>
            <w:tcW w:w="4618" w:type="dxa"/>
            <w:noWrap w:val="0"/>
            <w:vAlign w:val="center"/>
          </w:tcPr>
          <w:p w14:paraId="1A3A03DB">
            <w:pPr>
              <w:pStyle w:val="a"/>
              <w:shd w:val="clear" w:color="auto" w:fill="auto"/>
              <w:kinsoku/>
              <w:overflowPunct/>
              <w:topLinePunct w:val="0"/>
              <w:bidi w:val="0"/>
              <w:adjustRightInd w:val="0"/>
              <w:snapToGrid w:val="0"/>
              <w:spacing w:before="0" w:beforeLines="0" w:beforeAutospacing="0" w:after="0" w:afterLines="0" w:afterAutospacing="0" w:line="360" w:lineRule="auto"/>
              <w:ind w:left="0" w:right="0" w:firstLine="0" w:leftChars="0" w:rightChars="0" w:firstLineChars="0"/>
              <w:jc w:val="left"/>
              <w:rPr>
                <w:rFonts w:ascii="仿宋" w:eastAsia="仿宋" w:hAnsi="仿宋" w:cs="仿宋" w:hint="eastAsia"/>
                <w:snapToGrid/>
                <w:color w:val="000000"/>
                <w:spacing w:val="0"/>
                <w:kern w:val="2"/>
                <w:sz w:val="24"/>
                <w:szCs w:val="24"/>
                <w:highlight w:val="none"/>
                <w:lang w:val="en-US" w:eastAsia="zh-CN"/>
              </w:rPr>
            </w:pPr>
            <w:r>
              <w:rPr>
                <w:rFonts w:ascii="仿宋" w:eastAsia="仿宋" w:hAnsi="仿宋" w:cs="仿宋" w:hint="eastAsia"/>
                <w:snapToGrid/>
                <w:color w:val="000000"/>
                <w:spacing w:val="0"/>
                <w:kern w:val="2"/>
                <w:sz w:val="24"/>
                <w:szCs w:val="24"/>
                <w:highlight w:val="none"/>
                <w:lang w:val="en-US" w:eastAsia="zh-CN"/>
              </w:rPr>
              <w:t>【填写说明：1、如投标人能完全按照此部分条款要求承诺（响应）并实施，可填写“完全按招标文件要求响应”；</w:t>
            </w:r>
          </w:p>
          <w:p w14:paraId="677E2151">
            <w:pPr>
              <w:pStyle w:val="a"/>
              <w:keepNext w:val="0"/>
              <w:shd w:val="clear" w:color="auto" w:fill="auto"/>
              <w:kinsoku/>
              <w:overflowPunct/>
              <w:topLinePunct w:val="0"/>
              <w:bidi w:val="0"/>
              <w:adjustRightInd w:val="0"/>
              <w:snapToGrid w:val="0"/>
              <w:spacing w:before="0" w:beforeLines="0" w:beforeAutospacing="0" w:after="0" w:afterLines="0" w:afterAutospacing="0" w:line="360" w:lineRule="auto"/>
              <w:ind w:left="0" w:right="0" w:firstLine="0" w:leftChars="0" w:rightChars="0" w:firstLineChars="0"/>
              <w:jc w:val="left"/>
              <w:textAlignment w:val="auto"/>
              <w:rPr>
                <w:rFonts w:ascii="仿宋" w:eastAsia="仿宋" w:hAnsi="仿宋" w:cs="仿宋" w:hint="eastAsia"/>
                <w:snapToGrid/>
                <w:color w:val="000000"/>
                <w:spacing w:val="0"/>
                <w:kern w:val="2"/>
                <w:sz w:val="24"/>
                <w:szCs w:val="24"/>
                <w:highlight w:val="none"/>
                <w:lang w:val="en-US" w:eastAsia="zh-CN"/>
              </w:rPr>
            </w:pPr>
            <w:r>
              <w:rPr>
                <w:rFonts w:ascii="仿宋" w:eastAsia="仿宋" w:hAnsi="仿宋" w:cs="仿宋" w:hint="eastAsia"/>
                <w:snapToGrid/>
                <w:color w:val="000000"/>
                <w:spacing w:val="0"/>
                <w:kern w:val="2"/>
                <w:sz w:val="24"/>
                <w:szCs w:val="24"/>
                <w:highlight w:val="none"/>
                <w:lang w:val="en-US" w:eastAsia="zh-CN"/>
              </w:rPr>
              <w:t>2、如投标人承诺（响应）内容出现正偏离或负偏离，请逐条作出说明。】</w:t>
            </w:r>
          </w:p>
          <w:p w14:paraId="7CB2FDBB">
            <w:pPr>
              <w:pStyle w:val="a"/>
              <w:keepNext w:val="0"/>
              <w:shd w:val="clear" w:color="auto" w:fill="auto"/>
              <w:kinsoku/>
              <w:overflowPunct/>
              <w:topLinePunct w:val="0"/>
              <w:bidi w:val="0"/>
              <w:adjustRightInd w:val="0"/>
              <w:snapToGrid w:val="0"/>
              <w:spacing w:before="0" w:beforeLines="0" w:beforeAutospacing="0" w:after="0" w:afterLines="0" w:afterAutospacing="0" w:line="360" w:lineRule="auto"/>
              <w:ind w:left="0" w:right="0" w:firstLine="0" w:leftChars="0" w:rightChars="0" w:firstLineChars="0"/>
              <w:textAlignment w:val="auto"/>
              <w:rPr>
                <w:rFonts w:ascii="仿宋" w:eastAsia="仿宋" w:hAnsi="仿宋" w:cs="仿宋" w:hint="eastAsia"/>
                <w:snapToGrid/>
                <w:color w:val="000000"/>
                <w:spacing w:val="0"/>
                <w:kern w:val="2"/>
                <w:sz w:val="24"/>
                <w:szCs w:val="24"/>
                <w:highlight w:val="none"/>
                <w:lang w:val="en-US" w:eastAsia="zh-CN"/>
              </w:rPr>
            </w:pPr>
            <w:r>
              <w:rPr>
                <w:rFonts w:ascii="仿宋" w:eastAsia="仿宋" w:hAnsi="仿宋" w:cs="仿宋" w:hint="eastAsia"/>
                <w:snapToGrid/>
                <w:color w:val="000000"/>
                <w:spacing w:val="0"/>
                <w:kern w:val="2"/>
                <w:sz w:val="24"/>
                <w:szCs w:val="24"/>
                <w:highlight w:val="none"/>
                <w:lang w:val="en-US" w:eastAsia="zh-CN"/>
              </w:rPr>
              <w:t>（由于填写格式不正确或者表述不清晰导致的后果，由投标人自行承担相关责任）</w:t>
            </w:r>
          </w:p>
        </w:tc>
        <w:tc>
          <w:tcPr>
            <w:tcW w:w="1384" w:type="dxa"/>
            <w:noWrap w:val="0"/>
            <w:vAlign w:val="top"/>
          </w:tcPr>
          <w:p w14:paraId="70234204">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jc w:val="center"/>
              <w:rPr>
                <w:rFonts w:ascii="仿宋" w:eastAsia="仿宋" w:hAnsi="仿宋" w:cs="仿宋" w:hint="eastAsia"/>
                <w:color w:val="000000"/>
                <w:sz w:val="24"/>
                <w:szCs w:val="24"/>
                <w:highlight w:val="none"/>
              </w:rPr>
            </w:pPr>
          </w:p>
        </w:tc>
      </w:tr>
    </w:tbl>
    <w:p w14:paraId="629CFE7F">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rPr>
          <w:rFonts w:ascii="仿宋" w:eastAsia="仿宋" w:hAnsi="仿宋" w:cs="仿宋" w:hint="eastAsia"/>
          <w:b w:val="0"/>
          <w:bCs w:val="0"/>
          <w:color w:val="000000"/>
          <w:sz w:val="24"/>
          <w:szCs w:val="24"/>
          <w:highlight w:val="none"/>
          <w:lang w:val="en-GB"/>
        </w:rPr>
      </w:pPr>
      <w:r>
        <w:rPr>
          <w:rFonts w:ascii="仿宋" w:eastAsia="仿宋" w:hAnsi="仿宋" w:cs="仿宋" w:hint="eastAsia"/>
          <w:b w:val="0"/>
          <w:bCs w:val="0"/>
          <w:color w:val="000000"/>
          <w:sz w:val="24"/>
          <w:szCs w:val="24"/>
          <w:highlight w:val="none"/>
          <w:lang w:val="en-GB"/>
        </w:rPr>
        <w:t>注：1.</w:t>
      </w:r>
      <w:r>
        <w:rPr>
          <w:rFonts w:ascii="仿宋" w:eastAsia="仿宋" w:hAnsi="仿宋" w:cs="仿宋" w:hint="eastAsia"/>
          <w:b w:val="0"/>
          <w:bCs w:val="0"/>
          <w:color w:val="000000"/>
          <w:sz w:val="24"/>
          <w:szCs w:val="24"/>
          <w:highlight w:val="none"/>
        </w:rPr>
        <w:t xml:space="preserve"> “偏离情况”栏中应填写“正偏离”、“负偏离”或 “</w:t>
      </w:r>
      <w:r>
        <w:rPr>
          <w:rFonts w:ascii="仿宋" w:eastAsia="仿宋" w:hAnsi="仿宋" w:cs="仿宋" w:hint="eastAsia"/>
          <w:b w:val="0"/>
          <w:bCs w:val="0"/>
          <w:snapToGrid/>
          <w:color w:val="000000"/>
          <w:spacing w:val="0"/>
          <w:kern w:val="2"/>
          <w:sz w:val="24"/>
          <w:szCs w:val="24"/>
          <w:highlight w:val="none"/>
          <w:lang w:val="en-US" w:eastAsia="zh-CN"/>
        </w:rPr>
        <w:t>完全按招标文件要求响应</w:t>
      </w:r>
      <w:r>
        <w:rPr>
          <w:rFonts w:ascii="仿宋" w:eastAsia="仿宋" w:hAnsi="仿宋" w:cs="仿宋" w:hint="eastAsia"/>
          <w:b w:val="0"/>
          <w:bCs w:val="0"/>
          <w:color w:val="000000"/>
          <w:sz w:val="24"/>
          <w:szCs w:val="24"/>
          <w:highlight w:val="none"/>
        </w:rPr>
        <w:t>”。</w:t>
      </w:r>
    </w:p>
    <w:p w14:paraId="02D6A042">
      <w:pPr>
        <w:shd w:val="clear" w:color="auto" w:fill="auto"/>
        <w:kinsoku/>
        <w:overflowPunct/>
        <w:topLinePunct w:val="0"/>
        <w:bidi w:val="0"/>
        <w:adjustRightInd w:val="0"/>
        <w:snapToGrid w:val="0"/>
        <w:spacing w:beforeAutospacing="0" w:afterAutospacing="0" w:line="360" w:lineRule="auto"/>
        <w:ind w:left="0" w:right="0" w:firstLine="480" w:leftChars="0" w:rightChars="0" w:firstLineChars="200"/>
        <w:rPr>
          <w:rFonts w:ascii="仿宋" w:eastAsia="仿宋" w:hAnsi="仿宋" w:cs="仿宋" w:hint="eastAsia"/>
          <w:b w:val="0"/>
          <w:bCs w:val="0"/>
          <w:color w:val="000000"/>
          <w:sz w:val="24"/>
          <w:szCs w:val="24"/>
          <w:highlight w:val="none"/>
          <w:lang w:val="en-GB"/>
        </w:rPr>
      </w:pPr>
      <w:r>
        <w:rPr>
          <w:rFonts w:ascii="仿宋" w:eastAsia="仿宋" w:hAnsi="仿宋" w:cs="仿宋" w:hint="eastAsia"/>
          <w:b w:val="0"/>
          <w:bCs w:val="0"/>
          <w:color w:val="000000"/>
          <w:sz w:val="24"/>
          <w:szCs w:val="24"/>
          <w:highlight w:val="none"/>
          <w:lang w:val="en-US" w:eastAsia="zh-CN"/>
        </w:rPr>
        <w:t>2.</w:t>
      </w:r>
      <w:r>
        <w:rPr>
          <w:rFonts w:ascii="仿宋" w:eastAsia="仿宋" w:hAnsi="仿宋" w:cs="仿宋" w:hint="eastAsia"/>
          <w:b w:val="0"/>
          <w:bCs w:val="0"/>
          <w:color w:val="000000"/>
          <w:sz w:val="24"/>
          <w:szCs w:val="24"/>
          <w:highlight w:val="none"/>
        </w:rPr>
        <w:t>“投标文件服务条款响应情况”一栏根据填写说明填写。</w:t>
      </w:r>
    </w:p>
    <w:p w14:paraId="5AC2873B">
      <w:pPr>
        <w:shd w:val="clear" w:color="auto" w:fill="auto"/>
        <w:kinsoku/>
        <w:overflowPunct/>
        <w:topLinePunct w:val="0"/>
        <w:bidi w:val="0"/>
        <w:adjustRightInd w:val="0"/>
        <w:snapToGrid w:val="0"/>
        <w:spacing w:beforeAutospacing="0" w:afterAutospacing="0" w:line="360" w:lineRule="auto"/>
        <w:ind w:left="0" w:right="0" w:firstLine="480" w:leftChars="0" w:rightChars="0" w:firstLineChars="200"/>
        <w:rPr>
          <w:rFonts w:ascii="仿宋" w:eastAsia="仿宋" w:hAnsi="仿宋" w:cs="仿宋" w:hint="eastAsia"/>
          <w:b w:val="0"/>
          <w:bCs w:val="0"/>
          <w:color w:val="000000"/>
          <w:sz w:val="24"/>
          <w:szCs w:val="24"/>
          <w:highlight w:val="none"/>
          <w:lang w:val="en-GB"/>
        </w:rPr>
      </w:pPr>
      <w:r>
        <w:rPr>
          <w:rFonts w:ascii="仿宋" w:eastAsia="仿宋" w:hAnsi="仿宋" w:cs="仿宋" w:hint="eastAsia"/>
          <w:b w:val="0"/>
          <w:bCs w:val="0"/>
          <w:color w:val="000000"/>
          <w:sz w:val="24"/>
          <w:szCs w:val="24"/>
          <w:highlight w:val="none"/>
          <w:lang w:val="en-US" w:eastAsia="zh-CN"/>
        </w:rPr>
        <w:t>3.</w:t>
      </w:r>
      <w:r>
        <w:rPr>
          <w:rFonts w:ascii="仿宋" w:eastAsia="仿宋" w:hAnsi="仿宋" w:cs="仿宋" w:hint="eastAsia"/>
          <w:b w:val="0"/>
          <w:bCs w:val="0"/>
          <w:color w:val="000000"/>
          <w:sz w:val="24"/>
          <w:szCs w:val="24"/>
          <w:highlight w:val="none"/>
          <w:lang w:val="en-GB"/>
        </w:rPr>
        <w:t>本表内容不得擅自修改。</w:t>
      </w:r>
    </w:p>
    <w:p w14:paraId="63228DC1">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rPr>
          <w:rFonts w:ascii="仿宋" w:eastAsia="仿宋" w:hAnsi="仿宋" w:cs="仿宋" w:hint="eastAsia"/>
          <w:color w:val="000000"/>
          <w:sz w:val="24"/>
          <w:szCs w:val="24"/>
          <w:highlight w:val="none"/>
          <w:lang w:val="en-GB"/>
        </w:rPr>
      </w:pPr>
    </w:p>
    <w:p w14:paraId="31814E02">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rPr>
          <w:rFonts w:ascii="仿宋" w:eastAsia="仿宋" w:hAnsi="仿宋" w:cs="仿宋" w:hint="eastAsia"/>
          <w:color w:val="000000"/>
          <w:sz w:val="24"/>
          <w:szCs w:val="24"/>
          <w:highlight w:val="none"/>
        </w:rPr>
      </w:pPr>
      <w:r>
        <w:rPr>
          <w:rFonts w:ascii="仿宋" w:eastAsia="仿宋" w:hAnsi="仿宋" w:cs="仿宋" w:hint="eastAsia"/>
          <w:color w:val="000000"/>
          <w:sz w:val="24"/>
          <w:szCs w:val="24"/>
          <w:highlight w:val="none"/>
        </w:rPr>
        <w:t>投标人法定代表人（或法定代表人授权代表）签字：</w:t>
      </w:r>
      <w:r>
        <w:rPr>
          <w:rFonts w:ascii="仿宋" w:eastAsia="仿宋" w:hAnsi="仿宋" w:cs="仿宋" w:hint="eastAsia"/>
          <w:color w:val="000000"/>
          <w:sz w:val="24"/>
          <w:szCs w:val="24"/>
          <w:highlight w:val="none"/>
          <w:u w:val="single"/>
        </w:rPr>
        <w:t xml:space="preserve">                   </w:t>
      </w:r>
    </w:p>
    <w:p w14:paraId="45E994B1">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rPr>
          <w:rFonts w:ascii="仿宋" w:eastAsia="仿宋" w:hAnsi="仿宋" w:cs="仿宋" w:hint="eastAsia"/>
          <w:color w:val="000000"/>
          <w:sz w:val="24"/>
          <w:szCs w:val="24"/>
          <w:highlight w:val="none"/>
          <w:u w:val="single"/>
        </w:rPr>
      </w:pPr>
      <w:r>
        <w:rPr>
          <w:rFonts w:ascii="仿宋" w:eastAsia="仿宋" w:hAnsi="仿宋" w:cs="仿宋" w:hint="eastAsia"/>
          <w:color w:val="000000"/>
          <w:sz w:val="24"/>
          <w:szCs w:val="24"/>
          <w:highlight w:val="none"/>
        </w:rPr>
        <w:t>投标人名称（签章）：</w:t>
      </w:r>
      <w:r>
        <w:rPr>
          <w:rFonts w:ascii="仿宋" w:eastAsia="仿宋" w:hAnsi="仿宋" w:cs="仿宋" w:hint="eastAsia"/>
          <w:color w:val="000000"/>
          <w:sz w:val="24"/>
          <w:szCs w:val="24"/>
          <w:highlight w:val="none"/>
          <w:u w:val="single"/>
        </w:rPr>
        <w:t xml:space="preserve">                        </w:t>
      </w:r>
    </w:p>
    <w:p w14:paraId="58960C83">
      <w:pPr>
        <w:shd w:val="clear" w:color="auto" w:fill="auto"/>
        <w:kinsoku/>
        <w:overflowPunct/>
        <w:topLinePunct w:val="0"/>
        <w:bidi w:val="0"/>
        <w:adjustRightInd w:val="0"/>
        <w:snapToGrid w:val="0"/>
        <w:spacing w:beforeAutospacing="0" w:afterAutospacing="0" w:line="360" w:lineRule="auto"/>
        <w:ind w:left="0" w:right="0" w:firstLine="0" w:leftChars="0" w:rightChars="0" w:firstLineChars="0"/>
        <w:rPr>
          <w:rFonts w:ascii="仿宋" w:eastAsia="仿宋" w:hAnsi="仿宋" w:cs="仿宋" w:hint="eastAsia"/>
          <w:color w:val="000000"/>
          <w:sz w:val="24"/>
          <w:szCs w:val="24"/>
          <w:highlight w:val="none"/>
        </w:rPr>
      </w:pPr>
      <w:r>
        <w:rPr>
          <w:rFonts w:ascii="仿宋" w:eastAsia="仿宋" w:hAnsi="仿宋" w:cs="仿宋" w:hint="eastAsia"/>
          <w:color w:val="000000"/>
          <w:sz w:val="24"/>
          <w:szCs w:val="24"/>
          <w:highlight w:val="none"/>
        </w:rPr>
        <w:t>日期：</w:t>
      </w:r>
      <w:r>
        <w:rPr>
          <w:rFonts w:ascii="仿宋" w:eastAsia="仿宋" w:hAnsi="仿宋" w:cs="仿宋" w:hint="eastAsia"/>
          <w:color w:val="000000"/>
          <w:sz w:val="24"/>
          <w:szCs w:val="24"/>
          <w:highlight w:val="none"/>
          <w:u w:val="single"/>
        </w:rPr>
        <w:t xml:space="preserve">          </w:t>
      </w:r>
      <w:r>
        <w:rPr>
          <w:rFonts w:ascii="仿宋" w:eastAsia="仿宋" w:hAnsi="仿宋" w:cs="仿宋" w:hint="eastAsia"/>
          <w:color w:val="000000"/>
          <w:sz w:val="24"/>
          <w:szCs w:val="24"/>
          <w:highlight w:val="none"/>
        </w:rPr>
        <w:t>年</w:t>
      </w:r>
      <w:r>
        <w:rPr>
          <w:rFonts w:ascii="仿宋" w:eastAsia="仿宋" w:hAnsi="仿宋" w:cs="仿宋" w:hint="eastAsia"/>
          <w:color w:val="000000"/>
          <w:sz w:val="24"/>
          <w:szCs w:val="24"/>
          <w:highlight w:val="none"/>
          <w:u w:val="single"/>
        </w:rPr>
        <w:t xml:space="preserve">     </w:t>
      </w:r>
      <w:r>
        <w:rPr>
          <w:rFonts w:ascii="仿宋" w:eastAsia="仿宋" w:hAnsi="仿宋" w:cs="仿宋" w:hint="eastAsia"/>
          <w:color w:val="000000"/>
          <w:sz w:val="24"/>
          <w:szCs w:val="24"/>
          <w:highlight w:val="none"/>
        </w:rPr>
        <w:t xml:space="preserve"> 月</w:t>
      </w:r>
      <w:r>
        <w:rPr>
          <w:rFonts w:ascii="仿宋" w:eastAsia="仿宋" w:hAnsi="仿宋" w:cs="仿宋" w:hint="eastAsia"/>
          <w:color w:val="000000"/>
          <w:sz w:val="24"/>
          <w:szCs w:val="24"/>
          <w:highlight w:val="none"/>
          <w:u w:val="single"/>
        </w:rPr>
        <w:t xml:space="preserve">    </w:t>
      </w:r>
      <w:r>
        <w:rPr>
          <w:rFonts w:ascii="仿宋" w:eastAsia="仿宋" w:hAnsi="仿宋" w:cs="仿宋" w:hint="eastAsia"/>
          <w:color w:val="000000"/>
          <w:sz w:val="24"/>
          <w:szCs w:val="24"/>
          <w:highlight w:val="none"/>
        </w:rPr>
        <w:t xml:space="preserve"> 日</w:t>
      </w:r>
    </w:p>
    <w:p w14:paraId="787F2204">
      <w:pPr>
        <w:keepNext w:val="0"/>
        <w:keepLines w:val="0"/>
        <w:pageBreakBefore w:val="0"/>
        <w:widowControl/>
        <w:suppressLineNumbers w:val="0"/>
        <w:shd w:val="clear" w:color="auto" w:fill="auto"/>
        <w:kinsoku/>
        <w:wordWrap/>
        <w:overflowPunct/>
        <w:topLinePunct w:val="0"/>
        <w:autoSpaceDE w:val="0"/>
        <w:autoSpaceDN w:val="0"/>
        <w:bidi w:val="0"/>
        <w:adjustRightInd/>
        <w:snapToGrid/>
        <w:spacing w:beforeLines="0" w:line="340" w:lineRule="exact"/>
        <w:ind w:firstLine="480" w:firstLineChars="200"/>
        <w:jc w:val="left"/>
        <w:textAlignment w:val="auto"/>
        <w:rPr>
          <w:rFonts w:ascii="仿宋" w:eastAsia="仿宋" w:hAnsi="仿宋" w:cs="仿宋" w:hint="eastAsia"/>
          <w:b/>
          <w:bCs/>
          <w:color w:val="auto"/>
          <w:spacing w:val="-4"/>
          <w:kern w:val="0"/>
          <w:szCs w:val="21"/>
          <w:highlight w:val="none"/>
          <w:lang w:val="en-US" w:eastAsia="zh-CN"/>
        </w:rPr>
      </w:pPr>
    </w:p>
    <w:p w14:paraId="3F8F1C21">
      <w:pPr>
        <w:widowControl/>
        <w:wordWrap w:val="0"/>
        <w:autoSpaceDE w:val="0"/>
        <w:autoSpaceDN w:val="0"/>
        <w:spacing w:line="400" w:lineRule="exact"/>
        <w:ind w:right="1414" w:firstLine="420" w:firstLineChars="200"/>
        <w:jc w:val="right"/>
        <w:rPr>
          <w:rFonts w:ascii="仿宋" w:eastAsia="仿宋" w:hAnsi="仿宋" w:cs="仿宋" w:hint="eastAsia"/>
          <w:spacing w:val="-4"/>
          <w:sz w:val="21"/>
          <w:szCs w:val="21"/>
          <w:lang w:eastAsia="zh-CN"/>
        </w:rPr>
      </w:pPr>
      <w:bookmarkStart w:id="30" w:name="_GoBack"/>
      <w:bookmarkEnd w:id="30"/>
      <w:r>
        <w:rPr>
          <w:rFonts w:ascii="仿宋" w:eastAsia="仿宋" w:hAnsi="仿宋" w:cs="仿宋" w:hint="eastAsia"/>
          <w:spacing w:val="-4"/>
          <w:sz w:val="21"/>
          <w:szCs w:val="21"/>
          <w:lang w:eastAsia="zh-CN"/>
        </w:rPr>
        <w:t xml:space="preserve">     </w:t>
      </w:r>
    </w:p>
    <w:p w14:paraId="433844BE">
      <w:pPr>
        <w:widowControl/>
        <w:spacing w:line="360" w:lineRule="auto"/>
        <w:jc w:val="center"/>
        <w:rPr>
          <w:rFonts w:ascii="仿宋" w:eastAsia="仿宋" w:hAnsi="仿宋" w:cs="仿宋" w:hint="eastAsia"/>
          <w:szCs w:val="20"/>
          <w:lang w:eastAsia="zh-CN"/>
        </w:rPr>
      </w:pPr>
    </w:p>
    <w:p w14:paraId="24B84A9F">
      <w:pPr>
        <w:widowControl/>
        <w:spacing w:line="360" w:lineRule="auto"/>
        <w:jc w:val="center"/>
        <w:rPr>
          <w:rFonts w:ascii="仿宋" w:eastAsia="仿宋" w:hAnsi="仿宋" w:cs="仿宋" w:hint="eastAsia"/>
          <w:b/>
          <w:bCs/>
          <w:szCs w:val="20"/>
          <w:lang w:eastAsia="zh-CN"/>
        </w:rPr>
      </w:pPr>
      <w:r>
        <w:rPr>
          <w:rFonts w:ascii="仿宋" w:eastAsia="仿宋" w:hAnsi="仿宋" w:cs="仿宋" w:hint="eastAsia"/>
          <w:b/>
          <w:bCs/>
          <w:szCs w:val="20"/>
          <w:lang w:eastAsia="zh-CN"/>
        </w:rPr>
        <w:t>（二）投标人认为需要加以说明的其他内容（格式自定）</w:t>
      </w:r>
    </w:p>
    <w:p w14:paraId="5684365D">
      <w:pPr>
        <w:widowControl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lang w:eastAsia="zh-CN"/>
        </w:rPr>
        <w:br w:type="page"/>
      </w:r>
    </w:p>
    <w:p w14:paraId="598C3A81">
      <w:pPr>
        <w:keepNext/>
        <w:keepLines/>
        <w:widowControl w:val="0"/>
        <w:bidi w:val="0"/>
        <w:spacing w:beforeLines="0" w:beforeAutospacing="0" w:afterLines="0" w:afterAutospacing="0" w:line="360" w:lineRule="auto"/>
        <w:jc w:val="center"/>
        <w:outlineLvl w:val="1"/>
        <w:rPr>
          <w:rFonts w:ascii="仿宋" w:eastAsia="仿宋" w:hAnsi="仿宋" w:cs="仿宋" w:hint="eastAsia"/>
          <w:b/>
          <w:kern w:val="2"/>
          <w:sz w:val="32"/>
          <w:lang w:eastAsia="zh-CN"/>
        </w:rPr>
      </w:pPr>
      <w:bookmarkStart w:id="31" w:name="_Toc29761"/>
      <w:r>
        <w:rPr>
          <w:rFonts w:ascii="仿宋" w:eastAsia="仿宋" w:hAnsi="仿宋" w:cs="仿宋" w:hint="eastAsia"/>
          <w:b/>
          <w:kern w:val="2"/>
          <w:sz w:val="32"/>
          <w:lang w:eastAsia="zh-CN"/>
        </w:rPr>
        <w:t>第五章  合同条款及格式</w:t>
      </w:r>
      <w:bookmarkEnd w:id="31"/>
    </w:p>
    <w:p w14:paraId="64DCC3C1">
      <w:pPr>
        <w:widowControl w:val="0"/>
        <w:spacing w:line="360" w:lineRule="auto"/>
        <w:jc w:val="center"/>
        <w:rPr>
          <w:rFonts w:ascii="仿宋" w:eastAsia="仿宋" w:hAnsi="仿宋" w:cs="仿宋" w:hint="eastAsia"/>
          <w:b/>
          <w:kern w:val="2"/>
          <w:lang w:eastAsia="zh-CN"/>
        </w:rPr>
      </w:pPr>
      <w:r>
        <w:rPr>
          <w:rFonts w:ascii="仿宋" w:eastAsia="仿宋" w:hAnsi="仿宋" w:cs="仿宋" w:hint="eastAsia"/>
          <w:b/>
          <w:kern w:val="2"/>
          <w:lang w:eastAsia="zh-CN"/>
        </w:rPr>
        <w:t>（有专业类别的格式合同范本请选择相应的合同项目，具体要求以采购项目需求为准）</w:t>
      </w:r>
    </w:p>
    <w:p w14:paraId="0FE4A682">
      <w:pPr>
        <w:widowControl w:val="0"/>
        <w:spacing w:line="360" w:lineRule="auto"/>
        <w:jc w:val="center"/>
        <w:rPr>
          <w:rFonts w:ascii="仿宋" w:eastAsia="仿宋" w:hAnsi="仿宋" w:cs="仿宋" w:hint="eastAsia"/>
          <w:b/>
          <w:kern w:val="2"/>
          <w:lang w:eastAsia="zh-CN"/>
        </w:rPr>
      </w:pPr>
    </w:p>
    <w:p w14:paraId="0D4D1E97">
      <w:pPr>
        <w:widowControl w:val="0"/>
        <w:spacing w:line="360" w:lineRule="auto"/>
        <w:jc w:val="center"/>
        <w:rPr>
          <w:rFonts w:ascii="仿宋" w:eastAsia="仿宋" w:hAnsi="仿宋" w:cs="仿宋" w:hint="eastAsia"/>
          <w:b/>
          <w:kern w:val="2"/>
          <w:lang w:eastAsia="zh-CN"/>
        </w:rPr>
      </w:pPr>
      <w:r>
        <w:rPr>
          <w:rFonts w:ascii="仿宋" w:eastAsia="仿宋" w:hAnsi="仿宋" w:cs="仿宋" w:hint="eastAsia"/>
          <w:b/>
          <w:kern w:val="2"/>
          <w:lang w:eastAsia="zh-CN"/>
        </w:rPr>
        <w:t>合同条款</w:t>
      </w:r>
    </w:p>
    <w:p w14:paraId="4FF1703B">
      <w:pPr>
        <w:widowControl w:val="0"/>
        <w:spacing w:line="360" w:lineRule="auto"/>
        <w:jc w:val="center"/>
        <w:rPr>
          <w:rFonts w:ascii="仿宋" w:eastAsia="仿宋" w:hAnsi="仿宋" w:cs="仿宋" w:hint="eastAsia"/>
          <w:b/>
          <w:kern w:val="2"/>
          <w:lang w:eastAsia="zh-CN"/>
        </w:rPr>
      </w:pPr>
      <w:r>
        <w:rPr>
          <w:rFonts w:ascii="仿宋" w:eastAsia="仿宋" w:hAnsi="仿宋" w:cs="仿宋" w:hint="eastAsia"/>
          <w:b/>
          <w:kern w:val="2"/>
          <w:lang w:eastAsia="zh-CN"/>
        </w:rPr>
        <w:t>（仅供参考，项目具体要求以采购项目需求为准）</w:t>
      </w:r>
    </w:p>
    <w:p w14:paraId="78CF13F2">
      <w:pPr>
        <w:widowControl w:val="0"/>
        <w:spacing w:line="360" w:lineRule="auto"/>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甲方：</w:t>
      </w:r>
    </w:p>
    <w:p w14:paraId="1E7B83CC">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统一社会信用代码：</w:t>
      </w:r>
    </w:p>
    <w:p w14:paraId="77018AA5">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法定代表人：</w:t>
      </w:r>
    </w:p>
    <w:p w14:paraId="5AC8E70B">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联系人：</w:t>
      </w:r>
    </w:p>
    <w:p w14:paraId="6784CD49">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联系方式：</w:t>
      </w:r>
    </w:p>
    <w:p w14:paraId="6D084558">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地址：</w:t>
      </w:r>
    </w:p>
    <w:p w14:paraId="13A0A8BB">
      <w:pPr>
        <w:widowControl w:val="0"/>
        <w:spacing w:line="360" w:lineRule="auto"/>
        <w:jc w:val="both"/>
        <w:rPr>
          <w:rFonts w:ascii="仿宋" w:eastAsia="仿宋" w:hAnsi="仿宋" w:cs="仿宋" w:hint="eastAsia"/>
          <w:b/>
          <w:bCs/>
          <w:kern w:val="2"/>
          <w:sz w:val="21"/>
          <w:szCs w:val="21"/>
          <w:lang w:eastAsia="zh-CN"/>
        </w:rPr>
      </w:pPr>
    </w:p>
    <w:p w14:paraId="63F2E3EC">
      <w:pPr>
        <w:widowControl w:val="0"/>
        <w:spacing w:line="360" w:lineRule="auto"/>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乙方：</w:t>
      </w:r>
    </w:p>
    <w:p w14:paraId="39A7608C">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统一社会信用代码：</w:t>
      </w:r>
    </w:p>
    <w:p w14:paraId="392E10E6">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法定代表人：</w:t>
      </w:r>
    </w:p>
    <w:p w14:paraId="0B73E904">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联系人：</w:t>
      </w:r>
    </w:p>
    <w:p w14:paraId="42CD9B55">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联系方式：</w:t>
      </w:r>
    </w:p>
    <w:p w14:paraId="5622BA69">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地址：</w:t>
      </w:r>
    </w:p>
    <w:p w14:paraId="1D5E97A2">
      <w:pPr>
        <w:widowControl w:val="0"/>
        <w:spacing w:line="360" w:lineRule="auto"/>
        <w:jc w:val="both"/>
        <w:rPr>
          <w:rFonts w:ascii="仿宋" w:eastAsia="仿宋" w:hAnsi="仿宋" w:cs="仿宋" w:hint="eastAsia"/>
          <w:kern w:val="2"/>
          <w:sz w:val="21"/>
          <w:szCs w:val="21"/>
          <w:lang w:eastAsia="zh-CN"/>
        </w:rPr>
      </w:pPr>
    </w:p>
    <w:p w14:paraId="604B1D73">
      <w:pPr>
        <w:widowControl w:val="0"/>
        <w:spacing w:line="360" w:lineRule="auto"/>
        <w:jc w:val="both"/>
        <w:rPr>
          <w:rFonts w:ascii="仿宋" w:eastAsia="仿宋" w:hAnsi="仿宋" w:cs="仿宋" w:hint="eastAsia"/>
          <w:kern w:val="2"/>
          <w:sz w:val="21"/>
          <w:szCs w:val="21"/>
          <w:lang w:eastAsia="zh-CN"/>
        </w:rPr>
      </w:pPr>
    </w:p>
    <w:p w14:paraId="26040657">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根据深圳市龙华区</w:t>
      </w:r>
      <w:r>
        <w:rPr>
          <w:rFonts w:ascii="仿宋" w:eastAsia="仿宋" w:hAnsi="仿宋" w:cs="仿宋" w:hint="eastAsia"/>
          <w:color w:val="000000"/>
          <w:kern w:val="2"/>
          <w:sz w:val="21"/>
          <w:szCs w:val="21"/>
          <w:lang w:eastAsia="zh-CN"/>
        </w:rPr>
        <w:t>******</w:t>
      </w:r>
      <w:r>
        <w:rPr>
          <w:rFonts w:ascii="仿宋" w:eastAsia="仿宋" w:hAnsi="仿宋" w:cs="仿宋" w:hint="eastAsia"/>
          <w:kern w:val="2"/>
          <w:sz w:val="21"/>
          <w:szCs w:val="21"/>
          <w:lang w:eastAsia="zh-CN"/>
        </w:rPr>
        <w:t>采购项目的响应结果，由单位为中选方。按照有关规定，经深圳市（以下简称甲方）和单位（以下简称乙方）协商，就甲方委托乙方承担</w:t>
      </w:r>
      <w:r>
        <w:rPr>
          <w:rFonts w:ascii="仿宋" w:eastAsia="仿宋" w:hAnsi="仿宋" w:cs="仿宋" w:hint="eastAsia"/>
          <w:b/>
          <w:bCs/>
          <w:snapToGrid w:val="0"/>
          <w:sz w:val="21"/>
          <w:szCs w:val="21"/>
          <w:u w:val="single"/>
          <w:lang w:val="zh-CN" w:eastAsia="zh-CN"/>
        </w:rPr>
        <w:t xml:space="preserve">                      服务项目</w:t>
      </w:r>
      <w:r>
        <w:rPr>
          <w:rFonts w:ascii="仿宋" w:eastAsia="仿宋" w:hAnsi="仿宋" w:cs="仿宋" w:hint="eastAsia"/>
          <w:kern w:val="2"/>
          <w:sz w:val="21"/>
          <w:szCs w:val="21"/>
          <w:lang w:eastAsia="zh-CN"/>
        </w:rPr>
        <w:t>，达成以下合同条款：</w:t>
      </w:r>
    </w:p>
    <w:p w14:paraId="5463C48B">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第一条　项目概况</w:t>
      </w:r>
    </w:p>
    <w:p w14:paraId="6B01818A">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项目名称： </w:t>
      </w:r>
    </w:p>
    <w:p w14:paraId="220D58D2">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项目内容： </w:t>
      </w:r>
    </w:p>
    <w:p w14:paraId="59ECA009">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服务时间： </w:t>
      </w:r>
    </w:p>
    <w:p w14:paraId="5B24917F">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合同价款：合同总价为元，含一切税、费。</w:t>
      </w:r>
      <w:r>
        <w:rPr>
          <w:rFonts w:ascii="仿宋" w:eastAsia="仿宋" w:hAnsi="仿宋" w:cs="仿宋" w:hint="eastAsia"/>
          <w:kern w:val="2"/>
          <w:sz w:val="21"/>
          <w:lang w:eastAsia="zh-CN"/>
        </w:rPr>
        <w:t>本合同总价包括</w:t>
      </w:r>
      <w:r>
        <w:rPr>
          <w:rFonts w:ascii="仿宋" w:eastAsia="仿宋" w:hAnsi="仿宋" w:cs="仿宋" w:hint="eastAsia"/>
          <w:kern w:val="2"/>
          <w:sz w:val="21"/>
          <w:szCs w:val="21"/>
          <w:lang w:eastAsia="zh-CN"/>
        </w:rPr>
        <w:t>乙方为实施本项目所需的设备仪器费、车辆租赁费、</w:t>
      </w:r>
      <w:r>
        <w:rPr>
          <w:rFonts w:ascii="仿宋" w:eastAsia="仿宋" w:hAnsi="仿宋" w:cs="仿宋" w:hint="eastAsia"/>
          <w:kern w:val="2"/>
          <w:sz w:val="21"/>
          <w:lang w:eastAsia="zh-CN"/>
        </w:rPr>
        <w:t>服务和技术费用等，为固定不变价格，且不随通货膨胀的影响而波动。合同总价包括</w:t>
      </w:r>
      <w:r>
        <w:rPr>
          <w:rFonts w:ascii="仿宋" w:eastAsia="仿宋" w:hAnsi="仿宋" w:cs="仿宋" w:hint="eastAsia"/>
          <w:kern w:val="2"/>
          <w:sz w:val="21"/>
          <w:szCs w:val="21"/>
          <w:lang w:eastAsia="zh-CN"/>
        </w:rPr>
        <w:t>乙方</w:t>
      </w:r>
      <w:r>
        <w:rPr>
          <w:rFonts w:ascii="仿宋" w:eastAsia="仿宋" w:hAnsi="仿宋" w:cs="仿宋" w:hint="eastAsia"/>
          <w:kern w:val="2"/>
          <w:sz w:val="21"/>
          <w:lang w:eastAsia="zh-CN"/>
        </w:rPr>
        <w:t>履行本合同义务所发生的一切费用和支出和以各种方式寄送技术资料到甲方办公室所发生的费用。如发生本合同规定的不可抗力，合同总价可经双方友好协商予以调整。</w:t>
      </w:r>
    </w:p>
    <w:p w14:paraId="724504CD">
      <w:pPr>
        <w:widowControl w:val="0"/>
        <w:spacing w:line="360" w:lineRule="auto"/>
        <w:ind w:firstLine="42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支付方式：分期支付。</w:t>
      </w:r>
    </w:p>
    <w:p w14:paraId="1E8BE524">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第二条  服务范围</w:t>
      </w:r>
    </w:p>
    <w:p w14:paraId="6E8CEDD3">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1、  </w:t>
      </w:r>
    </w:p>
    <w:p w14:paraId="6D397BE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2、  </w:t>
      </w:r>
    </w:p>
    <w:p w14:paraId="1E2687D7">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3、  </w:t>
      </w:r>
    </w:p>
    <w:p w14:paraId="58055205">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 其他合同未明示的相关工作。</w:t>
      </w:r>
    </w:p>
    <w:p w14:paraId="254A5AD1">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第三条  时间要求及阶段成果</w:t>
      </w:r>
    </w:p>
    <w:p w14:paraId="16B2FDF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1、合同签订天内完成项目实施的准备工作，包括工作大纲和试验细则的编制；</w:t>
      </w:r>
    </w:p>
    <w:p w14:paraId="1CD7FB9E">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2、 </w:t>
      </w:r>
    </w:p>
    <w:p w14:paraId="785154B0">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w:t>
      </w:r>
    </w:p>
    <w:p w14:paraId="3C4C411E">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w:t>
      </w:r>
    </w:p>
    <w:p w14:paraId="26469E98">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第四条  服务资料归属(若有)</w:t>
      </w:r>
    </w:p>
    <w:p w14:paraId="7BA9C5FF">
      <w:pPr>
        <w:widowControl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lang w:eastAsia="zh-CN"/>
        </w:rPr>
        <w:t>1、所有提交给甲方的服务文件及相关的资料的最后文本，包括为履行服务范围所编制的设计图纸、计划和证明资料等，都属于甲方的财产，</w:t>
      </w:r>
      <w:r>
        <w:rPr>
          <w:rFonts w:ascii="仿宋" w:eastAsia="仿宋" w:hAnsi="仿宋" w:cs="仿宋" w:hint="eastAsia"/>
          <w:kern w:val="2"/>
          <w:sz w:val="21"/>
          <w:szCs w:val="21"/>
          <w:lang w:eastAsia="zh-CN"/>
        </w:rPr>
        <w:t>乙</w:t>
      </w:r>
      <w:r>
        <w:rPr>
          <w:rFonts w:ascii="仿宋" w:eastAsia="仿宋" w:hAnsi="仿宋" w:cs="仿宋" w:hint="eastAsia"/>
          <w:kern w:val="2"/>
          <w:sz w:val="21"/>
          <w:lang w:eastAsia="zh-CN"/>
        </w:rPr>
        <w:t>方在提交给甲方之前应将上述资料进行整理归类和编制索引。</w:t>
      </w:r>
    </w:p>
    <w:p w14:paraId="13628B72">
      <w:pPr>
        <w:widowControl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lang w:eastAsia="zh-CN"/>
        </w:rPr>
        <w:t>2、</w:t>
      </w:r>
      <w:r>
        <w:rPr>
          <w:rFonts w:ascii="仿宋" w:eastAsia="仿宋" w:hAnsi="仿宋" w:cs="仿宋" w:hint="eastAsia"/>
          <w:kern w:val="2"/>
          <w:sz w:val="21"/>
          <w:szCs w:val="21"/>
          <w:lang w:eastAsia="zh-CN"/>
        </w:rPr>
        <w:t>乙</w:t>
      </w:r>
      <w:r>
        <w:rPr>
          <w:rFonts w:ascii="仿宋" w:eastAsia="仿宋" w:hAnsi="仿宋" w:cs="仿宋" w:hint="eastAsia"/>
          <w:kern w:val="2"/>
          <w:sz w:val="21"/>
          <w:lang w:eastAsia="zh-CN"/>
        </w:rPr>
        <w:t>方未经甲方的书面同意，不得将上述资料用于与本服务项目之外的任何项目。</w:t>
      </w:r>
    </w:p>
    <w:p w14:paraId="13CD4E13">
      <w:pPr>
        <w:widowControl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lang w:eastAsia="zh-CN"/>
        </w:rPr>
        <w:t>3、合同履行完毕，未经甲方的书面同意，</w:t>
      </w:r>
      <w:r>
        <w:rPr>
          <w:rFonts w:ascii="仿宋" w:eastAsia="仿宋" w:hAnsi="仿宋" w:cs="仿宋" w:hint="eastAsia"/>
          <w:kern w:val="2"/>
          <w:sz w:val="21"/>
          <w:szCs w:val="21"/>
          <w:lang w:eastAsia="zh-CN"/>
        </w:rPr>
        <w:t>乙</w:t>
      </w:r>
      <w:r>
        <w:rPr>
          <w:rFonts w:ascii="仿宋" w:eastAsia="仿宋" w:hAnsi="仿宋" w:cs="仿宋" w:hint="eastAsia"/>
          <w:kern w:val="2"/>
          <w:sz w:val="21"/>
          <w:lang w:eastAsia="zh-CN"/>
        </w:rPr>
        <w:t>方不得保存在履行合同过程中所获得或接触到的任何</w:t>
      </w:r>
      <w:r>
        <w:rPr>
          <w:rFonts w:ascii="仿宋" w:eastAsia="仿宋" w:hAnsi="仿宋" w:cs="仿宋" w:hint="eastAsia"/>
          <w:kern w:val="2"/>
          <w:sz w:val="21"/>
          <w:szCs w:val="21"/>
          <w:lang w:eastAsia="zh-CN"/>
        </w:rPr>
        <w:t>内部数据资料。</w:t>
      </w:r>
    </w:p>
    <w:p w14:paraId="7CAA70DD">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第五条  甲方的义务</w:t>
      </w:r>
    </w:p>
    <w:p w14:paraId="0A05191A">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1、负责与本服务项目有关的第三方的协调，提供开展服务工作的外部条件。</w:t>
      </w:r>
    </w:p>
    <w:p w14:paraId="2D3094C9">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2、向乙方提供与本项目服务工作有关的资料。</w:t>
      </w:r>
    </w:p>
    <w:p w14:paraId="488D2102">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第六条　乙方的义务</w:t>
      </w:r>
    </w:p>
    <w:p w14:paraId="5E346E85">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１、应按照号采购文件、乙方响应文件要求按期完成本项目服务工作。</w:t>
      </w:r>
    </w:p>
    <w:p w14:paraId="34D3636E">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2、负责组织项目的实施，保证服务效率及工作质量，并符合招标文件和行业相关标准。</w:t>
      </w:r>
    </w:p>
    <w:p w14:paraId="45F53C15">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3、在履行合同期间或合同规定期限内，不得泄露与本合同规定业务活动有关的保密资料。</w:t>
      </w:r>
    </w:p>
    <w:p w14:paraId="6CD01CB4">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第七条  甲方的权利</w:t>
      </w:r>
    </w:p>
    <w:p w14:paraId="2437EB92">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1、有权向乙方询问工作进展情况及相关的内容。</w:t>
      </w:r>
    </w:p>
    <w:p w14:paraId="4EF46DC6">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2、有权阐述对具体问题的意见和建议。</w:t>
      </w:r>
    </w:p>
    <w:p w14:paraId="704B98AA">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3、当甲方认定乙方人员不按合同履行其职责，或与第三人串通给甲方造成经济损失的，甲方有权要求更换人员，直至终止合同并要求乙方承担相应的赔偿责任。</w:t>
      </w:r>
    </w:p>
    <w:p w14:paraId="23FAD8F8">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第八条  乙方的权利</w:t>
      </w:r>
    </w:p>
    <w:p w14:paraId="71B9E614">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1、乙方在本项目服务过程中，如甲方提供的资料不明确时可向甲方提出书面报告。</w:t>
      </w:r>
    </w:p>
    <w:p w14:paraId="46F53113">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2、乙方在本项目服务过程中，有权对第三方提出与本项目服务业务有关的问题进行核对或查问。</w:t>
      </w:r>
    </w:p>
    <w:p w14:paraId="331BE84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3、乙方在本项目服务过程中，可根据项目需求现场勘查。</w:t>
      </w:r>
    </w:p>
    <w:p w14:paraId="35FFB1AF">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第九条  甲方的责任</w:t>
      </w:r>
    </w:p>
    <w:p w14:paraId="0DD05D26">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1、应当履行本合同约定的义务，如有违反则应当承担违约责任，赔偿给乙方造成的损失。</w:t>
      </w:r>
    </w:p>
    <w:p w14:paraId="01DB92FB">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2、甲方向乙方提出赔偿要求不能成立时，则应补偿由于该赔偿或其他要求所导致乙方的各种费用的支出。</w:t>
      </w:r>
    </w:p>
    <w:p w14:paraId="56CB8979">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第十条  乙方的责任</w:t>
      </w:r>
    </w:p>
    <w:p w14:paraId="4D59F59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1、乙方的责任期即本合同有效期。如因非乙方的责任造成进度的推迟或延误而超过约定的日期，双方应进一步约定相应延长合同有效期。</w:t>
      </w:r>
    </w:p>
    <w:p w14:paraId="766CF8DB">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2、乙方的责任期内，应当履行本合同中约定的义务，因乙方的单方过失造成的经济损失，应当向甲方进行赔偿。</w:t>
      </w:r>
    </w:p>
    <w:p w14:paraId="0789EAF3">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3、乙方对甲方或第三方所提出的问题不能及时核对或答复，导致合同不能全部或部分履行，乙方应承担责任。</w:t>
      </w:r>
    </w:p>
    <w:p w14:paraId="75BEBAF7">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4、乙方向甲方提出赔偿要求不能成立时，则应补偿由于该赔偿或其他要求所导致甲方的各种费用的支出。</w:t>
      </w:r>
    </w:p>
    <w:p w14:paraId="5872E995">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第十一条  人员要求</w:t>
      </w:r>
    </w:p>
    <w:p w14:paraId="10FD0DF6">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1、参加本项目服务人员必须具有招标文件及国家有关部门规定的相应资质。</w:t>
      </w:r>
    </w:p>
    <w:p w14:paraId="78ED4278">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 参加本项目的服务人员的配置必须与响应文件中的服务承诺书和项目组织实施方案一致。</w:t>
      </w:r>
    </w:p>
    <w:p w14:paraId="01BDC7C3">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3、必须以直属服务人员参与本项目服务，不得使用挂靠队伍。</w:t>
      </w:r>
    </w:p>
    <w:p w14:paraId="1C8A0BCA">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第十二条  乙方服务工具要求</w:t>
      </w:r>
    </w:p>
    <w:p w14:paraId="31AA347E">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1、乙方应配备中选项目所需的足够数量的仪器、仪表以及工具等设备。用户不需向乙方提供施工工具和仪器、仪表。</w:t>
      </w:r>
    </w:p>
    <w:p w14:paraId="3CD2CBAF">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2、乙方在提供服务过程中应自备车辆。</w:t>
      </w:r>
    </w:p>
    <w:p w14:paraId="573F3E27">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第十三条  保密要求</w:t>
      </w:r>
    </w:p>
    <w:p w14:paraId="50C9BF5C">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4F45424">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2、乙方在履行合同过程中所获得或接触到的任何内部数据资料，未经甲方同意，不得向第三方透露。</w:t>
      </w:r>
    </w:p>
    <w:p w14:paraId="17D8987F">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3、乙方实施项目的一切程序都应符合国家安全、保密的有关规定和标准。</w:t>
      </w:r>
    </w:p>
    <w:p w14:paraId="0D5ED1F5">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4、乙方参加项目的有关人员均需同甲方签订保密协议。</w:t>
      </w:r>
    </w:p>
    <w:p w14:paraId="05BCAFA3">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 xml:space="preserve">第十四条  验收     </w:t>
      </w:r>
    </w:p>
    <w:p w14:paraId="57579CB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1、下列文件的验收分为</w:t>
      </w:r>
      <w:r>
        <w:rPr>
          <w:rFonts w:ascii="仿宋" w:eastAsia="仿宋" w:hAnsi="仿宋" w:cs="仿宋" w:hint="eastAsia"/>
          <w:kern w:val="2"/>
          <w:sz w:val="21"/>
          <w:szCs w:val="21"/>
          <w:u w:val="single"/>
          <w:lang w:eastAsia="zh-CN"/>
        </w:rPr>
        <w:t xml:space="preserve">          </w:t>
      </w:r>
      <w:r>
        <w:rPr>
          <w:rFonts w:ascii="仿宋" w:eastAsia="仿宋" w:hAnsi="仿宋" w:cs="仿宋" w:hint="eastAsia"/>
          <w:kern w:val="2"/>
          <w:sz w:val="21"/>
          <w:szCs w:val="21"/>
          <w:lang w:eastAsia="zh-CN"/>
        </w:rPr>
        <w:t>个阶段:</w:t>
      </w:r>
    </w:p>
    <w:p w14:paraId="2069600B">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2、其余文件和工作由用户组织有关技术人员根据国家和行业有关规范、规程、标准和用户需求直接验收。</w:t>
      </w:r>
    </w:p>
    <w:p w14:paraId="6BEE209A">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3、验收依据为号采购文件、乙方响应文件，国家和行业有关规范、规程和标准。</w:t>
      </w:r>
    </w:p>
    <w:p w14:paraId="65299324">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第十五条  付款方式</w:t>
      </w:r>
    </w:p>
    <w:p w14:paraId="0114630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1、合同签订后天内，甲方向乙方支付合同总价%的款项。</w:t>
      </w:r>
    </w:p>
    <w:p w14:paraId="7545C549">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2、全部服务完成并经甲方验收合格后，甲方向乙方支付合同总价%的款项。</w:t>
      </w:r>
    </w:p>
    <w:p w14:paraId="332BF367">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第十六条  争议解决办法</w:t>
      </w:r>
    </w:p>
    <w:p w14:paraId="21DB2260">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执行本合同发生的争议，由甲乙双方协商解决；协商不成，由甲方所在地人民法院管辖。</w:t>
      </w:r>
    </w:p>
    <w:p w14:paraId="473DECEC">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第十七条  风险责任</w:t>
      </w:r>
    </w:p>
    <w:p w14:paraId="43E8FBF7">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１、乙方应完全地按照号采购文件的要求和乙方响应文件的承诺完成本项目，出于自身财务、技术、人力等原因导致项目失败的，应承担全部责任。</w:t>
      </w:r>
    </w:p>
    <w:p w14:paraId="390E8A26">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2、乙方在服务过程中应对自身的安全生产负责，若由乙方原因发生的各种事故甲方不承担任何责任。</w:t>
      </w:r>
    </w:p>
    <w:p w14:paraId="4B42E869">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第十八条  违约责任</w:t>
      </w:r>
    </w:p>
    <w:p w14:paraId="23690DD4">
      <w:pPr>
        <w:widowControl w:val="0"/>
        <w:spacing w:line="324"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响应供应商若未按照招投标文件及本合同要求履约，则需对履约不足的部分支付违约金，但最高不超过中标总额的10％。</w:t>
      </w:r>
    </w:p>
    <w:p w14:paraId="654151F5">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第十九条  其他</w:t>
      </w:r>
    </w:p>
    <w:p w14:paraId="7509F873">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1、下列文件均为本合同的重要组成部分：</w:t>
      </w:r>
    </w:p>
    <w:p w14:paraId="45D0650C">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（1）本项目的采购文件、答疑及补充通知；</w:t>
      </w:r>
    </w:p>
    <w:p w14:paraId="0F1A31F4">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（2）本项目中选的响应文件；</w:t>
      </w:r>
    </w:p>
    <w:p w14:paraId="0DC7290B">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（3）本合同执行中共同签署的补充与修正文件。</w:t>
      </w:r>
    </w:p>
    <w:p w14:paraId="2EE0C4EF">
      <w:pPr>
        <w:widowControl w:val="0"/>
        <w:spacing w:line="360" w:lineRule="auto"/>
        <w:jc w:val="both"/>
        <w:rPr>
          <w:rFonts w:ascii="仿宋" w:eastAsia="仿宋" w:hAnsi="仿宋" w:cs="仿宋" w:hint="eastAsia"/>
          <w:b/>
          <w:kern w:val="2"/>
          <w:lang w:eastAsia="zh-CN"/>
        </w:rPr>
      </w:pPr>
      <w:r>
        <w:rPr>
          <w:rFonts w:ascii="仿宋" w:eastAsia="仿宋" w:hAnsi="仿宋" w:cs="仿宋" w:hint="eastAsia"/>
          <w:kern w:val="2"/>
          <w:sz w:val="21"/>
          <w:szCs w:val="21"/>
          <w:lang w:eastAsia="zh-CN"/>
        </w:rPr>
        <w:t>以上文件互为补充，如果出现内容冲突的情况，为准的优先顺序为（2）、（1）、（3）。</w:t>
      </w:r>
    </w:p>
    <w:p w14:paraId="2A6BEF3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2、本合同一式___份，甲、乙方双方各执份，具有同等法律效力。本合同自双方法定代表人或委托代理人签字并盖章认可之日起生效。</w:t>
      </w:r>
    </w:p>
    <w:p w14:paraId="18939EDB">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3、本合同未尽事宜，双方友好协商，达成解决方案，经双方签字后，可作为本合同的有效附件。</w:t>
      </w:r>
    </w:p>
    <w:p w14:paraId="6CA189F8">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本合同未尽事宜，双方友好协商，达成解决方案，经双方签字后，可作为本合同的有效附件。</w:t>
      </w:r>
    </w:p>
    <w:p w14:paraId="5C635288">
      <w:pPr>
        <w:widowControl w:val="0"/>
        <w:spacing w:line="360" w:lineRule="auto"/>
        <w:ind w:firstLine="420" w:firstLineChars="200"/>
        <w:jc w:val="both"/>
        <w:rPr>
          <w:rFonts w:ascii="仿宋" w:eastAsia="仿宋" w:hAnsi="仿宋" w:cs="仿宋" w:hint="eastAsia"/>
          <w:kern w:val="2"/>
          <w:sz w:val="21"/>
          <w:szCs w:val="21"/>
          <w:lang w:eastAsia="zh-CN"/>
        </w:rPr>
      </w:pPr>
    </w:p>
    <w:p w14:paraId="7619BD4D">
      <w:pPr>
        <w:widowControl w:val="0"/>
        <w:spacing w:line="360" w:lineRule="auto"/>
        <w:ind w:firstLine="420" w:firstLineChars="200"/>
        <w:jc w:val="both"/>
        <w:rPr>
          <w:rFonts w:ascii="仿宋" w:eastAsia="仿宋" w:hAnsi="仿宋" w:cs="仿宋" w:hint="eastAsia"/>
          <w:kern w:val="2"/>
          <w:sz w:val="21"/>
          <w:szCs w:val="21"/>
          <w:lang w:eastAsia="zh-CN"/>
        </w:rPr>
      </w:pPr>
    </w:p>
    <w:p w14:paraId="73536112">
      <w:pPr>
        <w:widowControl w:val="0"/>
        <w:spacing w:line="360" w:lineRule="auto"/>
        <w:ind w:firstLine="420" w:firstLineChars="200"/>
        <w:jc w:val="both"/>
        <w:rPr>
          <w:rFonts w:ascii="仿宋" w:eastAsia="仿宋" w:hAnsi="仿宋" w:cs="仿宋" w:hint="eastAsia"/>
          <w:kern w:val="2"/>
          <w:sz w:val="21"/>
          <w:szCs w:val="21"/>
          <w:lang w:eastAsia="zh-CN"/>
        </w:rPr>
      </w:pPr>
    </w:p>
    <w:p w14:paraId="38CB4121">
      <w:pPr>
        <w:widowControl w:val="0"/>
        <w:spacing w:line="360" w:lineRule="auto"/>
        <w:ind w:firstLine="420" w:firstLineChars="200"/>
        <w:jc w:val="both"/>
        <w:rPr>
          <w:rFonts w:ascii="仿宋" w:eastAsia="仿宋" w:hAnsi="仿宋" w:cs="仿宋" w:hint="eastAsia"/>
          <w:kern w:val="2"/>
          <w:sz w:val="21"/>
          <w:szCs w:val="21"/>
          <w:lang w:eastAsia="zh-CN"/>
        </w:rPr>
      </w:pPr>
    </w:p>
    <w:p w14:paraId="5A88FA07">
      <w:pPr>
        <w:widowControl w:val="0"/>
        <w:spacing w:line="360" w:lineRule="auto"/>
        <w:jc w:val="both"/>
        <w:rPr>
          <w:rFonts w:ascii="仿宋" w:eastAsia="仿宋" w:hAnsi="仿宋" w:cs="仿宋" w:hint="eastAsia"/>
          <w:kern w:val="2"/>
          <w:sz w:val="21"/>
          <w:szCs w:val="21"/>
          <w:u w:val="single"/>
          <w:lang w:eastAsia="zh-CN"/>
        </w:rPr>
      </w:pPr>
      <w:r>
        <w:rPr>
          <w:rFonts w:ascii="仿宋" w:eastAsia="仿宋" w:hAnsi="仿宋" w:cs="仿宋" w:hint="eastAsia"/>
          <w:kern w:val="2"/>
          <w:sz w:val="21"/>
          <w:szCs w:val="21"/>
          <w:lang w:eastAsia="zh-CN"/>
        </w:rPr>
        <w:t>甲方：    乙方：</w:t>
      </w:r>
    </w:p>
    <w:p w14:paraId="508241D2">
      <w:pPr>
        <w:widowControl w:val="0"/>
        <w:spacing w:line="360" w:lineRule="auto"/>
        <w:ind w:firstLine="1890" w:firstLineChars="9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（签章）                         （签章）</w:t>
      </w:r>
    </w:p>
    <w:p w14:paraId="51383B18">
      <w:pPr>
        <w:widowControl w:val="0"/>
        <w:spacing w:line="360" w:lineRule="auto"/>
        <w:ind w:firstLine="2730" w:firstLineChars="1300"/>
        <w:jc w:val="both"/>
        <w:rPr>
          <w:rFonts w:ascii="仿宋" w:eastAsia="仿宋" w:hAnsi="仿宋" w:cs="仿宋" w:hint="eastAsia"/>
          <w:kern w:val="2"/>
          <w:sz w:val="21"/>
          <w:szCs w:val="21"/>
          <w:lang w:eastAsia="zh-CN"/>
        </w:rPr>
      </w:pPr>
    </w:p>
    <w:p w14:paraId="1C12BEA1">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地址：                        地址： </w:t>
      </w:r>
    </w:p>
    <w:p w14:paraId="6229A462">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法定代表人：（签章）           法定代表人：（签章）</w:t>
      </w:r>
    </w:p>
    <w:p w14:paraId="77EDAAEC">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开户行：                      开户行：</w:t>
      </w:r>
    </w:p>
    <w:p w14:paraId="1AE6E04F">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人民币账号：                  人民币账号：</w:t>
      </w:r>
    </w:p>
    <w:p w14:paraId="43AF779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联系人：                      联系人：</w:t>
      </w:r>
    </w:p>
    <w:p w14:paraId="2F68AEC9">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电话：                        电话：</w:t>
      </w:r>
    </w:p>
    <w:p w14:paraId="298AE1B7">
      <w:pPr>
        <w:widowControl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szCs w:val="21"/>
          <w:lang w:eastAsia="zh-CN"/>
        </w:rPr>
        <w:t>日期：                        日期：</w:t>
      </w:r>
      <w:bookmarkStart w:id="32" w:name="xq_end"/>
      <w:bookmarkEnd w:id="32"/>
    </w:p>
    <w:p w14:paraId="26988CA8">
      <w:pPr>
        <w:widowControl w:val="0"/>
        <w:spacing w:line="360" w:lineRule="auto"/>
        <w:jc w:val="both"/>
        <w:rPr>
          <w:rFonts w:ascii="仿宋" w:eastAsia="仿宋" w:hAnsi="仿宋" w:cs="仿宋" w:hint="eastAsia"/>
          <w:kern w:val="2"/>
          <w:sz w:val="21"/>
          <w:szCs w:val="21"/>
          <w:lang w:eastAsia="zh-CN"/>
        </w:rPr>
      </w:pPr>
    </w:p>
    <w:p w14:paraId="17C76962">
      <w:pPr>
        <w:widowControl w:val="0"/>
        <w:spacing w:before="219" w:line="347" w:lineRule="auto"/>
        <w:ind w:left="429" w:right="423" w:firstLine="565"/>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br w:type="page"/>
      </w:r>
    </w:p>
    <w:p w14:paraId="027F7D89">
      <w:pPr>
        <w:keepNext/>
        <w:keepLines/>
        <w:widowControl w:val="0"/>
        <w:bidi w:val="0"/>
        <w:spacing w:beforeLines="0" w:beforeAutospacing="0" w:afterLines="0" w:afterAutospacing="0" w:line="360" w:lineRule="auto"/>
        <w:jc w:val="center"/>
        <w:outlineLvl w:val="0"/>
        <w:rPr>
          <w:rFonts w:ascii="仿宋" w:eastAsia="仿宋" w:hAnsi="仿宋" w:cs="仿宋" w:hint="eastAsia"/>
          <w:b/>
          <w:color w:val="000000"/>
          <w:kern w:val="44"/>
          <w:sz w:val="44"/>
          <w:lang w:eastAsia="zh-CN"/>
        </w:rPr>
      </w:pPr>
      <w:bookmarkStart w:id="33" w:name="_Toc30507"/>
      <w:r>
        <w:rPr>
          <w:rFonts w:ascii="仿宋" w:eastAsia="仿宋" w:hAnsi="仿宋" w:cs="仿宋" w:hint="eastAsia"/>
          <w:b/>
          <w:color w:val="000000"/>
          <w:kern w:val="44"/>
          <w:sz w:val="44"/>
          <w:lang w:eastAsia="zh-CN"/>
        </w:rPr>
        <w:t>第二册  通用条款</w:t>
      </w:r>
      <w:bookmarkEnd w:id="33"/>
    </w:p>
    <w:p w14:paraId="00B3EC9C">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34" w:name="_Toc5320"/>
      <w:r>
        <w:rPr>
          <w:rFonts w:ascii="仿宋" w:eastAsia="仿宋" w:hAnsi="仿宋" w:cs="仿宋" w:hint="eastAsia"/>
          <w:b/>
          <w:color w:val="000000"/>
          <w:kern w:val="2"/>
          <w:sz w:val="32"/>
          <w:lang w:eastAsia="zh-CN"/>
        </w:rPr>
        <w:t>第一章 总则</w:t>
      </w:r>
      <w:bookmarkEnd w:id="34"/>
    </w:p>
    <w:p w14:paraId="56ED0E8C">
      <w:pPr>
        <w:widowControl w:val="0"/>
        <w:spacing w:before="311" w:line="221" w:lineRule="auto"/>
        <w:ind w:left="443"/>
        <w:jc w:val="both"/>
        <w:rPr>
          <w:rFonts w:ascii="仿宋" w:eastAsia="仿宋" w:hAnsi="仿宋" w:cs="仿宋" w:hint="eastAsia"/>
          <w:kern w:val="2"/>
          <w:lang w:eastAsia="zh-CN"/>
        </w:rPr>
      </w:pPr>
      <w:r>
        <w:rPr>
          <w:rFonts w:ascii="仿宋" w:eastAsia="仿宋" w:hAnsi="仿宋" w:cs="仿宋" w:hint="eastAsia"/>
          <w:spacing w:val="-3"/>
          <w:kern w:val="2"/>
          <w:lang w:eastAsia="zh-CN"/>
        </w:rPr>
        <w:t>1. 通用条款说明</w:t>
      </w:r>
    </w:p>
    <w:p w14:paraId="16074D64">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1.1 采购代理机构发出招标文件通用条款版本，列出深圳市政府采购项目进行招标采购所适用 的通用条款内容。如有需要，采购代理机构可以对通用条款的内容进行补充。</w:t>
      </w:r>
    </w:p>
    <w:p w14:paraId="2FB95A79">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1.2 招标文件分为第一册“专用条款”和第二册“通用条款”。</w:t>
      </w:r>
    </w:p>
    <w:p w14:paraId="07A4743A">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1.3“专用条款 ”是对本次采购项目的具体要求，包含招标公告、对通用条款的补充内容及其他 关键信息、用户需求书、投标文件格式及附件、合同条款及格式等内容。</w:t>
      </w:r>
    </w:p>
    <w:p w14:paraId="74A4BC7A">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1.4“通用条款”是适用于政府采购公开招标项目的基础性条款，具有普遍性和通用性。</w:t>
      </w:r>
    </w:p>
    <w:p w14:paraId="0C2863B1">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1.5 “专用条款”和“通用条款”表述不一致或有冲突时，以“专用条款”为准。</w:t>
      </w:r>
    </w:p>
    <w:p w14:paraId="308D375F">
      <w:pPr>
        <w:widowControl w:val="0"/>
        <w:spacing w:before="48" w:line="221" w:lineRule="auto"/>
        <w:ind w:left="429"/>
        <w:jc w:val="both"/>
        <w:rPr>
          <w:rFonts w:ascii="仿宋" w:eastAsia="仿宋" w:hAnsi="仿宋" w:cs="仿宋" w:hint="eastAsia"/>
          <w:bCs/>
          <w:kern w:val="2"/>
          <w:lang w:eastAsia="zh-CN"/>
        </w:rPr>
      </w:pPr>
      <w:r>
        <w:rPr>
          <w:rFonts w:ascii="仿宋" w:eastAsia="仿宋" w:hAnsi="仿宋" w:cs="仿宋" w:hint="eastAsia"/>
          <w:bCs/>
          <w:spacing w:val="-1"/>
          <w:kern w:val="2"/>
          <w:lang w:eastAsia="zh-CN"/>
        </w:rPr>
        <w:t>2．招标说明</w:t>
      </w:r>
    </w:p>
    <w:p w14:paraId="70A2DA0D">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本项目按照《深圳经济特区政府采购条例》、《深圳经济特区政府采购条例实施细则》及政府 采购其他法律法规，通过公开招标方式确定中标供应商。</w:t>
      </w:r>
    </w:p>
    <w:p w14:paraId="3FDF47C2">
      <w:pPr>
        <w:widowControl w:val="0"/>
        <w:spacing w:before="17" w:line="223" w:lineRule="auto"/>
        <w:ind w:left="431"/>
        <w:jc w:val="both"/>
        <w:rPr>
          <w:rFonts w:ascii="仿宋" w:eastAsia="仿宋" w:hAnsi="仿宋" w:cs="仿宋" w:hint="eastAsia"/>
          <w:bCs/>
          <w:kern w:val="2"/>
          <w:lang w:eastAsia="zh-CN"/>
        </w:rPr>
      </w:pPr>
      <w:r>
        <w:rPr>
          <w:rFonts w:ascii="仿宋" w:eastAsia="仿宋" w:hAnsi="仿宋" w:cs="仿宋" w:hint="eastAsia"/>
          <w:bCs/>
          <w:spacing w:val="-2"/>
          <w:kern w:val="2"/>
          <w:lang w:eastAsia="zh-CN"/>
        </w:rPr>
        <w:t>3．定义</w:t>
      </w:r>
    </w:p>
    <w:p w14:paraId="5313CE47">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招标文件中下列术语应解释为：</w:t>
      </w:r>
    </w:p>
    <w:p w14:paraId="16C22206">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3.1“采购人”：指利用财政性资金依法进行政府采购的国家机关、事业单位、团体组织；</w:t>
      </w:r>
    </w:p>
    <w:p w14:paraId="6095147F">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3.2 “采购代理机构 ”是指市政府设立的，组织实施政府采购项目，并对政府采购活动提供服 务的专门机构；本文件所述的“采购代理机构”指广东五装建设工程有限公司；</w:t>
      </w:r>
    </w:p>
    <w:p w14:paraId="6FD508E8">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3.3“投标人 ”，即供应商，指参加投标竞争并愿意按照招标文件要求向采购人提供货物、工程 或者服务的依法成立的法人、其他组织或者自然人；</w:t>
      </w:r>
    </w:p>
    <w:p w14:paraId="0602C920">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3.4“评审委员会 ”是依据《深圳经济特区政府采购条例》、《深圳经济特区政府采购条例实施 细则》等有关规定组建的专门负责本次招标其评审工作的临时性机构；</w:t>
      </w:r>
    </w:p>
    <w:p w14:paraId="6AE7D111">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3.5“日期”指公历日；</w:t>
      </w:r>
    </w:p>
    <w:p w14:paraId="01E1E6CA">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3.6“合同”指由本次招标所产生的合同或合约文件；</w:t>
      </w:r>
    </w:p>
    <w:p w14:paraId="4342410A">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3.7“电子投标文件 ”指利用深圳公共资源交易中心（深圳交易集团有限公司龙华分公司）网站 提供的深圳市自行采购系统投标文件制作专用软件（以下简称：投标文件制作软件）制作并加密的 投 标 文 件 , 适 用 于 网 上 投 标 ； （投 标 文 件 制 作 软 件 可 从 “ 下 载 地 址 ： https://www.szggzy.com/jyfw/details.html?contentId=2053275 深圳市自行采购系统投标文件编 制工具”下载）</w:t>
      </w:r>
    </w:p>
    <w:p w14:paraId="3D0F4DDC">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3.8“网上投标 ”指通过深圳公共资源交易中心（深圳交易集团有限公司龙华分公司）网站上传电子投标文件；</w:t>
      </w:r>
    </w:p>
    <w:p w14:paraId="56F33902">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3.9 招标文件中的标题或题名仅起引导作用，而不应视为对招标文件内容的理解和解释。</w:t>
      </w:r>
    </w:p>
    <w:p w14:paraId="1EEA3517">
      <w:pPr>
        <w:widowControl w:val="0"/>
        <w:spacing w:before="17" w:line="223" w:lineRule="auto"/>
        <w:ind w:left="431"/>
        <w:jc w:val="both"/>
        <w:rPr>
          <w:rFonts w:ascii="仿宋" w:eastAsia="仿宋" w:hAnsi="仿宋" w:cs="仿宋" w:hint="eastAsia"/>
          <w:bCs/>
          <w:spacing w:val="-2"/>
          <w:kern w:val="2"/>
          <w:lang w:eastAsia="zh-CN"/>
        </w:rPr>
      </w:pPr>
      <w:r>
        <w:rPr>
          <w:rFonts w:ascii="仿宋" w:eastAsia="仿宋" w:hAnsi="仿宋" w:cs="仿宋" w:hint="eastAsia"/>
          <w:bCs/>
          <w:spacing w:val="-2"/>
          <w:kern w:val="2"/>
          <w:lang w:eastAsia="zh-CN"/>
        </w:rPr>
        <w:t>4. 政府采购供应商责任</w:t>
      </w:r>
    </w:p>
    <w:p w14:paraId="2A83E3DC">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4.1 欢迎诚信、有实力和有社会责任心的供应商参与政府采购事业。</w:t>
      </w:r>
    </w:p>
    <w:p w14:paraId="16E71167">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14:paraId="7D5770EF">
      <w:pPr>
        <w:widowControl w:val="0"/>
        <w:spacing w:before="17" w:line="223" w:lineRule="auto"/>
        <w:ind w:left="431"/>
        <w:jc w:val="both"/>
        <w:rPr>
          <w:rFonts w:ascii="仿宋" w:eastAsia="仿宋" w:hAnsi="仿宋" w:cs="仿宋" w:hint="eastAsia"/>
          <w:bCs/>
          <w:spacing w:val="-2"/>
          <w:kern w:val="2"/>
          <w:lang w:eastAsia="zh-CN"/>
        </w:rPr>
      </w:pPr>
      <w:r>
        <w:rPr>
          <w:rFonts w:ascii="仿宋" w:eastAsia="仿宋" w:hAnsi="仿宋" w:cs="仿宋" w:hint="eastAsia"/>
          <w:bCs/>
          <w:spacing w:val="-2"/>
          <w:kern w:val="2"/>
          <w:lang w:eastAsia="zh-CN"/>
        </w:rPr>
        <w:t>5．投标人参加政府采购的条件</w:t>
      </w:r>
    </w:p>
    <w:p w14:paraId="089488F5">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5.1 投标人应在投标前到深圳公共资源交易中心（具体在深圳交易集团有限公司政府采购业务  分公司进行办理）进行注册并办理电子密钥。《供应商注册及信息变更指引》详见 www.szggzy.com 网站“交易服务指南-政府采购”。</w:t>
      </w:r>
    </w:p>
    <w:p w14:paraId="0BDE811A">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5.2 投标人资格要求</w:t>
      </w:r>
    </w:p>
    <w:p w14:paraId="42331C5E">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参加本项目的投标人应具备的资格条件详见本项目招标公告中 “投标人资格要求 ”（即申请人 的资格要求）的内容。</w:t>
      </w:r>
    </w:p>
    <w:p w14:paraId="43DC8FD8">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5.3 联合体投标</w:t>
      </w:r>
    </w:p>
    <w:p w14:paraId="0CCECEE9">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5.3.1  以下有关联合体投标的条款仅适用于允许投标人组成联合体投标的项目。</w:t>
      </w:r>
    </w:p>
    <w:p w14:paraId="6C6997D6">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5.3.2  由两个或两个以上的自然人、法人或者其他组织可以组成一个联合体，以一个供应商的 身份共同投标时，应符合以下原则：</w:t>
      </w:r>
    </w:p>
    <w:p w14:paraId="5C79BADB">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（1）投标联合体各方参加政府采购活动应当具备下列条件：</w:t>
      </w:r>
    </w:p>
    <w:p w14:paraId="3EFFA5CB">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1、具有独立承担民事责任的能力；</w:t>
      </w:r>
    </w:p>
    <w:p w14:paraId="226D922A">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2、有良好的商业信誉和健全的财务会计制度；</w:t>
      </w:r>
    </w:p>
    <w:p w14:paraId="21BE7609">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3、具有履行合同所必需的设备和专业技术能力；</w:t>
      </w:r>
    </w:p>
    <w:p w14:paraId="77C6A733">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4、有依法缴纳税收和社会保障资金的良好记录；</w:t>
      </w:r>
    </w:p>
    <w:p w14:paraId="15EFD2AD">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5、参加政府采购活动前三年内，在经营活动中没有重大违法记录；</w:t>
      </w:r>
    </w:p>
    <w:p w14:paraId="27F3D216">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6、法律、行政法规规定的其他条件。</w:t>
      </w:r>
    </w:p>
    <w:p w14:paraId="3BD07ADD">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（2）在投标截止前，投标联合体各方均应注册成采购代理机构供应商；</w:t>
      </w:r>
    </w:p>
    <w:p w14:paraId="70C50825">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（3）联合体中有同类资质的供应商按照联合体分工承担相同工作的，应当按照资质等级较低的 供应商确定资质等级；</w:t>
      </w:r>
    </w:p>
    <w:p w14:paraId="0631F309">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14:paraId="1D1C53CC">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（5）投标人的投标文件及中标后签署的合同协议对联合体各方均具有法律约束力；</w:t>
      </w:r>
    </w:p>
    <w:p w14:paraId="66ACB95D">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（6）联合体各方应当签订联合体投标协议，明确约定各方拟承担的工作和责任，并将该协议随 投标文件一并递交给采购代理机构；</w:t>
      </w:r>
    </w:p>
    <w:p w14:paraId="37066FF5">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（7）联合体中标后，联合体各方应当共同与采购人签订合同，就中标项目向采购人承担连带责 任；</w:t>
      </w:r>
    </w:p>
    <w:p w14:paraId="1BF0C9C4">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14:paraId="61FDC0D0">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（9）本通用条款中“投标人”一词亦指联合体各方，专用条款另有规定或说明的除外。</w:t>
      </w:r>
    </w:p>
    <w:p w14:paraId="7AD61D0C">
      <w:pPr>
        <w:widowControl w:val="0"/>
        <w:spacing w:before="48" w:line="222" w:lineRule="auto"/>
        <w:ind w:left="430"/>
        <w:jc w:val="both"/>
        <w:rPr>
          <w:rFonts w:ascii="仿宋" w:eastAsia="仿宋" w:hAnsi="仿宋" w:cs="仿宋" w:hint="eastAsia"/>
          <w:kern w:val="2"/>
          <w:lang w:eastAsia="zh-CN"/>
        </w:rPr>
      </w:pPr>
      <w:r>
        <w:rPr>
          <w:rFonts w:ascii="仿宋" w:eastAsia="仿宋" w:hAnsi="仿宋" w:cs="仿宋" w:hint="eastAsia"/>
          <w:spacing w:val="-2"/>
          <w:kern w:val="2"/>
          <w:lang w:eastAsia="zh-CN"/>
        </w:rPr>
        <w:t>6．政策导向</w:t>
      </w:r>
    </w:p>
    <w:p w14:paraId="1861647E">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6.1  政府采购支持本国产品、支持中小企业、监狱企业和残疾人福利性单位发展， 支持乡村产 业振兴，支持创新、节能减排、绿色环保等。</w:t>
      </w:r>
    </w:p>
    <w:p w14:paraId="61379418">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6.2  本项目落实深圳市政府采购供应商诚信管理政策要求。</w:t>
      </w:r>
    </w:p>
    <w:p w14:paraId="502DF144">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6.3  本项目支持投标人性别平等的相关政策。</w:t>
      </w:r>
    </w:p>
    <w:p w14:paraId="12670442">
      <w:pPr>
        <w:widowControl w:val="0"/>
        <w:spacing w:before="48" w:line="213" w:lineRule="auto"/>
        <w:ind w:left="432"/>
        <w:jc w:val="both"/>
        <w:rPr>
          <w:rFonts w:ascii="仿宋" w:eastAsia="仿宋" w:hAnsi="仿宋" w:cs="仿宋" w:hint="eastAsia"/>
          <w:kern w:val="2"/>
          <w:lang w:eastAsia="zh-CN"/>
        </w:rPr>
      </w:pPr>
      <w:r>
        <w:rPr>
          <w:rFonts w:ascii="仿宋" w:eastAsia="仿宋" w:hAnsi="仿宋" w:cs="仿宋" w:hint="eastAsia"/>
          <w:spacing w:val="-2"/>
          <w:kern w:val="2"/>
          <w:lang w:eastAsia="zh-CN"/>
        </w:rPr>
        <w:t>7. 本项目若涉及采购货物，则合格的货物及相应服务应满足以下要求：</w:t>
      </w:r>
    </w:p>
    <w:p w14:paraId="1993A1D8">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7.1  必须是全新、未使用过的原装合格正品（包括零部件），如安装或配置了软件的，须为正版软件。</w:t>
      </w:r>
    </w:p>
    <w:p w14:paraId="6FA1D6F4">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7.2  国产的货物及其有关服务必须符合中华人民共和国的设计、制造生产标准及行业标准。招标公告有其他要求的，亦应符合其要求。</w:t>
      </w:r>
    </w:p>
    <w:p w14:paraId="6FF1D38E">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 有其他要求的，亦应符合其要求。</w:t>
      </w:r>
    </w:p>
    <w:p w14:paraId="203314BD">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14:paraId="336BCB5C">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14:paraId="175D6C92">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7.6  工期要求：投标人在投标时对其所投项目应提交交货进度、交货计划等，在合同规定的时 间内完成项目实施工作。</w:t>
      </w:r>
    </w:p>
    <w:p w14:paraId="535B145C">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7.7  投标人必须承担的设备运输、安装调试、验收检测和提供设备操作说明书、图纸等其他相关及类似的义务。</w:t>
      </w:r>
    </w:p>
    <w:p w14:paraId="28994EB8">
      <w:pPr>
        <w:widowControl w:val="0"/>
        <w:spacing w:before="47" w:line="222" w:lineRule="auto"/>
        <w:ind w:left="428"/>
        <w:jc w:val="both"/>
        <w:rPr>
          <w:rFonts w:ascii="仿宋" w:eastAsia="仿宋" w:hAnsi="仿宋" w:cs="仿宋" w:hint="eastAsia"/>
          <w:kern w:val="2"/>
          <w:lang w:eastAsia="zh-CN"/>
        </w:rPr>
      </w:pPr>
      <w:r>
        <w:rPr>
          <w:rFonts w:ascii="仿宋" w:eastAsia="仿宋" w:hAnsi="仿宋" w:cs="仿宋" w:hint="eastAsia"/>
          <w:spacing w:val="-1"/>
          <w:kern w:val="2"/>
          <w:lang w:eastAsia="zh-CN"/>
        </w:rPr>
        <w:t>8．投标费用</w:t>
      </w:r>
    </w:p>
    <w:p w14:paraId="25C23B14">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不论投标结果如何，投标人应承担其编制投标文件与递交投标文件所涉及的一切费用。</w:t>
      </w:r>
    </w:p>
    <w:p w14:paraId="59D29748">
      <w:pPr>
        <w:widowControl w:val="0"/>
        <w:spacing w:before="46" w:line="222" w:lineRule="auto"/>
        <w:ind w:left="424"/>
        <w:jc w:val="both"/>
        <w:rPr>
          <w:rFonts w:ascii="仿宋" w:eastAsia="仿宋" w:hAnsi="仿宋" w:cs="仿宋" w:hint="eastAsia"/>
          <w:kern w:val="2"/>
          <w:lang w:eastAsia="zh-CN"/>
        </w:rPr>
      </w:pPr>
      <w:r>
        <w:rPr>
          <w:rFonts w:ascii="仿宋" w:eastAsia="仿宋" w:hAnsi="仿宋" w:cs="仿宋" w:hint="eastAsia"/>
          <w:spacing w:val="-1"/>
          <w:kern w:val="2"/>
          <w:lang w:eastAsia="zh-CN"/>
        </w:rPr>
        <w:t>9．踏勘现场</w:t>
      </w:r>
    </w:p>
    <w:p w14:paraId="45B5ECFD">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14:paraId="10D21BF9">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9.2 投标人及其人员经过采购人的允许，可以进入采购人的项目现场踏勘。若招标文件要求投 标人于统一时间地点踏勘现场的，投标人应当按时前往。</w:t>
      </w:r>
    </w:p>
    <w:p w14:paraId="6190D1BC">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9.3 采购人应当通过采购代理机构向投标人提供有关现场的书面资料和数据。</w:t>
      </w:r>
    </w:p>
    <w:p w14:paraId="5A55656E">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9.4 任何人或任何组织在踏勘现场时向投标人提供的任何书面资料或口头承诺，未经采购代理 机构在网上发布或书面通知，均作无效处理。</w:t>
      </w:r>
    </w:p>
    <w:p w14:paraId="52D2ABC3">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9.5 未参与踏勘现场不作为否定投标人资格的理由。</w:t>
      </w:r>
    </w:p>
    <w:p w14:paraId="6963758A">
      <w:pPr>
        <w:widowControl w:val="0"/>
        <w:spacing w:before="47" w:line="222" w:lineRule="auto"/>
        <w:ind w:left="443"/>
        <w:jc w:val="both"/>
        <w:rPr>
          <w:rFonts w:ascii="仿宋" w:eastAsia="仿宋" w:hAnsi="仿宋" w:cs="仿宋" w:hint="eastAsia"/>
          <w:kern w:val="2"/>
          <w:lang w:eastAsia="zh-CN"/>
        </w:rPr>
      </w:pPr>
      <w:r>
        <w:rPr>
          <w:rFonts w:ascii="仿宋" w:eastAsia="仿宋" w:hAnsi="仿宋" w:cs="仿宋" w:hint="eastAsia"/>
          <w:spacing w:val="-3"/>
          <w:kern w:val="2"/>
          <w:lang w:eastAsia="zh-CN"/>
        </w:rPr>
        <w:t>10．标前会议</w:t>
      </w:r>
    </w:p>
    <w:p w14:paraId="2968221B">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 与标前会议。</w:t>
      </w:r>
    </w:p>
    <w:p w14:paraId="4367C014">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10.2 任何人或任何组织在标前会议时向投标人提供的任何书面资料或口头承诺，未经采购代理 机构在网上发布或书面通知，均作无效处理。</w:t>
      </w:r>
    </w:p>
    <w:p w14:paraId="5D6B3C7F">
      <w:pPr>
        <w:widowControl w:val="0"/>
        <w:spacing w:before="38" w:line="261" w:lineRule="auto"/>
        <w:ind w:left="429" w:right="416" w:firstLine="413"/>
        <w:jc w:val="both"/>
        <w:rPr>
          <w:rFonts w:ascii="仿宋" w:eastAsia="仿宋" w:hAnsi="仿宋" w:cs="仿宋" w:hint="eastAsia"/>
          <w:bCs/>
          <w:spacing w:val="1"/>
          <w:kern w:val="2"/>
          <w:sz w:val="21"/>
          <w:szCs w:val="21"/>
          <w:lang w:eastAsia="zh-CN"/>
        </w:rPr>
      </w:pPr>
      <w:r>
        <w:rPr>
          <w:rFonts w:ascii="仿宋" w:eastAsia="仿宋" w:hAnsi="仿宋" w:cs="仿宋" w:hint="eastAsia"/>
          <w:bCs/>
          <w:spacing w:val="1"/>
          <w:kern w:val="2"/>
          <w:sz w:val="21"/>
          <w:szCs w:val="21"/>
          <w:lang w:eastAsia="zh-CN"/>
        </w:rPr>
        <w:t>10.3 未参与标前会议不作为否定投标人资格的理由。</w:t>
      </w:r>
      <w:r>
        <w:rPr>
          <w:rFonts w:ascii="仿宋" w:eastAsia="仿宋" w:hAnsi="仿宋" w:cs="仿宋" w:hint="eastAsia"/>
          <w:bCs/>
          <w:spacing w:val="1"/>
          <w:kern w:val="2"/>
          <w:sz w:val="21"/>
          <w:szCs w:val="21"/>
          <w:lang w:eastAsia="zh-CN"/>
        </w:rPr>
        <w:br w:type="page"/>
      </w:r>
    </w:p>
    <w:p w14:paraId="51341774">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35" w:name="_Toc5842"/>
      <w:r>
        <w:rPr>
          <w:rFonts w:ascii="仿宋" w:eastAsia="仿宋" w:hAnsi="仿宋" w:cs="仿宋" w:hint="eastAsia"/>
          <w:b/>
          <w:color w:val="000000"/>
          <w:kern w:val="2"/>
          <w:sz w:val="32"/>
          <w:lang w:eastAsia="zh-CN"/>
        </w:rPr>
        <w:t xml:space="preserve">第二章 </w:t>
      </w:r>
      <w:bookmarkStart w:id="36" w:name="_Toc4237"/>
      <w:bookmarkStart w:id="37" w:name="_Toc25500"/>
      <w:bookmarkStart w:id="38" w:name="_Toc16272"/>
      <w:r>
        <w:rPr>
          <w:rFonts w:ascii="仿宋" w:eastAsia="仿宋" w:hAnsi="仿宋" w:cs="仿宋" w:hint="eastAsia"/>
          <w:b/>
          <w:color w:val="000000"/>
          <w:kern w:val="2"/>
          <w:sz w:val="32"/>
          <w:lang w:eastAsia="zh-CN"/>
        </w:rPr>
        <w:t>招标文件</w:t>
      </w:r>
      <w:bookmarkEnd w:id="35"/>
      <w:bookmarkEnd w:id="36"/>
      <w:bookmarkEnd w:id="37"/>
      <w:bookmarkEnd w:id="38"/>
    </w:p>
    <w:p w14:paraId="17BB5B34">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11．</w:t>
      </w:r>
      <w:bookmarkStart w:id="39" w:name="_Hlk72399819"/>
      <w:r>
        <w:rPr>
          <w:rFonts w:ascii="仿宋" w:eastAsia="仿宋" w:hAnsi="仿宋" w:cs="仿宋" w:hint="eastAsia"/>
          <w:kern w:val="2"/>
          <w:lang w:eastAsia="zh-CN"/>
        </w:rPr>
        <w:t>招标文件的编制与组成</w:t>
      </w:r>
    </w:p>
    <w:p w14:paraId="0451F000">
      <w:pPr>
        <w:widowControl w:val="0"/>
        <w:snapToGrid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11.1招标文件除以下内容外，政府集中采购机构在招标期间发出的澄清或修改等相关公告或通知内容，均是招标文件的组成部分，对投标人起约束作用；</w:t>
      </w:r>
    </w:p>
    <w:p w14:paraId="469BBDA4">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招标文件包括下列内容：</w:t>
      </w:r>
    </w:p>
    <w:p w14:paraId="1287F62A">
      <w:pPr>
        <w:widowControl w:val="0"/>
        <w:spacing w:line="360" w:lineRule="auto"/>
        <w:ind w:left="480" w:firstLine="412" w:leftChars="200" w:firstLineChars="196"/>
        <w:jc w:val="both"/>
        <w:rPr>
          <w:rFonts w:ascii="仿宋" w:eastAsia="仿宋" w:hAnsi="仿宋" w:cs="仿宋" w:hint="eastAsia"/>
          <w:b/>
          <w:kern w:val="2"/>
          <w:sz w:val="21"/>
          <w:szCs w:val="21"/>
          <w:lang w:eastAsia="zh-CN"/>
        </w:rPr>
      </w:pPr>
      <w:r>
        <w:rPr>
          <w:rFonts w:ascii="仿宋" w:eastAsia="仿宋" w:hAnsi="仿宋" w:cs="仿宋" w:hint="eastAsia"/>
          <w:b/>
          <w:kern w:val="2"/>
          <w:sz w:val="21"/>
          <w:szCs w:val="21"/>
          <w:lang w:eastAsia="zh-CN"/>
        </w:rPr>
        <w:t>第一册  专用条款</w:t>
      </w:r>
    </w:p>
    <w:p w14:paraId="2013666E">
      <w:pPr>
        <w:widowControl w:val="0"/>
        <w:spacing w:line="360" w:lineRule="auto"/>
        <w:ind w:left="1234" w:leftChars="514"/>
        <w:jc w:val="both"/>
        <w:rPr>
          <w:rFonts w:ascii="仿宋" w:eastAsia="仿宋" w:hAnsi="仿宋" w:cs="仿宋" w:hint="eastAsia"/>
          <w:b/>
          <w:kern w:val="2"/>
          <w:sz w:val="21"/>
          <w:szCs w:val="21"/>
          <w:lang w:eastAsia="zh-CN"/>
        </w:rPr>
      </w:pPr>
      <w:r>
        <w:rPr>
          <w:rFonts w:ascii="仿宋" w:eastAsia="仿宋" w:hAnsi="仿宋" w:cs="仿宋" w:hint="eastAsia"/>
          <w:b/>
          <w:kern w:val="2"/>
          <w:sz w:val="21"/>
          <w:szCs w:val="21"/>
          <w:lang w:eastAsia="zh-CN"/>
        </w:rPr>
        <w:t>关键信息</w:t>
      </w:r>
    </w:p>
    <w:p w14:paraId="5B0A4A21">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第一章  招标公告</w:t>
      </w:r>
    </w:p>
    <w:p w14:paraId="03B6A0EC">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第二章  对通用条款的补充内容及其他关键信息</w:t>
      </w:r>
    </w:p>
    <w:p w14:paraId="19018DBC">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第三章  用户需求书</w:t>
      </w:r>
    </w:p>
    <w:p w14:paraId="4AF36BDF">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lang w:eastAsia="zh-CN"/>
        </w:rPr>
        <w:t>第四章  投标文件格式及附件</w:t>
      </w:r>
    </w:p>
    <w:p w14:paraId="630C598C">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第五章  合同条款及格式</w:t>
      </w:r>
    </w:p>
    <w:p w14:paraId="3BFC8D06">
      <w:pPr>
        <w:widowControl w:val="0"/>
        <w:spacing w:line="360" w:lineRule="auto"/>
        <w:ind w:left="480" w:firstLine="412" w:leftChars="200" w:firstLineChars="196"/>
        <w:jc w:val="both"/>
        <w:rPr>
          <w:rFonts w:ascii="仿宋" w:eastAsia="仿宋" w:hAnsi="仿宋" w:cs="仿宋" w:hint="eastAsia"/>
          <w:b/>
          <w:kern w:val="2"/>
          <w:sz w:val="21"/>
          <w:szCs w:val="21"/>
          <w:lang w:eastAsia="zh-CN"/>
        </w:rPr>
      </w:pPr>
      <w:r>
        <w:rPr>
          <w:rFonts w:ascii="仿宋" w:eastAsia="仿宋" w:hAnsi="仿宋" w:cs="仿宋" w:hint="eastAsia"/>
          <w:b/>
          <w:kern w:val="2"/>
          <w:sz w:val="21"/>
          <w:szCs w:val="21"/>
          <w:lang w:eastAsia="zh-CN"/>
        </w:rPr>
        <w:t>第二册  通用条款</w:t>
      </w:r>
    </w:p>
    <w:p w14:paraId="09641437">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第一章  总则</w:t>
      </w:r>
    </w:p>
    <w:p w14:paraId="6576664B">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第二章  招标文件</w:t>
      </w:r>
    </w:p>
    <w:p w14:paraId="4793EF4D">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第三章  投标文件的编制</w:t>
      </w:r>
    </w:p>
    <w:p w14:paraId="484DA4D9">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第四章  投标文件的递交</w:t>
      </w:r>
    </w:p>
    <w:p w14:paraId="655F9809">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第五章  开标</w:t>
      </w:r>
    </w:p>
    <w:p w14:paraId="77467227">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第六章  评审要求</w:t>
      </w:r>
    </w:p>
    <w:p w14:paraId="05FE3438">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第七章  评审程序及评审方法</w:t>
      </w:r>
    </w:p>
    <w:p w14:paraId="1B82A05B">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第八章  定标及公示</w:t>
      </w:r>
    </w:p>
    <w:p w14:paraId="62EFCFC4">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第九章  公开招标失败的后续处理</w:t>
      </w:r>
    </w:p>
    <w:p w14:paraId="5BC041C9">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第十章  合同的授予与备案</w:t>
      </w:r>
    </w:p>
    <w:p w14:paraId="0BBE51F6">
      <w:pPr>
        <w:widowControl w:val="0"/>
        <w:spacing w:line="360" w:lineRule="auto"/>
        <w:ind w:left="720" w:firstLine="412" w:leftChars="300"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第十一章  质疑处理</w:t>
      </w:r>
    </w:p>
    <w:p w14:paraId="0851B894">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11.2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BADA36E">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11.3</w:t>
      </w:r>
      <w:r>
        <w:rPr>
          <w:rFonts w:ascii="仿宋" w:eastAsia="仿宋" w:hAnsi="仿宋" w:cs="仿宋"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CBE50E8">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12．招标文件的澄清</w:t>
      </w:r>
    </w:p>
    <w:p w14:paraId="1268A131">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12.1招标文件澄清的目的是澄清、解答投标人在查阅招标文件后或现场踏勘中可能提出的与投标有关的疑问或询问。</w:t>
      </w:r>
    </w:p>
    <w:p w14:paraId="5DA12999">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12.2投标人如对招标文件内容有疑问，应当在招标公告规定的澄清（提问）截止时间前以网上提问的形式通过网上政府采购系统提交政府集中采购机构。</w:t>
      </w:r>
    </w:p>
    <w:p w14:paraId="0ABF10DA">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12.3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13.3、13.4款规定执行。</w:t>
      </w:r>
    </w:p>
    <w:p w14:paraId="5EC83DF1">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13．招标文件的修改</w:t>
      </w:r>
    </w:p>
    <w:p w14:paraId="5980D596">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13.1招标文件发出后，在投标截止日期前任何时候，确需要变更招标文件内容的，政府集中采购机构可主动或在解答投标人提出的澄清问题时对招标文件进行修改。</w:t>
      </w:r>
    </w:p>
    <w:p w14:paraId="7D56EBE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13.2招标文件的修改以书面形式（包括政府集中采购机构网站发布方式，如更正公告等）发送给所有投标人，招标文件的修改内容作为招标文件的组成部分，并具有约束力。</w:t>
      </w:r>
    </w:p>
    <w:p w14:paraId="06F8EC9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3C9B95A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39"/>
    </w:p>
    <w:p w14:paraId="36EBD81D">
      <w:pPr>
        <w:widowControl w:val="0"/>
        <w:spacing w:line="360" w:lineRule="auto"/>
        <w:jc w:val="both"/>
        <w:rPr>
          <w:rFonts w:ascii="仿宋" w:eastAsia="仿宋" w:hAnsi="仿宋" w:cs="仿宋" w:hint="eastAsia"/>
          <w:b/>
          <w:color w:val="000000"/>
          <w:kern w:val="2"/>
          <w:lang w:eastAsia="zh-CN"/>
        </w:rPr>
      </w:pPr>
    </w:p>
    <w:p w14:paraId="637CD9BB">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40" w:name="_Toc17279"/>
      <w:bookmarkStart w:id="41" w:name="_Toc22085"/>
      <w:bookmarkStart w:id="42" w:name="_Toc18814"/>
      <w:bookmarkStart w:id="43" w:name="_Toc31413"/>
      <w:r>
        <w:rPr>
          <w:rFonts w:ascii="仿宋" w:eastAsia="仿宋" w:hAnsi="仿宋" w:cs="仿宋" w:hint="eastAsia"/>
          <w:b/>
          <w:color w:val="000000"/>
          <w:kern w:val="2"/>
          <w:sz w:val="32"/>
          <w:lang w:eastAsia="zh-CN"/>
        </w:rPr>
        <w:t>第三章 投标文件的编制</w:t>
      </w:r>
      <w:bookmarkEnd w:id="40"/>
      <w:bookmarkEnd w:id="41"/>
      <w:bookmarkEnd w:id="42"/>
      <w:bookmarkEnd w:id="43"/>
    </w:p>
    <w:p w14:paraId="3CBFEA6B">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14．</w:t>
      </w:r>
      <w:bookmarkStart w:id="44" w:name="_Hlk72400236"/>
      <w:r>
        <w:rPr>
          <w:rFonts w:ascii="仿宋" w:eastAsia="仿宋" w:hAnsi="仿宋" w:cs="仿宋" w:hint="eastAsia"/>
          <w:kern w:val="2"/>
          <w:lang w:eastAsia="zh-CN"/>
        </w:rPr>
        <w:t>投标文件的语言及度量单位</w:t>
      </w:r>
    </w:p>
    <w:p w14:paraId="37659A2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1BE633A">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14.2 除技术规范另有规定外，投标文件使用的度量单位，均采用中华人民共和国法定计量单位。</w:t>
      </w:r>
    </w:p>
    <w:bookmarkEnd w:id="44"/>
    <w:p w14:paraId="326DD896">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15．</w:t>
      </w:r>
      <w:bookmarkStart w:id="45" w:name="_Hlk72401567"/>
      <w:r>
        <w:rPr>
          <w:rFonts w:ascii="仿宋" w:eastAsia="仿宋" w:hAnsi="仿宋" w:cs="仿宋" w:hint="eastAsia"/>
          <w:kern w:val="2"/>
          <w:lang w:eastAsia="zh-CN"/>
        </w:rPr>
        <w:t>投标文件的组成</w:t>
      </w:r>
    </w:p>
    <w:p w14:paraId="1C1224B4">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具体内容在招标文件专用条款中进行规定。</w:t>
      </w:r>
    </w:p>
    <w:p w14:paraId="0557A7C9">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16．投标文件格式</w:t>
      </w:r>
    </w:p>
    <w:p w14:paraId="3BB15522">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投标文件包括本通用条款第15条中规定的内容。如招标文件提供了投标文件格式，则</w:t>
      </w:r>
      <w:r>
        <w:rPr>
          <w:rFonts w:ascii="仿宋" w:eastAsia="仿宋" w:hAnsi="仿宋" w:cs="仿宋" w:hint="eastAsia"/>
          <w:b/>
          <w:bCs/>
          <w:kern w:val="2"/>
          <w:sz w:val="21"/>
          <w:szCs w:val="21"/>
          <w:lang w:eastAsia="zh-CN"/>
        </w:rPr>
        <w:t>投标人提交的投标文件应毫无例外地使用招标文件所提供的相应格式</w:t>
      </w:r>
      <w:r>
        <w:rPr>
          <w:rFonts w:ascii="仿宋" w:eastAsia="仿宋" w:hAnsi="仿宋" w:cs="仿宋" w:hint="eastAsia"/>
          <w:kern w:val="2"/>
          <w:sz w:val="21"/>
          <w:szCs w:val="21"/>
          <w:lang w:eastAsia="zh-CN"/>
        </w:rPr>
        <w:t>（表格均可按同样格式扩展）。</w:t>
      </w:r>
    </w:p>
    <w:p w14:paraId="322DFC0C">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17．投标货币</w:t>
      </w:r>
    </w:p>
    <w:p w14:paraId="4E9ABF16">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本项目的投标报价应以人民币计。</w:t>
      </w:r>
    </w:p>
    <w:bookmarkEnd w:id="45"/>
    <w:p w14:paraId="29852BB9">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18．</w:t>
      </w:r>
      <w:bookmarkStart w:id="46" w:name="_Hlk72401735"/>
      <w:r>
        <w:rPr>
          <w:rFonts w:ascii="仿宋" w:eastAsia="仿宋" w:hAnsi="仿宋" w:cs="仿宋" w:hint="eastAsia"/>
          <w:kern w:val="2"/>
          <w:lang w:eastAsia="zh-CN"/>
        </w:rPr>
        <w:t>证明投标文件投标技术方案的合格性和符合招标文件规定的文件要求</w:t>
      </w:r>
    </w:p>
    <w:p w14:paraId="4DF06F6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18.1 投标人应提交证明文件，证明其投标技术方案项下的货物和服务的合格性符合招标文件规定。该投标技术方案及其证明文件均作为投标文件组成部分。</w:t>
      </w:r>
    </w:p>
    <w:p w14:paraId="52E6ACA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FACD393">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18.2.1主要技术指标和性能的详细说明。</w:t>
      </w:r>
    </w:p>
    <w:p w14:paraId="0FCBFDAC">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18.2.2投标产品从采购人开始使用至招标文件中规定的周期内正常、连续地使用所必须的备件和专用工具清单，包括备件和专用工具的货源及现行价格。</w:t>
      </w:r>
    </w:p>
    <w:p w14:paraId="68F1FBA1">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C6A6930">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仿宋" w:eastAsia="仿宋" w:hAnsi="仿宋" w:cs="仿宋" w:hint="eastAsia"/>
          <w:kern w:val="2"/>
          <w:sz w:val="21"/>
          <w:lang w:eastAsia="zh-CN"/>
        </w:rPr>
        <w:t>清晰度要求能够使用电脑阅读、识别和判断</w:t>
      </w:r>
      <w:r>
        <w:rPr>
          <w:rFonts w:ascii="仿宋" w:eastAsia="仿宋" w:hAnsi="仿宋" w:cs="仿宋" w:hint="eastAsia"/>
          <w:kern w:val="2"/>
          <w:sz w:val="21"/>
          <w:szCs w:val="21"/>
          <w:lang w:eastAsia="zh-CN"/>
        </w:rPr>
        <w:t>；</w:t>
      </w:r>
    </w:p>
    <w:p w14:paraId="18DAE45C">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C11D56B">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18.3相关资料不符合18.2款要求的，评审委员会有权认定为投标技术方案不合格响应，其相关分数予以扣减或作投标无效处理。</w:t>
      </w:r>
    </w:p>
    <w:p w14:paraId="4BDE5976">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仿宋" w:eastAsia="仿宋" w:hAnsi="仿宋" w:cs="仿宋" w:hint="eastAsia"/>
          <w:kern w:val="2"/>
          <w:sz w:val="21"/>
          <w:lang w:eastAsia="zh-CN"/>
        </w:rPr>
        <w:t>满足要求</w:t>
      </w:r>
      <w:r>
        <w:rPr>
          <w:rFonts w:ascii="仿宋" w:eastAsia="仿宋" w:hAnsi="仿宋" w:cs="仿宋" w:hint="eastAsia"/>
          <w:kern w:val="2"/>
          <w:sz w:val="21"/>
          <w:szCs w:val="21"/>
          <w:lang w:eastAsia="zh-CN"/>
        </w:rPr>
        <w:t>，由评审委员会来评判。</w:t>
      </w:r>
    </w:p>
    <w:p w14:paraId="656CF921">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18.5除非另有规定或说明，投标人对同一项目投标时，不得同时提供两套或两套以上的投标方案。</w:t>
      </w:r>
    </w:p>
    <w:bookmarkEnd w:id="46"/>
    <w:p w14:paraId="1CEEA3CC">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19．</w:t>
      </w:r>
      <w:bookmarkStart w:id="47" w:name="_Hlk72402034"/>
      <w:r>
        <w:rPr>
          <w:rFonts w:ascii="仿宋" w:eastAsia="仿宋" w:hAnsi="仿宋" w:cs="仿宋" w:hint="eastAsia"/>
          <w:kern w:val="2"/>
          <w:lang w:eastAsia="zh-CN"/>
        </w:rPr>
        <w:t>投标文件其他证明文件的要求</w:t>
      </w:r>
    </w:p>
    <w:p w14:paraId="5DE2491B">
      <w:pPr>
        <w:widowControl w:val="0"/>
        <w:spacing w:line="360" w:lineRule="auto"/>
        <w:jc w:val="both"/>
        <w:rPr>
          <w:rFonts w:ascii="仿宋" w:eastAsia="仿宋" w:hAnsi="仿宋" w:cs="仿宋" w:hint="eastAsia"/>
          <w:color w:val="FF0000"/>
          <w:kern w:val="2"/>
          <w:sz w:val="21"/>
          <w:szCs w:val="21"/>
          <w:lang w:eastAsia="zh-CN"/>
        </w:rPr>
      </w:pPr>
      <w:r>
        <w:rPr>
          <w:rFonts w:ascii="仿宋" w:eastAsia="仿宋" w:hAnsi="仿宋" w:cs="仿宋" w:hint="eastAsia"/>
          <w:kern w:val="2"/>
          <w:lang w:eastAsia="zh-CN"/>
        </w:rPr>
        <w:t xml:space="preserve">    </w:t>
      </w:r>
      <w:r>
        <w:rPr>
          <w:rFonts w:ascii="仿宋" w:eastAsia="仿宋" w:hAnsi="仿宋" w:cs="仿宋" w:hint="eastAsia"/>
          <w:kern w:val="2"/>
          <w:sz w:val="21"/>
          <w:szCs w:val="21"/>
          <w:lang w:eastAsia="zh-CN"/>
        </w:rPr>
        <w:t>19.1</w:t>
      </w:r>
      <w:bookmarkStart w:id="48" w:name="_Hlk71407299"/>
      <w:r>
        <w:rPr>
          <w:rFonts w:ascii="仿宋" w:eastAsia="仿宋" w:hAnsi="仿宋" w:cs="仿宋" w:hint="eastAsia"/>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8"/>
    <w:p w14:paraId="1D68672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D471C71">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20．投标有效期</w:t>
      </w:r>
    </w:p>
    <w:bookmarkEnd w:id="47"/>
    <w:p w14:paraId="7217169F">
      <w:pPr>
        <w:widowControl w:val="0"/>
        <w:spacing w:line="360" w:lineRule="auto"/>
        <w:ind w:firstLine="412" w:firstLineChars="196"/>
        <w:jc w:val="both"/>
        <w:rPr>
          <w:rFonts w:ascii="仿宋" w:eastAsia="仿宋" w:hAnsi="仿宋" w:cs="仿宋" w:hint="eastAsia"/>
          <w:kern w:val="2"/>
          <w:sz w:val="21"/>
          <w:szCs w:val="21"/>
          <w:lang w:eastAsia="zh-CN"/>
        </w:rPr>
      </w:pPr>
      <w:bookmarkStart w:id="49" w:name="_Hlk72402214"/>
      <w:r>
        <w:rPr>
          <w:rFonts w:ascii="仿宋" w:eastAsia="仿宋" w:hAnsi="仿宋" w:cs="仿宋" w:hint="eastAsia"/>
          <w:kern w:val="2"/>
          <w:sz w:val="21"/>
          <w:szCs w:val="21"/>
          <w:lang w:eastAsia="zh-CN"/>
        </w:rPr>
        <w:t>20.1 投标有效期为从投标截止之日算起的日历天数。在此期限内，所有投标文件均保持有效。</w:t>
      </w:r>
    </w:p>
    <w:p w14:paraId="43F4889A">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281D093">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20.3 中标供应商的投标文件有效期，截止于完成本招标文件规定的全部项目内容，并通过竣工验收及保修期结束。</w:t>
      </w:r>
    </w:p>
    <w:bookmarkEnd w:id="49"/>
    <w:p w14:paraId="65074524">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21．</w:t>
      </w:r>
      <w:bookmarkStart w:id="50" w:name="_Hlk72402325"/>
      <w:r>
        <w:rPr>
          <w:rFonts w:ascii="仿宋" w:eastAsia="仿宋" w:hAnsi="仿宋" w:cs="仿宋" w:hint="eastAsia"/>
          <w:kern w:val="2"/>
          <w:lang w:eastAsia="zh-CN"/>
        </w:rPr>
        <w:t xml:space="preserve">关于投标保证金 </w:t>
      </w:r>
    </w:p>
    <w:p w14:paraId="6EF0F98C">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21.1</w:t>
      </w:r>
      <w:r>
        <w:rPr>
          <w:rFonts w:ascii="仿宋" w:eastAsia="仿宋" w:hAnsi="仿宋" w:cs="仿宋" w:hint="eastAsia"/>
          <w:kern w:val="2"/>
          <w:sz w:val="21"/>
          <w:lang w:eastAsia="zh-CN"/>
        </w:rPr>
        <w:t>根据《深圳市财政局关于调整政府采购投标（响应）保证金管理政策的通知》（深财购〔2021〕51号）文的规定，本项目不收取投标保证金。</w:t>
      </w:r>
    </w:p>
    <w:p w14:paraId="1334DD01">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22．投标人的替代方案</w:t>
      </w:r>
    </w:p>
    <w:p w14:paraId="0A59543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3D7C26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0"/>
    <w:p w14:paraId="61B0870F">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23．</w:t>
      </w:r>
      <w:bookmarkStart w:id="51" w:name="_Hlk72402860"/>
      <w:r>
        <w:rPr>
          <w:rFonts w:ascii="仿宋" w:eastAsia="仿宋" w:hAnsi="仿宋" w:cs="仿宋" w:hint="eastAsia"/>
          <w:kern w:val="2"/>
          <w:lang w:eastAsia="zh-CN"/>
        </w:rPr>
        <w:t>投标文件的制作要求</w:t>
      </w:r>
    </w:p>
    <w:p w14:paraId="2F71E971">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23.1投标人应准备所投项目的电子投标文件一份。</w:t>
      </w:r>
    </w:p>
    <w:p w14:paraId="71B74509">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23.2投标人在使用《投标书编制软件》编制投标书时须注意：</w:t>
      </w:r>
    </w:p>
    <w:p w14:paraId="60FADBA2">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14:paraId="6FA33F6C">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23.2.2不能用非本公司的电子密钥加密本公司的投标文件，或者用其它公司的登录用户上传本公司的投标文件。</w:t>
      </w:r>
    </w:p>
    <w:p w14:paraId="58CE8021">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23.2.3要求用《投标书编制软件》编制投标书的包，不能用其它方式编制投标书。编制投标文件时，电脑须连通互联网。</w:t>
      </w:r>
    </w:p>
    <w:p w14:paraId="5FE8188E">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14:paraId="2DB17128">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23.2.6投标人在编辑投标文件时，</w:t>
      </w:r>
      <w:r>
        <w:rPr>
          <w:rFonts w:ascii="仿宋" w:eastAsia="仿宋" w:hAnsi="仿宋" w:cs="仿宋" w:hint="eastAsia"/>
          <w:b/>
          <w:kern w:val="2"/>
          <w:sz w:val="21"/>
          <w:lang w:eastAsia="zh-CN"/>
        </w:rPr>
        <w:t>在投标文件目录中属于本节点内容的必须在本节点中填写，填写到其他节点或附件，</w:t>
      </w:r>
      <w:r>
        <w:rPr>
          <w:rFonts w:ascii="仿宋" w:eastAsia="仿宋" w:hAnsi="仿宋" w:cs="仿宋" w:hint="eastAsia"/>
          <w:kern w:val="2"/>
          <w:sz w:val="21"/>
          <w:lang w:eastAsia="zh-CN"/>
        </w:rPr>
        <w:t>一切后果由供应商自行承担。</w:t>
      </w:r>
    </w:p>
    <w:p w14:paraId="0AC6E8C5">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23.2.7投标文件编写完成后，</w:t>
      </w:r>
      <w:r>
        <w:rPr>
          <w:rFonts w:ascii="仿宋" w:eastAsia="仿宋" w:hAnsi="仿宋" w:cs="仿宋" w:hint="eastAsia"/>
          <w:b/>
          <w:kern w:val="2"/>
          <w:sz w:val="21"/>
          <w:lang w:eastAsia="zh-CN"/>
        </w:rPr>
        <w:t>必须用属于投标人的电子密钥或电子营业执照进行加密，否则视同未盖公章，将导致投标文件无效。</w:t>
      </w:r>
    </w:p>
    <w:p w14:paraId="4FFA21CD">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364AD950">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23.2.9如果开标时出现网络故障、技术故障，影响了政府采购活动，政府集中采购机构有权采取措施如延期、接受无法从网上上传的投标书等，以保障政府采购活动的公开、公平和公正。</w:t>
      </w:r>
    </w:p>
    <w:p w14:paraId="62BA783A">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23.3电报、电话、传真形式的投标概不接受。</w:t>
      </w:r>
    </w:p>
    <w:p w14:paraId="4C44AFA6">
      <w:pPr>
        <w:widowControl w:val="0"/>
        <w:spacing w:line="360" w:lineRule="auto"/>
        <w:ind w:firstLine="412" w:firstLineChars="196"/>
        <w:jc w:val="both"/>
        <w:rPr>
          <w:rFonts w:ascii="仿宋" w:eastAsia="仿宋" w:hAnsi="仿宋" w:cs="仿宋" w:hint="eastAsia"/>
          <w:b/>
          <w:kern w:val="2"/>
          <w:sz w:val="21"/>
          <w:lang w:eastAsia="zh-CN"/>
        </w:rPr>
      </w:pPr>
      <w:r>
        <w:rPr>
          <w:rFonts w:ascii="仿宋" w:eastAsia="仿宋" w:hAnsi="仿宋" w:cs="仿宋" w:hint="eastAsia"/>
          <w:b/>
          <w:kern w:val="2"/>
          <w:sz w:val="21"/>
          <w:lang w:eastAsia="zh-CN"/>
        </w:rPr>
        <w:t>23.4经投标人电子密钥或电子营业执照加密的投标文件无须盖章或签字，</w:t>
      </w:r>
      <w:r>
        <w:rPr>
          <w:rFonts w:ascii="仿宋" w:eastAsia="仿宋" w:hAnsi="仿宋" w:cs="仿宋" w:hint="eastAsia"/>
          <w:kern w:val="2"/>
          <w:sz w:val="21"/>
          <w:lang w:eastAsia="zh-CN"/>
        </w:rPr>
        <w:t>专用条款另有要求的除外。</w:t>
      </w:r>
    </w:p>
    <w:p w14:paraId="084A3DDD">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b/>
          <w:kern w:val="2"/>
          <w:sz w:val="21"/>
          <w:lang w:eastAsia="zh-CN"/>
        </w:rPr>
        <w:t>23.5</w:t>
      </w:r>
      <w:r>
        <w:rPr>
          <w:rFonts w:ascii="仿宋" w:eastAsia="仿宋" w:hAnsi="仿宋" w:cs="仿宋" w:hint="eastAsia"/>
          <w:kern w:val="2"/>
          <w:sz w:val="21"/>
          <w:lang w:eastAsia="zh-CN"/>
        </w:rPr>
        <w:t xml:space="preserve"> 各类资格（资质）文件提供扫描件，专用条款另有要求的除外。</w:t>
      </w:r>
      <w:bookmarkEnd w:id="51"/>
    </w:p>
    <w:p w14:paraId="55994ECC">
      <w:pPr>
        <w:widowControl w:val="0"/>
        <w:spacing w:line="360" w:lineRule="auto"/>
        <w:jc w:val="both"/>
        <w:rPr>
          <w:rFonts w:ascii="仿宋" w:eastAsia="仿宋" w:hAnsi="仿宋" w:cs="仿宋" w:hint="eastAsia"/>
          <w:b/>
          <w:color w:val="000000"/>
          <w:kern w:val="2"/>
          <w:lang w:eastAsia="zh-CN"/>
        </w:rPr>
      </w:pPr>
    </w:p>
    <w:p w14:paraId="070A6C4C">
      <w:pPr>
        <w:widowControl w:val="0"/>
        <w:spacing w:line="360" w:lineRule="auto"/>
        <w:jc w:val="both"/>
        <w:rPr>
          <w:rFonts w:ascii="仿宋" w:eastAsia="仿宋" w:hAnsi="仿宋" w:cs="仿宋" w:hint="eastAsia"/>
          <w:b/>
          <w:color w:val="000000"/>
          <w:kern w:val="2"/>
          <w:lang w:eastAsia="zh-CN"/>
        </w:rPr>
      </w:pPr>
    </w:p>
    <w:p w14:paraId="7490535E">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52" w:name="_Toc18062"/>
      <w:bookmarkStart w:id="53" w:name="_Toc21427"/>
      <w:bookmarkStart w:id="54" w:name="_Toc1192"/>
      <w:bookmarkStart w:id="55" w:name="_Toc26761"/>
      <w:r>
        <w:rPr>
          <w:rFonts w:ascii="仿宋" w:eastAsia="仿宋" w:hAnsi="仿宋" w:cs="仿宋" w:hint="eastAsia"/>
          <w:b/>
          <w:color w:val="000000"/>
          <w:kern w:val="2"/>
          <w:sz w:val="32"/>
          <w:lang w:eastAsia="zh-CN"/>
        </w:rPr>
        <w:t xml:space="preserve">第四章 </w:t>
      </w:r>
      <w:bookmarkStart w:id="56" w:name="_Toc30105"/>
      <w:r>
        <w:rPr>
          <w:rFonts w:ascii="仿宋" w:eastAsia="仿宋" w:hAnsi="仿宋" w:cs="仿宋" w:hint="eastAsia"/>
          <w:b/>
          <w:color w:val="000000"/>
          <w:kern w:val="2"/>
          <w:sz w:val="32"/>
          <w:lang w:eastAsia="zh-CN"/>
        </w:rPr>
        <w:t>投标文件的</w:t>
      </w:r>
      <w:bookmarkEnd w:id="52"/>
      <w:r>
        <w:rPr>
          <w:rFonts w:ascii="仿宋" w:eastAsia="仿宋" w:hAnsi="仿宋" w:cs="仿宋" w:hint="eastAsia"/>
          <w:b/>
          <w:color w:val="000000"/>
          <w:kern w:val="2"/>
          <w:sz w:val="32"/>
          <w:lang w:eastAsia="zh-CN"/>
        </w:rPr>
        <w:t>递交</w:t>
      </w:r>
      <w:bookmarkEnd w:id="53"/>
      <w:bookmarkEnd w:id="54"/>
      <w:bookmarkEnd w:id="55"/>
      <w:bookmarkEnd w:id="56"/>
    </w:p>
    <w:p w14:paraId="00BED6B0">
      <w:pPr>
        <w:widowControl w:val="0"/>
        <w:spacing w:line="360" w:lineRule="auto"/>
        <w:jc w:val="both"/>
        <w:rPr>
          <w:rFonts w:ascii="仿宋" w:eastAsia="仿宋" w:hAnsi="仿宋" w:cs="仿宋" w:hint="eastAsia"/>
          <w:kern w:val="2"/>
          <w:lang w:eastAsia="zh-CN"/>
        </w:rPr>
      </w:pPr>
      <w:bookmarkStart w:id="57" w:name="_Hlk72405459"/>
      <w:r>
        <w:rPr>
          <w:rFonts w:ascii="仿宋" w:eastAsia="仿宋" w:hAnsi="仿宋" w:cs="仿宋" w:hint="eastAsia"/>
          <w:kern w:val="2"/>
          <w:lang w:eastAsia="zh-CN"/>
        </w:rPr>
        <w:t>24．投标文件的保密</w:t>
      </w:r>
    </w:p>
    <w:p w14:paraId="73E55BEA">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仿宋" w:eastAsia="仿宋" w:hAnsi="仿宋" w:cs="仿宋" w:hint="eastAsia"/>
          <w:kern w:val="2"/>
          <w:sz w:val="21"/>
          <w:highlight w:val="yellow"/>
          <w:lang w:eastAsia="zh-CN"/>
        </w:rPr>
        <w:t>(注意：加密的投标文件开标时须使用加密文件时使用的锁在项目规定时间内解密！)</w:t>
      </w:r>
    </w:p>
    <w:p w14:paraId="63BB5188">
      <w:pPr>
        <w:widowControl w:val="0"/>
        <w:spacing w:line="360" w:lineRule="auto"/>
        <w:jc w:val="both"/>
        <w:rPr>
          <w:rFonts w:ascii="仿宋" w:eastAsia="仿宋" w:hAnsi="仿宋" w:cs="仿宋" w:hint="eastAsia"/>
          <w:b/>
          <w:kern w:val="2"/>
          <w:sz w:val="21"/>
          <w:lang w:eastAsia="zh-CN"/>
        </w:rPr>
      </w:pPr>
      <w:r>
        <w:rPr>
          <w:rFonts w:ascii="仿宋" w:eastAsia="仿宋" w:hAnsi="仿宋" w:cs="仿宋" w:hint="eastAsia"/>
          <w:b/>
          <w:kern w:val="2"/>
          <w:sz w:val="21"/>
          <w:lang w:eastAsia="zh-CN"/>
        </w:rPr>
        <w:t>24.2若采购项目出现延期情况：</w:t>
      </w:r>
    </w:p>
    <w:p w14:paraId="581EB19A">
      <w:pPr>
        <w:widowControl w:val="0"/>
        <w:spacing w:line="360" w:lineRule="auto"/>
        <w:ind w:firstLine="420" w:firstLineChars="200"/>
        <w:jc w:val="both"/>
        <w:rPr>
          <w:rFonts w:ascii="仿宋" w:eastAsia="仿宋" w:hAnsi="仿宋" w:cs="仿宋" w:hint="eastAsia"/>
          <w:b/>
          <w:kern w:val="2"/>
          <w:lang w:eastAsia="zh-CN"/>
        </w:rPr>
      </w:pPr>
      <w:r>
        <w:rPr>
          <w:rFonts w:ascii="仿宋" w:eastAsia="仿宋" w:hAnsi="仿宋" w:cs="仿宋" w:hint="eastAsia"/>
          <w:b/>
          <w:kern w:val="2"/>
          <w:sz w:val="21"/>
          <w:lang w:eastAsia="zh-CN"/>
        </w:rPr>
        <w:t>如果供下载的招标文件有更新，投标人必须重新下载招标文件、重新制作投标文件、重新加密投标文件、重新上传投标文件。</w:t>
      </w:r>
    </w:p>
    <w:p w14:paraId="2A052CD2">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25．上传投标文件及投标截止日期</w:t>
      </w:r>
    </w:p>
    <w:p w14:paraId="6BE0B784">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25.1实行网上投标，投标人必须在招标文件规定的投标截止时间前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仿宋" w:eastAsia="仿宋" w:hAnsi="仿宋" w:cs="仿宋" w:hint="eastAsia"/>
          <w:b/>
          <w:bCs/>
          <w:kern w:val="2"/>
          <w:sz w:val="21"/>
          <w:szCs w:val="21"/>
          <w:lang w:eastAsia="zh-CN"/>
        </w:rPr>
        <w:t>深圳公共资源交易中心（深圳交易集团有限公司龙华分公司）服务大厅协助上传，但上传过程中投标截止时间到达仍无法上传成功的，由投标人自行负责。</w:t>
      </w:r>
    </w:p>
    <w:p w14:paraId="1FBA952C">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6C3F773">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25.3投标截止时间以后不得上传投标文件。</w:t>
      </w:r>
    </w:p>
    <w:p w14:paraId="697A0AD4">
      <w:pPr>
        <w:widowControl w:val="0"/>
        <w:spacing w:line="360" w:lineRule="auto"/>
        <w:ind w:firstLine="412" w:firstLineChars="196"/>
        <w:jc w:val="both"/>
        <w:rPr>
          <w:rFonts w:ascii="仿宋" w:eastAsia="仿宋" w:hAnsi="仿宋" w:cs="仿宋" w:hint="eastAsia"/>
          <w:kern w:val="2"/>
          <w:sz w:val="21"/>
          <w:lang w:eastAsia="zh-CN"/>
        </w:rPr>
      </w:pPr>
    </w:p>
    <w:p w14:paraId="6A5B8124">
      <w:pPr>
        <w:widowControl w:val="0"/>
        <w:spacing w:line="360" w:lineRule="auto"/>
        <w:ind w:firstLine="412" w:firstLineChars="196"/>
        <w:jc w:val="both"/>
        <w:rPr>
          <w:rFonts w:ascii="仿宋" w:eastAsia="仿宋" w:hAnsi="仿宋" w:cs="仿宋" w:hint="eastAsia"/>
          <w:kern w:val="2"/>
          <w:sz w:val="21"/>
          <w:lang w:eastAsia="zh-CN"/>
        </w:rPr>
      </w:pPr>
    </w:p>
    <w:bookmarkEnd w:id="57"/>
    <w:p w14:paraId="560D24AB">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26. 样品、现场演示、方案讲解</w:t>
      </w:r>
    </w:p>
    <w:p w14:paraId="7DC1EF94">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26.1 样品、现场演示、方案讲解等事项在招标文件专用条款中进行规定。</w:t>
      </w:r>
    </w:p>
    <w:p w14:paraId="2EEF42AE">
      <w:pPr>
        <w:widowControl w:val="0"/>
        <w:spacing w:line="360" w:lineRule="auto"/>
        <w:jc w:val="both"/>
        <w:rPr>
          <w:rFonts w:ascii="仿宋" w:eastAsia="仿宋" w:hAnsi="仿宋" w:cs="仿宋" w:hint="eastAsia"/>
          <w:kern w:val="2"/>
          <w:lang w:eastAsia="zh-CN"/>
        </w:rPr>
      </w:pPr>
      <w:bookmarkStart w:id="58" w:name="_Hlk72428346"/>
      <w:r>
        <w:rPr>
          <w:rFonts w:ascii="仿宋" w:eastAsia="仿宋" w:hAnsi="仿宋" w:cs="仿宋" w:hint="eastAsia"/>
          <w:kern w:val="2"/>
          <w:lang w:eastAsia="zh-CN"/>
        </w:rPr>
        <w:t>27．投标文件的修改和撤销</w:t>
      </w:r>
    </w:p>
    <w:p w14:paraId="67735C51">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27.1投标方在提交投标文件后可对其投标文件进行修改并重新上传投标文件或在网上进行撤销投标的操作。</w:t>
      </w:r>
    </w:p>
    <w:p w14:paraId="52034282">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27.2投标截止时间以后不得修改投标文件。</w:t>
      </w:r>
    </w:p>
    <w:p w14:paraId="510ECF3C">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27.3从投标截止期至投标人在投标文件中确定的投标有效期之间的这段时间内，投标人不得撤回其投标。</w:t>
      </w:r>
    </w:p>
    <w:p w14:paraId="57F73CC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27.4政府集中采购机构不退还投标文件，专用条款另有规定的除外。</w:t>
      </w:r>
    </w:p>
    <w:bookmarkEnd w:id="58"/>
    <w:p w14:paraId="0730ABC2">
      <w:pPr>
        <w:widowControl w:val="0"/>
        <w:spacing w:line="360" w:lineRule="auto"/>
        <w:jc w:val="both"/>
        <w:rPr>
          <w:rFonts w:ascii="仿宋" w:eastAsia="仿宋" w:hAnsi="仿宋" w:cs="仿宋" w:hint="eastAsia"/>
          <w:b/>
          <w:color w:val="000000"/>
          <w:kern w:val="2"/>
          <w:szCs w:val="21"/>
          <w:lang w:eastAsia="zh-CN"/>
        </w:rPr>
      </w:pPr>
    </w:p>
    <w:p w14:paraId="467E4054">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59" w:name="第五章1"/>
      <w:bookmarkEnd w:id="59"/>
      <w:bookmarkStart w:id="60" w:name="_Toc14713"/>
      <w:bookmarkStart w:id="61" w:name="_Toc73517666"/>
      <w:bookmarkStart w:id="62" w:name="_Toc1658"/>
      <w:bookmarkStart w:id="63" w:name="_Toc15094"/>
      <w:bookmarkStart w:id="64" w:name="_Toc13806"/>
      <w:bookmarkStart w:id="65" w:name="_Toc100052391"/>
      <w:bookmarkStart w:id="66" w:name="_Toc73518144"/>
      <w:bookmarkStart w:id="67" w:name="_Toc101074881"/>
      <w:r>
        <w:rPr>
          <w:rFonts w:ascii="仿宋" w:eastAsia="仿宋" w:hAnsi="仿宋" w:cs="仿宋" w:hint="eastAsia"/>
          <w:b/>
          <w:color w:val="000000"/>
          <w:kern w:val="2"/>
          <w:sz w:val="32"/>
          <w:lang w:eastAsia="zh-CN"/>
        </w:rPr>
        <w:t xml:space="preserve">第五章 </w:t>
      </w:r>
      <w:bookmarkStart w:id="68" w:name="_Toc4434"/>
      <w:r>
        <w:rPr>
          <w:rFonts w:ascii="仿宋" w:eastAsia="仿宋" w:hAnsi="仿宋" w:cs="仿宋" w:hint="eastAsia"/>
          <w:b/>
          <w:color w:val="000000"/>
          <w:kern w:val="2"/>
          <w:sz w:val="32"/>
          <w:lang w:eastAsia="zh-CN"/>
        </w:rPr>
        <w:t>开标</w:t>
      </w:r>
      <w:bookmarkEnd w:id="60"/>
      <w:bookmarkEnd w:id="61"/>
      <w:bookmarkEnd w:id="62"/>
      <w:bookmarkEnd w:id="63"/>
      <w:bookmarkEnd w:id="64"/>
      <w:bookmarkEnd w:id="65"/>
      <w:bookmarkEnd w:id="66"/>
      <w:bookmarkEnd w:id="67"/>
      <w:bookmarkEnd w:id="68"/>
    </w:p>
    <w:p w14:paraId="17DCB43B">
      <w:pPr>
        <w:widowControl w:val="0"/>
        <w:spacing w:line="360" w:lineRule="auto"/>
        <w:jc w:val="both"/>
        <w:rPr>
          <w:rFonts w:ascii="仿宋" w:eastAsia="仿宋" w:hAnsi="仿宋" w:cs="仿宋" w:hint="eastAsia"/>
          <w:kern w:val="2"/>
          <w:lang w:eastAsia="zh-CN"/>
        </w:rPr>
      </w:pPr>
      <w:bookmarkStart w:id="69" w:name="_Toc73518146"/>
      <w:bookmarkStart w:id="70" w:name="_Toc73517668"/>
      <w:bookmarkStart w:id="71" w:name="_Toc100052393"/>
      <w:bookmarkStart w:id="72" w:name="_Toc101074882"/>
      <w:r>
        <w:rPr>
          <w:rFonts w:ascii="仿宋" w:eastAsia="仿宋" w:hAnsi="仿宋" w:cs="仿宋" w:hint="eastAsia"/>
          <w:kern w:val="2"/>
          <w:lang w:eastAsia="zh-CN"/>
        </w:rPr>
        <w:t>28．开标</w:t>
      </w:r>
    </w:p>
    <w:p w14:paraId="6FFAC506">
      <w:pPr>
        <w:widowControl w:val="0"/>
        <w:spacing w:line="360" w:lineRule="auto"/>
        <w:ind w:firstLine="359" w:firstLineChars="171"/>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28.1投标人须在开标当日的开标时间至解密截止时间内进行解密，逾期未解密的作无效处理。解密方法：登录“</w:t>
      </w:r>
      <w:r>
        <w:rPr>
          <w:rFonts w:ascii="仿宋" w:eastAsia="仿宋" w:hAnsi="仿宋" w:cs="仿宋" w:hint="eastAsia"/>
          <w:kern w:val="2"/>
          <w:sz w:val="21"/>
          <w:lang w:eastAsia="zh-CN"/>
        </w:rPr>
        <w:t>深圳政府采购自行采购系统（https://trade.szggzy.com/ggzy/center/#/login）</w:t>
      </w:r>
      <w:r>
        <w:rPr>
          <w:rFonts w:ascii="仿宋" w:eastAsia="仿宋" w:hAnsi="仿宋" w:cs="仿宋" w:hint="eastAsia"/>
          <w:kern w:val="2"/>
          <w:sz w:val="21"/>
          <w:szCs w:val="21"/>
          <w:lang w:eastAsia="zh-CN"/>
        </w:rPr>
        <w:t>”，使用本单位制作电子投标文件同一个电子密钥进行在线解密、查询开标情况。</w:t>
      </w:r>
    </w:p>
    <w:p w14:paraId="40A2C44B">
      <w:pPr>
        <w:widowControl w:val="0"/>
        <w:spacing w:line="360" w:lineRule="auto"/>
        <w:ind w:firstLine="315" w:firstLineChars="15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418741A">
      <w:pPr>
        <w:widowControl w:val="0"/>
        <w:spacing w:line="360" w:lineRule="auto"/>
        <w:jc w:val="both"/>
        <w:rPr>
          <w:rFonts w:ascii="仿宋" w:eastAsia="仿宋" w:hAnsi="仿宋" w:cs="仿宋" w:hint="eastAsia"/>
          <w:b/>
          <w:color w:val="000000"/>
          <w:kern w:val="2"/>
          <w:lang w:eastAsia="zh-CN"/>
        </w:rPr>
      </w:pPr>
    </w:p>
    <w:bookmarkEnd w:id="69"/>
    <w:bookmarkEnd w:id="70"/>
    <w:p w14:paraId="3B74081F">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73" w:name="第六章1"/>
      <w:bookmarkEnd w:id="73"/>
      <w:bookmarkStart w:id="74" w:name="_Toc20179"/>
      <w:bookmarkStart w:id="75" w:name="_Toc27869"/>
      <w:bookmarkStart w:id="76" w:name="_Toc7319"/>
      <w:bookmarkStart w:id="77" w:name="_Toc31900"/>
      <w:r>
        <w:rPr>
          <w:rFonts w:ascii="仿宋" w:eastAsia="仿宋" w:hAnsi="仿宋" w:cs="仿宋" w:hint="eastAsia"/>
          <w:b/>
          <w:color w:val="000000"/>
          <w:kern w:val="2"/>
          <w:sz w:val="32"/>
          <w:lang w:eastAsia="zh-CN"/>
        </w:rPr>
        <w:t xml:space="preserve">第六章 </w:t>
      </w:r>
      <w:bookmarkStart w:id="78" w:name="_Toc29225"/>
      <w:r>
        <w:rPr>
          <w:rFonts w:ascii="仿宋" w:eastAsia="仿宋" w:hAnsi="仿宋" w:cs="仿宋" w:hint="eastAsia"/>
          <w:b/>
          <w:color w:val="000000"/>
          <w:kern w:val="2"/>
          <w:sz w:val="32"/>
          <w:lang w:eastAsia="zh-CN"/>
        </w:rPr>
        <w:t>评审要求</w:t>
      </w:r>
      <w:bookmarkEnd w:id="71"/>
      <w:bookmarkEnd w:id="72"/>
      <w:bookmarkEnd w:id="74"/>
      <w:bookmarkEnd w:id="75"/>
      <w:bookmarkEnd w:id="76"/>
      <w:bookmarkEnd w:id="77"/>
      <w:bookmarkEnd w:id="78"/>
    </w:p>
    <w:p w14:paraId="145625DA">
      <w:pPr>
        <w:widowControl w:val="0"/>
        <w:spacing w:line="360" w:lineRule="auto"/>
        <w:jc w:val="both"/>
        <w:rPr>
          <w:rFonts w:ascii="仿宋" w:eastAsia="仿宋" w:hAnsi="仿宋" w:cs="仿宋" w:hint="eastAsia"/>
          <w:kern w:val="2"/>
          <w:lang w:eastAsia="zh-CN"/>
        </w:rPr>
      </w:pPr>
      <w:bookmarkStart w:id="79" w:name="第七章1"/>
      <w:bookmarkEnd w:id="79"/>
      <w:bookmarkStart w:id="80" w:name="_Toc101074883"/>
      <w:bookmarkStart w:id="81" w:name="_Toc100052397"/>
      <w:bookmarkStart w:id="82" w:name="_Toc19125"/>
      <w:bookmarkStart w:id="83" w:name="_Toc1296"/>
      <w:bookmarkStart w:id="84" w:name="_Toc20125"/>
      <w:r>
        <w:rPr>
          <w:rFonts w:ascii="仿宋" w:eastAsia="仿宋" w:hAnsi="仿宋" w:cs="仿宋" w:hint="eastAsia"/>
          <w:kern w:val="2"/>
          <w:lang w:eastAsia="zh-CN"/>
        </w:rPr>
        <w:t>29．评审委员会组成</w:t>
      </w:r>
    </w:p>
    <w:p w14:paraId="116C51A5">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29.1网上开标结束后召开评审会议，</w:t>
      </w:r>
      <w:r>
        <w:rPr>
          <w:rFonts w:ascii="仿宋" w:eastAsia="仿宋" w:hAnsi="仿宋" w:cs="仿宋" w:hint="eastAsia"/>
          <w:kern w:val="2"/>
          <w:sz w:val="21"/>
          <w:szCs w:val="21"/>
          <w:lang w:eastAsia="zh-CN"/>
        </w:rPr>
        <w:t>评审委员会</w:t>
      </w:r>
      <w:r>
        <w:rPr>
          <w:rFonts w:ascii="仿宋" w:eastAsia="仿宋" w:hAnsi="仿宋" w:cs="仿宋" w:hint="eastAsia"/>
          <w:kern w:val="2"/>
          <w:sz w:val="21"/>
          <w:lang w:eastAsia="zh-CN"/>
        </w:rPr>
        <w:t>由政府集中采购机构依法组建，负责评审活动。</w:t>
      </w:r>
    </w:p>
    <w:p w14:paraId="7AA11F84">
      <w:pPr>
        <w:widowControl w:val="0"/>
        <w:spacing w:line="360" w:lineRule="auto"/>
        <w:ind w:firstLine="412" w:firstLineChars="196"/>
        <w:jc w:val="both"/>
        <w:rPr>
          <w:rFonts w:ascii="仿宋" w:eastAsia="仿宋" w:hAnsi="仿宋" w:cs="仿宋" w:hint="eastAsia"/>
          <w:kern w:val="2"/>
          <w:sz w:val="21"/>
          <w:lang w:eastAsia="zh-CN"/>
        </w:rPr>
      </w:pPr>
      <w:bookmarkStart w:id="85" w:name="_Hlk72436580"/>
      <w:r>
        <w:rPr>
          <w:rFonts w:ascii="仿宋" w:eastAsia="仿宋" w:hAnsi="仿宋" w:cs="仿宋" w:hint="eastAsia"/>
          <w:kern w:val="2"/>
          <w:sz w:val="21"/>
          <w:lang w:eastAsia="zh-CN"/>
        </w:rPr>
        <w:t>评审委员会由采购人代表和评审专家组成，成员人数应当为5人以上单数（部分条件下为7人以上单数），其中评审专家不得少于成员总数的三分之二。</w:t>
      </w:r>
      <w:bookmarkEnd w:id="85"/>
      <w:r>
        <w:rPr>
          <w:rFonts w:ascii="仿宋" w:eastAsia="仿宋" w:hAnsi="仿宋" w:cs="仿宋" w:hint="eastAsia"/>
          <w:kern w:val="2"/>
          <w:sz w:val="21"/>
          <w:lang w:eastAsia="zh-CN"/>
        </w:rPr>
        <w:t>评定分离项目评审专家均由评审专家组成。</w:t>
      </w:r>
      <w:r>
        <w:rPr>
          <w:rFonts w:ascii="仿宋" w:eastAsia="仿宋" w:hAnsi="仿宋" w:cs="仿宋" w:hint="eastAsia"/>
          <w:kern w:val="2"/>
          <w:sz w:val="21"/>
          <w:szCs w:val="21"/>
          <w:lang w:eastAsia="zh-CN"/>
        </w:rPr>
        <w:t>评审专家一般是</w:t>
      </w:r>
      <w:r>
        <w:rPr>
          <w:rFonts w:ascii="仿宋" w:eastAsia="仿宋" w:hAnsi="仿宋" w:cs="仿宋" w:hint="eastAsia"/>
          <w:kern w:val="2"/>
          <w:sz w:val="21"/>
          <w:lang w:eastAsia="zh-CN"/>
        </w:rPr>
        <w:t>从深圳市政府采购评审专家库中随机抽取。采购人代表须持本单位签发的《评审授权书》参加评审。</w:t>
      </w:r>
    </w:p>
    <w:p w14:paraId="086B7521">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29.2评审定标应当遵循公平、公正、科学、择优的原则。</w:t>
      </w:r>
    </w:p>
    <w:p w14:paraId="704C9F3E">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29.3评审活动依法进行，任何单位和个人不得非法干预评标过程和结果。</w:t>
      </w:r>
    </w:p>
    <w:p w14:paraId="1D9C6168">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29.4评审过程中不允许违背评标程序或采用招标文件未载明的评标方法或评标因素进行评标。</w:t>
      </w:r>
    </w:p>
    <w:p w14:paraId="3B46A4E8">
      <w:pPr>
        <w:widowControl w:val="0"/>
        <w:spacing w:line="360" w:lineRule="auto"/>
        <w:ind w:firstLine="412" w:firstLineChars="196"/>
        <w:jc w:val="both"/>
        <w:rPr>
          <w:rFonts w:ascii="仿宋" w:eastAsia="仿宋" w:hAnsi="仿宋" w:cs="仿宋" w:hint="eastAsia"/>
          <w:bCs/>
          <w:kern w:val="2"/>
          <w:sz w:val="21"/>
          <w:lang w:eastAsia="zh-CN"/>
        </w:rPr>
      </w:pPr>
      <w:r>
        <w:rPr>
          <w:rFonts w:ascii="仿宋" w:eastAsia="仿宋" w:hAnsi="仿宋" w:cs="仿宋"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ascii="仿宋" w:eastAsia="仿宋" w:hAnsi="仿宋" w:cs="仿宋" w:hint="eastAsia"/>
          <w:kern w:val="2"/>
          <w:sz w:val="21"/>
          <w:lang w:eastAsia="zh-CN"/>
        </w:rPr>
        <w:t>信息公开的内容除外</w:t>
      </w:r>
      <w:r>
        <w:rPr>
          <w:rFonts w:ascii="仿宋" w:eastAsia="仿宋" w:hAnsi="仿宋" w:cs="仿宋" w:hint="eastAsia"/>
          <w:bCs/>
          <w:kern w:val="2"/>
          <w:sz w:val="21"/>
          <w:lang w:eastAsia="zh-CN"/>
        </w:rPr>
        <w:t>）。</w:t>
      </w:r>
    </w:p>
    <w:p w14:paraId="254B36AC">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30．向评审委员会提供的资料</w:t>
      </w:r>
    </w:p>
    <w:p w14:paraId="28BA5F8D">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30.1公开发布的招标文件，包括图纸、服务清单、答疑文件等；</w:t>
      </w:r>
    </w:p>
    <w:p w14:paraId="3B2C8A79">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30.2其他评标必须的资料。</w:t>
      </w:r>
    </w:p>
    <w:p w14:paraId="76D1E2C9">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30.3</w:t>
      </w:r>
      <w:r>
        <w:rPr>
          <w:rFonts w:ascii="仿宋" w:eastAsia="仿宋" w:hAnsi="仿宋" w:cs="仿宋" w:hint="eastAsia"/>
          <w:kern w:val="2"/>
          <w:sz w:val="21"/>
          <w:szCs w:val="21"/>
          <w:lang w:eastAsia="zh-CN"/>
        </w:rPr>
        <w:t>评审委员会</w:t>
      </w:r>
      <w:r>
        <w:rPr>
          <w:rFonts w:ascii="仿宋" w:eastAsia="仿宋" w:hAnsi="仿宋" w:cs="仿宋" w:hint="eastAsia"/>
          <w:kern w:val="2"/>
          <w:sz w:val="21"/>
          <w:lang w:eastAsia="zh-CN"/>
        </w:rPr>
        <w:t>应当认真研究招标文件，至少应了解熟悉以下内容：</w:t>
      </w:r>
    </w:p>
    <w:p w14:paraId="2E0ADF7C">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（1）招标的目的；</w:t>
      </w:r>
    </w:p>
    <w:p w14:paraId="10F4084D">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（2）招标项目需求的范围和性质；</w:t>
      </w:r>
    </w:p>
    <w:p w14:paraId="4DDB7151">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（3）招标文件规定的投标人的资格、财政预算限额、商务条款；</w:t>
      </w:r>
    </w:p>
    <w:p w14:paraId="52333854">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（4）招标文件规定的评标程序、评标方法和评标因素；</w:t>
      </w:r>
    </w:p>
    <w:p w14:paraId="04F014C9">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（5）招标文件所列示的资格性审查表及符合性审查表。</w:t>
      </w:r>
    </w:p>
    <w:p w14:paraId="4D347F55">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31．独立评审</w:t>
      </w:r>
    </w:p>
    <w:p w14:paraId="0FB4316F">
      <w:pPr>
        <w:widowControl w:val="0"/>
        <w:spacing w:line="360" w:lineRule="auto"/>
        <w:ind w:firstLine="412" w:firstLineChars="196"/>
        <w:jc w:val="both"/>
        <w:rPr>
          <w:rFonts w:ascii="仿宋" w:eastAsia="仿宋" w:hAnsi="仿宋" w:cs="仿宋" w:hint="eastAsia"/>
          <w:bCs/>
          <w:kern w:val="2"/>
          <w:sz w:val="21"/>
          <w:lang w:eastAsia="zh-CN"/>
        </w:rPr>
      </w:pPr>
      <w:r>
        <w:rPr>
          <w:rFonts w:ascii="仿宋" w:eastAsia="仿宋" w:hAnsi="仿宋" w:cs="仿宋" w:hint="eastAsia"/>
          <w:bCs/>
          <w:kern w:val="2"/>
          <w:sz w:val="21"/>
          <w:lang w:eastAsia="zh-CN"/>
        </w:rPr>
        <w:t>31.1</w:t>
      </w:r>
      <w:r>
        <w:rPr>
          <w:rFonts w:ascii="仿宋" w:eastAsia="仿宋" w:hAnsi="仿宋" w:cs="仿宋" w:hint="eastAsia"/>
          <w:kern w:val="2"/>
          <w:sz w:val="21"/>
          <w:szCs w:val="21"/>
          <w:lang w:eastAsia="zh-CN"/>
        </w:rPr>
        <w:t>评审委员会</w:t>
      </w:r>
      <w:r>
        <w:rPr>
          <w:rFonts w:ascii="仿宋" w:eastAsia="仿宋" w:hAnsi="仿宋" w:cs="仿宋" w:hint="eastAsia"/>
          <w:bCs/>
          <w:kern w:val="2"/>
          <w:sz w:val="21"/>
          <w:lang w:eastAsia="zh-CN"/>
        </w:rPr>
        <w:t>成员的评标活动应当独立进行，并应遵循投标文件初审、澄清有关问题、比较与评价、确定中标供应商、编写评审报告的工作程序。</w:t>
      </w:r>
    </w:p>
    <w:p w14:paraId="488FDD2F">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86" w:name="_Toc20268"/>
      <w:r>
        <w:rPr>
          <w:rFonts w:ascii="仿宋" w:eastAsia="仿宋" w:hAnsi="仿宋" w:cs="仿宋" w:hint="eastAsia"/>
          <w:b/>
          <w:color w:val="000000"/>
          <w:kern w:val="2"/>
          <w:sz w:val="32"/>
          <w:lang w:eastAsia="zh-CN"/>
        </w:rPr>
        <w:t xml:space="preserve">第七章 </w:t>
      </w:r>
      <w:bookmarkStart w:id="87" w:name="_Toc26636"/>
      <w:r>
        <w:rPr>
          <w:rFonts w:ascii="仿宋" w:eastAsia="仿宋" w:hAnsi="仿宋" w:cs="仿宋" w:hint="eastAsia"/>
          <w:b/>
          <w:color w:val="000000"/>
          <w:kern w:val="2"/>
          <w:sz w:val="32"/>
          <w:lang w:eastAsia="zh-CN"/>
        </w:rPr>
        <w:t>评审程序</w:t>
      </w:r>
      <w:bookmarkStart w:id="88" w:name="_Toc73518149"/>
      <w:bookmarkStart w:id="89" w:name="_Toc73517671"/>
      <w:r>
        <w:rPr>
          <w:rFonts w:ascii="仿宋" w:eastAsia="仿宋" w:hAnsi="仿宋" w:cs="仿宋" w:hint="eastAsia"/>
          <w:b/>
          <w:color w:val="000000"/>
          <w:kern w:val="2"/>
          <w:sz w:val="32"/>
          <w:lang w:eastAsia="zh-CN"/>
        </w:rPr>
        <w:t>及评审方法</w:t>
      </w:r>
      <w:bookmarkEnd w:id="80"/>
      <w:bookmarkEnd w:id="81"/>
      <w:bookmarkEnd w:id="82"/>
      <w:bookmarkEnd w:id="83"/>
      <w:bookmarkEnd w:id="84"/>
      <w:bookmarkEnd w:id="86"/>
      <w:bookmarkEnd w:id="87"/>
    </w:p>
    <w:bookmarkEnd w:id="88"/>
    <w:bookmarkEnd w:id="89"/>
    <w:p w14:paraId="51156656">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32．投标文件初审</w:t>
      </w:r>
    </w:p>
    <w:p w14:paraId="64E07C93">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32.1投标文件初审包括资格性审查和符合性审查。</w:t>
      </w:r>
    </w:p>
    <w:p w14:paraId="245F9E9F">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资格性审查：依据法律法规和招标文件的规定，对投标文件中的资格证明等进行审查，以确定投标供应商是否具备投标资格。</w:t>
      </w:r>
    </w:p>
    <w:p w14:paraId="1E991765">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符合性审查：依据招标文件的规定，对投标文件的有效性、完整性和对招标文件的响应程度进行审查，以确定是否满足符合性审查的要求。</w:t>
      </w:r>
    </w:p>
    <w:p w14:paraId="2EBFF3F7">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32.2 投标文件初审内容请详见《资格性审查表》和《符合性审查表》部分。投标人若有一条审查不通过则按投标无效处理。</w:t>
      </w:r>
    </w:p>
    <w:p w14:paraId="051C373C">
      <w:pPr>
        <w:widowControl w:val="0"/>
        <w:spacing w:line="360" w:lineRule="auto"/>
        <w:ind w:firstLine="412" w:firstLineChars="196"/>
        <w:jc w:val="both"/>
        <w:rPr>
          <w:rFonts w:ascii="仿宋" w:eastAsia="仿宋" w:hAnsi="仿宋" w:cs="仿宋" w:hint="eastAsia"/>
          <w:bCs/>
          <w:kern w:val="2"/>
          <w:sz w:val="21"/>
          <w:lang w:eastAsia="zh-CN"/>
        </w:rPr>
      </w:pPr>
      <w:r>
        <w:rPr>
          <w:rFonts w:ascii="仿宋" w:eastAsia="仿宋" w:hAnsi="仿宋" w:cs="仿宋" w:hint="eastAsia"/>
          <w:bCs/>
          <w:kern w:val="2"/>
          <w:sz w:val="21"/>
          <w:lang w:eastAsia="zh-CN"/>
        </w:rPr>
        <w:t>32.3 投标文件初审中关于供应商家数的计算：</w:t>
      </w:r>
    </w:p>
    <w:p w14:paraId="5E2F0E4F">
      <w:pPr>
        <w:widowControl w:val="0"/>
        <w:spacing w:line="360" w:lineRule="auto"/>
        <w:ind w:firstLine="412" w:firstLineChars="196"/>
        <w:jc w:val="both"/>
        <w:rPr>
          <w:rFonts w:ascii="仿宋" w:eastAsia="仿宋" w:hAnsi="仿宋" w:cs="仿宋" w:hint="eastAsia"/>
          <w:bCs/>
          <w:kern w:val="2"/>
          <w:sz w:val="21"/>
          <w:lang w:eastAsia="zh-CN"/>
        </w:rPr>
      </w:pPr>
      <w:r>
        <w:rPr>
          <w:rFonts w:ascii="仿宋" w:eastAsia="仿宋" w:hAnsi="仿宋" w:cs="仿宋" w:hint="eastAsia"/>
          <w:bCs/>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52A6227">
      <w:pPr>
        <w:widowControl w:val="0"/>
        <w:spacing w:line="360" w:lineRule="auto"/>
        <w:ind w:firstLine="412" w:firstLineChars="196"/>
        <w:jc w:val="both"/>
        <w:rPr>
          <w:rFonts w:ascii="仿宋" w:eastAsia="仿宋" w:hAnsi="仿宋" w:cs="仿宋" w:hint="eastAsia"/>
          <w:bCs/>
          <w:kern w:val="2"/>
          <w:sz w:val="21"/>
          <w:lang w:eastAsia="zh-CN"/>
        </w:rPr>
      </w:pPr>
      <w:r>
        <w:rPr>
          <w:rFonts w:ascii="仿宋" w:eastAsia="仿宋" w:hAnsi="仿宋" w:cs="仿宋"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仿宋" w:eastAsia="仿宋" w:hAnsi="仿宋" w:cs="仿宋" w:hint="eastAsia"/>
          <w:bCs/>
          <w:kern w:val="2"/>
          <w:sz w:val="21"/>
          <w:szCs w:val="21"/>
          <w:lang w:eastAsia="zh-CN"/>
        </w:rPr>
        <w:t>评审委员会</w:t>
      </w:r>
      <w:r>
        <w:rPr>
          <w:rFonts w:ascii="仿宋" w:eastAsia="仿宋" w:hAnsi="仿宋" w:cs="仿宋" w:hint="eastAsia"/>
          <w:bCs/>
          <w:kern w:val="2"/>
          <w:sz w:val="21"/>
          <w:lang w:eastAsia="zh-CN"/>
        </w:rPr>
        <w:t>按照招标文件规定的方式确定一个投标人获得中标人推荐资格，招标文件未规定的采取随机抽取方式确定，其他同品牌投标人不作为中标候选人。</w:t>
      </w:r>
    </w:p>
    <w:p w14:paraId="22805CA9">
      <w:pPr>
        <w:widowControl w:val="0"/>
        <w:spacing w:line="360" w:lineRule="auto"/>
        <w:ind w:firstLine="412" w:firstLineChars="196"/>
        <w:jc w:val="both"/>
        <w:rPr>
          <w:rFonts w:ascii="仿宋" w:eastAsia="仿宋" w:hAnsi="仿宋" w:cs="仿宋" w:hint="eastAsia"/>
          <w:bCs/>
          <w:kern w:val="2"/>
          <w:sz w:val="21"/>
          <w:lang w:eastAsia="zh-CN"/>
        </w:rPr>
      </w:pPr>
      <w:r>
        <w:rPr>
          <w:rFonts w:ascii="仿宋" w:eastAsia="仿宋" w:hAnsi="仿宋" w:cs="仿宋"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14:paraId="1943D517">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32.4投标人投标文件作无效处理的情形，具体包括但不限于以下：</w:t>
      </w:r>
    </w:p>
    <w:p w14:paraId="3D92940E">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32.4.1不同投标人的投标文件由同一单位或者同一个人编制，或者由同一个人分阶段参与编制；</w:t>
      </w:r>
    </w:p>
    <w:p w14:paraId="3B89A2E3">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32.4.2不同投标人委托同一单位或者个人办理投标事宜；</w:t>
      </w:r>
    </w:p>
    <w:p w14:paraId="291FBED0">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32.4.3不同投标人的投标文件载明的项目管理成员或者联系人员为同一人；</w:t>
      </w:r>
    </w:p>
    <w:p w14:paraId="3F9A85F3">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32.4.4不同投标人的投标文件异常一致或者投标报价呈规律性差异；</w:t>
      </w:r>
    </w:p>
    <w:p w14:paraId="59BC1DED">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32.4.5不同投标供应商的投标文件或部分投标文件相互混装；</w:t>
      </w:r>
    </w:p>
    <w:p w14:paraId="35A85364">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32.4.6投标供应商之间相互约定给予未中标的供应商利益补偿；</w:t>
      </w:r>
    </w:p>
    <w:p w14:paraId="1431EA06">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32.4.7不同投标供应商的法定代表人、主要经营负责人、项目投标授权代表人、项目负责人、主要技术人员为同一人、属同一单位或者同一单位缴纳社会保险；</w:t>
      </w:r>
    </w:p>
    <w:p w14:paraId="2EB7662A">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32.4.8不同投标供应商的投标文件内容存在非正常一致；</w:t>
      </w:r>
    </w:p>
    <w:p w14:paraId="7E511D45">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32.4.9在同一单位工作人员为两家以上（含两家）供应商进行同一项投标活动；</w:t>
      </w:r>
    </w:p>
    <w:p w14:paraId="75D568CF">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32.4.10主管部门依照法律、法规认定的其他情形。</w:t>
      </w:r>
    </w:p>
    <w:p w14:paraId="311FF3B8">
      <w:pPr>
        <w:widowControl w:val="0"/>
        <w:spacing w:line="360" w:lineRule="auto"/>
        <w:jc w:val="both"/>
        <w:rPr>
          <w:rFonts w:ascii="仿宋" w:eastAsia="仿宋" w:hAnsi="仿宋" w:cs="仿宋" w:hint="eastAsia"/>
          <w:kern w:val="2"/>
          <w:sz w:val="21"/>
          <w:lang w:eastAsia="zh-CN"/>
        </w:rPr>
      </w:pPr>
      <w:r>
        <w:rPr>
          <w:rFonts w:ascii="仿宋" w:eastAsia="仿宋" w:hAnsi="仿宋" w:cs="仿宋" w:hint="eastAsia"/>
          <w:kern w:val="2"/>
          <w:sz w:val="21"/>
          <w:lang w:eastAsia="zh-CN"/>
        </w:rPr>
        <w:t>32.5对不属于《资格性审查表》和《符合性审查表》所列的其他情形，除专用条款另有规定和32.4条款所列情形外，不得作为投标无效的理由。</w:t>
      </w:r>
    </w:p>
    <w:p w14:paraId="2F7591B4">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33．澄清有关问题</w:t>
      </w:r>
    </w:p>
    <w:p w14:paraId="37A7B9FB">
      <w:pPr>
        <w:widowControl w:val="0"/>
        <w:spacing w:line="360" w:lineRule="auto"/>
        <w:ind w:firstLine="412" w:firstLineChars="196"/>
        <w:jc w:val="both"/>
        <w:rPr>
          <w:rFonts w:ascii="仿宋" w:eastAsia="仿宋" w:hAnsi="仿宋" w:cs="仿宋" w:hint="eastAsia"/>
          <w:kern w:val="2"/>
          <w:sz w:val="21"/>
          <w:lang w:eastAsia="zh-CN"/>
        </w:rPr>
      </w:pPr>
      <w:bookmarkStart w:id="90" w:name="_Hlk71407321"/>
      <w:r>
        <w:rPr>
          <w:rFonts w:ascii="仿宋" w:eastAsia="仿宋" w:hAnsi="仿宋" w:cs="仿宋" w:hint="eastAsia"/>
          <w:kern w:val="2"/>
          <w:sz w:val="21"/>
          <w:lang w:eastAsia="zh-CN"/>
        </w:rPr>
        <w:t>33.1对招标文件中描述有歧义或前后不一致的地方（不含</w:t>
      </w:r>
      <w:r>
        <w:rPr>
          <w:rFonts w:ascii="仿宋" w:eastAsia="仿宋" w:hAnsi="仿宋" w:cs="仿宋" w:hint="eastAsia"/>
          <w:kern w:val="2"/>
          <w:sz w:val="21"/>
          <w:szCs w:val="21"/>
          <w:lang w:eastAsia="zh-CN"/>
        </w:rPr>
        <w:t>招标文件存在歧义、重大缺陷导致评审工作无法进行的情况）</w:t>
      </w:r>
      <w:r>
        <w:rPr>
          <w:rFonts w:ascii="仿宋" w:eastAsia="仿宋" w:hAnsi="仿宋" w:cs="仿宋" w:hint="eastAsia"/>
          <w:kern w:val="2"/>
          <w:sz w:val="21"/>
          <w:lang w:eastAsia="zh-CN"/>
        </w:rPr>
        <w:t>，评审委员会有权进行评判，但对同一条款的评判应适用于每个投标人。</w:t>
      </w:r>
      <w:bookmarkEnd w:id="90"/>
    </w:p>
    <w:p w14:paraId="1E088D10">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33.2</w:t>
      </w:r>
      <w:r>
        <w:rPr>
          <w:rFonts w:ascii="仿宋" w:eastAsia="仿宋" w:hAnsi="仿宋" w:cs="仿宋" w:hint="eastAsia"/>
          <w:kern w:val="2"/>
          <w:sz w:val="21"/>
          <w:szCs w:val="21"/>
          <w:lang w:eastAsia="zh-CN"/>
        </w:rPr>
        <w:t>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14:paraId="4B167954">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33.3对于投标文件中含义不明确、同类问题表述不一致或者有明显文字和计算错误的内容，评审委员会应当以书面形式要求投标人作出必要的澄清、说明或者补正。</w:t>
      </w:r>
    </w:p>
    <w:p w14:paraId="71CDE2CF">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3D9EDA1">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根据本通用条款第34条，凡属于评审委员会在评审中发现的算术错误进行核实的修改不在此列。</w:t>
      </w:r>
    </w:p>
    <w:p w14:paraId="2E1C024B">
      <w:pPr>
        <w:widowControl w:val="0"/>
        <w:spacing w:line="360" w:lineRule="auto"/>
        <w:jc w:val="both"/>
        <w:rPr>
          <w:rFonts w:ascii="仿宋" w:eastAsia="仿宋" w:hAnsi="仿宋" w:cs="仿宋" w:hint="eastAsia"/>
          <w:kern w:val="2"/>
          <w:lang w:eastAsia="zh-CN"/>
        </w:rPr>
      </w:pPr>
      <w:bookmarkStart w:id="91" w:name="_Toc73517673"/>
      <w:bookmarkStart w:id="92" w:name="_Toc100052400"/>
      <w:bookmarkStart w:id="93" w:name="_Toc73521581"/>
      <w:bookmarkStart w:id="94" w:name="_Toc73518151"/>
      <w:bookmarkStart w:id="95" w:name="_Toc73521669"/>
      <w:r>
        <w:rPr>
          <w:rFonts w:ascii="仿宋" w:eastAsia="仿宋" w:hAnsi="仿宋" w:cs="仿宋" w:hint="eastAsia"/>
          <w:kern w:val="2"/>
          <w:lang w:eastAsia="zh-CN"/>
        </w:rPr>
        <w:t>34．错误的修正</w:t>
      </w:r>
      <w:bookmarkEnd w:id="91"/>
      <w:bookmarkEnd w:id="92"/>
      <w:bookmarkEnd w:id="93"/>
      <w:bookmarkEnd w:id="94"/>
      <w:bookmarkEnd w:id="95"/>
    </w:p>
    <w:p w14:paraId="3DB5251A">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投标文件报价出现前后不一致的，除专用条款另有规定外，按照下列规定修正：</w:t>
      </w:r>
    </w:p>
    <w:p w14:paraId="45C0E3D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34.1投标文件中开标一览表投标报价内容与投标文件中投标报价相应内容不一致的，以开标一览表为准；</w:t>
      </w:r>
    </w:p>
    <w:p w14:paraId="37F7912B">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34.2大写金额和小写金额不一致的，以大写金额为准；</w:t>
      </w:r>
    </w:p>
    <w:p w14:paraId="20D50EDE">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34.3单价金额小数点或者百分比有明显错位，以开标一览表的总价为准，并修改单价；</w:t>
      </w:r>
    </w:p>
    <w:p w14:paraId="760B6715">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34.4总价金额与按单价汇总金额不一致的，以单价金额计算结果为准。</w:t>
      </w:r>
    </w:p>
    <w:p w14:paraId="7EF10612">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53E8DF75">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35．投标文件的比较与评价</w:t>
      </w:r>
    </w:p>
    <w:p w14:paraId="48BC484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E9A6C04">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687EDCC7">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36. 实地考察或资料查验</w:t>
      </w:r>
    </w:p>
    <w:p w14:paraId="646265A1">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36.1在评审过程中，评审委员会有权决定是否对本项目投标人进行实地考察或资料查验（原件）。投标人应随时做好接受实地考察或资料查验的准备。</w:t>
      </w:r>
    </w:p>
    <w:p w14:paraId="3E3DA21B">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37．评审方法</w:t>
      </w:r>
    </w:p>
    <w:p w14:paraId="488FD790">
      <w:pPr>
        <w:widowControl w:val="0"/>
        <w:spacing w:line="360" w:lineRule="auto"/>
        <w:ind w:firstLine="412" w:firstLineChars="196"/>
        <w:jc w:val="both"/>
        <w:rPr>
          <w:rFonts w:ascii="仿宋" w:eastAsia="仿宋" w:hAnsi="仿宋" w:cs="仿宋" w:hint="eastAsia"/>
          <w:b/>
          <w:bCs/>
          <w:kern w:val="2"/>
          <w:sz w:val="21"/>
          <w:szCs w:val="21"/>
          <w:lang w:eastAsia="zh-CN"/>
        </w:rPr>
      </w:pPr>
      <w:bookmarkStart w:id="96" w:name="_Hlk72438142"/>
      <w:r>
        <w:rPr>
          <w:rFonts w:ascii="仿宋" w:eastAsia="仿宋" w:hAnsi="仿宋" w:cs="仿宋" w:hint="eastAsia"/>
          <w:b/>
          <w:bCs/>
          <w:kern w:val="2"/>
          <w:sz w:val="21"/>
          <w:szCs w:val="21"/>
          <w:lang w:eastAsia="zh-CN"/>
        </w:rPr>
        <w:t>37.1.1最低价法</w:t>
      </w:r>
    </w:p>
    <w:p w14:paraId="7E47DE85">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最低价法，是指完全满足招标文件实质性要求，按照报价由低到高的顺序，依据招标文件中规定的数量或者比例推荐候选中标供应商。</w:t>
      </w:r>
    </w:p>
    <w:p w14:paraId="7BA256EC">
      <w:pPr>
        <w:widowControl w:val="0"/>
        <w:spacing w:line="360" w:lineRule="auto"/>
        <w:ind w:firstLine="412" w:firstLineChars="196"/>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37.1.2综合评分法</w:t>
      </w:r>
    </w:p>
    <w:bookmarkEnd w:id="96"/>
    <w:p w14:paraId="3935EB74">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14:paraId="30E7D33D">
      <w:pPr>
        <w:widowControl w:val="0"/>
        <w:spacing w:line="360" w:lineRule="auto"/>
        <w:ind w:firstLine="412" w:firstLineChars="196"/>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37.2 本项目采用的评审方法见本项目招标文件第一册“专用条款”的相关内容。</w:t>
      </w:r>
    </w:p>
    <w:p w14:paraId="14C59091">
      <w:pPr>
        <w:widowControl w:val="0"/>
        <w:spacing w:line="360" w:lineRule="auto"/>
        <w:ind w:firstLine="412" w:firstLineChars="196"/>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37.3重新评审的情形</w:t>
      </w:r>
    </w:p>
    <w:p w14:paraId="46F3C256">
      <w:pPr>
        <w:widowControl w:val="0"/>
        <w:spacing w:line="360" w:lineRule="auto"/>
        <w:ind w:firstLine="412" w:firstLineChars="196"/>
        <w:jc w:val="both"/>
        <w:rPr>
          <w:rFonts w:ascii="仿宋" w:eastAsia="仿宋" w:hAnsi="仿宋" w:cs="仿宋" w:hint="eastAsia"/>
          <w:b/>
          <w:bCs/>
          <w:kern w:val="2"/>
          <w:sz w:val="21"/>
          <w:szCs w:val="21"/>
          <w:lang w:eastAsia="zh-CN"/>
        </w:rPr>
      </w:pPr>
      <w:r>
        <w:rPr>
          <w:rFonts w:ascii="仿宋" w:eastAsia="仿宋" w:hAnsi="仿宋" w:cs="仿宋" w:hint="eastAsia"/>
          <w:sz w:val="21"/>
          <w:szCs w:val="21"/>
          <w:lang w:eastAsia="zh-CN"/>
        </w:rPr>
        <w:t>评审结果汇总完成后，除下列情形外，任何人不得修改评审结果：</w:t>
      </w:r>
    </w:p>
    <w:p w14:paraId="4898C752">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37.3.1分值汇总计算错误的；</w:t>
      </w:r>
    </w:p>
    <w:p w14:paraId="0126DDDC">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37.3.2分项评分超出评分标准范围的；</w:t>
      </w:r>
    </w:p>
    <w:p w14:paraId="50B3D877">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37.3.3评审委员会成员对客观评审因素评分不一致的；</w:t>
      </w:r>
    </w:p>
    <w:p w14:paraId="108DE8AB">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37.3.4经评审委员会认定评分畸高、畸低的。</w:t>
      </w:r>
    </w:p>
    <w:p w14:paraId="56170CCC">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010899A">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投标人对本条第一款情形提出质疑的，采购人或者采购代理机构可以组织原评审委员会进行重新评审，重新评审改变评审结果的，应当书面报告本级财政部门。</w:t>
      </w:r>
    </w:p>
    <w:p w14:paraId="0C410053">
      <w:pPr>
        <w:widowControl w:val="0"/>
        <w:spacing w:line="360" w:lineRule="auto"/>
        <w:ind w:firstLine="412" w:firstLineChars="196"/>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 xml:space="preserve"> 37.4重新组建评审委员会的情形</w:t>
      </w:r>
    </w:p>
    <w:p w14:paraId="789D3092">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评审委员会或者其成员存在下列情形导致评审结果无效的，重新组建评审委员会进行评标，并书面报告本级财政部门：</w:t>
      </w:r>
    </w:p>
    <w:p w14:paraId="33A216A2">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37.4.1评审委员会组成不符合《政府采购货物和服务招标投标管理办法》规定的；</w:t>
      </w:r>
    </w:p>
    <w:p w14:paraId="7CAEB6F2">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37.4.2有《政府采购货物和服务招标投标管理办法》第六十二条第一至五项情形的；</w:t>
      </w:r>
    </w:p>
    <w:p w14:paraId="28313705">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37.4.3评审委员会及其成员独立评标受到非法干预的；</w:t>
      </w:r>
    </w:p>
    <w:p w14:paraId="28C01BCB">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37.4.4有政府采购法实施条例第七十五条规定的违法行为的。</w:t>
      </w:r>
    </w:p>
    <w:p w14:paraId="7E99D78B">
      <w:pPr>
        <w:widowControl w:val="0"/>
        <w:spacing w:line="360" w:lineRule="auto"/>
        <w:ind w:firstLine="412" w:firstLineChars="196"/>
        <w:jc w:val="both"/>
        <w:rPr>
          <w:rFonts w:ascii="仿宋" w:eastAsia="仿宋" w:hAnsi="仿宋" w:cs="仿宋" w:hint="eastAsia"/>
          <w:sz w:val="21"/>
          <w:szCs w:val="21"/>
          <w:lang w:eastAsia="zh-CN"/>
        </w:rPr>
      </w:pPr>
      <w:r>
        <w:rPr>
          <w:rFonts w:ascii="仿宋" w:eastAsia="仿宋" w:hAnsi="仿宋" w:cs="仿宋" w:hint="eastAsia"/>
          <w:sz w:val="21"/>
          <w:szCs w:val="21"/>
          <w:lang w:eastAsia="zh-CN"/>
        </w:rPr>
        <w:t>有违法违规行为的原评审委员会成员不得参加重新组建的评审委员会。</w:t>
      </w:r>
    </w:p>
    <w:p w14:paraId="22140DF0">
      <w:pPr>
        <w:widowControl w:val="0"/>
        <w:spacing w:line="360" w:lineRule="auto"/>
        <w:jc w:val="both"/>
        <w:rPr>
          <w:rFonts w:ascii="仿宋" w:eastAsia="仿宋" w:hAnsi="仿宋" w:cs="仿宋" w:hint="eastAsia"/>
          <w:b/>
          <w:color w:val="000000"/>
          <w:kern w:val="2"/>
          <w:lang w:eastAsia="zh-CN"/>
        </w:rPr>
      </w:pPr>
    </w:p>
    <w:p w14:paraId="2B46B4F9">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97" w:name="第八章1"/>
      <w:bookmarkEnd w:id="97"/>
      <w:bookmarkStart w:id="98" w:name="_Toc1513"/>
      <w:bookmarkStart w:id="99" w:name="_Toc26094"/>
      <w:bookmarkStart w:id="100" w:name="_Toc360"/>
      <w:bookmarkStart w:id="101" w:name="_Toc30568"/>
      <w:r>
        <w:rPr>
          <w:rFonts w:ascii="仿宋" w:eastAsia="仿宋" w:hAnsi="仿宋" w:cs="仿宋" w:hint="eastAsia"/>
          <w:b/>
          <w:color w:val="000000"/>
          <w:kern w:val="2"/>
          <w:sz w:val="32"/>
          <w:lang w:eastAsia="zh-CN"/>
        </w:rPr>
        <w:t xml:space="preserve">第八章 </w:t>
      </w:r>
      <w:bookmarkStart w:id="102" w:name="_Toc24537"/>
      <w:r>
        <w:rPr>
          <w:rFonts w:ascii="仿宋" w:eastAsia="仿宋" w:hAnsi="仿宋" w:cs="仿宋" w:hint="eastAsia"/>
          <w:b/>
          <w:color w:val="000000"/>
          <w:kern w:val="2"/>
          <w:sz w:val="32"/>
          <w:lang w:eastAsia="zh-CN"/>
        </w:rPr>
        <w:t>定标及公示</w:t>
      </w:r>
      <w:bookmarkEnd w:id="98"/>
      <w:bookmarkEnd w:id="99"/>
      <w:bookmarkEnd w:id="100"/>
      <w:bookmarkEnd w:id="101"/>
      <w:bookmarkEnd w:id="102"/>
    </w:p>
    <w:p w14:paraId="765EBB7F">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38．定标方法</w:t>
      </w:r>
    </w:p>
    <w:p w14:paraId="5CE904DA">
      <w:pPr>
        <w:widowControl w:val="0"/>
        <w:spacing w:line="360" w:lineRule="auto"/>
        <w:ind w:firstLine="412" w:firstLineChars="196"/>
        <w:jc w:val="both"/>
        <w:rPr>
          <w:rFonts w:ascii="仿宋" w:eastAsia="仿宋" w:hAnsi="仿宋" w:cs="仿宋" w:hint="eastAsia"/>
          <w:kern w:val="2"/>
          <w:sz w:val="21"/>
          <w:szCs w:val="21"/>
          <w:lang w:eastAsia="zh-CN"/>
        </w:rPr>
      </w:pPr>
      <w:bookmarkStart w:id="103" w:name="_Hlk73782795"/>
      <w:r>
        <w:rPr>
          <w:rFonts w:ascii="仿宋" w:eastAsia="仿宋" w:hAnsi="仿宋" w:cs="仿宋" w:hint="eastAsia"/>
          <w:kern w:val="2"/>
          <w:sz w:val="21"/>
          <w:szCs w:val="21"/>
          <w:lang w:eastAsia="zh-CN"/>
        </w:rPr>
        <w:t>38.1非评定分离项目定标方法</w:t>
      </w:r>
    </w:p>
    <w:p w14:paraId="1BEDAD52">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38.1.1评审委员会依据本项目招标文件所约定的评审方法进行评审和比较，向政府集中采购机构提交书面评审报告，并根据评审方法比较评价结果从优到劣进行排序，确定候选中标供应商。</w:t>
      </w:r>
    </w:p>
    <w:p w14:paraId="560A2C48">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14:paraId="465C5788">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2867108E">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38.2评定分离项目定标方法</w:t>
      </w:r>
    </w:p>
    <w:p w14:paraId="2D531C3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2053AB7">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szCs w:val="21"/>
          <w:lang w:eastAsia="zh-CN"/>
        </w:rPr>
        <w:t xml:space="preserve">38.2.2 </w:t>
      </w:r>
      <w:bookmarkStart w:id="104" w:name="_Hlk71469733"/>
      <w:r>
        <w:rPr>
          <w:rFonts w:ascii="仿宋" w:eastAsia="仿宋" w:hAnsi="仿宋" w:cs="仿宋" w:hint="eastAsia"/>
          <w:kern w:val="2"/>
          <w:sz w:val="21"/>
          <w:lang w:eastAsia="zh-CN"/>
        </w:rPr>
        <w:t>适用评定分离的政府采购项目，采用综合评分法评审。</w:t>
      </w:r>
      <w:r>
        <w:rPr>
          <w:rFonts w:ascii="仿宋" w:eastAsia="仿宋" w:hAnsi="仿宋" w:cs="仿宋" w:hint="eastAsia"/>
          <w:kern w:val="2"/>
          <w:sz w:val="21"/>
          <w:szCs w:val="21"/>
          <w:lang w:eastAsia="zh-CN"/>
        </w:rPr>
        <w:t>评审委员会按照评审结果，推荐</w:t>
      </w:r>
      <w:r>
        <w:rPr>
          <w:rFonts w:ascii="仿宋" w:eastAsia="仿宋" w:hAnsi="仿宋" w:cs="仿宋" w:hint="eastAsia"/>
          <w:kern w:val="2"/>
          <w:sz w:val="21"/>
          <w:lang w:eastAsia="zh-CN"/>
        </w:rPr>
        <w:t>三个合格的候选中标供应商。</w:t>
      </w:r>
    </w:p>
    <w:p w14:paraId="5A6E31C6">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38.2.3</w:t>
      </w:r>
      <w:bookmarkStart w:id="105" w:name="_Hlk71469688"/>
      <w:r>
        <w:rPr>
          <w:rFonts w:ascii="仿宋" w:eastAsia="仿宋" w:hAnsi="仿宋" w:cs="仿宋" w:hint="eastAsia"/>
          <w:kern w:val="2"/>
          <w:sz w:val="21"/>
          <w:lang w:eastAsia="zh-CN"/>
        </w:rPr>
        <w:t>适用评定分离的政府采购项目，</w:t>
      </w:r>
      <w:r>
        <w:rPr>
          <w:rFonts w:ascii="仿宋" w:eastAsia="仿宋" w:hAnsi="仿宋" w:cs="仿宋" w:hint="eastAsia"/>
          <w:kern w:val="2"/>
          <w:sz w:val="21"/>
          <w:szCs w:val="21"/>
          <w:lang w:eastAsia="zh-CN"/>
        </w:rPr>
        <w:t>按照自定法确定中标供应商：自定法是指采购人组织定标委员会，由定标委员会在三家候选中标供应商中确定中标供应商。</w:t>
      </w:r>
      <w:bookmarkEnd w:id="104"/>
      <w:bookmarkEnd w:id="105"/>
    </w:p>
    <w:p w14:paraId="6C34F4BA">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38.2.4政府集中采购机构</w:t>
      </w:r>
      <w:r>
        <w:rPr>
          <w:rFonts w:ascii="仿宋" w:eastAsia="仿宋" w:hAnsi="仿宋" w:cs="仿宋" w:hint="eastAsia"/>
          <w:kern w:val="2"/>
          <w:sz w:val="21"/>
          <w:lang w:eastAsia="zh-CN"/>
        </w:rPr>
        <w:t>应当自评审结束之日起两个工作日内将候选中标供应商名单及其投标文件、评审报告送交采购人</w:t>
      </w:r>
      <w:r>
        <w:rPr>
          <w:rFonts w:ascii="仿宋" w:eastAsia="仿宋" w:hAnsi="仿宋" w:cs="仿宋" w:hint="eastAsia"/>
          <w:kern w:val="2"/>
          <w:sz w:val="21"/>
          <w:szCs w:val="21"/>
          <w:lang w:eastAsia="zh-CN"/>
        </w:rPr>
        <w:t>。</w:t>
      </w:r>
      <w:r>
        <w:rPr>
          <w:rFonts w:ascii="仿宋" w:eastAsia="仿宋" w:hAnsi="仿宋" w:cs="仿宋" w:hint="eastAsia"/>
          <w:kern w:val="2"/>
          <w:sz w:val="21"/>
          <w:lang w:eastAsia="zh-CN"/>
        </w:rPr>
        <w:t>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规【2020】1号）执行。</w:t>
      </w:r>
    </w:p>
    <w:p w14:paraId="376DCDF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说明：采购人及投标供应商应按照上述方法提前做好相关准备。</w:t>
      </w:r>
    </w:p>
    <w:p w14:paraId="7D1482C8">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38.3专用条款另有规定的，按专用条款相关要求定标。</w:t>
      </w:r>
      <w:bookmarkEnd w:id="103"/>
    </w:p>
    <w:p w14:paraId="2CC71E19">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39．编写评审报告</w:t>
      </w:r>
    </w:p>
    <w:p w14:paraId="06CC516F">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0A21883">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40．中标公告</w:t>
      </w:r>
    </w:p>
    <w:p w14:paraId="7C59F5CE">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40.1</w:t>
      </w:r>
      <w:bookmarkStart w:id="106" w:name="_Hlk72438709"/>
      <w:r>
        <w:rPr>
          <w:rFonts w:ascii="仿宋" w:eastAsia="仿宋" w:hAnsi="仿宋" w:cs="仿宋" w:hint="eastAsia"/>
          <w:kern w:val="2"/>
          <w:sz w:val="21"/>
          <w:szCs w:val="21"/>
          <w:lang w:eastAsia="zh-CN"/>
        </w:rPr>
        <w:t>为体现“公开、公平、公正”的原则，评审结束后经采购人确认（确定）评审结果，政府集中采购机构将在</w:t>
      </w:r>
      <w:r>
        <w:rPr>
          <w:rFonts w:ascii="仿宋" w:eastAsia="仿宋" w:hAnsi="仿宋" w:cs="仿宋" w:hint="eastAsia"/>
          <w:b/>
          <w:bCs/>
          <w:kern w:val="2"/>
          <w:sz w:val="21"/>
          <w:lang w:eastAsia="zh-CN"/>
        </w:rPr>
        <w:t>深圳政府采购自行采购系统</w:t>
      </w:r>
      <w:r>
        <w:rPr>
          <w:rFonts w:ascii="仿宋" w:eastAsia="仿宋" w:hAnsi="仿宋" w:cs="仿宋" w:hint="eastAsia"/>
          <w:b/>
          <w:bCs/>
          <w:kern w:val="2"/>
          <w:sz w:val="21"/>
          <w:szCs w:val="21"/>
          <w:lang w:eastAsia="zh-CN"/>
        </w:rPr>
        <w:t>（https://zxcg.szggzy.com/home/index.html）</w:t>
      </w:r>
      <w:r>
        <w:rPr>
          <w:rFonts w:ascii="仿宋" w:eastAsia="仿宋" w:hAnsi="仿宋" w:cs="仿宋" w:hint="eastAsia"/>
          <w:kern w:val="2"/>
          <w:sz w:val="21"/>
          <w:szCs w:val="21"/>
          <w:lang w:eastAsia="zh-CN"/>
        </w:rPr>
        <w:t>上发布中标结果公告。</w:t>
      </w:r>
      <w:bookmarkEnd w:id="106"/>
      <w:bookmarkStart w:id="107" w:name="_Hlk72438751"/>
      <w:r>
        <w:rPr>
          <w:rFonts w:ascii="仿宋" w:eastAsia="仿宋" w:hAnsi="仿宋" w:cs="仿宋" w:hint="eastAsia"/>
          <w:kern w:val="2"/>
          <w:sz w:val="21"/>
          <w:szCs w:val="21"/>
          <w:lang w:eastAsia="zh-CN"/>
        </w:rPr>
        <w:t>供应商如对评审结果有异议，可在发布公示日期起七个工作日内向政府集中采购机构提出。 监督电话：0755-83948143。若在公示期内未提出质疑，则视为认同该评审结果。</w:t>
      </w:r>
    </w:p>
    <w:bookmarkEnd w:id="107"/>
    <w:p w14:paraId="106ECD50">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40.2质疑、投诉供应商应保证质疑、投诉内容的真实性和可靠性，并承担相应的法律责任。</w:t>
      </w:r>
    </w:p>
    <w:p w14:paraId="63F59D8E">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41．中标通知书</w:t>
      </w:r>
    </w:p>
    <w:p w14:paraId="6E24DF88">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41.1</w:t>
      </w:r>
      <w:bookmarkStart w:id="108" w:name="_Hlk72438863"/>
      <w:r>
        <w:rPr>
          <w:rFonts w:ascii="仿宋" w:eastAsia="仿宋" w:hAnsi="仿宋" w:cs="仿宋" w:hint="eastAsia"/>
          <w:kern w:val="2"/>
          <w:sz w:val="21"/>
          <w:szCs w:val="21"/>
          <w:lang w:eastAsia="zh-CN"/>
        </w:rPr>
        <w:t>中标公告公布以后无异常的情况下，中标供应商和采购人可自行登录</w:t>
      </w:r>
      <w:r>
        <w:rPr>
          <w:rFonts w:ascii="仿宋" w:eastAsia="仿宋" w:hAnsi="仿宋" w:cs="仿宋" w:hint="eastAsia"/>
          <w:b/>
          <w:bCs/>
          <w:kern w:val="2"/>
          <w:sz w:val="21"/>
          <w:szCs w:val="21"/>
          <w:lang w:eastAsia="zh-CN"/>
        </w:rPr>
        <w:t>“</w:t>
      </w:r>
      <w:r>
        <w:rPr>
          <w:rFonts w:ascii="仿宋" w:eastAsia="仿宋" w:hAnsi="仿宋" w:cs="仿宋" w:hint="eastAsia"/>
          <w:kern w:val="2"/>
          <w:sz w:val="21"/>
          <w:lang w:eastAsia="zh-CN"/>
        </w:rPr>
        <w:t>深圳政府采购自行采购系统（https://trade.szggzy.com/ggzy/center/#/login）</w:t>
      </w:r>
      <w:r>
        <w:rPr>
          <w:rFonts w:ascii="仿宋" w:eastAsia="仿宋" w:hAnsi="仿宋" w:cs="仿宋" w:hint="eastAsia"/>
          <w:b/>
          <w:bCs/>
          <w:kern w:val="2"/>
          <w:sz w:val="21"/>
          <w:szCs w:val="21"/>
          <w:lang w:eastAsia="zh-CN"/>
        </w:rPr>
        <w:t>”</w:t>
      </w:r>
      <w:r>
        <w:rPr>
          <w:rFonts w:ascii="仿宋" w:eastAsia="仿宋" w:hAnsi="仿宋" w:cs="仿宋" w:hint="eastAsia"/>
          <w:kern w:val="2"/>
          <w:sz w:val="21"/>
          <w:szCs w:val="21"/>
          <w:lang w:eastAsia="zh-CN"/>
        </w:rPr>
        <w:t>上打印</w:t>
      </w:r>
      <w:r>
        <w:rPr>
          <w:rFonts w:ascii="仿宋" w:eastAsia="仿宋" w:hAnsi="仿宋" w:cs="仿宋" w:hint="eastAsia"/>
          <w:b/>
          <w:kern w:val="2"/>
          <w:sz w:val="21"/>
          <w:szCs w:val="21"/>
          <w:lang w:eastAsia="zh-CN"/>
        </w:rPr>
        <w:t>《数字中标通知书》</w:t>
      </w:r>
      <w:r>
        <w:rPr>
          <w:rFonts w:ascii="仿宋" w:eastAsia="仿宋" w:hAnsi="仿宋" w:cs="仿宋" w:hint="eastAsia"/>
          <w:kern w:val="2"/>
          <w:sz w:val="21"/>
          <w:szCs w:val="21"/>
          <w:lang w:eastAsia="zh-CN"/>
        </w:rPr>
        <w:t>。</w:t>
      </w:r>
      <w:bookmarkEnd w:id="108"/>
    </w:p>
    <w:p w14:paraId="6E731E10">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41.2中标通知书是合同的重要组成部分。</w:t>
      </w:r>
    </w:p>
    <w:p w14:paraId="6DDDBCEF">
      <w:pPr>
        <w:widowControl w:val="0"/>
        <w:spacing w:line="360" w:lineRule="auto"/>
        <w:ind w:firstLine="412" w:firstLineChars="196"/>
        <w:jc w:val="both"/>
        <w:rPr>
          <w:rFonts w:ascii="仿宋" w:eastAsia="仿宋" w:hAnsi="仿宋" w:cs="仿宋" w:hint="eastAsia"/>
          <w:kern w:val="2"/>
          <w:sz w:val="21"/>
          <w:szCs w:val="21"/>
          <w:lang w:eastAsia="zh-CN"/>
        </w:rPr>
      </w:pPr>
      <w:bookmarkStart w:id="109" w:name="_Hlk71407340"/>
      <w:r>
        <w:rPr>
          <w:rFonts w:ascii="仿宋" w:eastAsia="仿宋" w:hAnsi="仿宋" w:cs="仿宋" w:hint="eastAsia"/>
          <w:kern w:val="2"/>
          <w:sz w:val="21"/>
          <w:szCs w:val="21"/>
          <w:lang w:eastAsia="zh-CN"/>
        </w:rPr>
        <w:t>41.3因质疑投诉或其它原因导致项目结果变更或采购终止的，政府集中采购机构有权吊销中标通知书。</w:t>
      </w:r>
    </w:p>
    <w:bookmarkEnd w:id="109"/>
    <w:p w14:paraId="3C1F5445">
      <w:pPr>
        <w:widowControl w:val="0"/>
        <w:spacing w:line="360" w:lineRule="auto"/>
        <w:jc w:val="both"/>
        <w:rPr>
          <w:rFonts w:ascii="仿宋" w:eastAsia="仿宋" w:hAnsi="仿宋" w:cs="仿宋" w:hint="eastAsia"/>
          <w:b/>
          <w:color w:val="000000"/>
          <w:kern w:val="2"/>
          <w:lang w:eastAsia="zh-CN"/>
        </w:rPr>
      </w:pPr>
    </w:p>
    <w:p w14:paraId="795B1E54">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110" w:name="第九章1"/>
      <w:bookmarkEnd w:id="110"/>
      <w:bookmarkStart w:id="111" w:name="_Toc17412"/>
      <w:bookmarkStart w:id="112" w:name="_Toc11736"/>
      <w:bookmarkStart w:id="113" w:name="_Toc24474"/>
      <w:bookmarkStart w:id="114" w:name="_Toc25733"/>
      <w:bookmarkStart w:id="115" w:name="_Toc23455"/>
      <w:bookmarkStart w:id="116" w:name="_Toc73517678"/>
      <w:bookmarkStart w:id="117" w:name="_Toc101074884"/>
      <w:bookmarkStart w:id="118" w:name="_Toc100052407"/>
      <w:r>
        <w:rPr>
          <w:rFonts w:ascii="仿宋" w:eastAsia="仿宋" w:hAnsi="仿宋" w:cs="仿宋" w:hint="eastAsia"/>
          <w:b/>
          <w:color w:val="000000"/>
          <w:kern w:val="2"/>
          <w:sz w:val="32"/>
          <w:lang w:eastAsia="zh-CN"/>
        </w:rPr>
        <w:t>第九章 公开采购失败的后续处理</w:t>
      </w:r>
      <w:bookmarkEnd w:id="111"/>
      <w:bookmarkEnd w:id="112"/>
      <w:bookmarkEnd w:id="113"/>
      <w:bookmarkEnd w:id="114"/>
      <w:bookmarkEnd w:id="115"/>
    </w:p>
    <w:p w14:paraId="1D83E884">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42．公开招标失败的处理</w:t>
      </w:r>
    </w:p>
    <w:p w14:paraId="479CDBA1">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szCs w:val="21"/>
          <w:lang w:eastAsia="zh-CN"/>
        </w:rPr>
        <w:t>42.1本项目公开招标过程中若由于投标截止后</w:t>
      </w:r>
      <w:r>
        <w:rPr>
          <w:rFonts w:ascii="仿宋" w:eastAsia="仿宋" w:hAnsi="仿宋" w:cs="仿宋" w:hint="eastAsia"/>
          <w:kern w:val="2"/>
          <w:sz w:val="21"/>
          <w:lang w:eastAsia="zh-CN"/>
        </w:rPr>
        <w:t>实际递交投标文件的供应商数量不足、经</w:t>
      </w:r>
      <w:r>
        <w:rPr>
          <w:rFonts w:ascii="仿宋" w:eastAsia="仿宋" w:hAnsi="仿宋" w:cs="仿宋" w:hint="eastAsia"/>
          <w:kern w:val="2"/>
          <w:sz w:val="21"/>
          <w:szCs w:val="21"/>
          <w:lang w:eastAsia="zh-CN"/>
        </w:rPr>
        <w:t>评审委员会</w:t>
      </w:r>
      <w:r>
        <w:rPr>
          <w:rFonts w:ascii="仿宋" w:eastAsia="仿宋" w:hAnsi="仿宋" w:cs="仿宋" w:hint="eastAsia"/>
          <w:kern w:val="2"/>
          <w:sz w:val="21"/>
          <w:lang w:eastAsia="zh-CN"/>
        </w:rPr>
        <w:t>评审对招标文件作实质响应的供应商不足等原因造成公开招标失败，可由政府集中采购机构重新组织采购。</w:t>
      </w:r>
    </w:p>
    <w:p w14:paraId="464A1550">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239B4C15">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42.3重新组织采购有以下两种组织形式：</w:t>
      </w:r>
    </w:p>
    <w:p w14:paraId="0B2B5002">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（1）由政府集中采购机构重新组织公开招标；</w:t>
      </w:r>
    </w:p>
    <w:p w14:paraId="4472C820">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（2）根据实际情况需要向同级财政部门提出非公开招标方式申请，经同级财政部门批准，公开招标失败采购项目可转为竞争性谈判或单一来源谈判方式采购。</w:t>
      </w:r>
    </w:p>
    <w:p w14:paraId="6D0FEC27">
      <w:pPr>
        <w:widowControl w:val="0"/>
        <w:spacing w:line="360" w:lineRule="auto"/>
        <w:ind w:firstLine="412"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42.4公开招标失败的采购项目重新组织公开招标，由政府集中采购机构重新按公开招标流程组织采购活动。</w:t>
      </w:r>
    </w:p>
    <w:p w14:paraId="00445BC5">
      <w:pPr>
        <w:widowControl w:val="0"/>
        <w:spacing w:line="360" w:lineRule="auto"/>
        <w:ind w:firstLine="420" w:firstLineChars="200"/>
        <w:jc w:val="both"/>
        <w:rPr>
          <w:rFonts w:ascii="仿宋" w:eastAsia="仿宋" w:hAnsi="仿宋" w:cs="仿宋" w:hint="eastAsia"/>
          <w:kern w:val="2"/>
          <w:sz w:val="21"/>
          <w:lang w:eastAsia="zh-CN"/>
        </w:rPr>
      </w:pPr>
      <w:r>
        <w:rPr>
          <w:rFonts w:ascii="仿宋" w:eastAsia="仿宋" w:hAnsi="仿宋" w:cs="仿宋" w:hint="eastAsia"/>
          <w:kern w:val="2"/>
          <w:sz w:val="21"/>
          <w:lang w:eastAsia="zh-CN"/>
        </w:rPr>
        <w:t>42.5公开招标失败的采购项目经同级财政部门批准转为竞争性谈判或单一来源谈判方式采购的，按规定要求组织政府采购工作。</w:t>
      </w:r>
    </w:p>
    <w:p w14:paraId="27835F4A">
      <w:pPr>
        <w:widowControl w:val="0"/>
        <w:spacing w:line="360" w:lineRule="auto"/>
        <w:jc w:val="both"/>
        <w:rPr>
          <w:rFonts w:ascii="仿宋" w:eastAsia="仿宋" w:hAnsi="仿宋" w:cs="仿宋" w:hint="eastAsia"/>
          <w:b/>
          <w:color w:val="000000"/>
          <w:kern w:val="2"/>
          <w:szCs w:val="21"/>
          <w:lang w:eastAsia="zh-CN"/>
        </w:rPr>
      </w:pPr>
    </w:p>
    <w:bookmarkEnd w:id="116"/>
    <w:bookmarkEnd w:id="117"/>
    <w:bookmarkEnd w:id="118"/>
    <w:p w14:paraId="45CC0A29">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119" w:name="第十章1"/>
      <w:bookmarkEnd w:id="119"/>
      <w:bookmarkStart w:id="120" w:name="_Toc13677"/>
      <w:bookmarkStart w:id="121" w:name="_Toc27904"/>
      <w:bookmarkStart w:id="122" w:name="_Toc26432"/>
      <w:bookmarkStart w:id="123" w:name="_Toc28198"/>
      <w:bookmarkStart w:id="124" w:name="_Toc26814"/>
      <w:r>
        <w:rPr>
          <w:rFonts w:ascii="仿宋" w:eastAsia="仿宋" w:hAnsi="仿宋" w:cs="仿宋" w:hint="eastAsia"/>
          <w:b/>
          <w:color w:val="000000"/>
          <w:kern w:val="2"/>
          <w:sz w:val="32"/>
          <w:lang w:eastAsia="zh-CN"/>
        </w:rPr>
        <w:t>第十章 合同的授予与备案</w:t>
      </w:r>
      <w:bookmarkEnd w:id="120"/>
      <w:bookmarkEnd w:id="121"/>
      <w:bookmarkEnd w:id="122"/>
      <w:bookmarkEnd w:id="123"/>
      <w:bookmarkEnd w:id="124"/>
    </w:p>
    <w:p w14:paraId="1C5E9D12">
      <w:pPr>
        <w:widowControl w:val="0"/>
        <w:spacing w:line="360" w:lineRule="auto"/>
        <w:jc w:val="both"/>
        <w:rPr>
          <w:rFonts w:ascii="仿宋" w:eastAsia="仿宋" w:hAnsi="仿宋" w:cs="仿宋" w:hint="eastAsia"/>
          <w:kern w:val="2"/>
          <w:lang w:eastAsia="zh-CN"/>
        </w:rPr>
      </w:pPr>
      <w:bookmarkStart w:id="125" w:name="_33._合同授予标准"/>
      <w:bookmarkEnd w:id="125"/>
      <w:bookmarkStart w:id="126" w:name="_Toc73518157"/>
      <w:bookmarkStart w:id="127" w:name="_Toc73521586"/>
      <w:bookmarkStart w:id="128" w:name="_Toc73517679"/>
      <w:bookmarkStart w:id="129" w:name="_Toc100052408"/>
      <w:bookmarkStart w:id="130" w:name="_Toc73521674"/>
      <w:bookmarkStart w:id="131" w:name="_Hlk72439088"/>
      <w:r>
        <w:rPr>
          <w:rFonts w:ascii="仿宋" w:eastAsia="仿宋" w:hAnsi="仿宋" w:cs="仿宋" w:hint="eastAsia"/>
          <w:kern w:val="2"/>
          <w:lang w:eastAsia="zh-CN"/>
        </w:rPr>
        <w:t>43．合同授予标准</w:t>
      </w:r>
      <w:bookmarkEnd w:id="126"/>
      <w:bookmarkEnd w:id="127"/>
      <w:bookmarkEnd w:id="128"/>
      <w:bookmarkEnd w:id="129"/>
      <w:bookmarkEnd w:id="130"/>
    </w:p>
    <w:p w14:paraId="0D8B5780">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本项目的合同将授予经本招标文件规定评审确定的中标供应商。</w:t>
      </w:r>
    </w:p>
    <w:p w14:paraId="15CE6D7F">
      <w:pPr>
        <w:widowControl w:val="0"/>
        <w:spacing w:line="360" w:lineRule="auto"/>
        <w:jc w:val="both"/>
        <w:rPr>
          <w:rFonts w:ascii="仿宋" w:eastAsia="仿宋" w:hAnsi="仿宋" w:cs="仿宋" w:hint="eastAsia"/>
          <w:kern w:val="2"/>
          <w:lang w:eastAsia="zh-CN"/>
        </w:rPr>
      </w:pPr>
      <w:bookmarkStart w:id="132" w:name="_Toc73521675"/>
      <w:bookmarkStart w:id="133" w:name="_Toc73518158"/>
      <w:bookmarkStart w:id="134" w:name="_Toc73521587"/>
      <w:bookmarkStart w:id="135" w:name="_Toc73517680"/>
      <w:bookmarkStart w:id="136" w:name="_Toc100052409"/>
      <w:r>
        <w:rPr>
          <w:rFonts w:ascii="仿宋" w:eastAsia="仿宋" w:hAnsi="仿宋" w:cs="仿宋" w:hint="eastAsia"/>
          <w:kern w:val="2"/>
          <w:lang w:eastAsia="zh-CN"/>
        </w:rPr>
        <w:t>44．</w:t>
      </w:r>
      <w:bookmarkEnd w:id="132"/>
      <w:bookmarkEnd w:id="133"/>
      <w:bookmarkEnd w:id="134"/>
      <w:bookmarkEnd w:id="135"/>
      <w:bookmarkEnd w:id="136"/>
      <w:r>
        <w:rPr>
          <w:rFonts w:ascii="仿宋" w:eastAsia="仿宋" w:hAnsi="仿宋" w:cs="仿宋" w:hint="eastAsia"/>
          <w:kern w:val="2"/>
          <w:lang w:eastAsia="zh-CN"/>
        </w:rPr>
        <w:t>接受和拒绝任何或所有投标的权力</w:t>
      </w:r>
    </w:p>
    <w:p w14:paraId="46A7FB8A">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37EBE29">
      <w:pPr>
        <w:widowControl w:val="0"/>
        <w:spacing w:line="360" w:lineRule="auto"/>
        <w:jc w:val="both"/>
        <w:rPr>
          <w:rFonts w:ascii="仿宋" w:eastAsia="仿宋" w:hAnsi="仿宋" w:cs="仿宋" w:hint="eastAsia"/>
          <w:kern w:val="2"/>
          <w:lang w:eastAsia="zh-CN"/>
        </w:rPr>
      </w:pPr>
      <w:bookmarkStart w:id="137" w:name="_Toc73518160"/>
      <w:bookmarkStart w:id="138" w:name="_Toc100052410"/>
      <w:bookmarkStart w:id="139" w:name="_Toc73521589"/>
      <w:bookmarkStart w:id="140" w:name="_Toc73521677"/>
      <w:bookmarkStart w:id="141" w:name="_Toc73517682"/>
      <w:r>
        <w:rPr>
          <w:rFonts w:ascii="仿宋" w:eastAsia="仿宋" w:hAnsi="仿宋" w:cs="仿宋" w:hint="eastAsia"/>
          <w:kern w:val="2"/>
          <w:lang w:eastAsia="zh-CN"/>
        </w:rPr>
        <w:t>45．合同的签订</w:t>
      </w:r>
      <w:bookmarkEnd w:id="137"/>
      <w:bookmarkEnd w:id="138"/>
      <w:bookmarkEnd w:id="139"/>
      <w:bookmarkEnd w:id="140"/>
      <w:bookmarkEnd w:id="141"/>
    </w:p>
    <w:p w14:paraId="67B1E7C6">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1C79616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45.2中标人如不按本通用条款第45.1款的规定与采购人签订合同，</w:t>
      </w:r>
      <w:r>
        <w:rPr>
          <w:rFonts w:ascii="仿宋" w:eastAsia="仿宋" w:hAnsi="仿宋" w:cs="仿宋" w:hint="eastAsia"/>
          <w:sz w:val="21"/>
          <w:szCs w:val="21"/>
          <w:lang w:eastAsia="zh-CN"/>
        </w:rPr>
        <w:t>情节严重的，由同级财政部门记入供应商诚信档案，予以通报</w:t>
      </w:r>
      <w:r>
        <w:rPr>
          <w:rFonts w:ascii="仿宋" w:eastAsia="仿宋" w:hAnsi="仿宋" w:cs="仿宋" w:hint="eastAsia"/>
          <w:kern w:val="2"/>
          <w:sz w:val="21"/>
          <w:szCs w:val="21"/>
          <w:lang w:eastAsia="zh-CN"/>
        </w:rPr>
        <w:t>；</w:t>
      </w:r>
    </w:p>
    <w:p w14:paraId="626D4D2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45.3中标人应当按照合同约定履行义务，完成中标项目，不得将中标项目转让（转包）给他人。</w:t>
      </w:r>
    </w:p>
    <w:p w14:paraId="3074BE60">
      <w:pPr>
        <w:widowControl w:val="0"/>
        <w:spacing w:line="360" w:lineRule="auto"/>
        <w:jc w:val="both"/>
        <w:rPr>
          <w:rFonts w:ascii="仿宋" w:eastAsia="仿宋" w:hAnsi="仿宋" w:cs="仿宋" w:hint="eastAsia"/>
          <w:kern w:val="2"/>
          <w:lang w:eastAsia="zh-CN"/>
        </w:rPr>
      </w:pPr>
      <w:bookmarkStart w:id="142" w:name="_Toc73521590"/>
      <w:bookmarkStart w:id="143" w:name="_Toc100052411"/>
      <w:bookmarkStart w:id="144" w:name="_Toc73517683"/>
      <w:bookmarkStart w:id="145" w:name="_Toc73518161"/>
      <w:bookmarkStart w:id="146" w:name="_Toc73521678"/>
      <w:r>
        <w:rPr>
          <w:rFonts w:ascii="仿宋" w:eastAsia="仿宋" w:hAnsi="仿宋" w:cs="仿宋" w:hint="eastAsia"/>
          <w:kern w:val="2"/>
          <w:lang w:eastAsia="zh-CN"/>
        </w:rPr>
        <w:t>46．履约担保</w:t>
      </w:r>
      <w:bookmarkEnd w:id="142"/>
      <w:bookmarkEnd w:id="143"/>
      <w:bookmarkEnd w:id="144"/>
      <w:bookmarkEnd w:id="145"/>
      <w:bookmarkEnd w:id="146"/>
    </w:p>
    <w:p w14:paraId="56596B2D">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46.1在签订项目合同的同时，中标人应按“对通用条款的补充内容”中规定的金额向采购人提交履约担保；</w:t>
      </w:r>
    </w:p>
    <w:p w14:paraId="7FA4B4C1">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46.2，允许供应商自主选择以支票、汇票、本票、保函等非现金方式提交履约担保；</w:t>
      </w:r>
      <w:r>
        <w:rPr>
          <w:rFonts w:ascii="仿宋" w:eastAsia="仿宋" w:hAnsi="仿宋" w:cs="仿宋" w:hint="eastAsia"/>
          <w:kern w:val="2"/>
          <w:sz w:val="21"/>
          <w:lang w:eastAsia="zh-CN"/>
        </w:rPr>
        <w:t>中标人提交履约担保不是合同签订的前提条件，不要求中标人提供除法律、法规明确规定外的其他担保。</w:t>
      </w:r>
    </w:p>
    <w:p w14:paraId="2682C6E3">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47. 合同备案</w:t>
      </w:r>
    </w:p>
    <w:p w14:paraId="5EF2D527">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sz w:val="21"/>
          <w:szCs w:val="21"/>
          <w:lang w:eastAsia="zh-Hans"/>
        </w:rPr>
        <w:t>采购人与中标供应商自中标通知书发出之日起10个工作日内签订政府采购合同，</w:t>
      </w:r>
      <w:r>
        <w:rPr>
          <w:rFonts w:ascii="仿宋" w:eastAsia="仿宋" w:hAnsi="仿宋" w:cs="仿宋" w:hint="eastAsia"/>
          <w:kern w:val="2"/>
          <w:sz w:val="21"/>
          <w:szCs w:val="21"/>
          <w:lang w:eastAsia="zh-CN"/>
        </w:rPr>
        <w:t>并按财政部门规定提交备案。</w:t>
      </w:r>
      <w:r>
        <w:rPr>
          <w:rFonts w:ascii="仿宋" w:eastAsia="仿宋" w:hAnsi="仿宋" w:cs="仿宋" w:hint="eastAsia"/>
          <w:kern w:val="2"/>
          <w:lang w:eastAsia="zh-CN"/>
        </w:rPr>
        <w:t>48. 合同变更</w:t>
      </w:r>
    </w:p>
    <w:p w14:paraId="1E5B2FCD">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合同变更事宜按《深圳市财政局关于优化政府采购合同备案的通知》（深财发保〔2022〕2号）相关规定执行。</w:t>
      </w:r>
    </w:p>
    <w:p w14:paraId="6095CDA1">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49. 项目验收</w:t>
      </w:r>
    </w:p>
    <w:p w14:paraId="0A56D8D5">
      <w:pPr>
        <w:widowControl/>
        <w:spacing w:line="360" w:lineRule="auto"/>
        <w:ind w:right="176" w:firstLine="420"/>
        <w:jc w:val="left"/>
        <w:rPr>
          <w:rFonts w:ascii="仿宋" w:eastAsia="仿宋" w:hAnsi="仿宋" w:cs="仿宋" w:hint="eastAsia"/>
          <w:kern w:val="2"/>
          <w:sz w:val="21"/>
          <w:lang w:eastAsia="zh-CN"/>
        </w:rPr>
      </w:pPr>
      <w:r>
        <w:rPr>
          <w:rFonts w:ascii="仿宋" w:eastAsia="仿宋" w:hAnsi="仿宋" w:cs="仿宋" w:hint="eastAsia"/>
          <w:kern w:val="2"/>
          <w:sz w:val="21"/>
          <w:lang w:eastAsia="zh-CN"/>
        </w:rPr>
        <w:t xml:space="preserve">49.1采购人应当按照招标文件和合同规定的标准和方法，及时组织验收。 </w:t>
      </w:r>
    </w:p>
    <w:p w14:paraId="7975876C">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50. 宣传</w:t>
      </w:r>
    </w:p>
    <w:p w14:paraId="57BC6DEA">
      <w:pPr>
        <w:widowControl w:val="0"/>
        <w:spacing w:line="360" w:lineRule="auto"/>
        <w:ind w:left="240" w:firstLine="412" w:leftChars="100"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凡与政府采购活动有关的宣传或广告，若当中提及政府采购，必须事先将具体对外宣传方案报同级财政部门和政府集中采购机构，并征得其同意。对外市场宣传包括但不限于以下形式：</w:t>
      </w:r>
    </w:p>
    <w:p w14:paraId="25BF52CC">
      <w:pPr>
        <w:widowControl w:val="0"/>
        <w:spacing w:line="360" w:lineRule="auto"/>
        <w:ind w:left="240" w:firstLine="412" w:leftChars="100"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a.名片、宣传册、广告标语等；</w:t>
      </w:r>
    </w:p>
    <w:p w14:paraId="44512680">
      <w:pPr>
        <w:widowControl w:val="0"/>
        <w:spacing w:line="360" w:lineRule="auto"/>
        <w:ind w:left="240" w:firstLine="412" w:leftChars="100"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b.案例介绍、推广等；</w:t>
      </w:r>
    </w:p>
    <w:p w14:paraId="26790221">
      <w:pPr>
        <w:widowControl w:val="0"/>
        <w:spacing w:line="360" w:lineRule="auto"/>
        <w:ind w:left="240" w:firstLine="412" w:leftChars="100" w:firstLineChars="196"/>
        <w:jc w:val="both"/>
        <w:rPr>
          <w:rFonts w:ascii="仿宋" w:eastAsia="仿宋" w:hAnsi="仿宋" w:cs="仿宋" w:hint="eastAsia"/>
          <w:kern w:val="2"/>
          <w:sz w:val="21"/>
          <w:lang w:eastAsia="zh-CN"/>
        </w:rPr>
      </w:pPr>
      <w:r>
        <w:rPr>
          <w:rFonts w:ascii="仿宋" w:eastAsia="仿宋" w:hAnsi="仿宋" w:cs="仿宋" w:hint="eastAsia"/>
          <w:kern w:val="2"/>
          <w:sz w:val="21"/>
          <w:lang w:eastAsia="zh-CN"/>
        </w:rPr>
        <w:t>c.工作人员向其他消费群体宣传。</w:t>
      </w:r>
    </w:p>
    <w:p w14:paraId="249DE494">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51. 供应商违法责任</w:t>
      </w:r>
    </w:p>
    <w:p w14:paraId="670DC12D">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3DC9F82">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（1）在采购活动中应当回避而未回避的；</w:t>
      </w:r>
    </w:p>
    <w:p w14:paraId="75F35AE3">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（2）未按本条例规定签订、履行采购合同，造成严重后果的；</w:t>
      </w:r>
    </w:p>
    <w:p w14:paraId="319C2D90">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（3）隐瞒真实情况，提供虚假资料的；</w:t>
      </w:r>
    </w:p>
    <w:p w14:paraId="21FF9A3E">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（4）以非法手段排斥其他供应商参与竞争的；</w:t>
      </w:r>
    </w:p>
    <w:p w14:paraId="375C6D63">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（5）与其他采购参加人串通投标的；</w:t>
      </w:r>
    </w:p>
    <w:p w14:paraId="2E490F26">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（6）恶意投诉的；</w:t>
      </w:r>
    </w:p>
    <w:p w14:paraId="317C2CC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（7）向采购项目相关人行贿或者提供其他不当利益的；</w:t>
      </w:r>
    </w:p>
    <w:p w14:paraId="4476C56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（8）阻碍、抗拒主管部门监督检查的；</w:t>
      </w:r>
    </w:p>
    <w:p w14:paraId="69271594">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（9）其他违反本条例规定的行为。</w:t>
      </w:r>
    </w:p>
    <w:p w14:paraId="4B99F1D3">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51.2 根据《深圳市财政局关于调整政府采购投标（响应）保证金管理政策的通知 》（深财购〔2021〕51 号）的要求，供应商在政府采购活动中出现《深圳经济特区政府采购条例实施细则》第八十条所列情形的，</w:t>
      </w:r>
      <w:bookmarkStart w:id="147" w:name="_Hlk72440769"/>
      <w:r>
        <w:rPr>
          <w:rFonts w:ascii="仿宋" w:eastAsia="仿宋" w:hAnsi="仿宋" w:cs="仿宋" w:hint="eastAsia"/>
          <w:kern w:val="2"/>
          <w:sz w:val="21"/>
          <w:szCs w:val="21"/>
          <w:lang w:eastAsia="zh-CN"/>
        </w:rPr>
        <w:t>政府集中采购机构或采购人不予退还其交纳的谈判保证金，情节严重的，并由主管部门</w:t>
      </w:r>
      <w:bookmarkEnd w:id="147"/>
      <w:r>
        <w:rPr>
          <w:rFonts w:ascii="仿宋" w:eastAsia="仿宋" w:hAnsi="仿宋" w:cs="仿宋" w:hint="eastAsia"/>
          <w:kern w:val="2"/>
          <w:sz w:val="21"/>
          <w:szCs w:val="21"/>
          <w:lang w:eastAsia="zh-CN"/>
        </w:rPr>
        <w:t>记入供应商诚信档案，予以通报：</w:t>
      </w:r>
    </w:p>
    <w:p w14:paraId="4A8A021B">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（1）投标截止后，撤销投标的；</w:t>
      </w:r>
    </w:p>
    <w:p w14:paraId="076AB7E7">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（2）中标后无正当理由未在规定期限内签订合同的；</w:t>
      </w:r>
    </w:p>
    <w:p w14:paraId="4A6DB550">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（3）将中标项目转让给他人、或者在投标文件中未说明且未经采购人、采购招标机构同意，将中标项目分包给他人的；</w:t>
      </w:r>
    </w:p>
    <w:p w14:paraId="73785DB2">
      <w:pPr>
        <w:widowControl w:val="0"/>
        <w:spacing w:line="360" w:lineRule="auto"/>
        <w:ind w:firstLine="412" w:firstLineChars="196"/>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（4）拒绝履行合同义务的。</w:t>
      </w:r>
    </w:p>
    <w:bookmarkEnd w:id="131"/>
    <w:p w14:paraId="4CD4F63C">
      <w:pPr>
        <w:widowControl w:val="0"/>
        <w:spacing w:line="360" w:lineRule="auto"/>
        <w:jc w:val="both"/>
        <w:rPr>
          <w:rFonts w:ascii="仿宋" w:eastAsia="仿宋" w:hAnsi="仿宋" w:cs="仿宋" w:hint="eastAsia"/>
          <w:b/>
          <w:kern w:val="2"/>
          <w:lang w:eastAsia="zh-CN"/>
        </w:rPr>
      </w:pPr>
    </w:p>
    <w:p w14:paraId="238C44B9">
      <w:pPr>
        <w:keepNext/>
        <w:keepLines/>
        <w:widowControl w:val="0"/>
        <w:bidi w:val="0"/>
        <w:spacing w:beforeLines="0" w:beforeAutospacing="0" w:afterLines="0" w:afterAutospacing="0" w:line="360" w:lineRule="auto"/>
        <w:jc w:val="center"/>
        <w:outlineLvl w:val="1"/>
        <w:rPr>
          <w:rFonts w:ascii="仿宋" w:eastAsia="仿宋" w:hAnsi="仿宋" w:cs="仿宋" w:hint="eastAsia"/>
          <w:b/>
          <w:color w:val="000000"/>
          <w:kern w:val="2"/>
          <w:sz w:val="32"/>
          <w:lang w:eastAsia="zh-CN"/>
        </w:rPr>
      </w:pPr>
      <w:bookmarkStart w:id="148" w:name="_Toc14144"/>
      <w:r>
        <w:rPr>
          <w:rFonts w:ascii="仿宋" w:eastAsia="仿宋" w:hAnsi="仿宋" w:cs="仿宋" w:hint="eastAsia"/>
          <w:b/>
          <w:color w:val="000000"/>
          <w:kern w:val="2"/>
          <w:sz w:val="32"/>
          <w:lang w:eastAsia="zh-CN"/>
        </w:rPr>
        <w:t>第十一章 质疑处理</w:t>
      </w:r>
      <w:bookmarkEnd w:id="148"/>
    </w:p>
    <w:p w14:paraId="3E805003">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52.质疑提出与答复</w:t>
      </w:r>
    </w:p>
    <w:p w14:paraId="79F1C21A">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52.1提出质疑</w:t>
      </w:r>
    </w:p>
    <w:p w14:paraId="708ED0D9">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949507C">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52.2法律依据</w:t>
      </w:r>
    </w:p>
    <w:p w14:paraId="1AF2B30B">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中华人民共和国政府采购法》、《中华人民共和国政府采购法实施条例》、《深圳经济特区政府采购条例》、《深圳经济特区政府采购条例实施细则》、《政府采购质疑和投诉办法》（财政部令第94号）和其他有关法律法规规定。</w:t>
      </w:r>
    </w:p>
    <w:p w14:paraId="44580F4B">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w:t>
      </w:r>
      <w:r>
        <w:rPr>
          <w:rFonts w:ascii="仿宋" w:eastAsia="仿宋" w:hAnsi="仿宋" w:cs="仿宋" w:hint="eastAsia"/>
          <w:color w:val="FF0000"/>
          <w:kern w:val="2"/>
          <w:sz w:val="21"/>
          <w:szCs w:val="21"/>
          <w:lang w:eastAsia="zh-CN"/>
        </w:rPr>
        <w:t xml:space="preserve">  </w:t>
      </w:r>
      <w:r>
        <w:rPr>
          <w:rFonts w:ascii="仿宋" w:eastAsia="仿宋" w:hAnsi="仿宋" w:cs="仿宋" w:hint="eastAsia"/>
          <w:kern w:val="2"/>
          <w:sz w:val="21"/>
          <w:szCs w:val="21"/>
          <w:lang w:eastAsia="zh-CN"/>
        </w:rPr>
        <w:t>52.3质疑条件</w:t>
      </w:r>
    </w:p>
    <w:p w14:paraId="61027A4C">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52.3.1提出质疑的供应商应当是参与所质疑项目采购活动的供应商；</w:t>
      </w:r>
      <w:bookmarkStart w:id="149" w:name="_Hlk75374941"/>
      <w:r>
        <w:rPr>
          <w:rFonts w:ascii="仿宋" w:eastAsia="仿宋" w:hAnsi="仿宋" w:cs="仿宋" w:hint="eastAsia"/>
          <w:kern w:val="2"/>
          <w:sz w:val="21"/>
          <w:szCs w:val="21"/>
          <w:lang w:eastAsia="zh-CN"/>
        </w:rPr>
        <w:t>以联合体形式参与的，质疑应当由组成联合体的所有成员共同提出</w:t>
      </w:r>
      <w:bookmarkEnd w:id="149"/>
      <w:r>
        <w:rPr>
          <w:rFonts w:ascii="仿宋" w:eastAsia="仿宋" w:hAnsi="仿宋" w:cs="仿宋" w:hint="eastAsia"/>
          <w:kern w:val="2"/>
          <w:sz w:val="21"/>
          <w:szCs w:val="21"/>
          <w:lang w:eastAsia="zh-CN"/>
        </w:rPr>
        <w:t>；</w:t>
      </w:r>
    </w:p>
    <w:p w14:paraId="2330FA69">
      <w:pPr>
        <w:widowControl w:val="0"/>
        <w:spacing w:line="360" w:lineRule="auto"/>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3946A0E">
      <w:pPr>
        <w:widowControl w:val="0"/>
        <w:spacing w:line="360" w:lineRule="auto"/>
        <w:ind w:firstLine="42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 xml:space="preserve">52.3.3应提交书面质疑函，质疑函应当包括以下内容： </w:t>
      </w:r>
    </w:p>
    <w:p w14:paraId="20755E20">
      <w:pPr>
        <w:widowControl w:val="0"/>
        <w:spacing w:line="360" w:lineRule="auto"/>
        <w:ind w:firstLine="42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（1）供应商的名称（或者姓名）、地址、邮编、邮箱、联系人及联系电话；</w:t>
      </w:r>
    </w:p>
    <w:p w14:paraId="26555F1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（2）质疑项目的名称、编号；</w:t>
      </w:r>
    </w:p>
    <w:p w14:paraId="7AB15CFE">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（3）具体、明确的质疑对象、质疑事项和质疑请求；</w:t>
      </w:r>
    </w:p>
    <w:p w14:paraId="371B8E8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（4）因质疑事项而受损害的权益；</w:t>
      </w:r>
    </w:p>
    <w:p w14:paraId="1ACBD972">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（5）事实依据；</w:t>
      </w:r>
    </w:p>
    <w:p w14:paraId="1B923325">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（6）必要的法律依据；</w:t>
      </w:r>
    </w:p>
    <w:p w14:paraId="7C110B37">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（7）提出质疑的日期。</w:t>
      </w:r>
    </w:p>
    <w:p w14:paraId="5F9A1B1F">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供应商为自然人的，应当由本人签字；供应商为法人或者其他组织的，应当由法定代表人（负责人），或者其授权代理人签字或者盖章，并加盖公章。</w:t>
      </w:r>
    </w:p>
    <w:p w14:paraId="60860929">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52.4提交材料</w:t>
      </w:r>
    </w:p>
    <w:p w14:paraId="40891991">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4ADFE6F8">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AF1E8E8">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52.5收文地点</w:t>
      </w:r>
    </w:p>
    <w:p w14:paraId="72BAB05D">
      <w:pPr>
        <w:widowControl w:val="0"/>
        <w:spacing w:line="360" w:lineRule="auto"/>
        <w:ind w:firstLine="420" w:firstLineChars="200"/>
        <w:jc w:val="both"/>
        <w:rPr>
          <w:rFonts w:ascii="仿宋" w:eastAsia="仿宋" w:hAnsi="仿宋" w:cs="仿宋" w:hint="eastAsia"/>
          <w:b/>
          <w:bCs/>
          <w:kern w:val="2"/>
          <w:sz w:val="21"/>
          <w:szCs w:val="21"/>
          <w:lang w:eastAsia="zh-CN"/>
        </w:rPr>
      </w:pPr>
      <w:r>
        <w:rPr>
          <w:rFonts w:ascii="仿宋" w:eastAsia="仿宋" w:hAnsi="仿宋" w:cs="仿宋" w:hint="eastAsia"/>
          <w:b/>
          <w:bCs/>
          <w:kern w:val="2"/>
          <w:sz w:val="21"/>
          <w:szCs w:val="21"/>
          <w:lang w:eastAsia="zh-CN"/>
        </w:rPr>
        <w:t>地址：广东五装建设工程有限公司（地址：深圳市龙华区民治街道民强社区梅龙路和民旺路相交处民治商贸广场B2102）。</w:t>
      </w:r>
    </w:p>
    <w:p w14:paraId="1905FDE8">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52.6收文办理程序</w:t>
      </w:r>
    </w:p>
    <w:p w14:paraId="10AED475">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52A82E0">
      <w:pPr>
        <w:widowControl w:val="0"/>
        <w:spacing w:line="360" w:lineRule="auto"/>
        <w:ind w:firstLine="420" w:firstLineChars="200"/>
        <w:jc w:val="both"/>
        <w:rPr>
          <w:rFonts w:ascii="仿宋" w:eastAsia="仿宋" w:hAnsi="仿宋" w:cs="仿宋" w:hint="eastAsia"/>
          <w:kern w:val="2"/>
          <w:sz w:val="28"/>
          <w:szCs w:val="28"/>
          <w:lang w:eastAsia="zh-CN"/>
        </w:rPr>
      </w:pPr>
      <w:r>
        <w:rPr>
          <w:rFonts w:ascii="仿宋" w:eastAsia="仿宋" w:hAnsi="仿宋" w:cs="仿宋" w:hint="eastAsia"/>
          <w:kern w:val="2"/>
          <w:sz w:val="21"/>
          <w:szCs w:val="21"/>
          <w:lang w:eastAsia="zh-CN"/>
        </w:rPr>
        <w:t>52.6.2供应商提交的质疑材料不符合质疑条件的，视情况处理：</w:t>
      </w:r>
    </w:p>
    <w:p w14:paraId="4FC08420">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供应商提交的质疑材料不全或者未按要求签字或者盖章的，政府集中采购机构应当一次性告知供应商需补正的内容和补正期限。</w:t>
      </w:r>
    </w:p>
    <w:p w14:paraId="669EE7F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供应商提交的质疑存在下列情形之一的，不予受理：</w:t>
      </w:r>
    </w:p>
    <w:p w14:paraId="0AFABD93">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（1）质疑主体不满足要求的；</w:t>
      </w:r>
    </w:p>
    <w:p w14:paraId="5F0AD428">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（2）供应商自身权益未受到损害的；</w:t>
      </w:r>
    </w:p>
    <w:p w14:paraId="47AC2976">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（3）供应商未在法定质疑期限内提出质疑的；</w:t>
      </w:r>
    </w:p>
    <w:p w14:paraId="617D9EF9">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（4）质疑材料不全或者未按要求签字或者盖章的情况下，要求补正后，逾期未补正或者补正后仍不符合规定的；</w:t>
      </w:r>
    </w:p>
    <w:p w14:paraId="5F25831B">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（5）其他不符合受理条件情形的。</w:t>
      </w:r>
    </w:p>
    <w:p w14:paraId="1BED89B7">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质疑事项不予受理的，政府集中采购机构应当向供应商出具不符合质疑条件告知书。</w:t>
      </w:r>
    </w:p>
    <w:p w14:paraId="1955C12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52.7质疑答复时限</w:t>
      </w:r>
    </w:p>
    <w:p w14:paraId="32606DF0">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自收文之日起七个工作日内。</w:t>
      </w:r>
    </w:p>
    <w:p w14:paraId="07B48261">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52.8投诉</w:t>
      </w:r>
    </w:p>
    <w:p w14:paraId="4293CD9D">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对质疑答复不满意或者未在规定时间内答复的，提出质疑的供应商可以在答复期满后15个工作日内向本项目预算主管单位投诉。</w:t>
      </w:r>
    </w:p>
    <w:p w14:paraId="68251B82">
      <w:pPr>
        <w:widowControl w:val="0"/>
        <w:spacing w:line="360" w:lineRule="auto"/>
        <w:jc w:val="both"/>
        <w:rPr>
          <w:rFonts w:ascii="仿宋" w:eastAsia="仿宋" w:hAnsi="仿宋" w:cs="仿宋" w:hint="eastAsia"/>
          <w:kern w:val="2"/>
          <w:lang w:eastAsia="zh-CN"/>
        </w:rPr>
      </w:pPr>
      <w:r>
        <w:rPr>
          <w:rFonts w:ascii="仿宋" w:eastAsia="仿宋" w:hAnsi="仿宋" w:cs="仿宋" w:hint="eastAsia"/>
          <w:kern w:val="2"/>
          <w:lang w:eastAsia="zh-CN"/>
        </w:rPr>
        <w:t>53. 质疑后续处理</w:t>
      </w:r>
    </w:p>
    <w:p w14:paraId="63E0BE96">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53.1供应商质疑不成立，或者成立但未对中标、成交结果构成影响的，继续开展采购活动。</w:t>
      </w:r>
    </w:p>
    <w:p w14:paraId="701D2837">
      <w:pPr>
        <w:widowControl w:val="0"/>
        <w:spacing w:line="360" w:lineRule="auto"/>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D2CE">
      <w:pPr>
        <w:widowControl w:val="0"/>
        <w:spacing w:line="360" w:lineRule="auto"/>
        <w:jc w:val="center"/>
        <w:rPr>
          <w:rFonts w:ascii="仿宋" w:eastAsia="仿宋" w:hAnsi="仿宋" w:cs="仿宋" w:hint="eastAsia"/>
          <w:kern w:val="2"/>
          <w:sz w:val="21"/>
          <w:lang w:eastAsia="zh-CN"/>
        </w:rPr>
      </w:pPr>
      <w:r>
        <w:rPr>
          <w:rFonts w:ascii="仿宋" w:eastAsia="仿宋" w:hAnsi="仿宋" w:cs="仿宋" w:hint="eastAsia"/>
          <w:kern w:val="2"/>
          <w:sz w:val="21"/>
          <w:lang w:eastAsia="zh-CN"/>
        </w:rPr>
        <w:t>---- END ----</w:t>
      </w:r>
    </w:p>
    <w:p w14:paraId="5B0185B4">
      <w:pPr>
        <w:widowControl w:val="0"/>
        <w:spacing w:line="360" w:lineRule="auto"/>
        <w:jc w:val="both"/>
        <w:rPr>
          <w:rFonts w:ascii="仿宋" w:eastAsia="仿宋" w:hAnsi="仿宋" w:cs="仿宋" w:hint="eastAsia"/>
          <w:b/>
          <w:kern w:val="2"/>
          <w:lang w:eastAsia="zh-CN"/>
        </w:rPr>
        <w:sectPr>
          <w:headerReference w:type="default" r:id="rId6"/>
          <w:footerReference w:type="default" r:id="rId7"/>
          <w:pgSz w:w="11906" w:h="16838"/>
          <w:pgMar w:top="1440" w:right="1020" w:bottom="1440" w:left="1020" w:header="851" w:footer="992" w:gutter="0"/>
          <w:pgBorders>
            <w:top w:val="none" w:sz="0" w:space="0" w:color="auto"/>
            <w:left w:val="none" w:sz="0" w:space="0" w:color="auto"/>
            <w:bottom w:val="none" w:sz="0" w:space="0" w:color="auto"/>
            <w:right w:val="none" w:sz="0" w:space="0" w:color="auto"/>
          </w:pgBorders>
          <w:pgNumType w:fmt="decimal"/>
          <w:cols w:num="1" w:space="425"/>
          <w:docGrid w:type="lines" w:linePitch="312" w:charSpace="0"/>
        </w:sectPr>
      </w:pPr>
    </w:p>
    <w:p w14:paraId="1143073F">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14:paraId="0F0807F6">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仿宋" w:eastAsia="仿宋" w:hAnsi="仿宋" w:cs="仿宋"/>
          <w:b/>
          <w:bCs/>
          <w:color w:val="333333"/>
          <w:sz w:val="28"/>
          <w:szCs w:val="28"/>
          <w:lang w:val="en" w:eastAsia="en"/>
        </w:rPr>
      </w:pPr>
      <w:r>
        <w:rPr>
          <w:rFonts w:ascii="仿宋" w:eastAsia="仿宋" w:hAnsi="仿宋" w:cs="仿宋" w:hint="eastAsia"/>
          <w:b/>
          <w:bCs/>
          <w:color w:val="333333"/>
          <w:sz w:val="28"/>
          <w:szCs w:val="28"/>
          <w:lang w:val="en" w:eastAsia="zh-CN"/>
        </w:rPr>
        <w:t xml:space="preserve"> 2026年食堂管理服务</w:t>
      </w:r>
      <w:r>
        <w:rPr>
          <w:rFonts w:ascii="仿宋" w:eastAsia="仿宋" w:hAnsi="仿宋" w:cs="仿宋"/>
          <w:b/>
          <w:bCs/>
          <w:color w:val="333333"/>
          <w:sz w:val="28"/>
          <w:szCs w:val="28"/>
          <w:lang w:val="en" w:eastAsia="en"/>
        </w:rPr>
        <w:t>-A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14:paraId="5DED631A">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1A022B20">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66B87016">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14:paraId="34501CB1">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63FD99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FCDF44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投标函</w:t>
            </w:r>
          </w:p>
        </w:tc>
      </w:tr>
      <w:tr w14:paraId="590BE809">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B50F4D0">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E9772EE">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龙华区教育系统自行采购投标及履约承诺函</w:t>
            </w:r>
          </w:p>
        </w:tc>
      </w:tr>
      <w:tr w14:paraId="39461356">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8499975">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3C5A1AB">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投标人情况及资格证明文件</w:t>
            </w:r>
          </w:p>
        </w:tc>
      </w:tr>
      <w:tr w14:paraId="45F2828E">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F1281C2">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916DB26">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分项报价清单</w:t>
            </w:r>
          </w:p>
        </w:tc>
      </w:tr>
      <w:tr w14:paraId="46CC8A6E">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B17B562">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00EA830">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法定代表人（负责人）证明书</w:t>
            </w:r>
          </w:p>
        </w:tc>
      </w:tr>
      <w:tr w14:paraId="440388BD">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85255A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E30C8DC">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投标文件签署授权委托书</w:t>
            </w:r>
          </w:p>
        </w:tc>
      </w:tr>
      <w:tr w14:paraId="10D21924">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9FF190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E34E6A6">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实质性条款响应情况表</w:t>
            </w:r>
          </w:p>
        </w:tc>
      </w:tr>
      <w:tr w14:paraId="5C144762">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DDA668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262DDE7">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实施方案</w:t>
            </w:r>
          </w:p>
        </w:tc>
      </w:tr>
      <w:tr w14:paraId="5A4B421C">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C66D9E3">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2B73D9E">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项目重点难点分析、应对措施及相关的合理化建议</w:t>
            </w:r>
          </w:p>
        </w:tc>
      </w:tr>
      <w:tr w14:paraId="5AE0B8C5">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79A3E81">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ECB0416">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质量保障措施及方案</w:t>
            </w:r>
          </w:p>
        </w:tc>
      </w:tr>
      <w:tr w14:paraId="20AED840">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E43001B">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AA54424">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项目完成（服务期满）后的服务承诺</w:t>
            </w:r>
          </w:p>
        </w:tc>
      </w:tr>
      <w:tr w14:paraId="18012CA9">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09B2A76">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AEB5EFF">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违约承诺</w:t>
            </w:r>
          </w:p>
        </w:tc>
      </w:tr>
      <w:tr w14:paraId="7A7AA099">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139C67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D51E0A7">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项目负责人情况（仅限1人）</w:t>
            </w:r>
          </w:p>
        </w:tc>
      </w:tr>
      <w:tr w14:paraId="64AC1603">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D7D4F7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0743844">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项目团队人员</w:t>
            </w:r>
          </w:p>
        </w:tc>
      </w:tr>
      <w:tr w14:paraId="4C9C87E2">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EF0102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F4FDA65">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响应供应商资质情况及通过相关认证情况</w:t>
            </w:r>
          </w:p>
        </w:tc>
      </w:tr>
      <w:tr w14:paraId="3C1725FA">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36915B6">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7A7A203">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食品检测</w:t>
            </w:r>
          </w:p>
        </w:tc>
      </w:tr>
      <w:tr w14:paraId="14081B55">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1051D73">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31C09AF">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服务网点</w:t>
            </w:r>
          </w:p>
        </w:tc>
      </w:tr>
      <w:tr w14:paraId="0DA7BF63">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8E14E24">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FE81D91">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供应商获奖情况</w:t>
            </w:r>
          </w:p>
        </w:tc>
      </w:tr>
      <w:tr w14:paraId="692DEE4C">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B5AA55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84AF85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同类项目业绩</w:t>
            </w:r>
          </w:p>
        </w:tc>
      </w:tr>
      <w:tr w14:paraId="0397ECC8">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95874F8">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E34CB1C">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履约评价情况</w:t>
            </w:r>
          </w:p>
        </w:tc>
      </w:tr>
      <w:tr w14:paraId="7A7482D5">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C498E30">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F72A80D">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诚信承诺函</w:t>
            </w:r>
          </w:p>
        </w:tc>
      </w:tr>
      <w:tr w14:paraId="46B4A158">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0BA157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4872BEF">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其他招标文件要求或投标人认为需要补充的内容（格式自拟）</w:t>
            </w:r>
          </w:p>
        </w:tc>
      </w:tr>
      <w:tr w14:paraId="2AC4E3A7">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4FB0D51">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946A3DB">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评分标准和细则中其它所需的相关文件及证明材料（除投标文件附件中已有的外）</w:t>
            </w:r>
          </w:p>
        </w:tc>
      </w:tr>
    </w:tbl>
    <w:p w14:paraId="03B22A20">
      <w:pPr>
        <w:pBdr>
          <w:top w:val="none" w:sz="0" w:space="0" w:color="auto"/>
          <w:left w:val="none" w:sz="0" w:space="0" w:color="auto"/>
          <w:bottom w:val="none" w:sz="0" w:space="0" w:color="auto"/>
          <w:right w:val="none" w:sz="0" w:space="0" w:color="auto"/>
        </w:pBdr>
        <w:spacing w:line="432" w:lineRule="atLeast"/>
        <w:rPr>
          <w:rFonts w:ascii="仿宋" w:eastAsia="仿宋" w:hAnsi="仿宋" w:cs="仿宋"/>
          <w:b/>
          <w:bCs/>
          <w:color w:val="333333"/>
          <w:lang w:val="en" w:eastAsia="en"/>
        </w:rPr>
        <w:sectPr>
          <w:pgMar w:top="1440" w:right="1800" w:bottom="1440" w:left="1800" w:header="708" w:footer="708" w:gutter="0"/>
          <w:cols w:num="1" w:space="708"/>
        </w:sectPr>
      </w:pPr>
    </w:p>
    <w:p w14:paraId="42B15CAD">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评标办法附表</w:t>
      </w:r>
    </w:p>
    <w:p w14:paraId="019BDC79">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1.标段基本信息</w:t>
      </w:r>
    </w:p>
    <w:p w14:paraId="00EEC586">
      <w:pPr>
        <w:pBdr>
          <w:top w:val="none" w:sz="0" w:space="0" w:color="auto"/>
          <w:left w:val="none" w:sz="0" w:space="0" w:color="auto"/>
          <w:bottom w:val="none" w:sz="0" w:space="0" w:color="auto"/>
          <w:right w:val="none" w:sz="0" w:space="0" w:color="auto"/>
        </w:pBdr>
        <w:spacing w:after="0" w:line="432" w:lineRule="atLeast"/>
        <w:ind w:left="15" w:right="15"/>
        <w:rPr>
          <w:rFonts w:ascii="仿宋" w:eastAsia="仿宋" w:hAnsi="仿宋" w:cs="仿宋"/>
          <w:color w:val="333333"/>
          <w:lang w:val="en" w:eastAsia="en"/>
        </w:rPr>
      </w:pPr>
      <w:r>
        <w:rPr>
          <w:rFonts w:ascii="仿宋" w:eastAsia="仿宋" w:hAnsi="仿宋" w:cs="仿宋"/>
          <w:color w:val="333333"/>
          <w:lang w:val="en" w:eastAsia="en"/>
        </w:rPr>
        <w:t>标段编号：</w:t>
      </w:r>
      <w:r>
        <w:rPr>
          <w:rFonts w:ascii="微软雅黑" w:eastAsia="微软雅黑" w:hAnsi="微软雅黑" w:cs="微软雅黑"/>
          <w:color w:val="333333"/>
          <w:lang w:val="en" w:eastAsia="en"/>
        </w:rPr>
        <w:t xml:space="preserve"> </w:t>
      </w:r>
      <w:r>
        <w:rPr>
          <w:rFonts w:ascii="仿宋" w:eastAsia="仿宋" w:hAnsi="仿宋" w:cs="仿宋" w:hint="eastAsia"/>
          <w:color w:val="333333"/>
          <w:u w:val="single" w:color="333333"/>
          <w:lang w:val="en" w:eastAsia="zh-CN"/>
        </w:rPr>
        <w:t xml:space="preserve"> </w:t>
      </w:r>
      <w:r>
        <w:rPr>
          <w:rFonts w:ascii="仿宋" w:eastAsia="仿宋" w:hAnsi="仿宋" w:cs="仿宋"/>
          <w:color w:val="333333"/>
          <w:u w:val="single" w:color="333333"/>
          <w:lang w:val="en" w:eastAsia="en"/>
        </w:rPr>
        <w:t>-001</w:t>
      </w:r>
      <w:r>
        <w:rPr>
          <w:rFonts w:ascii="仿宋" w:eastAsia="仿宋" w:hAnsi="仿宋" w:cs="仿宋"/>
          <w:color w:val="333333"/>
          <w:u w:val="single" w:color="333333"/>
          <w:lang w:val="en" w:eastAsia="en"/>
        </w:rPr>
        <w:br/>
      </w:r>
      <w:r>
        <w:rPr>
          <w:rFonts w:ascii="仿宋" w:eastAsia="仿宋" w:hAnsi="仿宋" w:cs="仿宋"/>
          <w:color w:val="333333"/>
          <w:lang w:val="en" w:eastAsia="en"/>
        </w:rPr>
        <w:t>标段名称：</w:t>
      </w:r>
      <w:r>
        <w:rPr>
          <w:rFonts w:ascii="微软雅黑" w:eastAsia="微软雅黑" w:hAnsi="微软雅黑" w:cs="微软雅黑"/>
          <w:color w:val="333333"/>
          <w:lang w:val="en" w:eastAsia="en"/>
        </w:rPr>
        <w:t xml:space="preserve"> </w:t>
      </w:r>
      <w:r>
        <w:rPr>
          <w:rFonts w:ascii="仿宋" w:eastAsia="仿宋" w:hAnsi="仿宋" w:cs="仿宋" w:hint="eastAsia"/>
          <w:color w:val="333333"/>
          <w:u w:val="single" w:color="333333"/>
          <w:lang w:val="en" w:eastAsia="zh-CN"/>
        </w:rPr>
        <w:t xml:space="preserve"> 2026年食堂管理服务</w:t>
      </w:r>
      <w:r>
        <w:rPr>
          <w:rFonts w:ascii="仿宋" w:eastAsia="仿宋" w:hAnsi="仿宋" w:cs="仿宋"/>
          <w:color w:val="333333"/>
          <w:u w:val="single" w:color="333333"/>
          <w:lang w:val="en" w:eastAsia="en"/>
        </w:rPr>
        <w:t>-A</w:t>
      </w:r>
      <w:r>
        <w:rPr>
          <w:rFonts w:ascii="仿宋" w:eastAsia="仿宋" w:hAnsi="仿宋" w:cs="仿宋"/>
          <w:color w:val="333333"/>
          <w:u w:val="single" w:color="333333"/>
          <w:lang w:val="en" w:eastAsia="en"/>
        </w:rPr>
        <w:br/>
      </w:r>
    </w:p>
    <w:p w14:paraId="347163D6">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pPr>
    </w:p>
    <w:p w14:paraId="15669A2A">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2.入围参数</w:t>
      </w:r>
    </w:p>
    <w:p w14:paraId="2FB9D9B7">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pPr>
      <w:r>
        <w:rPr>
          <w:rFonts w:ascii="仿宋" w:eastAsia="仿宋" w:hAnsi="仿宋" w:cs="仿宋"/>
          <w:color w:val="333333"/>
          <w:lang w:val="en" w:eastAsia="en"/>
        </w:rPr>
        <w:t>是否过多投标人淘汰：</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否</w:t>
      </w:r>
    </w:p>
    <w:p w14:paraId="32D6BEB0">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142"/>
        <w:gridCol w:w="6852"/>
        <w:gridCol w:w="1142"/>
      </w:tblGrid>
      <w:tr w14:paraId="76963A4D">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2884E3D3">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20DA1948">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4F1E2E38">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r>
      <w:tr w14:paraId="6167912A">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48C2A9B">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6539D8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FD0BBC5">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71AD9A21">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EEE7007">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8D17BAF">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D678C64">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33F6AD9B">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43604CD">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2E1F257">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91365D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90</w:t>
            </w:r>
          </w:p>
        </w:tc>
      </w:tr>
      <w:tr w14:paraId="06C180AD">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BBF2778">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237E689">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C51810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6B45C60F">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536D6E5">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BBB20B8">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5A1B851">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r>
      <w:tr w14:paraId="79FF6D81">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79CC657">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51DA149">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594C13D">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5039AF73">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141A15D">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EDCC0D8">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C032D6D">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bl>
    <w:p w14:paraId="20A4F925">
      <w:pPr>
        <w:pBdr>
          <w:top w:val="none" w:sz="0" w:space="0" w:color="auto"/>
          <w:left w:val="none" w:sz="0" w:space="0" w:color="auto"/>
          <w:bottom w:val="none" w:sz="0" w:space="0" w:color="auto"/>
          <w:right w:val="none" w:sz="0" w:space="0" w:color="auto"/>
        </w:pBdr>
        <w:spacing w:after="0" w:line="432" w:lineRule="atLeast"/>
        <w:ind w:left="15" w:right="15"/>
        <w:rPr>
          <w:rFonts w:ascii="微软雅黑" w:eastAsia="微软雅黑" w:hAnsi="微软雅黑" w:cs="微软雅黑"/>
          <w:color w:val="333333"/>
          <w:lang w:val="en" w:eastAsia="en"/>
        </w:rPr>
      </w:pPr>
    </w:p>
    <w:p w14:paraId="62D7D7EE">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4.评审条款</w:t>
      </w:r>
    </w:p>
    <w:p w14:paraId="38ABBF44">
      <w:pPr>
        <w:pBdr>
          <w:top w:val="none" w:sz="0" w:space="0" w:color="auto"/>
          <w:left w:val="none" w:sz="0" w:space="0" w:color="auto"/>
          <w:bottom w:val="none" w:sz="0" w:space="0" w:color="auto"/>
          <w:right w:val="none" w:sz="0" w:space="0" w:color="auto"/>
        </w:pBdr>
        <w:spacing w:line="432" w:lineRule="atLeast"/>
        <w:ind w:left="15" w:right="15"/>
        <w:rPr>
          <w:rFonts w:ascii="仿宋" w:eastAsia="仿宋" w:hAnsi="仿宋" w:cs="仿宋"/>
          <w:color w:val="333333"/>
          <w:lang w:val="en" w:eastAsia="en"/>
        </w:rPr>
      </w:pPr>
      <w:r>
        <w:rPr>
          <w:rFonts w:ascii="仿宋" w:eastAsia="仿宋" w:hAnsi="仿宋" w:cs="仿宋"/>
          <w:color w:val="333333"/>
          <w:lang w:val="en" w:eastAsia="en"/>
        </w:rPr>
        <w:t>中标候选人：</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委托评标委员会直接定标</w:t>
      </w:r>
      <w:r>
        <w:rPr>
          <w:rFonts w:ascii="仿宋" w:eastAsia="仿宋" w:hAnsi="仿宋" w:cs="仿宋"/>
          <w:color w:val="333333"/>
          <w:lang w:val="en" w:eastAsia="en"/>
        </w:rPr>
        <w:br/>
      </w:r>
      <w:r>
        <w:rPr>
          <w:rFonts w:ascii="仿宋" w:eastAsia="仿宋" w:hAnsi="仿宋" w:cs="仿宋"/>
          <w:color w:val="333333"/>
          <w:lang w:val="en" w:eastAsia="en"/>
        </w:rPr>
        <w:br/>
      </w:r>
      <w:r>
        <w:rPr>
          <w:rFonts w:ascii="仿宋" w:eastAsia="仿宋" w:hAnsi="仿宋" w:cs="仿宋"/>
          <w:b/>
          <w:bCs/>
          <w:color w:val="000000"/>
          <w:lang w:val="en" w:eastAsia="en"/>
        </w:rPr>
        <w:t>4.1 资格评审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按分项自动汇总并发起否决投标</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12"/>
        <w:gridCol w:w="3762"/>
        <w:gridCol w:w="3762"/>
      </w:tblGrid>
      <w:tr w14:paraId="72C8D6B4">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477F9522">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5AA48299">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1C876C1C">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14:paraId="2B2D5682">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B3CBBDB">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A05D3C8">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DBA4CC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仿宋" w:eastAsia="仿宋" w:hAnsi="仿宋" w:cs="仿宋"/>
                <w:color w:val="666666"/>
                <w:lang w:val="en" w:eastAsia="en"/>
              </w:rPr>
              <w:br/>
            </w:r>
            <w:r>
              <w:rPr>
                <w:rFonts w:ascii="仿宋" w:eastAsia="仿宋" w:hAnsi="仿宋" w:cs="仿宋"/>
                <w:color w:val="666666"/>
                <w:lang w:val="en" w:eastAsia="en"/>
              </w:rPr>
              <w:t>本项目不接受联合体投标，不接受投标人选用进口产品参与投标</w:t>
            </w:r>
            <w:r>
              <w:rPr>
                <w:rFonts w:ascii="仿宋" w:eastAsia="仿宋" w:hAnsi="仿宋" w:cs="仿宋"/>
                <w:color w:val="666666"/>
                <w:lang w:val="en" w:eastAsia="en"/>
              </w:rPr>
              <w:br/>
            </w:r>
            <w:r>
              <w:rPr>
                <w:rFonts w:ascii="仿宋" w:eastAsia="仿宋" w:hAnsi="仿宋" w:cs="仿宋"/>
                <w:color w:val="666666"/>
                <w:lang w:val="en" w:eastAsia="en"/>
              </w:rPr>
              <w:t>参与本项目投标前三年内，在经营活动中没有重大违法记录（由供应商在《龙华区教育局自行采购投标及履约承诺函》中作出声明）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未被列入失信被执行人、重大税收违法案件当事人名单（税收违法黑名单）、政府采购严重违法失信行为记录名单（由供应商在《龙华区教育局自行采购投标及履约承诺函》中作出声明）。注：信用中国”、中国政府采购网”、深圳信用网”以及深圳市政府采购监管网”为供应商信用信息的查询渠道，相关信息以开标当日的查询结果为准；</w:t>
            </w:r>
            <w:r>
              <w:rPr>
                <w:rFonts w:ascii="仿宋" w:eastAsia="仿宋" w:hAnsi="仿宋" w:cs="仿宋"/>
                <w:color w:val="666666"/>
                <w:lang w:val="en" w:eastAsia="en"/>
              </w:rPr>
              <w:br/>
            </w:r>
            <w:r>
              <w:rPr>
                <w:rFonts w:ascii="仿宋" w:eastAsia="仿宋" w:hAnsi="仿宋" w:cs="仿宋"/>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局自行采购投标及履约承诺函》中作出声明并根据实际填写股东构成审查表”（详见采购文件相应章节））</w:t>
            </w:r>
            <w:r>
              <w:rPr>
                <w:rFonts w:ascii="仿宋" w:eastAsia="仿宋" w:hAnsi="仿宋" w:cs="仿宋"/>
                <w:color w:val="666666"/>
                <w:lang w:val="en" w:eastAsia="en"/>
              </w:rPr>
              <w:br/>
            </w:r>
            <w:r>
              <w:rPr>
                <w:rFonts w:ascii="仿宋" w:eastAsia="仿宋" w:hAnsi="仿宋" w:cs="仿宋"/>
                <w:color w:val="666666"/>
                <w:lang w:val="en" w:eastAsia="en"/>
              </w:rPr>
              <w:t>本项目是（否）专门面向中小企业采购：否。</w:t>
            </w:r>
          </w:p>
        </w:tc>
      </w:tr>
    </w:tbl>
    <w:p w14:paraId="767C5513">
      <w:pPr>
        <w:pBdr>
          <w:top w:val="none" w:sz="0" w:space="0" w:color="auto"/>
          <w:left w:val="none" w:sz="0" w:space="0" w:color="auto"/>
          <w:bottom w:val="none" w:sz="0" w:space="0" w:color="auto"/>
          <w:right w:val="none" w:sz="0" w:space="0" w:color="auto"/>
        </w:pBdr>
        <w:spacing w:line="240" w:lineRule="atLeast"/>
        <w:ind w:left="15" w:right="15"/>
        <w:rPr>
          <w:rFonts w:ascii="仿宋" w:eastAsia="仿宋" w:hAnsi="仿宋" w:cs="仿宋"/>
          <w:b/>
          <w:bCs/>
          <w:color w:val="000000"/>
          <w:lang w:val="en" w:eastAsia="en"/>
        </w:rPr>
      </w:pPr>
      <w:r>
        <w:rPr>
          <w:rFonts w:ascii="仿宋" w:eastAsia="仿宋" w:hAnsi="仿宋" w:cs="仿宋"/>
          <w:b/>
          <w:bCs/>
          <w:color w:val="000000"/>
          <w:lang w:val="en" w:eastAsia="en"/>
        </w:rPr>
        <w:t>4.2 初步评审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按分项自动汇总并发起否决投标</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12"/>
        <w:gridCol w:w="3762"/>
        <w:gridCol w:w="3762"/>
      </w:tblGrid>
      <w:tr w14:paraId="035277A9">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2D32DD0B">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354175CE">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1A534FE2">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14:paraId="44D313DF">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5B7E592">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8DC44DE">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2DDF6F3">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5C7C6989">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06726E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D84A745">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4541788">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6B856114">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6F058D8">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42ADA68">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投标总价或分项报价高于预算限额的，同一项目出现两个及以上报价，按规定又无法确定哪个是有效报价，投标人的报价低于其成本，且不能做出合理说明，投标报价有严重缺漏项目；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E108BD9">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07539FA2">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46DC9D0">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08CF943">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未按招标文件所提供的样式填写《投标函》；未按招标文件所提供的《龙华区教育系统自 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E7C3D69">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5EE0E70D">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81F87D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63DD209">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投标文件载明的服务期不满足招标文件规定的期限；</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D00D6F5">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76BF88B1">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BD1628A">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73B426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未按招标文件附件所提供的样式和要求完整填写投标文件的；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B965799">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2F7B0202">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C35D202">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0CA4232">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未按招标文件要求提供法定代表人资格证明书和法定代表人授权书的；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3080021">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0A1A867A">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E6D5E3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DD3165C">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对招标文件中带★号条款的响应有负偏离；</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E7B2AB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4B1D3E37">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C42743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A30199C">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5AA8E20">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32539E35">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499B208">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764B4F5">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686C824">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7677B820">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3351475">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B24252E">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6958830">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313B4A6C">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518CA62">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3F7EF3C">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经核实，不同投标供应商的投标文件由同一电子设备编制、加密或者上传的；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323F605">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r w14:paraId="74384305">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B814FE4">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36E6AA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476017F">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r>
    </w:tbl>
    <w:p w14:paraId="2682C141">
      <w:pPr>
        <w:pBdr>
          <w:top w:val="none" w:sz="0" w:space="0" w:color="auto"/>
          <w:left w:val="none" w:sz="0" w:space="0" w:color="auto"/>
          <w:bottom w:val="none" w:sz="0" w:space="0" w:color="auto"/>
          <w:right w:val="none" w:sz="0" w:space="0" w:color="auto"/>
        </w:pBdr>
        <w:spacing w:line="432" w:lineRule="atLeast"/>
        <w:rPr>
          <w:rFonts w:ascii="微软雅黑" w:eastAsia="微软雅黑" w:hAnsi="微软雅黑" w:cs="微软雅黑"/>
          <w:color w:val="333333"/>
          <w:lang w:val="en" w:eastAsia="en"/>
        </w:rPr>
      </w:pPr>
      <w:r>
        <w:rPr>
          <w:rFonts w:ascii="仿宋" w:eastAsia="仿宋" w:hAnsi="仿宋" w:cs="仿宋"/>
          <w:b/>
          <w:bCs/>
          <w:color w:val="000000"/>
          <w:lang w:val="en" w:eastAsia="en"/>
        </w:rPr>
        <w:t>4.3 详细评审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按评委打分直接平均</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913"/>
        <w:gridCol w:w="3289"/>
        <w:gridCol w:w="3289"/>
        <w:gridCol w:w="914"/>
        <w:gridCol w:w="731"/>
      </w:tblGrid>
      <w:tr w14:paraId="3821F77C">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281CAA7B">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37999861">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39859876">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756999C6">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14:paraId="50A11689">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权重</w:t>
            </w:r>
          </w:p>
        </w:tc>
      </w:tr>
      <w:tr w14:paraId="7D8B6CBD">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5E6A823">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430DE71">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3A25DB7">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6EE5795">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A225366">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7661CAEF">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B7B4EB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1F6EDB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2057ED4">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投标人提供完整的食堂服务方案，保证食品供应的各个环节完善到位，包括但不限于以下内容： 1.食堂运营方案 2.食堂安全管理等。 （二）评分依据： 评审委员会根据招标文件的需求和投标文件的内容响应情况进行评分： 1.内容满足以上任意2项要求的，得5分； 内容满足以上任意1项要求的，得2分； 内容未满足不得分。 2、在此基础上，评审委员会根据各投标人的具体响应情况按照以下评审标准进一步评审： 评审为优（方案设计内容全面，工作内容目标指向性强，整体方案展现高度系统性、科学性和定制化）的加3分； 评审为良（方案设计较详尽，基本契合项目需求，目标指向性较强，整体方案展现良好的系统性、科学性和定制化）的加2分； 评审为中（方案设计基本满足项目需求，有明确的工作目标，但方案的系统性、科学性和定制化一般）的 加1分； 3、评审为差（如不满足项目要求的）的不加分。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3BE6046">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66FD5332">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3A9D833A">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43047C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2814E5B">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6801A1B">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提供符合本项目服务特点的相关重点难点分析、应对措施及相关合理化建议， 包括但不限于： 1.原材料验收标准 2.菜品加工流程 3.食品留样制度 4.内控制度建立。 （二）评分依据： 评审委员会根据招标文件的需求和投标文件的内容响应情况进行评分： 1.内容满足以上4项要求的，得5分； 内容满足以上任意3项要求的，得3分； 内容满足以上任意2项要求的，得2分； 内容满足以上任意1项要求的，得1分； 内容未满足不得分。 2、在此基础上，评审委员会根据各投标人的具体响应情况按照以下评审标准进一步评审： 评审为优（方案设计内容全面，工作内容目标指向性强，整体方案展现高度系统性、科学性和定制化）的加3分； 评审为良（方案设计较详尽，基本契合项目需求，目标指向性较强，整体方案展现良好的系统性、科学性和定制化）的加2分； 评审为中（方案设计基本满足项目需求，有明确的工作目标，但方案的系统性、科学性和定制化一般）的加1分； 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65A2D550">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18681B0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09E596F9">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0B7510E">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83068E1">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2634E48">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（一）评分内容：根据投标人提供的： 1.餐饮服务质量保障措施 2.应急保障措施（包含食品安全事故、停电停水、燃气泄漏、消防安全等方面有具体的应急保障能力方案。） （二）评分依据： 评审委员会根据招标文件的需求和投标文件的内容响应情况进行评分： 1.内容满足以上任意2项要求的，得5分； 内容满足以上任意1项要求的，得2分； 内容未满足不得分。 2、在此基础上，评审委员会根据各投标人的具体响应情况按照以下评审标准进一步评审： 评审为优（方案设计内容全面，工作内容目标指向性强，整体方案展现高度系统性、科学性和定制化）的加3分； 评审为良（方案设计较详尽，基本契合项目需求，目标指向性较强，整体方案展现良好的系统性、科学性和定制化）的加2分； 评审为中（方案设计基本满足项目需求，有明确的工作目标，但方案的系统性、科学性和定制化一般）的加1分； 3、评审为差（如不满足项目要求的）的不加分。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01B7540">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F20EEF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2FC63096">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BC3C057">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3616FBB">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51AD17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服务期满后的服务承诺需在服务项目完成后10个工作日配合采购方完成物资交接等工作。如未能按时完成交接工作，将视为违规，投标人需向采购方支付中选价10%的违约金并赔偿其他损失。 （二）评分依据： 提供服务期满后的服务承诺函（格式自拟），按要求提供得2分。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0FD3E670">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7E7BCACE">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6B929AAF">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32B5C72">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AE5ED4E">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768E3F4">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投标人书面承诺：需在合同签订之日起7个工作日内，按时开展该合同服务，包括人员配备、服务方案等相关工作。如未能按时开展，将视为根本违约，采购方有权立即解除与其签订的采购合同，并按照招标结果依次顺延其他候选供应商，且还需向采购方支付中选价的5%的违约金并赔偿其他损失。 （二）评分依据： 提供违约承诺函（格式自拟），按要求提供得5分。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F096B1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2B0EAF8">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50623080">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440789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403BAE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9473181">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为本项目拟安排项目负责人负责项目的整体服务工作，项目负责人在具有本科或以上学历证书的基础上进行如下评分 ： 1.具有行政机关或事业单位或人社部门备案的社会评价组织颁发的中式烹调师一级证书得3分，二级证书得1分，其他情况不得分，本小项最高3分； 2.具有行政机关或事业单位或人社部门备案的社会评价组织颁发的中式面点师三级（含本级）以上证书得2分，其他情况不得分，本小项最高2分； 3.具有行政机关或事业单位或人社部门备案的社会评价组织颁发的三级（含本级）以上健康管理师证书得2分，其他情况不得分，本小项最高2分； 4.获得区级或以上行政机关或事业单位或人力资源部门组织的烹饪职业技能竞赛一等奖荣誉证书得2分，二等奖荣誉证书得1分，其他情况不得分，本小项最高2分； （三）评分依据： 1.项目负责人必须为响应供应商自有员工，开标日前由响应供应商为其缴交的载有社保部门公章的2024年10月至 2024年12月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2.涉及学历的，需同时提供学信网信息查询截图：①如较早颁发的学历证书，学信网无法查询的，可提供毕业院校或教育或人社部门等颁发机构或监管机构等出具的证明。②如海外留学（含港澳台）人学历无法通过学信网站查询的，应当提供教育部留学服务中心出具的国外学历认证证书以及教育部留学服务中心官网查询截图。若证明文件为其它语言，必须附中文译文，以中文译文为准。 3.提供相关人员有效证书扫描件及证书官网查询截图，若为人力资源和社会保障部门颁发的证书扫描件还需提供在技能人才评价网（httpzscx.osta.org.cn）查询截图，若为行业协会等社会组织颁发的证书需提供证书扫描件和技能人才评价证书全国联网查询系统（httpzscx.osta.org.cn）截图，否则不予认可，视为无效证书。 4.第4点需同时提供获奖荣誉证书与颁发单位的公布文件或官方网站截图，缺一不可。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DBF82D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5FFEB36">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4151AF8D">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A98B9C8">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66BB8947">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项目团队成员</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A7AC41E">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团队成员总人数要求至少5人，提供承诺函，未达到人数要求的不得分： 1.主厨1名：具有行政机关或事业单位或人社部门备案的社会评价组织颁发的一级中式烹调师得4分，二级得2分，其他情况不得分，本小项最高得4分； 2.营养师1名：在具有专科或以上学历（食品类或管理类相关专业）证书的基础上，进行如下评分 ： 1）具有行政机关或事业单位或人社部门备案的社会评价组织颁发的一级健康管理师证书； 2）具有行政机关或事业单位或人社部门备案的社会评价组织颁发的一级公共营养师证书的； 3）具有行政机关或事业单位或人社部门备案的社会评价组织颁发的高级营养配餐员证书的： 满足以上条件得4分，未满足不得分，本小项最高得4分。 3.出品主管1名： 1)具有行政机关或事业单位或人社部门备案的社会评价组织颁发的一级中式烹调师证书； 2)具有行政机关或事业单位或人社部门备案的社会评价组织颁发的一级中式面点师证书； 满足以上条件得3分，未满足不得分，本小项最高得3分 4.食品安全管理员2名：市场监督管理局或食品药品监督管理局颁发的有效期内初级餐饮服务食品安全管理员证书的不得分，中级餐饮服务食品安全管理员证书的得1分，高级餐饮服务食品安全管理员证书的得2分,本项最高得分4分。 （二）评分依据： 1、项目团队成员必须为响应供应商自有员工，开标日前由响应供应商为其缴交的载有社保部门公章的 2024年10月至 2024年12月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2、提供相关人员有效证书扫描件及证书官网查询截图，若为人力资源和社会保障部门颁发的证书扫描件还需提供在技能人才评价网（httpzscx.osta.org.cn）查询截图，若为行业协会等社会组织颁发的证书需提供证书扫描件和技能人才评价证书全国联网查询系统（httpzscx.osta.org.cn）截图，否则不予认可，视为无效证书。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19044311">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6E7F9CA4">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20E75216">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3979A5B">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DE13A2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87BD66D">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6B05B2B7">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796D0183">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00E367F6">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A3CC6A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D6662A1">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响应供应商资质情况及通过相关认证情况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24295BD">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1）具有质量管理体系认证证书，得1分； 2）具有环境管理体系认证证书，得1分； 3）具有食品安全管理体系认证证书，得1分； 4）具有餐饮企业现场管理评价认证证书，得1分； 5）具有绿色餐饮服务认证证书，得1分。 以上证书累加计分，满分得5分。 （二）评分依据： 提供有效期内的认证证书扫描件及在全国认证认可信息公共服务平台（认e云）查询有效的截图（httpcx.cnca.cn）且编号一致，原件备查（截图需显示证书状态为有效）。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0189228F">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29415DB7">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5CC414BE">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5872D87">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AB5A320">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食品检测</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DC10C78">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1、提供2024年1月1日至投标截止日有效期内具备CMA或CNAS资质的第三方检测机构出具的印有CMA或CNAS印章的合格检测报告（检测报告的委托单位需为投标人）： 检测至少包含以下项目但不限于：①生产用水②炒菜类③米饭④餐盘和筷子。 全部具有得5分，缺一项扣3分，扣完为止。 （二）评分依据： 投标人须提供相关检测报告证明文件扫描件及在全国认证认可信息公共服务平台（认e云）查询有效的截图（httpcx.cnca.cn）且编号一致，原件备查。 未提供或未按要求提供或提供不清晰导致评审无法辨别的不得分。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44F04135">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2F8D52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34243211">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92A3F75">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1C72589">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3D9CF7EB">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（一）评分内容：投标人在深圳市设有常驻服务点或投标人承诺中标后30日内在深圳市范围内设定常驻服务点的得5分,其他情况不得分。 （二）评分依据：投标人提供服务机构的营业执照或办公场所的房产证明或租赁合同扫描件；或提供符合上述要求的承诺函。 未提供或未按要求提供或提供不清晰导致专家无法判断的不得分。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6CEB194">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76E284A2">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3785D7A4">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8470987">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8A94125">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供应商获奖情况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249E1FF1">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投标人提供2021年1月1日以来获得行政机关或事业单位颁发的餐饮主管部门或烹饪协会颁发的团餐类技术比赛荣誉证书的得5分。 （二）评分依据： 提供奖项照片或获奖（荣誉）证书等证明材料扫描件，原件备查； 备注：评分中出现无证明资料或专家无法凭所提供资料判断是否得分的情况，一律作不得分处理。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27C3BE7">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68974988">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527C36A1">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43D022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6558552">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DA240C0">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（一）评分内容：投标人提供2021年1月1日至本项目投标截止之日，承担过行政机关或事业单位的食堂托管管理服务或食堂外包服务类同类项目业绩,每提供1个同类业绩得1分，满分5分。 （二）评分依据： 提供中标通知书和合同关键页（关键信息包括但不仅限于合同的项目名称、服务内容、合同服务的起止时间、签订日期等）证明文件扫描件，若合同无法体现的还需提供加盖甲方公章或业务章的证明文件，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7B5F6D4">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56FBB0A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234708CE">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6C4F83E">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77517855">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542BE7D2">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（一）评分内容： 投标人提供2021年1月1日至本项目投标截止日前，具有上述有效项目业绩并经服务单位考核评价为优或满意或评价表中其他最高等级评价的每提供1项得1分，本项最高得5分。 （二）评分依据： 提供以上项目盖有采购单位公章的总体履约评价为“优”或满意或评价表中其他最高等级评价的履约评价证明文件（内容必须包括但不仅限于项目名称、项目编号、总体履约评价结果、出具证明的签署日期等相关内容），原件备查。 未提供或未按要求提供或提供不清晰导致专家无法判断的不得分。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0AAA36CC">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44E76D89">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14:paraId="1899C1F0">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02D27E16">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1C78DFAA">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14:paraId="46142A85">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投标人承诺在参与龙华区教育局自行采购活动中未出现诚信或安全相关问题且不在相关主管部门处理措施实施期限内的本项得满分5分，否则不得分。 须提供加盖投标人公章的《诚信承诺函》，按采购文件格式要求提供，不提供或提供的不符合要求或提供不清晰导致专家无法判断的均不得分。如被认定提供的陈述与事实不符受到行政处罚的，依法追究其责任。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34928460">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14:paraId="16569FAA">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bl>
    <w:p w14:paraId="6B510931">
      <w:pPr>
        <w:keepLines/>
        <w:pBdr>
          <w:top w:val="none" w:sz="0" w:space="0" w:color="auto"/>
          <w:left w:val="none" w:sz="0" w:space="0" w:color="auto"/>
          <w:bottom w:val="none" w:sz="0" w:space="0" w:color="auto"/>
          <w:right w:val="none" w:sz="0" w:space="0" w:color="auto"/>
        </w:pBdr>
        <w:spacing w:before="0" w:line="432" w:lineRule="atLeast"/>
        <w:ind w:left="15" w:right="15"/>
        <w:rPr>
          <w:rFonts w:ascii="微软雅黑" w:eastAsia="微软雅黑" w:hAnsi="微软雅黑" w:cs="微软雅黑"/>
          <w:color w:val="333333"/>
          <w:lang w:val="en" w:eastAsia="en"/>
        </w:rPr>
      </w:pPr>
      <w:r>
        <w:rPr>
          <w:rFonts w:ascii="仿宋" w:eastAsia="仿宋" w:hAnsi="仿宋" w:cs="仿宋"/>
          <w:b/>
          <w:bCs/>
          <w:color w:val="000000"/>
          <w:lang w:val="en" w:eastAsia="en"/>
        </w:rPr>
        <w:t>4.5 价格评审</w:t>
      </w:r>
      <w:r>
        <w:rPr>
          <w:rFonts w:ascii="微软雅黑" w:eastAsia="微软雅黑" w:hAnsi="微软雅黑" w:cs="微软雅黑"/>
          <w:color w:val="333333"/>
          <w:lang w:val="en" w:eastAsia="en"/>
        </w:rPr>
        <w:t xml:space="preserve"> </w:t>
      </w:r>
    </w:p>
    <w:p w14:paraId="5F36B931">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sectPr>
          <w:pgMar w:top="1440" w:right="1800" w:bottom="1440" w:left="1800" w:header="708" w:footer="708" w:gutter="0"/>
          <w:cols w:num="1" w:space="708"/>
        </w:sectPr>
      </w:pPr>
      <w:r>
        <w:rPr>
          <w:rFonts w:ascii="仿宋" w:eastAsia="仿宋" w:hAnsi="仿宋" w:cs="仿宋"/>
          <w:color w:val="333333"/>
          <w:lang w:val="en" w:eastAsia="en"/>
        </w:rPr>
        <w:t>4.5.1 投标总价</w:t>
      </w:r>
      <w:r>
        <w:rPr>
          <w:rFonts w:ascii="仿宋" w:eastAsia="仿宋" w:hAnsi="仿宋" w:cs="仿宋"/>
          <w:color w:val="333333"/>
          <w:lang w:val="en" w:eastAsia="en"/>
        </w:rPr>
        <w:br/>
      </w:r>
      <w:r>
        <w:rPr>
          <w:rFonts w:ascii="仿宋" w:eastAsia="仿宋" w:hAnsi="仿宋" w:cs="仿宋"/>
          <w:color w:val="333333"/>
          <w:lang w:val="en" w:eastAsia="en"/>
        </w:rPr>
        <w:t>价格得分满分：</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10</w:t>
      </w:r>
      <w:r>
        <w:rPr>
          <w:rFonts w:ascii="仿宋" w:eastAsia="仿宋" w:hAnsi="仿宋" w:cs="仿宋"/>
          <w:color w:val="333333"/>
          <w:lang w:val="en" w:eastAsia="en"/>
        </w:rPr>
        <w:br/>
      </w:r>
      <w:r>
        <w:rPr>
          <w:rFonts w:ascii="仿宋" w:eastAsia="仿宋" w:hAnsi="仿宋" w:cs="仿宋"/>
          <w:color w:val="333333"/>
          <w:lang w:val="en" w:eastAsia="en"/>
        </w:rPr>
        <w:t>报价打分方式：</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自动算分（内插法）</w:t>
      </w:r>
      <w:r>
        <w:rPr>
          <w:rFonts w:ascii="仿宋" w:eastAsia="仿宋" w:hAnsi="仿宋" w:cs="仿宋"/>
          <w:color w:val="333333"/>
          <w:lang w:val="en" w:eastAsia="en"/>
        </w:rPr>
        <w:br/>
      </w:r>
      <w:r>
        <w:rPr>
          <w:rFonts w:ascii="仿宋" w:eastAsia="仿宋" w:hAnsi="仿宋" w:cs="仿宋"/>
          <w:color w:val="333333"/>
          <w:lang w:val="en" w:eastAsia="en"/>
        </w:rPr>
        <w:t>参与基准价计算范围的计算公式：全部投标报价</w:t>
      </w:r>
      <w:r>
        <w:rPr>
          <w:rFonts w:ascii="仿宋" w:eastAsia="仿宋" w:hAnsi="仿宋" w:cs="仿宋"/>
          <w:color w:val="333333"/>
          <w:lang w:val="en" w:eastAsia="en"/>
        </w:rPr>
        <w:br/>
      </w:r>
      <w:r>
        <w:rPr>
          <w:rFonts w:ascii="仿宋" w:eastAsia="仿宋" w:hAnsi="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eastAsia="仿宋" w:hAnsi="仿宋" w:cs="仿宋"/>
          <w:color w:val="333333"/>
          <w:lang w:val="en" w:eastAsia="en"/>
        </w:rPr>
        <w:br/>
      </w:r>
      <w:r>
        <w:rPr>
          <w:rFonts w:ascii="仿宋" w:eastAsia="仿宋" w:hAnsi="仿宋" w:cs="仿宋"/>
          <w:color w:val="333333"/>
          <w:lang w:val="en" w:eastAsia="en"/>
        </w:rPr>
        <w:t>基准价计算公式：基准价=最低评标价</w:t>
      </w:r>
      <w:r>
        <w:rPr>
          <w:rFonts w:ascii="仿宋" w:eastAsia="仿宋" w:hAnsi="仿宋" w:cs="仿宋"/>
          <w:color w:val="333333"/>
          <w:lang w:val="en" w:eastAsia="en"/>
        </w:rPr>
        <w:br/>
      </w:r>
      <w:r>
        <w:rPr>
          <w:rFonts w:ascii="仿宋" w:eastAsia="仿宋" w:hAnsi="仿宋" w:cs="仿宋"/>
          <w:color w:val="333333"/>
          <w:lang w:val="en" w:eastAsia="en"/>
        </w:rPr>
        <w:t>报价打分计算公式：得分=（基准价/评标价）*总分</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2026年食堂管理服务-A</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龙华区教育系统自行采购投标及履约承诺函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法定代表人资格证明书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项目团队成员</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食品安全保险情况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评分标准和细则中其它所需的相关文件及证明材料（除投标文件附件中已有的外） 备注：</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LHAZXDL-2025-00843-001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2026年食堂管理服务-A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龙华区教育局自行采购投标及履约承诺函》中作出声明）。注：信用中国”、中国政府采购网”、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由供应商在《龙华区教育局自行采购投标及履约承诺函》中作出声明并根据实际填写供应商基本情况表”（详见采购文件相应章节））；</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投标总价或分项报价高于预算限额的，同一项目出现两个及以上报价，按规定又无法确定哪个是有效报价，投标人的报价低于其成本，且不能做出合理说明，投标报价有严重缺漏项目；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未按招标文件所提供的样式填写《投标函》；未按招标文件所提供的《龙华区教育系统自 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投标文件载明的服务期不满足招标文件规定的期限；</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未按招标文件附件所提供的样式和要求完整填写投标文件的；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未按招标文件要求提供法定代表人资格证明书和法定代表人授权书的；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对招标文件中带★号条款的响应有负偏离；</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经核实，不同投标供应商的投标文件由同一电子设备编制、加密或者上传的；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投标人根据项目提供食堂服务方案，包括但不限于以下内容： 1.食堂运营方案 2.食堂安全管理等。 （二）评分依据： 1.以上内容全部满足得3分，每缺一项扣1.5分； 2、在此基础上，评审委员会根据各投标人的具体响应情况按照以下评审标准进一步评审： 评审为优（方案设计内容全面，工作内容目标指向性强，整体方案展现高度系统性、科学性和定制化）的加5分； 评审为良（方案设计较详尽，基本契合项目需求，目标指向性较强，整体方案展现良好的系统性、科学性和定制化）的加2分； 评审为中（方案设计基本满足项目需求，有明确的工作目标，但方案的系统性、科学性和定制化一般）的 加1分； 3、评审为差（如不满足项目要求的）的不加分。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投标人根据项目提供相关重点难点分析、应对措施及相关合理化建议，包括但不限于以下内容： 1.原材料验收标准； 2.菜品加工流程； 3.食品留样制度； 4.内控制度建立。 （二）评分依据： 1.以上内容全部满足得4分，每缺一项扣1分； 2、在此基础上，评审委员会根据各投标人的具体响应情况按照以下评审标准进一步评审： 评审为优（方案设计内容全面，工作内容目标指向性强，整体方案展现高度系统性、科学性和定制化）的加4分； 评审为良（方案设计较详尽，基本契合项目需求，目标指向性较强，整体方案展现良好的系统性、科学性和定制化）的加2分； 评审为中（方案设计基本满足项目需求，有明确的工作目标，但方案的系统性、科学性和定制化一般）的加1分； 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投标人根据项目质量保障措施及方案，包括但不限于以下内容： 1.餐饮服务质量保障措施 2.应急保障措施（包含食品安全事故、停电停水、燃气泄漏、消防安全等方面有具体的应急保障能力方案。） （二）评分依据： 1.以上内容全部满足得3分，每缺一项扣1.5分； 2、在此基础上，评审委员会根据各投标人的具体响应情况按照以下评审标准进一步评审： 评审为优（方案设计内容全面，工作内容目标指向性强，整体方案展现高度系统性、科学性和定制化）的加5分； 评审为良（方案设计较详尽，基本契合项目需求，目标指向性较强，整体方案展现良好的系统性、科学性和定制化）的加2分； 评审为中（方案设计基本满足项目需求，有明确的工作目标，但方案的系统性、科学性和定制化一般）的加1分； 3、评审为差（如不满足项目要求的）的不加分。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须提供如下承诺：在服务项目完成后10个工作日内，积极配合采购方完成物资交接等相关工作。若未能按时完成交接任务，将被视为违约行为，投标人需向采购方支付中选价10%的违约金，并赔偿由此产生的其他损失。 （二）评分依据： 提供服务期满后的服务承诺函（格式自拟），按要求提供得3分；未按要求提供或提供不清晰导致专家无法判断的不得分。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须提供如下承诺：自合同签订之日起7个工作日内，须按时启动合同约定的各项服务，包括人员配置、服务方案等相关工作。若未能按期开展，将被视为根本性违约，采购方有权立即解除与其签订的采购合同，并依照招标结果依次递延至其他候选供应商。此外，投标人还需向采购方支付中选金额5%的违约金，并赔偿由此产生的其他损失。 （二）评分依据： 提供违约承诺函（格式自拟），按要求提供得3分。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拟投入本项目的项目负责人必须为投标人正式聘用的员工，项目负责人在具有本科或以上学历证书的基础上进行如下评分： 1.具有行政机关或事业单位或人社部门备案的第三方组织颁发的中式烹调师职业资格证书或职业技能等级证书，一级高级技师得3分，二级技师得1.5分，三级高级得1分，本小项最高得3分； 2.具有行政机关或事业单位或人社部门备案的第三方组织颁发的中式面点师三级高级或以上证书，得2分； 3.具有行政机关或事业单位或人社部门备案的第三方组织颁发的西式面点师五级或以上证书，得2分； 4.具有行政机关或事业单位或人社部门备案的第三方组织颁发的健康管理师三级或以上证书，得2分； 以上累计得分，最高得9分。 （二）评分依据： 1.项目负责人必须为响应供应商自有员工，开标日前由响应供应商为其缴交的载有社保部门公章的近1个月的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2.涉及学历的，同时提供毕业证书扫描件和中国高等教育学生信息网（学信网httpswww.chsi.com.cn）查询截图。对于较早颁发的毕业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 3.涉及证书的，提供相关人员有效证书扫描件及证书官网查询截图，若为人社部门颁发的职业资格证书，同时提供证书扫描件及技能人才评价证书全国联网查询截图（httpzscx.osta.org.cn）；若为经人社部门备案的第三方社会评价组织颁发的证书，需同时提供证书扫描件及技能人才评价证书全国联网查询截图（httpzscx.osta.org.cn），如已获得职业资格证书或职业技能等级证书，但尚未能在技能人才评价证书全国联网查询的，需提供发证机构在人社部备案的查询截图(httppjjg.osta.org.cn) 及发证机构开具加盖公章的证明文件。 4.未按要求提供或提供不清晰导致专家无法判断的不得分。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项目团队成员</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1.主厨1名：具有行政机关或事业单位或人社部门备案的第三方组织颁发的中式烹调师职业资格证书或职业技能等级证书，一级高级技师得3分，二级技师得1.5分，三级高级得1分； 2.面点师1名：具有行政机关或事业单位或人社部门备案的第三方组织颁发的中式面点师三级高级或以上职业资格证书或职业技能等级证书得2分； 3.营养师1名： 1）具有行政机关或事业单位或人社部门备案的第三方组织颁发的公共营养师二级技师或以上职业资格证书或职业技能等级证书，得2分； 2）具有行政机关或事业单位或人社部门备案的第三方组织颁发的营养配餐员三级高级或以上职业资格证书或职业技能等级证书，得2分； 4.食品安全管理员2名： 具有市场监督管理局或食品药品监督管理局颁发的高级食品安全管理员证书或食品安全管理人员考试合格证明证书，每提供一人得1.5分,本项最高得分3分。 注：同一人员具有多个证书的不重复得分，本项最高得12分。 （二）评分依据： 1.项目团队成员必须为响应供应商自有员工，开标日前由响应供应商为其缴交的载有社保部门公章的近一个月的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2.提供相关人员有效证书扫描件及证书官网查询截图，若为人社部门颁发的职业资格证书，同时提供证书扫描件及技能人才评价证书全国联网查询截图（httpzscx.osta.org.cn）；若为经人社部门备案的第三方社会评价组织颁发的证书，需同时提供证书扫描件及技能人才评价证书全国联网查询截图（httpzscx.osta.org.cn），如已获得职业资格证书或职业技能等级证书，但尚未能在技能人才评价证书全国联网查询的，需提供发证机构在人社部备案的查询截图(httppjjg.osta.org.cn) 及发证机构开具加盖公章的证明文件。 3.未按要求提供或提供不清晰导致专家无法判断的不得分。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1.具有质量管理体系认证证书； 2.具有环境管理体系认证证书； 3.具有食品安全管理体系认证证书； 4.具有职业健康安全管理体系认证证书； 5.具有HACCP危害分析与关键控制点体系认证证书。 每提供一项得1分，最高得5分。 （二）评分依据： 提供有效期内的认证证书扫描件及全国认证认可信息公共服务平台（认e云）查询有效的截图（httpcx.cnca.cn）且编号一致，原件备查（截图需显示证书状态为有效）。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食品安全保险情况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1.根据投标人购买的食品安全责任保险的累计赔偿限额进行评审： 1）累计赔偿限额≥5000万，得3分； 2）3000万≤累计赔偿限额＜5000万，得2分； 3）1000万≤累计赔偿限额＜3000万，得1分； 4）其他不得分。 2.根据投标人购买的公众责任保险的累计赔偿限额进行评审： 1）累计赔偿限额≥5000万，得3分； 2）3000万≤累计赔偿限额＜5000万，得2分； 3）1000万≤累计赔偿限额＜3000万，得1分； 4）其他不得分。 （二）评分依据： 应提供在有效期内的保险保单（或保险合同）以及保险购买发票的复印件或扫描件，保险的有效期限需覆盖本项目的投标截止日期，原件待查。若未提供证明材料，或所提供的证明材料不符合要求，或所提供的证明材料不清晰致使评审专家无法辨认的，则不予计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投标人2021年1月1日以来获得团餐类技术比赛荣誉证书得3分。 （二）评分依据： 提供奖项照片或获奖（荣誉）证书等证明材料扫描件，原件备查；评分中出现无证明资料或专家无法凭所提供资料判断是否得分的情况，一律作不得分处理。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投标人提供2022年1月1日至本项目投标截止之日，承担过政府部门或事业单位食堂运营管理服务类业绩,每提供1项得2分，满分10分。 （二）评分依据： 提供中标通知书和合同关键页（关键信息包括但不仅限于合同的项目名称、服务内容、合同服务的起止时间、签订日期等）证明文件扫描件，若合同无法体现的还需提供加盖甲方公章或业务章的证明文件，原件备查；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投标人提供2022年1月1日至本项目投标截止之日，上述有效同类项目业绩并经服务单位考核评价为“优”或“满意”或评价表中其他最高等级履约评价的每提供1项得2分，本项最高得10分。 （二）评分依据： 提供项目采购单位或被服务单位出具的总体履约评价为“优”或“满意”或评价表中其他最高等级评价的履约评价证明文件，需加盖合同甲方（或被服务方）公章（或业务章）；证明文件的内容包括但不限于项目项目名称、项目编号、总体履约评价结果、出具证明的签署日期等相关内容），原件备查；未提供或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行为记录信息的，本项不得分，不存在上述情形的本项得5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D4533D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62F890B">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33188A3"/>
    <w:multiLevelType w:val="singleLevel"/>
    <w:tmpl w:val="A33188A3"/>
    <w:lvl w:ilvl="0">
      <w:start w:val="1"/>
      <w:numFmt w:val="chineseCounting"/>
      <w:suff w:val="nothing"/>
      <w:lvlText w:val="（%1）"/>
      <w:lvlJc w:val="left"/>
      <w:rPr>
        <w:rFonts w:hint="eastAsia"/>
      </w:rPr>
    </w:lvl>
  </w:abstractNum>
  <w:abstractNum w:abstractNumId="1">
    <w:nsid w:val="A34A207D"/>
    <w:multiLevelType w:val="singleLevel"/>
    <w:tmpl w:val="A34A207D"/>
    <w:lvl w:ilvl="0">
      <w:start w:val="7"/>
      <w:numFmt w:val="chineseCounting"/>
      <w:suff w:val="nothing"/>
      <w:lvlText w:val="%1、"/>
      <w:lvlJc w:val="left"/>
      <w:rPr>
        <w:rFonts w:hint="eastAsia"/>
      </w:rPr>
    </w:lvl>
  </w:abstractNum>
  <w:abstractNum w:abstractNumId="2">
    <w:nsid w:val="AF4DC178"/>
    <w:multiLevelType w:val="singleLevel"/>
    <w:tmpl w:val="AF4DC178"/>
    <w:lvl w:ilvl="0">
      <w:start w:val="1"/>
      <w:numFmt w:val="chineseCounting"/>
      <w:suff w:val="nothing"/>
      <w:lvlText w:val="（%1）"/>
      <w:lvlJc w:val="left"/>
      <w:rPr>
        <w:rFonts w:hint="eastAsia"/>
      </w:rPr>
    </w:lvl>
  </w:abstractNum>
  <w:abstractNum w:abstractNumId="3">
    <w:nsid w:val="B9358C2E"/>
    <w:multiLevelType w:val="singleLevel"/>
    <w:tmpl w:val="B9358C2E"/>
    <w:lvl w:ilvl="0">
      <w:start w:val="2"/>
      <w:numFmt w:val="decimal"/>
      <w:suff w:val="nothing"/>
      <w:lvlText w:val="%1、"/>
      <w:lvlJc w:val="left"/>
    </w:lvl>
  </w:abstractNum>
  <w:abstractNum w:abstractNumId="4">
    <w:nsid w:val="CDEA7D33"/>
    <w:multiLevelType w:val="singleLevel"/>
    <w:tmpl w:val="CDEA7D33"/>
    <w:lvl w:ilvl="0">
      <w:start w:val="1"/>
      <w:numFmt w:val="chineseCounting"/>
      <w:suff w:val="nothing"/>
      <w:lvlText w:val="（%1）"/>
      <w:lvlJc w:val="left"/>
      <w:rPr>
        <w:rFonts w:hint="eastAsia"/>
      </w:rPr>
    </w:lvl>
  </w:abstractNum>
  <w:abstractNum w:abstractNumId="5">
    <w:nsid w:val="D2995CC8"/>
    <w:multiLevelType w:val="singleLevel"/>
    <w:tmpl w:val="D2995CC8"/>
    <w:lvl w:ilvl="0">
      <w:start w:val="1"/>
      <w:numFmt w:val="chineseCounting"/>
      <w:suff w:val="nothing"/>
      <w:lvlText w:val="（%1）"/>
      <w:lvlJc w:val="left"/>
      <w:rPr>
        <w:rFonts w:hint="eastAsia"/>
      </w:rPr>
    </w:lvl>
  </w:abstractNum>
  <w:abstractNum w:abstractNumId="6">
    <w:nsid w:val="E451AB84"/>
    <w:multiLevelType w:val="singleLevel"/>
    <w:tmpl w:val="E451AB84"/>
    <w:lvl w:ilvl="0">
      <w:start w:val="1"/>
      <w:numFmt w:val="chineseCounting"/>
      <w:suff w:val="nothing"/>
      <w:lvlText w:val="（%1）"/>
      <w:lvlJc w:val="left"/>
      <w:rPr>
        <w:rFonts w:hint="eastAsia"/>
      </w:rPr>
    </w:lvl>
  </w:abstractNum>
  <w:abstractNum w:abstractNumId="7">
    <w:nsid w:val="ED3C36C2"/>
    <w:multiLevelType w:val="singleLevel"/>
    <w:tmpl w:val="ED3C36C2"/>
    <w:lvl w:ilvl="0">
      <w:start w:val="1"/>
      <w:numFmt w:val="chineseCounting"/>
      <w:suff w:val="nothing"/>
      <w:lvlText w:val="（%1）"/>
      <w:lvlJc w:val="left"/>
      <w:rPr>
        <w:rFonts w:hint="eastAsia"/>
      </w:rPr>
    </w:lvl>
  </w:abstractNum>
  <w:abstractNum w:abstractNumId="8">
    <w:nsid w:val="F10CBE19"/>
    <w:multiLevelType w:val="singleLevel"/>
    <w:tmpl w:val="F10CBE19"/>
    <w:lvl w:ilvl="0">
      <w:start w:val="1"/>
      <w:numFmt w:val="chineseCounting"/>
      <w:suff w:val="nothing"/>
      <w:lvlText w:val="（%1）"/>
      <w:lvlJc w:val="left"/>
      <w:rPr>
        <w:rFonts w:hint="eastAsia"/>
      </w:rPr>
    </w:lvl>
  </w:abstractNum>
  <w:abstractNum w:abstractNumId="9">
    <w:nsid w:val="0BBFCB86"/>
    <w:multiLevelType w:val="singleLevel"/>
    <w:tmpl w:val="0BBFCB86"/>
    <w:lvl w:ilvl="0">
      <w:start w:val="1"/>
      <w:numFmt w:val="decimal"/>
      <w:lvlText w:val="%1."/>
      <w:lvlJc w:val="left"/>
      <w:pPr>
        <w:tabs>
          <w:tab w:val="left" w:pos="312"/>
        </w:tabs>
      </w:pPr>
    </w:lvl>
  </w:abstractNum>
  <w:abstractNum w:abstractNumId="10">
    <w:nsid w:val="1570242E"/>
    <w:multiLevelType w:val="singleLevel"/>
    <w:tmpl w:val="1570242E"/>
    <w:lvl w:ilvl="0">
      <w:start w:val="1"/>
      <w:numFmt w:val="chineseCounting"/>
      <w:suff w:val="nothing"/>
      <w:lvlText w:val="（%1）"/>
      <w:lvlJc w:val="left"/>
      <w:rPr>
        <w:rFonts w:hint="eastAsia"/>
      </w:rPr>
    </w:lvl>
  </w:abstractNum>
  <w:abstractNum w:abstractNumId="11">
    <w:nsid w:val="1ED01857"/>
    <w:multiLevelType w:val="singleLevel"/>
    <w:tmpl w:val="1ED01857"/>
    <w:lvl w:ilvl="0">
      <w:start w:val="1"/>
      <w:numFmt w:val="chineseCounting"/>
      <w:suff w:val="nothing"/>
      <w:lvlText w:val="（%1）"/>
      <w:lvlJc w:val="left"/>
      <w:rPr>
        <w:rFonts w:hint="eastAsia"/>
      </w:rPr>
    </w:lvl>
  </w:abstractNum>
  <w:abstractNum w:abstractNumId="12">
    <w:nsid w:val="50236F4F"/>
    <w:multiLevelType w:val="singleLevel"/>
    <w:tmpl w:val="50236F4F"/>
    <w:lvl w:ilvl="0">
      <w:start w:val="1"/>
      <w:numFmt w:val="chineseCounting"/>
      <w:suff w:val="nothing"/>
      <w:lvlText w:val="（%1）"/>
      <w:lvlJc w:val="left"/>
      <w:rPr>
        <w:rFonts w:hint="eastAsia"/>
      </w:rPr>
    </w:lvl>
  </w:abstractNum>
  <w:abstractNum w:abstractNumId="13">
    <w:nsid w:val="6C1656E4"/>
    <w:multiLevelType w:val="singleLevel"/>
    <w:tmpl w:val="6C1656E4"/>
    <w:lvl w:ilvl="0">
      <w:start w:val="1"/>
      <w:numFmt w:val="chineseCounting"/>
      <w:suff w:val="nothing"/>
      <w:lvlText w:val="（%1）"/>
      <w:lvlJc w:val="left"/>
      <w:rPr>
        <w:rFonts w:hint="eastAsia"/>
      </w:rPr>
    </w:lvl>
  </w:abstractNum>
  <w:abstractNum w:abstractNumId="14">
    <w:nsid w:val="76827894"/>
    <w:multiLevelType w:val="singleLevel"/>
    <w:tmpl w:val="76827894"/>
    <w:lvl w:ilvl="0">
      <w:start w:val="1"/>
      <w:numFmt w:val="decimal"/>
      <w:suff w:val="nothing"/>
      <w:lvlText w:val="%1."/>
      <w:lvlJc w:val="left"/>
      <w:pPr>
        <w:ind w:left="425" w:hanging="425"/>
      </w:pPr>
      <w:rPr>
        <w:rFonts w:hint="default"/>
      </w:rPr>
    </w:lvl>
  </w:abstractNum>
  <w:num w:numId="1">
    <w:abstractNumId w:val="6"/>
  </w:num>
  <w:num w:numId="2">
    <w:abstractNumId w:val="10"/>
  </w:num>
  <w:num w:numId="3">
    <w:abstractNumId w:val="4"/>
  </w:num>
  <w:num w:numId="4">
    <w:abstractNumId w:val="12"/>
  </w:num>
  <w:num w:numId="5">
    <w:abstractNumId w:val="8"/>
  </w:num>
  <w:num w:numId="6">
    <w:abstractNumId w:val="2"/>
  </w:num>
  <w:num w:numId="7">
    <w:abstractNumId w:val="9"/>
  </w:num>
  <w:num w:numId="8">
    <w:abstractNumId w:val="13"/>
  </w:num>
  <w:num w:numId="9">
    <w:abstractNumId w:val="11"/>
  </w:num>
  <w:num w:numId="10">
    <w:abstractNumId w:val="0"/>
  </w:num>
  <w:num w:numId="11">
    <w:abstractNumId w:val="5"/>
  </w:num>
  <w:num w:numId="12">
    <w:abstractNumId w:val="7"/>
  </w:num>
  <w:num w:numId="13">
    <w:abstractNumId w:val="1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next w:val="Normal"/>
    <w:unhideWhenUsed/>
    <w:qFormat/>
    <w:pPr>
      <w:keepNext/>
      <w:keepLines/>
      <w:widowControl w:val="0"/>
      <w:spacing w:line="360" w:lineRule="auto"/>
      <w:jc w:val="center"/>
      <w:outlineLvl w:val="3"/>
    </w:pPr>
    <w:rPr>
      <w:rFonts w:ascii="Arial" w:eastAsia="宋体" w:hAnsi="Arial"/>
      <w:b/>
      <w:kern w:val="2"/>
      <w:sz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eastAsia="宋体"/>
      <w:kern w:val="2"/>
      <w:sz w:val="18"/>
      <w:lang w:eastAsia="zh-CN"/>
    </w:rPr>
  </w:style>
  <w:style w:type="paragraph" w:styleId="Footer">
    <w:name w:val="footer"/>
    <w:basedOn w:val="Normal"/>
    <w:qFormat/>
    <w:pPr>
      <w:widowControl w:val="0"/>
      <w:tabs>
        <w:tab w:val="center" w:pos="4153"/>
        <w:tab w:val="right" w:pos="8306"/>
      </w:tabs>
      <w:snapToGrid w:val="0"/>
      <w:spacing w:line="360" w:lineRule="auto"/>
    </w:pPr>
    <w:rPr>
      <w:rFonts w:eastAsia="宋体"/>
      <w:kern w:val="2"/>
      <w:sz w:val="18"/>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_1"/>
    <w:unhideWhenUsed/>
    <w:qFormat/>
    <w:rPr>
      <w:rFonts w:eastAsia="宋体"/>
    </w:rPr>
    <w:tblPr>
      <w:tblCellMar>
        <w:top w:w="0" w:type="dxa"/>
        <w:left w:w="0" w:type="dxa"/>
        <w:bottom w:w="0" w:type="dxa"/>
        <w:right w:w="0" w:type="dxa"/>
      </w:tblCellMar>
    </w:tblPr>
  </w:style>
  <w:style w:type="paragraph" w:styleId="NormalIndent">
    <w:name w:val="Normal Indent"/>
    <w:basedOn w:val="Normal"/>
    <w:qFormat/>
    <w:pPr>
      <w:widowControl w:val="0"/>
      <w:spacing w:line="360" w:lineRule="auto"/>
      <w:ind w:firstLine="420"/>
      <w:jc w:val="both"/>
    </w:pPr>
    <w:rPr>
      <w:rFonts w:eastAsia="宋体"/>
      <w:kern w:val="2"/>
      <w:sz w:val="21"/>
      <w:szCs w:val="20"/>
      <w:lang w:eastAsia="zh-CN"/>
    </w:rPr>
  </w:style>
  <w:style w:type="paragraph" w:styleId="NormalWeb">
    <w:name w:val="Normal (Web)"/>
    <w:basedOn w:val="Normal"/>
    <w:uiPriority w:val="99"/>
    <w:qFormat/>
    <w:pPr>
      <w:widowControl w:val="0"/>
      <w:spacing w:line="360" w:lineRule="auto"/>
      <w:jc w:val="both"/>
    </w:pPr>
    <w:rPr>
      <w:rFonts w:eastAsia="宋体"/>
      <w:kern w:val="2"/>
      <w:lang w:eastAsia="zh-CN"/>
    </w:rPr>
  </w:style>
  <w:style w:type="paragraph" w:styleId="BodyText">
    <w:name w:val="Body Text"/>
    <w:basedOn w:val="Normal"/>
    <w:next w:val="Normal"/>
    <w:qFormat/>
    <w:pPr>
      <w:widowControl w:val="0"/>
      <w:spacing w:line="360" w:lineRule="auto"/>
      <w:jc w:val="both"/>
    </w:pPr>
    <w:rPr>
      <w:rFonts w:eastAsia="宋体"/>
      <w:b/>
      <w:kern w:val="2"/>
      <w:lang w:eastAsia="zh-CN"/>
    </w:rPr>
  </w:style>
  <w:style w:type="table" w:customStyle="1" w:styleId="1">
    <w:name w:val="网格型1"/>
    <w:basedOn w:val="TableNormal"/>
    <w:autoRedefine/>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图"/>
    <w:basedOn w:val="Normal"/>
    <w:qFormat/>
    <w:pPr>
      <w:keepNext/>
      <w:adjustRightInd w:val="0"/>
      <w:spacing w:before="60" w:after="60" w:line="300" w:lineRule="auto"/>
      <w:jc w:val="center"/>
      <w:textAlignment w:val="center"/>
    </w:pPr>
    <w:rPr>
      <w:snapToGrid w:val="0"/>
      <w:spacing w:val="20"/>
      <w:szCs w:val="20"/>
    </w:rPr>
  </w:style>
  <w:style w:type="table" w:customStyle="1" w:styleId="typotable">
    <w:name w:val="typo_table"/>
    <w:basedOn w:val="TableNormal"/>
    <w:qFormat/>
    <w:rPr>
      <w:rFonts w:eastAsia="宋体"/>
    </w:rPr>
    <w:tblPr>
      <w:tblInd w:w="0" w:type="dxa"/>
    </w:tblPr>
  </w:style>
  <w:style w:type="table" w:customStyle="1" w:styleId="typotable0">
    <w:name w:val="typo_table_0"/>
    <w:basedOn w:val="TableNormal"/>
    <w:qFormat/>
    <w:rPr>
      <w:rFonts w:eastAsia="宋体"/>
    </w:rPr>
    <w:tblPr>
      <w:tblInd w:w="0" w:type="dxa"/>
    </w:tblPr>
  </w:style>
  <w:style w:type="table" w:customStyle="1" w:styleId="typotable1">
    <w:name w:val="typo_table_1"/>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2">
    <w:name w:val="typo_table_2"/>
    <w:basedOn w:val="TableNormal"/>
    <w:tblPr/>
  </w:style>
  <w:style w:type="character" w:customStyle="1" w:styleId="strong">
    <w:name w:val="strong"/>
    <w:basedOn w:val="DefaultParagraphFont"/>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