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A8F48">
      <w:pPr>
        <w:spacing w:after="157" w:afterLines="50"/>
        <w:jc w:val="center"/>
        <w:rPr>
          <w:rFonts w:hint="eastAsia" w:ascii="方正小标宋简体" w:hAnsi="方正小标宋简体" w:eastAsia="方正小标宋简体" w:cs="方正小标宋简体"/>
          <w:sz w:val="40"/>
          <w:szCs w:val="48"/>
          <w:lang w:val="en-US" w:eastAsia="zh-Hans"/>
        </w:rPr>
      </w:pPr>
      <w:r>
        <w:rPr>
          <w:rFonts w:hint="eastAsia" w:ascii="方正小标宋简体" w:hAnsi="方正小标宋简体" w:eastAsia="方正小标宋简体" w:cs="方正小标宋简体"/>
          <w:sz w:val="40"/>
          <w:szCs w:val="48"/>
          <w:lang w:val="en-US" w:eastAsia="zh-Hans"/>
        </w:rPr>
        <w:t>保定深圳园美仑美奂酒店及馨乐庭公寓酒店</w:t>
      </w:r>
    </w:p>
    <w:p w14:paraId="2EACFA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方正小标宋简体" w:hAnsi="方正小标宋简体" w:eastAsia="方正小标宋简体" w:cs="方正小标宋简体"/>
          <w:sz w:val="40"/>
          <w:szCs w:val="48"/>
          <w:lang w:val="en-US" w:eastAsia="zh-Hans"/>
        </w:rPr>
      </w:pPr>
      <w:r>
        <w:rPr>
          <w:rFonts w:hint="eastAsia" w:ascii="方正小标宋简体" w:hAnsi="方正小标宋简体" w:eastAsia="方正小标宋简体" w:cs="方正小标宋简体"/>
          <w:sz w:val="40"/>
          <w:szCs w:val="48"/>
          <w:lang w:val="en-US" w:eastAsia="zh-Hans"/>
        </w:rPr>
        <w:t>劳务外包项目服务要求</w:t>
      </w:r>
    </w:p>
    <w:p w14:paraId="4A8C8800">
      <w:pPr>
        <w:numPr>
          <w:ilvl w:val="0"/>
          <w:numId w:val="0"/>
        </w:numPr>
        <w:ind w:firstLine="640" w:firstLineChars="200"/>
        <w:rPr>
          <w:rFonts w:hint="eastAsia" w:ascii="黑体" w:hAnsi="黑体" w:eastAsia="黑体" w:cs="黑体"/>
          <w:sz w:val="32"/>
          <w:szCs w:val="40"/>
          <w:lang w:val="en-US" w:eastAsia="zh-CN"/>
        </w:rPr>
      </w:pPr>
      <w:r>
        <w:rPr>
          <w:rFonts w:hint="eastAsia" w:ascii="黑体" w:hAnsi="黑体" w:eastAsia="黑体" w:cs="黑体"/>
          <w:kern w:val="2"/>
          <w:sz w:val="32"/>
          <w:szCs w:val="40"/>
          <w:lang w:val="en-US" w:eastAsia="zh-CN" w:bidi="ar-SA"/>
        </w:rPr>
        <w:t>一、</w:t>
      </w:r>
      <w:r>
        <w:rPr>
          <w:rFonts w:hint="eastAsia" w:ascii="黑体" w:hAnsi="黑体" w:eastAsia="黑体" w:cs="黑体"/>
          <w:sz w:val="32"/>
          <w:szCs w:val="40"/>
          <w:lang w:val="en-US" w:eastAsia="zh-CN"/>
        </w:rPr>
        <w:t>公司简介及业务概况</w:t>
      </w:r>
    </w:p>
    <w:p w14:paraId="632DB1FE">
      <w:pPr>
        <w:numPr>
          <w:ilvl w:val="0"/>
          <w:numId w:val="0"/>
        </w:numPr>
        <w:ind w:firstLine="64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Hans"/>
        </w:rPr>
        <w:t>河北深保商业管理有限</w:t>
      </w:r>
      <w:r>
        <w:rPr>
          <w:rFonts w:hint="eastAsia" w:ascii="方正仿宋_GB2312" w:hAnsi="方正仿宋_GB2312" w:eastAsia="方正仿宋_GB2312" w:cs="方正仿宋_GB2312"/>
          <w:sz w:val="32"/>
          <w:szCs w:val="40"/>
          <w:lang w:val="en-US" w:eastAsia="zh-CN"/>
        </w:rPr>
        <w:t>公司是</w:t>
      </w:r>
      <w:r>
        <w:rPr>
          <w:rFonts w:hint="eastAsia" w:ascii="方正仿宋_GB2312" w:hAnsi="方正仿宋_GB2312" w:eastAsia="方正仿宋_GB2312" w:cs="方正仿宋_GB2312"/>
          <w:sz w:val="32"/>
          <w:szCs w:val="40"/>
          <w:lang w:val="en-US" w:eastAsia="zh-Hans"/>
        </w:rPr>
        <w:t>河北深保投资发展有限公司</w:t>
      </w:r>
      <w:r>
        <w:rPr>
          <w:rFonts w:hint="eastAsia" w:ascii="方正仿宋_GB2312" w:hAnsi="方正仿宋_GB2312" w:eastAsia="方正仿宋_GB2312" w:cs="方正仿宋_GB2312"/>
          <w:sz w:val="32"/>
          <w:szCs w:val="40"/>
          <w:lang w:val="en-US" w:eastAsia="zh-CN"/>
        </w:rPr>
        <w:t>核心产业下的全资子公司</w:t>
      </w:r>
      <w:r>
        <w:rPr>
          <w:rFonts w:hint="default" w:ascii="方正仿宋_GB2312" w:hAnsi="方正仿宋_GB2312" w:eastAsia="方正仿宋_GB2312" w:cs="方正仿宋_GB2312"/>
          <w:sz w:val="32"/>
          <w:szCs w:val="40"/>
          <w:lang w:val="en-US" w:eastAsia="zh-CN"/>
        </w:rPr>
        <w:t>，</w:t>
      </w:r>
      <w:r>
        <w:rPr>
          <w:rFonts w:hint="eastAsia" w:ascii="方正仿宋_GB2312" w:hAnsi="方正仿宋_GB2312" w:eastAsia="方正仿宋_GB2312" w:cs="方正仿宋_GB2312"/>
          <w:sz w:val="32"/>
          <w:szCs w:val="40"/>
          <w:lang w:val="en-US" w:eastAsia="zh-CN"/>
        </w:rPr>
        <w:t>主要负责保定</w:t>
      </w:r>
      <w:r>
        <w:rPr>
          <w:rFonts w:hint="eastAsia" w:ascii="方正仿宋_GB2312" w:hAnsi="方正仿宋_GB2312" w:eastAsia="方正仿宋_GB2312" w:cs="方正仿宋_GB2312"/>
          <w:sz w:val="32"/>
          <w:szCs w:val="40"/>
          <w:lang w:val="en-US" w:eastAsia="zh-Hans"/>
        </w:rPr>
        <w:t>深圳园园区</w:t>
      </w:r>
      <w:r>
        <w:rPr>
          <w:rFonts w:hint="eastAsia" w:ascii="方正仿宋_GB2312" w:hAnsi="方正仿宋_GB2312" w:eastAsia="方正仿宋_GB2312" w:cs="方正仿宋_GB2312"/>
          <w:sz w:val="32"/>
          <w:szCs w:val="40"/>
          <w:lang w:val="en-US" w:eastAsia="zh-CN"/>
        </w:rPr>
        <w:t>内</w:t>
      </w:r>
      <w:r>
        <w:rPr>
          <w:rFonts w:hint="eastAsia" w:ascii="方正仿宋_GB2312" w:hAnsi="方正仿宋_GB2312" w:eastAsia="方正仿宋_GB2312" w:cs="方正仿宋_GB2312"/>
          <w:sz w:val="32"/>
          <w:szCs w:val="40"/>
          <w:lang w:val="en-US" w:eastAsia="zh-Hans"/>
        </w:rPr>
        <w:t>的</w:t>
      </w:r>
      <w:r>
        <w:rPr>
          <w:rFonts w:hint="eastAsia" w:ascii="方正仿宋_GB2312" w:hAnsi="方正仿宋_GB2312" w:eastAsia="方正仿宋_GB2312" w:cs="方正仿宋_GB2312"/>
          <w:sz w:val="32"/>
          <w:szCs w:val="40"/>
          <w:lang w:val="en-US" w:eastAsia="zh-CN"/>
        </w:rPr>
        <w:t>商业招商运营和酒店经营。</w:t>
      </w:r>
      <w:bookmarkStart w:id="0" w:name="_GoBack"/>
      <w:bookmarkEnd w:id="0"/>
    </w:p>
    <w:p w14:paraId="6F7F04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kern w:val="2"/>
          <w:sz w:val="32"/>
          <w:szCs w:val="40"/>
          <w:lang w:val="en-US" w:eastAsia="zh-CN" w:bidi="ar-SA"/>
        </w:rPr>
        <w:t>保定</w:t>
      </w:r>
      <w:r>
        <w:rPr>
          <w:rFonts w:hint="eastAsia" w:ascii="方正仿宋_GB2312" w:hAnsi="方正仿宋_GB2312" w:eastAsia="方正仿宋_GB2312" w:cs="方正仿宋_GB2312"/>
          <w:kern w:val="2"/>
          <w:sz w:val="32"/>
          <w:szCs w:val="40"/>
          <w:lang w:val="en-US" w:eastAsia="zh-Hans" w:bidi="ar-SA"/>
        </w:rPr>
        <w:t>深圳园美仑美奂酒店</w:t>
      </w:r>
      <w:r>
        <w:rPr>
          <w:rFonts w:hint="eastAsia" w:ascii="方正仿宋_GB2312" w:hAnsi="方正仿宋_GB2312" w:eastAsia="方正仿宋_GB2312" w:cs="方正仿宋_GB2312"/>
          <w:kern w:val="2"/>
          <w:sz w:val="32"/>
          <w:szCs w:val="40"/>
          <w:lang w:val="en-US" w:eastAsia="zh-CN" w:bidi="ar-SA"/>
        </w:rPr>
        <w:t>和</w:t>
      </w:r>
      <w:r>
        <w:rPr>
          <w:rFonts w:hint="eastAsia" w:ascii="方正仿宋_GB2312" w:hAnsi="方正仿宋_GB2312" w:eastAsia="方正仿宋_GB2312" w:cs="方正仿宋_GB2312"/>
          <w:kern w:val="2"/>
          <w:sz w:val="32"/>
          <w:szCs w:val="40"/>
          <w:lang w:val="en-US" w:eastAsia="zh-Hans" w:bidi="ar-SA"/>
        </w:rPr>
        <w:t>馨乐庭公寓酒店</w:t>
      </w:r>
      <w:r>
        <w:rPr>
          <w:rFonts w:hint="eastAsia" w:ascii="方正仿宋_GB2312" w:hAnsi="方正仿宋_GB2312" w:eastAsia="方正仿宋_GB2312" w:cs="方正仿宋_GB2312"/>
          <w:kern w:val="2"/>
          <w:sz w:val="32"/>
          <w:szCs w:val="40"/>
          <w:lang w:val="en-US" w:eastAsia="zh-CN" w:bidi="ar-SA"/>
        </w:rPr>
        <w:t>位于</w:t>
      </w:r>
      <w:r>
        <w:rPr>
          <w:rFonts w:hint="eastAsia" w:ascii="方正仿宋_GB2312" w:hAnsi="方正仿宋_GB2312" w:eastAsia="方正仿宋_GB2312" w:cs="方正仿宋_GB2312"/>
          <w:sz w:val="32"/>
          <w:szCs w:val="32"/>
          <w:lang w:val="en-US" w:eastAsia="zh-Hans"/>
        </w:rPr>
        <w:t>保定市莲池区深圳园创投中心</w:t>
      </w:r>
      <w:r>
        <w:rPr>
          <w:rFonts w:hint="default" w:ascii="方正仿宋_GB2312" w:hAnsi="方正仿宋_GB2312" w:eastAsia="方正仿宋_GB2312" w:cs="方正仿宋_GB2312"/>
          <w:sz w:val="32"/>
          <w:szCs w:val="32"/>
          <w:lang w:eastAsia="zh-Hans"/>
        </w:rPr>
        <w:t>2</w:t>
      </w:r>
      <w:r>
        <w:rPr>
          <w:rFonts w:hint="eastAsia" w:ascii="方正仿宋_GB2312" w:hAnsi="方正仿宋_GB2312" w:eastAsia="方正仿宋_GB2312" w:cs="方正仿宋_GB2312"/>
          <w:sz w:val="32"/>
          <w:szCs w:val="32"/>
          <w:lang w:val="en-US" w:eastAsia="zh-Hans"/>
        </w:rPr>
        <w:t>号楼</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kern w:val="2"/>
          <w:sz w:val="32"/>
          <w:szCs w:val="40"/>
          <w:lang w:val="en-US" w:eastAsia="zh-CN" w:bidi="ar-SA"/>
        </w:rPr>
        <w:t>是</w:t>
      </w:r>
      <w:r>
        <w:rPr>
          <w:rFonts w:hint="eastAsia" w:ascii="方正仿宋_GB2312" w:hAnsi="方正仿宋_GB2312" w:eastAsia="方正仿宋_GB2312" w:cs="方正仿宋_GB2312"/>
          <w:sz w:val="32"/>
          <w:szCs w:val="40"/>
          <w:lang w:val="en-US" w:eastAsia="zh-Hans"/>
        </w:rPr>
        <w:t>河北深保商业管理有限</w:t>
      </w:r>
      <w:r>
        <w:rPr>
          <w:rFonts w:hint="eastAsia" w:ascii="方正仿宋_GB2312" w:hAnsi="方正仿宋_GB2312" w:eastAsia="方正仿宋_GB2312" w:cs="方正仿宋_GB2312"/>
          <w:sz w:val="32"/>
          <w:szCs w:val="40"/>
          <w:lang w:val="en-US" w:eastAsia="zh-CN"/>
        </w:rPr>
        <w:t>公司管辖下的酒店项目</w:t>
      </w:r>
      <w:r>
        <w:rPr>
          <w:rFonts w:hint="eastAsia" w:ascii="方正仿宋_GB2312" w:hAnsi="方正仿宋_GB2312" w:eastAsia="方正仿宋_GB2312" w:cs="方正仿宋_GB2312"/>
          <w:kern w:val="2"/>
          <w:sz w:val="32"/>
          <w:szCs w:val="40"/>
          <w:lang w:val="en-US" w:eastAsia="zh-Hans" w:bidi="ar-SA"/>
        </w:rPr>
        <w:t>，</w:t>
      </w:r>
      <w:r>
        <w:rPr>
          <w:rFonts w:hint="eastAsia" w:ascii="方正仿宋_GB2312" w:hAnsi="方正仿宋_GB2312" w:eastAsia="方正仿宋_GB2312" w:cs="方正仿宋_GB2312"/>
          <w:kern w:val="2"/>
          <w:sz w:val="32"/>
          <w:szCs w:val="40"/>
          <w:lang w:val="en-US" w:eastAsia="zh-CN" w:bidi="ar-SA"/>
        </w:rPr>
        <w:t>两家酒店</w:t>
      </w:r>
      <w:r>
        <w:rPr>
          <w:rFonts w:hint="eastAsia" w:ascii="方正仿宋_GB2312" w:hAnsi="方正仿宋_GB2312" w:eastAsia="方正仿宋_GB2312" w:cs="方正仿宋_GB2312"/>
          <w:kern w:val="2"/>
          <w:sz w:val="32"/>
          <w:szCs w:val="40"/>
          <w:lang w:val="en-US" w:eastAsia="zh-Hans" w:bidi="ar-SA"/>
        </w:rPr>
        <w:t>总建筑面积约</w:t>
      </w:r>
      <w:r>
        <w:rPr>
          <w:rFonts w:hint="eastAsia" w:ascii="方正仿宋_GB2312" w:hAnsi="方正仿宋_GB2312" w:eastAsia="方正仿宋_GB2312" w:cs="方正仿宋_GB2312"/>
          <w:kern w:val="2"/>
          <w:sz w:val="32"/>
          <w:szCs w:val="40"/>
          <w:lang w:val="en-US" w:eastAsia="zh-CN" w:bidi="ar-SA"/>
        </w:rPr>
        <w:t>2.8</w:t>
      </w:r>
      <w:r>
        <w:rPr>
          <w:rFonts w:hint="eastAsia" w:ascii="方正仿宋_GB2312" w:hAnsi="方正仿宋_GB2312" w:eastAsia="方正仿宋_GB2312" w:cs="方正仿宋_GB2312"/>
          <w:kern w:val="2"/>
          <w:sz w:val="32"/>
          <w:szCs w:val="40"/>
          <w:lang w:val="en-US" w:eastAsia="zh-Hans" w:bidi="ar-SA"/>
        </w:rPr>
        <w:t>万</w:t>
      </w:r>
      <w:r>
        <w:rPr>
          <w:rFonts w:hint="eastAsia" w:ascii="方正仿宋_GB2312" w:hAnsi="方正仿宋_GB2312" w:eastAsia="方正仿宋_GB2312" w:cs="方正仿宋_GB2312"/>
          <w:kern w:val="2"/>
          <w:sz w:val="32"/>
          <w:szCs w:val="40"/>
          <w:lang w:val="en-US" w:eastAsia="zh-CN" w:bidi="ar-SA"/>
        </w:rPr>
        <w:t>平方</w:t>
      </w:r>
      <w:r>
        <w:rPr>
          <w:rFonts w:hint="eastAsia" w:ascii="方正仿宋_GB2312" w:hAnsi="方正仿宋_GB2312" w:eastAsia="方正仿宋_GB2312" w:cs="方正仿宋_GB2312"/>
          <w:sz w:val="32"/>
          <w:szCs w:val="40"/>
          <w:lang w:val="en-US" w:eastAsia="zh-CN"/>
        </w:rPr>
        <w:t>，</w:t>
      </w:r>
      <w:r>
        <w:rPr>
          <w:rFonts w:hint="eastAsia" w:ascii="方正仿宋_GB2312" w:hAnsi="方正仿宋_GB2312" w:eastAsia="方正仿宋_GB2312" w:cs="方正仿宋_GB2312"/>
          <w:sz w:val="32"/>
          <w:szCs w:val="32"/>
          <w:lang w:val="en-US" w:eastAsia="zh-Hans"/>
        </w:rPr>
        <w:t>公区面积</w:t>
      </w:r>
      <w:r>
        <w:rPr>
          <w:rFonts w:hint="eastAsia" w:ascii="方正仿宋_GB2312" w:hAnsi="方正仿宋_GB2312" w:eastAsia="方正仿宋_GB2312" w:cs="方正仿宋_GB2312"/>
          <w:sz w:val="32"/>
          <w:szCs w:val="32"/>
          <w:lang w:val="en-US" w:eastAsia="zh-CN"/>
        </w:rPr>
        <w:t>约</w:t>
      </w:r>
      <w:r>
        <w:rPr>
          <w:rFonts w:hint="default" w:ascii="方正仿宋_GB2312" w:hAnsi="方正仿宋_GB2312" w:eastAsia="方正仿宋_GB2312" w:cs="方正仿宋_GB2312"/>
          <w:sz w:val="32"/>
          <w:szCs w:val="32"/>
          <w:lang w:eastAsia="zh-Hans"/>
        </w:rPr>
        <w:t>67</w:t>
      </w:r>
      <w:r>
        <w:rPr>
          <w:rFonts w:hint="eastAsia" w:ascii="方正仿宋_GB2312" w:hAnsi="方正仿宋_GB2312" w:eastAsia="方正仿宋_GB2312" w:cs="方正仿宋_GB2312"/>
          <w:sz w:val="32"/>
          <w:szCs w:val="32"/>
          <w:lang w:val="en-US" w:eastAsia="zh-CN"/>
        </w:rPr>
        <w:t>00平方，</w:t>
      </w:r>
      <w:r>
        <w:rPr>
          <w:rFonts w:hint="eastAsia" w:ascii="方正仿宋_GB2312" w:hAnsi="方正仿宋_GB2312" w:eastAsia="方正仿宋_GB2312" w:cs="方正仿宋_GB2312"/>
          <w:sz w:val="32"/>
          <w:szCs w:val="40"/>
          <w:lang w:val="en-US" w:eastAsia="zh-CN"/>
        </w:rPr>
        <w:t>共有客房约350间。</w:t>
      </w:r>
      <w:r>
        <w:rPr>
          <w:rFonts w:hint="eastAsia" w:ascii="方正仿宋_GB2312" w:hAnsi="方正仿宋_GB2312" w:eastAsia="方正仿宋_GB2312" w:cs="方正仿宋_GB2312"/>
          <w:sz w:val="32"/>
          <w:szCs w:val="32"/>
          <w:lang w:val="en-US" w:eastAsia="zh-Hans"/>
        </w:rPr>
        <w:t>美仑美奂</w:t>
      </w:r>
      <w:r>
        <w:rPr>
          <w:rFonts w:hint="default" w:ascii="方正仿宋_GB2312" w:hAnsi="方正仿宋_GB2312" w:eastAsia="方正仿宋_GB2312" w:cs="方正仿宋_GB2312"/>
          <w:sz w:val="32"/>
          <w:szCs w:val="32"/>
          <w:lang w:eastAsia="zh-Hans"/>
        </w:rPr>
        <w:t>ADD</w:t>
      </w:r>
      <w:r>
        <w:rPr>
          <w:rFonts w:hint="eastAsia" w:ascii="方正仿宋_GB2312" w:hAnsi="方正仿宋_GB2312" w:eastAsia="方正仿宋_GB2312" w:cs="方正仿宋_GB2312"/>
          <w:sz w:val="32"/>
          <w:szCs w:val="32"/>
          <w:lang w:val="en-US" w:eastAsia="zh-Hans"/>
        </w:rPr>
        <w:t>餐位数</w:t>
      </w:r>
      <w:r>
        <w:rPr>
          <w:rFonts w:hint="default" w:ascii="方正仿宋_GB2312" w:hAnsi="方正仿宋_GB2312" w:eastAsia="方正仿宋_GB2312" w:cs="方正仿宋_GB2312"/>
          <w:sz w:val="32"/>
          <w:szCs w:val="32"/>
          <w:lang w:eastAsia="zh-Hans"/>
        </w:rPr>
        <w:t>108</w:t>
      </w:r>
      <w:r>
        <w:rPr>
          <w:rFonts w:hint="eastAsia" w:ascii="方正仿宋_GB2312" w:hAnsi="方正仿宋_GB2312" w:eastAsia="方正仿宋_GB2312" w:cs="方正仿宋_GB2312"/>
          <w:sz w:val="32"/>
          <w:szCs w:val="32"/>
          <w:lang w:val="en-US" w:eastAsia="zh-Hans"/>
        </w:rPr>
        <w:t>位</w:t>
      </w:r>
      <w:r>
        <w:rPr>
          <w:rFonts w:hint="default" w:ascii="方正仿宋_GB2312" w:hAnsi="方正仿宋_GB2312" w:eastAsia="方正仿宋_GB2312" w:cs="方正仿宋_GB2312"/>
          <w:sz w:val="32"/>
          <w:szCs w:val="32"/>
          <w:lang w:eastAsia="zh-Hans"/>
        </w:rPr>
        <w:t>、</w:t>
      </w:r>
      <w:r>
        <w:rPr>
          <w:rFonts w:hint="eastAsia" w:ascii="方正仿宋_GB2312" w:hAnsi="方正仿宋_GB2312" w:eastAsia="方正仿宋_GB2312" w:cs="方正仿宋_GB2312"/>
          <w:sz w:val="32"/>
          <w:szCs w:val="32"/>
          <w:lang w:val="en-US" w:eastAsia="zh-Hans"/>
        </w:rPr>
        <w:t>餐吧</w:t>
      </w:r>
      <w:r>
        <w:rPr>
          <w:rFonts w:hint="default" w:ascii="方正仿宋_GB2312" w:hAnsi="方正仿宋_GB2312" w:eastAsia="方正仿宋_GB2312" w:cs="方正仿宋_GB2312"/>
          <w:sz w:val="32"/>
          <w:szCs w:val="32"/>
          <w:lang w:eastAsia="zh-Hans"/>
        </w:rPr>
        <w:t>40</w:t>
      </w:r>
      <w:r>
        <w:rPr>
          <w:rFonts w:hint="eastAsia" w:ascii="方正仿宋_GB2312" w:hAnsi="方正仿宋_GB2312" w:eastAsia="方正仿宋_GB2312" w:cs="方正仿宋_GB2312"/>
          <w:sz w:val="32"/>
          <w:szCs w:val="32"/>
          <w:lang w:val="en-US" w:eastAsia="zh-Hans"/>
        </w:rPr>
        <w:t>位</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Hans"/>
        </w:rPr>
        <w:t>馨乐庭早餐餐位数</w:t>
      </w:r>
      <w:r>
        <w:rPr>
          <w:rFonts w:hint="default" w:ascii="方正仿宋_GB2312" w:hAnsi="方正仿宋_GB2312" w:eastAsia="方正仿宋_GB2312" w:cs="方正仿宋_GB2312"/>
          <w:sz w:val="32"/>
          <w:szCs w:val="32"/>
          <w:lang w:eastAsia="zh-Hans"/>
        </w:rPr>
        <w:t>76</w:t>
      </w:r>
      <w:r>
        <w:rPr>
          <w:rFonts w:hint="eastAsia" w:ascii="方正仿宋_GB2312" w:hAnsi="方正仿宋_GB2312" w:eastAsia="方正仿宋_GB2312" w:cs="方正仿宋_GB2312"/>
          <w:sz w:val="32"/>
          <w:szCs w:val="32"/>
          <w:lang w:val="en-US" w:eastAsia="zh-CN"/>
        </w:rPr>
        <w:t>位。</w:t>
      </w:r>
    </w:p>
    <w:p w14:paraId="588E9284">
      <w:pPr>
        <w:numPr>
          <w:ilvl w:val="0"/>
          <w:numId w:val="1"/>
        </w:numPr>
        <w:ind w:firstLine="640" w:firstLineChars="200"/>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劳务外包人员需求</w:t>
      </w:r>
    </w:p>
    <w:p w14:paraId="756F7FE8">
      <w:pPr>
        <w:pStyle w:val="2"/>
        <w:numPr>
          <w:ilvl w:val="0"/>
          <w:numId w:val="0"/>
        </w:num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两家酒店的劳务外包人员主要为酒店客房人员、保洁人员、工程安保人员、餐厅服务人员、后厨厨师人员等，实际人员需求以两个酒店根据业务量动态调整，总人数不超过52人。具体岗位需求详见附件2：酒店劳务外包人员岗位配置及人工成本费用明细。</w:t>
      </w:r>
    </w:p>
    <w:p w14:paraId="110E6881">
      <w:pPr>
        <w:numPr>
          <w:ilvl w:val="0"/>
          <w:numId w:val="1"/>
        </w:numPr>
        <w:ind w:firstLine="640" w:firstLineChars="200"/>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劳务外包服务要求</w:t>
      </w:r>
    </w:p>
    <w:p w14:paraId="681CB5D1">
      <w:pPr>
        <w:pStyle w:val="2"/>
        <w:numPr>
          <w:ilvl w:val="0"/>
          <w:numId w:val="0"/>
        </w:num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1.劳务外包公司需保证提供的外包</w:t>
      </w:r>
      <w:r>
        <w:rPr>
          <w:rFonts w:hint="eastAsia" w:ascii="方正仿宋_GB2312" w:hAnsi="方正仿宋_GB2312" w:eastAsia="方正仿宋_GB2312" w:cs="方正仿宋_GB2312"/>
          <w:sz w:val="32"/>
          <w:szCs w:val="40"/>
          <w:lang w:val="en-US" w:eastAsia="zh-Hans"/>
        </w:rPr>
        <w:t>人员</w:t>
      </w:r>
      <w:r>
        <w:rPr>
          <w:rFonts w:hint="eastAsia" w:ascii="方正仿宋_GB2312" w:hAnsi="方正仿宋_GB2312" w:eastAsia="方正仿宋_GB2312" w:cs="方正仿宋_GB2312"/>
          <w:sz w:val="32"/>
          <w:szCs w:val="40"/>
          <w:lang w:val="en-US" w:eastAsia="zh-CN"/>
        </w:rPr>
        <w:t>满足甲方要求的各项资质及条件，保障甲方正常业务运行。</w:t>
      </w:r>
    </w:p>
    <w:p w14:paraId="694F4934">
      <w:pPr>
        <w:pStyle w:val="2"/>
        <w:numPr>
          <w:ilvl w:val="0"/>
          <w:numId w:val="0"/>
        </w:numPr>
        <w:ind w:firstLine="640" w:firstLineChars="200"/>
        <w:rPr>
          <w:rFonts w:hint="eastAsia" w:ascii="仿宋_GB2312" w:eastAsia="仿宋_GB2312"/>
          <w:sz w:val="32"/>
          <w:szCs w:val="32"/>
          <w:lang w:eastAsia="zh-CN"/>
        </w:rPr>
      </w:pPr>
      <w:r>
        <w:rPr>
          <w:rFonts w:hint="eastAsia" w:ascii="方正仿宋_GB2312" w:hAnsi="方正仿宋_GB2312" w:eastAsia="方正仿宋_GB2312" w:cs="方正仿宋_GB2312"/>
          <w:sz w:val="32"/>
          <w:szCs w:val="40"/>
          <w:lang w:val="en-US" w:eastAsia="zh-CN"/>
        </w:rPr>
        <w:t>2.甲方与劳务外包人员不存在任何劳动关系，劳务外包公司全面负责外包人员的招聘、人事、社会保障等管理工作，包括不限于：人员招聘、薪酬支付、保险缴纳、用工管理、员工纠纷、退休办理、档案管理、岗前体检等。</w:t>
      </w:r>
    </w:p>
    <w:p w14:paraId="61F6CA03">
      <w:pPr>
        <w:pStyle w:val="2"/>
        <w:numPr>
          <w:ilvl w:val="0"/>
          <w:numId w:val="0"/>
        </w:num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3.劳务外包公司</w:t>
      </w:r>
      <w:r>
        <w:rPr>
          <w:rFonts w:hint="eastAsia" w:ascii="方正仿宋_GB2312" w:hAnsi="方正仿宋_GB2312" w:eastAsia="方正仿宋_GB2312" w:cs="方正仿宋_GB2312"/>
          <w:sz w:val="32"/>
          <w:szCs w:val="40"/>
          <w:lang w:val="en-US" w:eastAsia="zh-Hans"/>
        </w:rPr>
        <w:t>应时刻</w:t>
      </w:r>
      <w:r>
        <w:rPr>
          <w:rFonts w:hint="eastAsia" w:ascii="方正仿宋_GB2312" w:hAnsi="方正仿宋_GB2312" w:eastAsia="方正仿宋_GB2312" w:cs="方正仿宋_GB2312"/>
          <w:sz w:val="32"/>
          <w:szCs w:val="40"/>
          <w:lang w:val="en-US" w:eastAsia="zh-CN"/>
        </w:rPr>
        <w:t>加强外包人员的业务水平、劳动技能、服务意识、职业道德、安全生产、遵章守纪等综合素质，进行必要的服务意识和技能的培训，符合甲方的各项规章制度、工作标准和要求。</w:t>
      </w:r>
    </w:p>
    <w:p w14:paraId="21493C25">
      <w:pPr>
        <w:pStyle w:val="2"/>
        <w:numPr>
          <w:ilvl w:val="0"/>
          <w:numId w:val="0"/>
        </w:num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4.对于甲方退回劳务外包公司的不合格外包人员，劳务外包公司应予接收并负责处理与外包人员之间的劳动关系等后续工作,并按甲方要求及时补充相应人员到岗，避免对甲方正常运营造成不利影响。</w:t>
      </w:r>
    </w:p>
    <w:p w14:paraId="0917B422">
      <w:pPr>
        <w:pStyle w:val="2"/>
        <w:numPr>
          <w:ilvl w:val="0"/>
          <w:numId w:val="0"/>
        </w:num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5.劳务外包公司应按甲方</w:t>
      </w:r>
      <w:r>
        <w:rPr>
          <w:rFonts w:hint="eastAsia" w:ascii="方正仿宋_GB2312" w:hAnsi="方正仿宋_GB2312" w:eastAsia="方正仿宋_GB2312" w:cs="方正仿宋_GB2312"/>
          <w:sz w:val="32"/>
          <w:szCs w:val="40"/>
          <w:lang w:val="en-US" w:eastAsia="zh-Hans"/>
        </w:rPr>
        <w:t>制度</w:t>
      </w:r>
      <w:r>
        <w:rPr>
          <w:rFonts w:hint="eastAsia" w:ascii="方正仿宋_GB2312" w:hAnsi="方正仿宋_GB2312" w:eastAsia="方正仿宋_GB2312" w:cs="方正仿宋_GB2312"/>
          <w:sz w:val="32"/>
          <w:szCs w:val="40"/>
          <w:lang w:val="en-US" w:eastAsia="zh-CN"/>
        </w:rPr>
        <w:t>，</w:t>
      </w:r>
      <w:r>
        <w:rPr>
          <w:rFonts w:hint="eastAsia" w:ascii="方正仿宋_GB2312" w:hAnsi="方正仿宋_GB2312" w:eastAsia="方正仿宋_GB2312" w:cs="方正仿宋_GB2312"/>
          <w:sz w:val="32"/>
          <w:szCs w:val="40"/>
          <w:lang w:val="en-US" w:eastAsia="zh-Hans"/>
        </w:rPr>
        <w:t>要求</w:t>
      </w:r>
      <w:r>
        <w:rPr>
          <w:rFonts w:hint="eastAsia" w:ascii="方正仿宋_GB2312" w:hAnsi="方正仿宋_GB2312" w:eastAsia="方正仿宋_GB2312" w:cs="方正仿宋_GB2312"/>
          <w:sz w:val="32"/>
          <w:szCs w:val="40"/>
          <w:lang w:val="en-US" w:eastAsia="zh-CN"/>
        </w:rPr>
        <w:t>外包</w:t>
      </w:r>
      <w:r>
        <w:rPr>
          <w:rFonts w:hint="eastAsia" w:ascii="方正仿宋_GB2312" w:hAnsi="方正仿宋_GB2312" w:eastAsia="方正仿宋_GB2312" w:cs="方正仿宋_GB2312"/>
          <w:sz w:val="32"/>
          <w:szCs w:val="40"/>
          <w:lang w:val="en-US" w:eastAsia="zh-Hans"/>
        </w:rPr>
        <w:t>人员</w:t>
      </w:r>
      <w:r>
        <w:rPr>
          <w:rFonts w:hint="eastAsia" w:ascii="方正仿宋_GB2312" w:hAnsi="方正仿宋_GB2312" w:eastAsia="方正仿宋_GB2312" w:cs="方正仿宋_GB2312"/>
          <w:sz w:val="32"/>
          <w:szCs w:val="40"/>
          <w:lang w:val="en-US" w:eastAsia="zh-CN"/>
        </w:rPr>
        <w:t>在工作时间统一着装，为酒店提供服务的外包</w:t>
      </w:r>
      <w:r>
        <w:rPr>
          <w:rFonts w:hint="eastAsia" w:ascii="方正仿宋_GB2312" w:hAnsi="方正仿宋_GB2312" w:eastAsia="方正仿宋_GB2312" w:cs="方正仿宋_GB2312"/>
          <w:sz w:val="32"/>
          <w:szCs w:val="40"/>
          <w:lang w:val="en-US" w:eastAsia="zh-Hans"/>
        </w:rPr>
        <w:t>人员</w:t>
      </w:r>
      <w:r>
        <w:rPr>
          <w:rFonts w:hint="eastAsia" w:ascii="方正仿宋_GB2312" w:hAnsi="方正仿宋_GB2312" w:eastAsia="方正仿宋_GB2312" w:cs="方正仿宋_GB2312"/>
          <w:sz w:val="32"/>
          <w:szCs w:val="40"/>
          <w:lang w:val="en-US" w:eastAsia="zh-CN"/>
        </w:rPr>
        <w:t>服装由甲方提供，外包员工需遵守甲方的工装工服管理制度。</w:t>
      </w:r>
    </w:p>
    <w:p w14:paraId="20ED1EBF">
      <w:pPr>
        <w:pStyle w:val="2"/>
        <w:numPr>
          <w:ilvl w:val="0"/>
          <w:numId w:val="0"/>
        </w:num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6.劳务外包公司需指派一名驻场经理配合甲方全面督导服务区域</w:t>
      </w:r>
      <w:r>
        <w:rPr>
          <w:rFonts w:hint="eastAsia" w:ascii="方正仿宋_GB2312" w:hAnsi="方正仿宋_GB2312" w:eastAsia="方正仿宋_GB2312" w:cs="方正仿宋_GB2312"/>
          <w:sz w:val="32"/>
          <w:szCs w:val="40"/>
          <w:lang w:val="en-US" w:eastAsia="zh-Hans"/>
        </w:rPr>
        <w:t>内</w:t>
      </w:r>
      <w:r>
        <w:rPr>
          <w:rFonts w:hint="eastAsia" w:ascii="方正仿宋_GB2312" w:hAnsi="方正仿宋_GB2312" w:eastAsia="方正仿宋_GB2312" w:cs="方正仿宋_GB2312"/>
          <w:sz w:val="32"/>
          <w:szCs w:val="40"/>
          <w:lang w:val="en-US" w:eastAsia="zh-CN"/>
        </w:rPr>
        <w:t>的工作，同时做好人员管理、社保薪酬、投诉处理等，该项目经理需驻场办公，不得长期远程或往返其他项目。</w:t>
      </w:r>
    </w:p>
    <w:p w14:paraId="79470275">
      <w:pPr>
        <w:pStyle w:val="2"/>
        <w:numPr>
          <w:ilvl w:val="0"/>
          <w:numId w:val="0"/>
        </w:numPr>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7.福利费部分是甲方为考虑外包人员稳定性，按照甲方的员工统一标准制定，劳务外包公司需根据甲方要求的标准和相应月份发放至外包人员薪酬中，不得私自扣除。</w:t>
      </w:r>
    </w:p>
    <w:p w14:paraId="5DBDF1E3">
      <w:pPr>
        <w:pStyle w:val="2"/>
        <w:numPr>
          <w:ilvl w:val="0"/>
          <w:numId w:val="0"/>
        </w:num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8.</w:t>
      </w:r>
      <w:r>
        <w:rPr>
          <w:rFonts w:hint="eastAsia" w:ascii="方正仿宋_GB2312" w:hAnsi="方正仿宋_GB2312" w:eastAsia="方正仿宋_GB2312" w:cs="方正仿宋_GB2312"/>
          <w:sz w:val="32"/>
          <w:szCs w:val="40"/>
          <w:lang w:val="en-US" w:eastAsia="zh-Hans"/>
        </w:rPr>
        <w:t>甲方支付的</w:t>
      </w:r>
      <w:r>
        <w:rPr>
          <w:rFonts w:hint="eastAsia" w:ascii="方正仿宋_GB2312" w:hAnsi="方正仿宋_GB2312" w:eastAsia="方正仿宋_GB2312" w:cs="方正仿宋_GB2312"/>
          <w:sz w:val="32"/>
          <w:szCs w:val="40"/>
          <w:lang w:val="en-US" w:eastAsia="zh-CN"/>
        </w:rPr>
        <w:t>劳务</w:t>
      </w:r>
      <w:r>
        <w:rPr>
          <w:rFonts w:hint="eastAsia" w:ascii="方正仿宋_GB2312" w:hAnsi="方正仿宋_GB2312" w:eastAsia="方正仿宋_GB2312" w:cs="方正仿宋_GB2312"/>
          <w:sz w:val="32"/>
          <w:szCs w:val="40"/>
          <w:lang w:val="en-US" w:eastAsia="zh-Hans"/>
        </w:rPr>
        <w:t>外包费用中包含</w:t>
      </w:r>
      <w:r>
        <w:rPr>
          <w:rFonts w:hint="eastAsia" w:ascii="方正仿宋_GB2312" w:hAnsi="方正仿宋_GB2312" w:eastAsia="方正仿宋_GB2312" w:cs="方正仿宋_GB2312"/>
          <w:sz w:val="32"/>
          <w:szCs w:val="40"/>
          <w:lang w:val="en-US" w:eastAsia="zh-CN"/>
        </w:rPr>
        <w:t>外包</w:t>
      </w:r>
      <w:r>
        <w:rPr>
          <w:rFonts w:hint="eastAsia" w:ascii="方正仿宋_GB2312" w:hAnsi="方正仿宋_GB2312" w:eastAsia="方正仿宋_GB2312" w:cs="方正仿宋_GB2312"/>
          <w:sz w:val="32"/>
          <w:szCs w:val="40"/>
          <w:lang w:val="en-US" w:eastAsia="zh-Hans"/>
        </w:rPr>
        <w:t>人员的</w:t>
      </w:r>
      <w:r>
        <w:rPr>
          <w:rFonts w:hint="eastAsia" w:ascii="方正仿宋_GB2312" w:hAnsi="方正仿宋_GB2312" w:eastAsia="方正仿宋_GB2312" w:cs="方正仿宋_GB2312"/>
          <w:sz w:val="32"/>
          <w:szCs w:val="40"/>
          <w:lang w:val="en-US" w:eastAsia="zh-CN"/>
        </w:rPr>
        <w:t>保险</w:t>
      </w:r>
      <w:r>
        <w:rPr>
          <w:rFonts w:hint="eastAsia" w:ascii="方正仿宋_GB2312" w:hAnsi="方正仿宋_GB2312" w:eastAsia="方正仿宋_GB2312" w:cs="方正仿宋_GB2312"/>
          <w:sz w:val="32"/>
          <w:szCs w:val="40"/>
          <w:lang w:val="en-US" w:eastAsia="zh-Hans"/>
        </w:rPr>
        <w:t>费用，</w:t>
      </w:r>
      <w:r>
        <w:rPr>
          <w:rFonts w:hint="eastAsia" w:ascii="方正仿宋_GB2312" w:hAnsi="方正仿宋_GB2312" w:eastAsia="方正仿宋_GB2312" w:cs="方正仿宋_GB2312"/>
          <w:sz w:val="32"/>
          <w:szCs w:val="40"/>
          <w:lang w:val="en-US" w:eastAsia="zh-CN"/>
        </w:rPr>
        <w:t>劳务外包公司</w:t>
      </w:r>
      <w:r>
        <w:rPr>
          <w:rFonts w:hint="eastAsia" w:ascii="方正仿宋_GB2312" w:hAnsi="方正仿宋_GB2312" w:eastAsia="方正仿宋_GB2312" w:cs="方正仿宋_GB2312"/>
          <w:sz w:val="32"/>
          <w:szCs w:val="40"/>
          <w:lang w:val="en-US" w:eastAsia="zh-Hans"/>
        </w:rPr>
        <w:t>需按时足额缴纳</w:t>
      </w:r>
      <w:r>
        <w:rPr>
          <w:rFonts w:hint="eastAsia" w:ascii="方正仿宋_GB2312" w:hAnsi="方正仿宋_GB2312" w:eastAsia="方正仿宋_GB2312" w:cs="方正仿宋_GB2312"/>
          <w:sz w:val="32"/>
          <w:szCs w:val="40"/>
          <w:lang w:val="en-US" w:eastAsia="zh-CN"/>
        </w:rPr>
        <w:t>外包</w:t>
      </w:r>
      <w:r>
        <w:rPr>
          <w:rFonts w:hint="eastAsia" w:ascii="方正仿宋_GB2312" w:hAnsi="方正仿宋_GB2312" w:eastAsia="方正仿宋_GB2312" w:cs="方正仿宋_GB2312"/>
          <w:sz w:val="32"/>
          <w:szCs w:val="40"/>
          <w:lang w:val="en-US" w:eastAsia="zh-Hans"/>
        </w:rPr>
        <w:t>人员的</w:t>
      </w:r>
      <w:r>
        <w:rPr>
          <w:rFonts w:hint="eastAsia" w:ascii="方正仿宋_GB2312" w:hAnsi="方正仿宋_GB2312" w:eastAsia="方正仿宋_GB2312" w:cs="方正仿宋_GB2312"/>
          <w:sz w:val="32"/>
          <w:szCs w:val="40"/>
          <w:lang w:val="en-US" w:eastAsia="zh-CN"/>
        </w:rPr>
        <w:t>社会保险</w:t>
      </w:r>
      <w:r>
        <w:rPr>
          <w:rFonts w:hint="eastAsia" w:ascii="方正仿宋_GB2312" w:hAnsi="方正仿宋_GB2312" w:eastAsia="方正仿宋_GB2312" w:cs="方正仿宋_GB2312"/>
          <w:sz w:val="32"/>
          <w:szCs w:val="40"/>
          <w:lang w:val="en-US" w:eastAsia="zh-Hans"/>
        </w:rPr>
        <w:t>，如因保险断缴或未缴导致发生员工</w:t>
      </w:r>
      <w:r>
        <w:rPr>
          <w:rFonts w:hint="eastAsia" w:ascii="方正仿宋_GB2312" w:hAnsi="方正仿宋_GB2312" w:eastAsia="方正仿宋_GB2312" w:cs="方正仿宋_GB2312"/>
          <w:sz w:val="32"/>
          <w:szCs w:val="40"/>
          <w:lang w:val="en-US" w:eastAsia="zh-CN"/>
        </w:rPr>
        <w:t>事件</w:t>
      </w:r>
      <w:r>
        <w:rPr>
          <w:rFonts w:hint="eastAsia" w:ascii="方正仿宋_GB2312" w:hAnsi="方正仿宋_GB2312" w:eastAsia="方正仿宋_GB2312" w:cs="方正仿宋_GB2312"/>
          <w:sz w:val="32"/>
          <w:szCs w:val="40"/>
          <w:lang w:val="en-US" w:eastAsia="zh-Hans"/>
        </w:rPr>
        <w:t>，甲方不承担任何责任</w:t>
      </w:r>
      <w:r>
        <w:rPr>
          <w:rFonts w:hint="eastAsia" w:ascii="方正仿宋_GB2312" w:hAnsi="方正仿宋_GB2312" w:eastAsia="方正仿宋_GB2312" w:cs="方正仿宋_GB2312"/>
          <w:sz w:val="32"/>
          <w:szCs w:val="40"/>
          <w:lang w:val="en-US" w:eastAsia="zh-CN"/>
        </w:rPr>
        <w:t>。</w:t>
      </w:r>
    </w:p>
    <w:p w14:paraId="39D11E16">
      <w:pPr>
        <w:pStyle w:val="2"/>
        <w:numPr>
          <w:ilvl w:val="0"/>
          <w:numId w:val="0"/>
        </w:num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9.劳务外包公司</w:t>
      </w:r>
      <w:r>
        <w:rPr>
          <w:rFonts w:hint="eastAsia" w:ascii="方正仿宋_GB2312" w:hAnsi="方正仿宋_GB2312" w:eastAsia="方正仿宋_GB2312" w:cs="方正仿宋_GB2312"/>
          <w:sz w:val="32"/>
          <w:szCs w:val="40"/>
          <w:lang w:val="en-US" w:eastAsia="zh-Hans"/>
        </w:rPr>
        <w:t>可根据需要为</w:t>
      </w:r>
      <w:r>
        <w:rPr>
          <w:rFonts w:hint="eastAsia" w:ascii="方正仿宋_GB2312" w:hAnsi="方正仿宋_GB2312" w:eastAsia="方正仿宋_GB2312" w:cs="方正仿宋_GB2312"/>
          <w:sz w:val="32"/>
          <w:szCs w:val="40"/>
          <w:lang w:val="en-US" w:eastAsia="zh-CN"/>
        </w:rPr>
        <w:t>外包</w:t>
      </w:r>
      <w:r>
        <w:rPr>
          <w:rFonts w:hint="eastAsia" w:ascii="方正仿宋_GB2312" w:hAnsi="方正仿宋_GB2312" w:eastAsia="方正仿宋_GB2312" w:cs="方正仿宋_GB2312"/>
          <w:sz w:val="32"/>
          <w:szCs w:val="40"/>
          <w:lang w:val="en-US" w:eastAsia="zh-Hans"/>
        </w:rPr>
        <w:t>人员缴纳意外伤害险或雇主责任险，费用由</w:t>
      </w:r>
      <w:r>
        <w:rPr>
          <w:rFonts w:hint="eastAsia" w:ascii="方正仿宋_GB2312" w:hAnsi="方正仿宋_GB2312" w:eastAsia="方正仿宋_GB2312" w:cs="方正仿宋_GB2312"/>
          <w:sz w:val="32"/>
          <w:szCs w:val="40"/>
          <w:lang w:val="en-US" w:eastAsia="zh-CN"/>
        </w:rPr>
        <w:t>劳务外包公司</w:t>
      </w:r>
      <w:r>
        <w:rPr>
          <w:rFonts w:hint="eastAsia" w:ascii="方正仿宋_GB2312" w:hAnsi="方正仿宋_GB2312" w:eastAsia="方正仿宋_GB2312" w:cs="方正仿宋_GB2312"/>
          <w:sz w:val="32"/>
          <w:szCs w:val="40"/>
          <w:lang w:val="en-US" w:eastAsia="zh-Hans"/>
        </w:rPr>
        <w:t>自行承担</w:t>
      </w:r>
      <w:r>
        <w:rPr>
          <w:rFonts w:hint="eastAsia" w:ascii="方正仿宋_GB2312" w:hAnsi="方正仿宋_GB2312" w:eastAsia="方正仿宋_GB2312" w:cs="方正仿宋_GB2312"/>
          <w:sz w:val="32"/>
          <w:szCs w:val="40"/>
          <w:lang w:val="en-US" w:eastAsia="zh-CN"/>
        </w:rPr>
        <w:t>。</w:t>
      </w:r>
    </w:p>
    <w:p w14:paraId="2DD919D9">
      <w:pPr>
        <w:numPr>
          <w:ilvl w:val="0"/>
          <w:numId w:val="0"/>
        </w:numPr>
        <w:ind w:firstLine="640" w:firstLineChars="200"/>
        <w:rPr>
          <w:rFonts w:hint="default" w:ascii="黑体" w:hAnsi="黑体" w:eastAsia="黑体" w:cs="黑体"/>
          <w:sz w:val="32"/>
          <w:szCs w:val="40"/>
          <w:lang w:val="en-US" w:eastAsia="zh-CN"/>
        </w:rPr>
      </w:pPr>
      <w:r>
        <w:rPr>
          <w:rFonts w:hint="eastAsia" w:ascii="黑体" w:hAnsi="黑体" w:eastAsia="黑体" w:cs="黑体"/>
          <w:kern w:val="2"/>
          <w:sz w:val="32"/>
          <w:szCs w:val="40"/>
          <w:lang w:val="en-US" w:eastAsia="zh-CN" w:bidi="ar-SA"/>
        </w:rPr>
        <w:t>四、其他事项</w:t>
      </w:r>
    </w:p>
    <w:p w14:paraId="166CC7EF">
      <w:pPr>
        <w:numPr>
          <w:ilvl w:val="0"/>
          <w:numId w:val="0"/>
        </w:numPr>
        <w:ind w:leftChars="0"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1.中标单位应配合甲方一起，与目前合作的劳务外包公司做好人员转移交接工作，确保人员平稳过渡，业务不受影响。</w:t>
      </w:r>
    </w:p>
    <w:p w14:paraId="0CCB4339">
      <w:pPr>
        <w:pStyle w:val="2"/>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2.外包人员的餐食、住宿由甲方提供，此部分费用劳务外包公司不得增加到日常费用中。</w:t>
      </w:r>
    </w:p>
    <w:p w14:paraId="4741ED29">
      <w:pPr>
        <w:pStyle w:val="2"/>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3.甲方根据外包人员日常排班核算法定节假日工资和夜班补贴，此部分为浮动薪酬，根据实际发生核算，不计入日常薪酬标准中。</w:t>
      </w:r>
    </w:p>
    <w:p w14:paraId="0803F5C5">
      <w:pPr>
        <w:pStyle w:val="2"/>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4.客房服务员岗位薪酬模式为“基本工资+计件”，薪酬标准中包含基础做房量，超出部分进入浮动薪酬，此部分由甲方根据实际核算，不计入日常薪酬标准中。</w:t>
      </w:r>
    </w:p>
    <w:p w14:paraId="7BAD1DA7">
      <w:pPr>
        <w:overflowPunct w:val="0"/>
        <w:adjustRightInd w:val="0"/>
        <w:snapToGrid w:val="0"/>
        <w:spacing w:line="560" w:lineRule="exact"/>
        <w:ind w:firstLine="640" w:firstLineChars="200"/>
        <w:rPr>
          <w:rFonts w:hint="eastAsia" w:ascii="黑体" w:hAnsi="黑体" w:eastAsia="黑体" w:cs="仿宋"/>
          <w:bCs/>
          <w:color w:val="auto"/>
          <w:sz w:val="32"/>
          <w:highlight w:val="none"/>
        </w:rPr>
      </w:pPr>
      <w:r>
        <w:rPr>
          <w:rFonts w:hint="eastAsia" w:ascii="黑体" w:hAnsi="黑体" w:eastAsia="黑体" w:cs="仿宋"/>
          <w:bCs/>
          <w:color w:val="auto"/>
          <w:sz w:val="32"/>
          <w:highlight w:val="none"/>
          <w:lang w:val="en-US" w:eastAsia="zh-CN"/>
        </w:rPr>
        <w:t>五</w:t>
      </w:r>
      <w:r>
        <w:rPr>
          <w:rFonts w:hint="eastAsia" w:ascii="黑体" w:hAnsi="黑体" w:eastAsia="黑体" w:cs="仿宋"/>
          <w:bCs/>
          <w:color w:val="auto"/>
          <w:sz w:val="32"/>
          <w:highlight w:val="none"/>
        </w:rPr>
        <w:t>、服务期限</w:t>
      </w:r>
    </w:p>
    <w:p w14:paraId="00611D54">
      <w:pPr>
        <w:pStyle w:val="2"/>
        <w:ind w:firstLine="640" w:firstLineChars="200"/>
        <w:rPr>
          <w:rFonts w:hint="eastAsia" w:ascii="方正仿宋_GB2312" w:hAnsi="仿宋" w:eastAsia="方正仿宋_GB2312" w:cs="仿宋"/>
          <w:color w:val="auto"/>
          <w:sz w:val="32"/>
          <w:szCs w:val="24"/>
          <w:highlight w:val="none"/>
        </w:rPr>
      </w:pPr>
      <w:r>
        <w:rPr>
          <w:rFonts w:hint="eastAsia" w:ascii="方正仿宋_GB2312" w:hAnsi="仿宋" w:eastAsia="方正仿宋_GB2312" w:cs="仿宋"/>
          <w:color w:val="auto"/>
          <w:sz w:val="32"/>
          <w:szCs w:val="24"/>
          <w:highlight w:val="none"/>
          <w:lang w:val="en-US" w:eastAsia="zh-CN"/>
        </w:rPr>
        <w:t>两年，自合同签订之日起2年</w:t>
      </w:r>
      <w:r>
        <w:rPr>
          <w:rFonts w:hint="eastAsia" w:ascii="方正仿宋_GB2312" w:hAnsi="仿宋" w:eastAsia="方正仿宋_GB2312" w:cs="仿宋"/>
          <w:color w:val="auto"/>
          <w:sz w:val="32"/>
          <w:szCs w:val="24"/>
          <w:highlight w:val="none"/>
        </w:rPr>
        <w:t>。</w:t>
      </w:r>
    </w:p>
    <w:p w14:paraId="4C7203CC">
      <w:pPr>
        <w:overflowPunct w:val="0"/>
        <w:adjustRightInd w:val="0"/>
        <w:snapToGrid w:val="0"/>
        <w:spacing w:line="560" w:lineRule="exact"/>
        <w:ind w:firstLine="640" w:firstLineChars="200"/>
        <w:rPr>
          <w:rFonts w:ascii="黑体" w:hAnsi="黑体" w:eastAsia="黑体" w:cs="仿宋"/>
          <w:bCs/>
          <w:color w:val="auto"/>
          <w:sz w:val="32"/>
          <w:highlight w:val="none"/>
        </w:rPr>
      </w:pPr>
      <w:r>
        <w:rPr>
          <w:rFonts w:hint="eastAsia" w:ascii="黑体" w:hAnsi="黑体" w:eastAsia="黑体" w:cs="仿宋"/>
          <w:bCs/>
          <w:color w:val="auto"/>
          <w:sz w:val="32"/>
          <w:highlight w:val="none"/>
          <w:lang w:val="en-US" w:eastAsia="zh-CN"/>
        </w:rPr>
        <w:t>六</w:t>
      </w:r>
      <w:r>
        <w:rPr>
          <w:rFonts w:hint="eastAsia" w:ascii="黑体" w:hAnsi="黑体" w:eastAsia="黑体" w:cs="仿宋"/>
          <w:bCs/>
          <w:color w:val="auto"/>
          <w:sz w:val="32"/>
          <w:highlight w:val="none"/>
        </w:rPr>
        <w:t>、成果要求</w:t>
      </w:r>
    </w:p>
    <w:p w14:paraId="208B1EE2">
      <w:pPr>
        <w:overflowPunct w:val="0"/>
        <w:adjustRightInd w:val="0"/>
        <w:snapToGrid w:val="0"/>
        <w:spacing w:line="560" w:lineRule="exact"/>
        <w:ind w:firstLine="643" w:firstLineChars="200"/>
        <w:rPr>
          <w:rFonts w:hint="eastAsia" w:ascii="方正仿宋_GB2312" w:hAnsi="方正仿宋_GB2312" w:eastAsia="方正仿宋_GB2312" w:cs="方正仿宋_GB2312"/>
          <w:b/>
          <w:bCs/>
          <w:color w:val="auto"/>
          <w:highlight w:val="none"/>
        </w:rPr>
      </w:pPr>
      <w:r>
        <w:rPr>
          <w:rFonts w:hint="eastAsia" w:ascii="方正仿宋_GB2312" w:hAnsi="方正仿宋_GB2312" w:eastAsia="方正仿宋_GB2312" w:cs="方正仿宋_GB2312"/>
          <w:b/>
          <w:bCs/>
          <w:color w:val="auto"/>
          <w:sz w:val="32"/>
          <w:highlight w:val="none"/>
        </w:rPr>
        <w:t>（一）成果提交形式及时间要求</w:t>
      </w:r>
    </w:p>
    <w:p w14:paraId="46074181">
      <w:pPr>
        <w:adjustRightInd w:val="0"/>
        <w:snapToGrid w:val="0"/>
        <w:spacing w:line="560" w:lineRule="exact"/>
        <w:ind w:firstLine="640" w:firstLineChars="200"/>
        <w:rPr>
          <w:rFonts w:hint="default" w:ascii="方正仿宋_GB2312" w:hAnsi="仿宋" w:eastAsia="方正仿宋_GB2312" w:cs="仿宋"/>
          <w:color w:val="auto"/>
          <w:sz w:val="32"/>
          <w:highlight w:val="none"/>
          <w:lang w:val="en-US"/>
        </w:rPr>
      </w:pPr>
      <w:r>
        <w:rPr>
          <w:rFonts w:hint="eastAsia" w:ascii="方正仿宋_GB2312" w:hAnsi="仿宋" w:eastAsia="方正仿宋_GB2312" w:cs="仿宋"/>
          <w:color w:val="auto"/>
          <w:sz w:val="32"/>
          <w:highlight w:val="none"/>
        </w:rPr>
        <w:t>1.上述服务内容对应的成果应按招标人要求</w:t>
      </w:r>
      <w:r>
        <w:rPr>
          <w:rFonts w:hint="eastAsia" w:ascii="方正仿宋_GB2312" w:hAnsi="仿宋" w:eastAsia="方正仿宋_GB2312" w:cs="仿宋"/>
          <w:color w:val="auto"/>
          <w:sz w:val="32"/>
          <w:highlight w:val="none"/>
          <w:lang w:val="en-US" w:eastAsia="zh-CN"/>
        </w:rPr>
        <w:t>提供相应岗位经验的外包人员到岗，无特殊疾病和犯罪记录等。</w:t>
      </w:r>
    </w:p>
    <w:p w14:paraId="1316C081">
      <w:pPr>
        <w:adjustRightInd w:val="0"/>
        <w:snapToGrid w:val="0"/>
        <w:spacing w:line="560" w:lineRule="exact"/>
        <w:ind w:firstLine="640" w:firstLineChars="200"/>
        <w:rPr>
          <w:rFonts w:ascii="方正仿宋_GB2312" w:hAnsi="仿宋" w:eastAsia="方正仿宋_GB2312" w:cs="仿宋"/>
          <w:color w:val="auto"/>
          <w:sz w:val="32"/>
          <w:highlight w:val="none"/>
        </w:rPr>
      </w:pPr>
      <w:r>
        <w:rPr>
          <w:rFonts w:hint="eastAsia" w:ascii="方正仿宋_GB2312" w:hAnsi="仿宋" w:eastAsia="方正仿宋_GB2312" w:cs="仿宋"/>
          <w:color w:val="auto"/>
          <w:sz w:val="32"/>
          <w:highlight w:val="none"/>
        </w:rPr>
        <w:t>2.投标人应指派一名业务能力强，有丰富</w:t>
      </w:r>
      <w:r>
        <w:rPr>
          <w:rFonts w:hint="eastAsia" w:ascii="方正仿宋_GB2312" w:hAnsi="仿宋" w:eastAsia="方正仿宋_GB2312" w:cs="仿宋"/>
          <w:color w:val="auto"/>
          <w:sz w:val="32"/>
          <w:highlight w:val="none"/>
          <w:lang w:val="en-US" w:eastAsia="zh-CN"/>
        </w:rPr>
        <w:t>酒店行业</w:t>
      </w:r>
      <w:r>
        <w:rPr>
          <w:rFonts w:hint="eastAsia" w:ascii="方正仿宋_GB2312" w:hAnsi="仿宋" w:eastAsia="方正仿宋_GB2312" w:cs="仿宋"/>
          <w:color w:val="auto"/>
          <w:sz w:val="32"/>
          <w:highlight w:val="none"/>
        </w:rPr>
        <w:t>经验的</w:t>
      </w:r>
      <w:r>
        <w:rPr>
          <w:rFonts w:hint="eastAsia" w:ascii="方正仿宋_GB2312" w:hAnsi="仿宋" w:eastAsia="方正仿宋_GB2312" w:cs="仿宋"/>
          <w:color w:val="auto"/>
          <w:sz w:val="32"/>
          <w:highlight w:val="none"/>
          <w:lang w:val="en-US" w:eastAsia="zh-CN"/>
        </w:rPr>
        <w:t>项目经理</w:t>
      </w:r>
      <w:r>
        <w:rPr>
          <w:rFonts w:hint="eastAsia" w:ascii="方正仿宋_GB2312" w:hAnsi="仿宋" w:eastAsia="方正仿宋_GB2312" w:cs="仿宋"/>
          <w:color w:val="auto"/>
          <w:sz w:val="32"/>
          <w:highlight w:val="none"/>
        </w:rPr>
        <w:t>作为服务</w:t>
      </w:r>
      <w:r>
        <w:rPr>
          <w:rFonts w:hint="eastAsia" w:ascii="方正仿宋_GB2312" w:hAnsi="仿宋" w:eastAsia="方正仿宋_GB2312" w:cs="仿宋"/>
          <w:color w:val="auto"/>
          <w:sz w:val="32"/>
          <w:highlight w:val="none"/>
          <w:lang w:val="en-US" w:eastAsia="zh-CN"/>
        </w:rPr>
        <w:t>对接</w:t>
      </w:r>
      <w:r>
        <w:rPr>
          <w:rFonts w:hint="eastAsia" w:ascii="方正仿宋_GB2312" w:hAnsi="仿宋" w:eastAsia="方正仿宋_GB2312" w:cs="仿宋"/>
          <w:color w:val="auto"/>
          <w:sz w:val="32"/>
          <w:highlight w:val="none"/>
        </w:rPr>
        <w:t>人，招标人有以上服务范围内的需求时可及时联系到</w:t>
      </w:r>
      <w:r>
        <w:rPr>
          <w:rFonts w:hint="eastAsia" w:ascii="方正仿宋_GB2312" w:hAnsi="仿宋" w:eastAsia="方正仿宋_GB2312" w:cs="仿宋"/>
          <w:color w:val="auto"/>
          <w:sz w:val="32"/>
          <w:highlight w:val="none"/>
          <w:lang w:val="en-US" w:eastAsia="zh-CN"/>
        </w:rPr>
        <w:t>项目经理</w:t>
      </w:r>
      <w:r>
        <w:rPr>
          <w:rFonts w:hint="eastAsia" w:ascii="方正仿宋_GB2312" w:hAnsi="仿宋" w:eastAsia="方正仿宋_GB2312" w:cs="仿宋"/>
          <w:color w:val="auto"/>
          <w:sz w:val="32"/>
          <w:highlight w:val="none"/>
        </w:rPr>
        <w:t>。</w:t>
      </w:r>
    </w:p>
    <w:p w14:paraId="50E477A3">
      <w:pPr>
        <w:adjustRightInd w:val="0"/>
        <w:snapToGrid w:val="0"/>
        <w:spacing w:line="560" w:lineRule="exact"/>
        <w:ind w:firstLine="640" w:firstLineChars="200"/>
        <w:rPr>
          <w:rFonts w:ascii="方正仿宋_GB2312" w:hAnsi="仿宋" w:eastAsia="方正仿宋_GB2312" w:cs="仿宋"/>
          <w:color w:val="auto"/>
          <w:sz w:val="32"/>
          <w:highlight w:val="none"/>
        </w:rPr>
      </w:pPr>
      <w:r>
        <w:rPr>
          <w:rFonts w:hint="eastAsia" w:ascii="方正仿宋_GB2312" w:hAnsi="仿宋" w:eastAsia="方正仿宋_GB2312" w:cs="仿宋"/>
          <w:color w:val="auto"/>
          <w:sz w:val="32"/>
          <w:highlight w:val="none"/>
        </w:rPr>
        <w:t>3.就服务响应的一般要求细化如下：</w:t>
      </w:r>
    </w:p>
    <w:p w14:paraId="1F337F75">
      <w:pPr>
        <w:adjustRightInd w:val="0"/>
        <w:snapToGrid w:val="0"/>
        <w:spacing w:line="560" w:lineRule="exact"/>
        <w:ind w:firstLine="643" w:firstLineChars="200"/>
        <w:rPr>
          <w:rFonts w:ascii="方正仿宋_GB2312" w:hAnsi="仿宋" w:eastAsia="方正仿宋_GB2312" w:cs="仿宋"/>
          <w:color w:val="auto"/>
          <w:sz w:val="32"/>
          <w:highlight w:val="none"/>
        </w:rPr>
      </w:pPr>
      <w:r>
        <w:rPr>
          <w:rFonts w:hint="eastAsia" w:ascii="方正仿宋_GB2312" w:hAnsi="仿宋" w:eastAsia="方正仿宋_GB2312" w:cs="仿宋"/>
          <w:b/>
          <w:bCs/>
          <w:color w:val="auto"/>
          <w:sz w:val="32"/>
          <w:highlight w:val="none"/>
        </w:rPr>
        <w:t>一般事项</w:t>
      </w:r>
      <w:r>
        <w:rPr>
          <w:rFonts w:hint="eastAsia" w:ascii="方正仿宋_GB2312" w:hAnsi="仿宋" w:eastAsia="方正仿宋_GB2312" w:cs="仿宋"/>
          <w:b/>
          <w:bCs/>
          <w:color w:val="auto"/>
          <w:sz w:val="32"/>
          <w:highlight w:val="none"/>
          <w:lang w:eastAsia="zh-CN"/>
        </w:rPr>
        <w:t>（</w:t>
      </w:r>
      <w:r>
        <w:rPr>
          <w:rFonts w:hint="eastAsia" w:ascii="方正仿宋_GB2312" w:hAnsi="仿宋" w:eastAsia="方正仿宋_GB2312" w:cs="仿宋"/>
          <w:b/>
          <w:bCs/>
          <w:color w:val="auto"/>
          <w:sz w:val="32"/>
          <w:highlight w:val="none"/>
          <w:lang w:val="en-US" w:eastAsia="zh-CN"/>
        </w:rPr>
        <w:t>如人员入离职等）</w:t>
      </w:r>
      <w:r>
        <w:rPr>
          <w:rFonts w:hint="eastAsia" w:ascii="方正仿宋_GB2312" w:hAnsi="仿宋" w:eastAsia="方正仿宋_GB2312" w:cs="仿宋"/>
          <w:color w:val="auto"/>
          <w:sz w:val="32"/>
          <w:highlight w:val="none"/>
          <w:lang w:val="en-US" w:eastAsia="zh-CN"/>
        </w:rPr>
        <w:t>：3</w:t>
      </w:r>
      <w:r>
        <w:rPr>
          <w:rFonts w:hint="eastAsia" w:ascii="方正仿宋_GB2312" w:hAnsi="仿宋" w:eastAsia="方正仿宋_GB2312" w:cs="仿宋"/>
          <w:color w:val="auto"/>
          <w:sz w:val="32"/>
          <w:highlight w:val="none"/>
        </w:rPr>
        <w:t>日</w:t>
      </w:r>
      <w:r>
        <w:rPr>
          <w:rFonts w:hint="eastAsia" w:ascii="方正仿宋_GB2312" w:hAnsi="仿宋" w:eastAsia="方正仿宋_GB2312" w:cs="仿宋"/>
          <w:color w:val="auto"/>
          <w:sz w:val="32"/>
          <w:highlight w:val="none"/>
          <w:lang w:val="en-US" w:eastAsia="zh-CN"/>
        </w:rPr>
        <w:t>内</w:t>
      </w:r>
      <w:r>
        <w:rPr>
          <w:rFonts w:hint="eastAsia" w:ascii="方正仿宋_GB2312" w:hAnsi="仿宋" w:eastAsia="方正仿宋_GB2312" w:cs="仿宋"/>
          <w:color w:val="auto"/>
          <w:sz w:val="32"/>
          <w:highlight w:val="none"/>
        </w:rPr>
        <w:t>；</w:t>
      </w:r>
    </w:p>
    <w:p w14:paraId="25AE3BE9">
      <w:pPr>
        <w:adjustRightInd w:val="0"/>
        <w:snapToGrid w:val="0"/>
        <w:spacing w:line="560" w:lineRule="exact"/>
        <w:ind w:firstLine="643" w:firstLineChars="200"/>
        <w:rPr>
          <w:rFonts w:hint="default" w:ascii="方正仿宋_GB2312" w:hAnsi="仿宋" w:eastAsia="方正仿宋_GB2312" w:cs="仿宋"/>
          <w:b/>
          <w:bCs/>
          <w:color w:val="auto"/>
          <w:sz w:val="32"/>
          <w:highlight w:val="none"/>
          <w:lang w:val="en-US" w:eastAsia="zh-CN"/>
        </w:rPr>
      </w:pPr>
      <w:r>
        <w:rPr>
          <w:rFonts w:hint="eastAsia" w:ascii="方正仿宋_GB2312" w:hAnsi="仿宋" w:eastAsia="方正仿宋_GB2312" w:cs="仿宋"/>
          <w:b/>
          <w:bCs/>
          <w:color w:val="auto"/>
          <w:sz w:val="32"/>
          <w:highlight w:val="none"/>
        </w:rPr>
        <w:t>特殊事项</w:t>
      </w:r>
      <w:r>
        <w:rPr>
          <w:rFonts w:hint="eastAsia" w:ascii="方正仿宋_GB2312" w:hAnsi="仿宋" w:eastAsia="方正仿宋_GB2312" w:cs="仿宋"/>
          <w:b/>
          <w:bCs/>
          <w:color w:val="auto"/>
          <w:sz w:val="32"/>
          <w:highlight w:val="none"/>
          <w:lang w:eastAsia="zh-CN"/>
        </w:rPr>
        <w:t>（</w:t>
      </w:r>
      <w:r>
        <w:rPr>
          <w:rFonts w:hint="eastAsia" w:ascii="方正仿宋_GB2312" w:hAnsi="仿宋" w:eastAsia="方正仿宋_GB2312" w:cs="仿宋"/>
          <w:b/>
          <w:bCs/>
          <w:color w:val="auto"/>
          <w:sz w:val="32"/>
          <w:highlight w:val="none"/>
          <w:lang w:val="en-US" w:eastAsia="zh-CN"/>
        </w:rPr>
        <w:t>如发生工伤事件）</w:t>
      </w:r>
      <w:r>
        <w:rPr>
          <w:rFonts w:hint="eastAsia" w:ascii="方正仿宋_GB2312" w:hAnsi="仿宋" w:eastAsia="方正仿宋_GB2312" w:cs="仿宋"/>
          <w:color w:val="auto"/>
          <w:sz w:val="32"/>
          <w:highlight w:val="none"/>
          <w:lang w:val="en-US" w:eastAsia="zh-CN"/>
        </w:rPr>
        <w:t>：当日。</w:t>
      </w:r>
    </w:p>
    <w:p w14:paraId="596F0D38">
      <w:pPr>
        <w:adjustRightInd w:val="0"/>
        <w:snapToGrid w:val="0"/>
        <w:spacing w:line="560" w:lineRule="exact"/>
        <w:ind w:firstLine="643" w:firstLineChars="200"/>
        <w:rPr>
          <w:rFonts w:hint="eastAsia" w:ascii="方正仿宋_GB2312" w:hAnsi="方正仿宋_GB2312" w:eastAsia="方正仿宋_GB2312" w:cs="方正仿宋_GB2312"/>
          <w:b/>
          <w:bCs w:val="0"/>
          <w:color w:val="auto"/>
          <w:sz w:val="32"/>
          <w:highlight w:val="none"/>
        </w:rPr>
      </w:pPr>
      <w:r>
        <w:rPr>
          <w:rFonts w:hint="eastAsia" w:ascii="方正仿宋_GB2312" w:hAnsi="方正仿宋_GB2312" w:eastAsia="方正仿宋_GB2312" w:cs="方正仿宋_GB2312"/>
          <w:b/>
          <w:bCs w:val="0"/>
          <w:color w:val="auto"/>
          <w:sz w:val="32"/>
          <w:highlight w:val="none"/>
        </w:rPr>
        <w:t>（二）成果质量标准</w:t>
      </w:r>
    </w:p>
    <w:p w14:paraId="19957FA8">
      <w:pPr>
        <w:adjustRightInd w:val="0"/>
        <w:snapToGrid w:val="0"/>
        <w:spacing w:line="560" w:lineRule="exact"/>
        <w:ind w:firstLine="640" w:firstLineChars="200"/>
        <w:rPr>
          <w:rFonts w:ascii="方正仿宋_GB2312" w:eastAsia="方正仿宋_GB2312"/>
          <w:color w:val="auto"/>
        </w:rPr>
      </w:pPr>
      <w:r>
        <w:rPr>
          <w:rFonts w:hint="eastAsia" w:ascii="方正仿宋_GB2312" w:hAnsi="仿宋" w:eastAsia="方正仿宋_GB2312" w:cs="仿宋"/>
          <w:color w:val="auto"/>
          <w:sz w:val="32"/>
          <w:highlight w:val="none"/>
        </w:rPr>
        <w:t>在合法合规的前提下满足招标人的需求和定义，经招标人审核通过。</w:t>
      </w:r>
    </w:p>
    <w:p w14:paraId="75C0277C">
      <w:pPr>
        <w:pStyle w:val="2"/>
        <w:ind w:firstLine="640" w:firstLineChars="200"/>
        <w:rPr>
          <w:rFonts w:hint="eastAsia" w:ascii="方正仿宋_GB2312" w:hAnsi="仿宋" w:eastAsia="方正仿宋_GB2312" w:cs="仿宋"/>
          <w:color w:val="auto"/>
          <w:sz w:val="32"/>
          <w:szCs w:val="24"/>
          <w:highlight w:val="none"/>
        </w:rPr>
      </w:pPr>
    </w:p>
    <w:p w14:paraId="5E96BB9A">
      <w:pPr>
        <w:pStyle w:val="2"/>
        <w:numPr>
          <w:ilvl w:val="0"/>
          <w:numId w:val="0"/>
        </w:numPr>
        <w:rPr>
          <w:rFonts w:hint="eastAsia" w:ascii="方正仿宋_GB2312" w:hAnsi="方正仿宋_GB2312" w:eastAsia="方正仿宋_GB2312" w:cs="方正仿宋_GB2312"/>
          <w:sz w:val="32"/>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B7F6B1-54A9-4CDB-A53E-15533E070B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EF6093F-7B3C-44A1-95C0-934D584ABF1D}"/>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885A4BE8-66B7-4B96-AE2F-66FD554DB827}"/>
  </w:font>
  <w:font w:name="仿宋_GB2312">
    <w:panose1 w:val="02010609030101010101"/>
    <w:charset w:val="86"/>
    <w:family w:val="auto"/>
    <w:pitch w:val="default"/>
    <w:sig w:usb0="00000001" w:usb1="080E0000" w:usb2="00000000" w:usb3="00000000" w:csb0="00040000" w:csb1="00000000"/>
    <w:embedRegular r:id="rId4" w:fontKey="{727CBD92-95EC-44EC-8028-4DE2B6565076}"/>
  </w:font>
  <w:font w:name="仿宋">
    <w:panose1 w:val="02010609060101010101"/>
    <w:charset w:val="86"/>
    <w:family w:val="auto"/>
    <w:pitch w:val="default"/>
    <w:sig w:usb0="800002BF" w:usb1="38CF7CFA" w:usb2="00000016" w:usb3="00000000" w:csb0="00040001" w:csb1="00000000"/>
    <w:embedRegular r:id="rId5" w:fontKey="{5377FF5F-8511-4FAB-A497-DA82A82FB401}"/>
  </w:font>
  <w:font w:name="WPSEMBED3">
    <w:panose1 w:val="02000000000000000000"/>
    <w:charset w:val="86"/>
    <w:family w:val="auto"/>
    <w:pitch w:val="default"/>
    <w:sig w:usb0="A00002BF" w:usb1="38CF7CFA" w:usb2="00082016" w:usb3="00000000" w:csb0="00040001" w:csb1="00000000"/>
  </w:font>
  <w:font w:name="WPSEMBED4">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705FA"/>
    <w:multiLevelType w:val="singleLevel"/>
    <w:tmpl w:val="2C7705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27DF3A7"/>
    <w:rsid w:val="00382DEE"/>
    <w:rsid w:val="0061472F"/>
    <w:rsid w:val="01B078B4"/>
    <w:rsid w:val="03265D81"/>
    <w:rsid w:val="0461789C"/>
    <w:rsid w:val="07CED0F3"/>
    <w:rsid w:val="0EBD0157"/>
    <w:rsid w:val="157E7260"/>
    <w:rsid w:val="16591A2D"/>
    <w:rsid w:val="19C6006D"/>
    <w:rsid w:val="1CBE5E33"/>
    <w:rsid w:val="21743E43"/>
    <w:rsid w:val="23272B22"/>
    <w:rsid w:val="23DBFFF8"/>
    <w:rsid w:val="275703A6"/>
    <w:rsid w:val="2A55472B"/>
    <w:rsid w:val="2B0C2C87"/>
    <w:rsid w:val="2BFB6BF7"/>
    <w:rsid w:val="2D4F15F3"/>
    <w:rsid w:val="2DCE081F"/>
    <w:rsid w:val="2F947791"/>
    <w:rsid w:val="309B7857"/>
    <w:rsid w:val="37F926C2"/>
    <w:rsid w:val="387737AC"/>
    <w:rsid w:val="38FE58E1"/>
    <w:rsid w:val="3A485400"/>
    <w:rsid w:val="3B934DA1"/>
    <w:rsid w:val="3D605F7A"/>
    <w:rsid w:val="3D769B17"/>
    <w:rsid w:val="3D8E1975"/>
    <w:rsid w:val="48867E07"/>
    <w:rsid w:val="4FD93530"/>
    <w:rsid w:val="554F368F"/>
    <w:rsid w:val="571A6001"/>
    <w:rsid w:val="5DAB78D0"/>
    <w:rsid w:val="5FDF85FA"/>
    <w:rsid w:val="60981B14"/>
    <w:rsid w:val="60DC0CA9"/>
    <w:rsid w:val="61233015"/>
    <w:rsid w:val="618F68F6"/>
    <w:rsid w:val="64B47D68"/>
    <w:rsid w:val="683A3D2B"/>
    <w:rsid w:val="68500938"/>
    <w:rsid w:val="6D4573FA"/>
    <w:rsid w:val="6D9BBB38"/>
    <w:rsid w:val="6DC5053A"/>
    <w:rsid w:val="6E6B2E90"/>
    <w:rsid w:val="6FDC5D1B"/>
    <w:rsid w:val="70300235"/>
    <w:rsid w:val="70343755"/>
    <w:rsid w:val="71B30E36"/>
    <w:rsid w:val="757A4408"/>
    <w:rsid w:val="77441C8C"/>
    <w:rsid w:val="77F12F96"/>
    <w:rsid w:val="78526E6F"/>
    <w:rsid w:val="795FD6FF"/>
    <w:rsid w:val="79A80EC3"/>
    <w:rsid w:val="79FFC6AF"/>
    <w:rsid w:val="7A684727"/>
    <w:rsid w:val="7A7F382E"/>
    <w:rsid w:val="7AD2634D"/>
    <w:rsid w:val="7B9FE647"/>
    <w:rsid w:val="7F2F1617"/>
    <w:rsid w:val="7FEF3BCE"/>
    <w:rsid w:val="B589C178"/>
    <w:rsid w:val="B7BD003D"/>
    <w:rsid w:val="B7D66E36"/>
    <w:rsid w:val="BBBD5382"/>
    <w:rsid w:val="BDDD87B9"/>
    <w:rsid w:val="DAEE0400"/>
    <w:rsid w:val="DD7A3EB7"/>
    <w:rsid w:val="DE1EA2B0"/>
    <w:rsid w:val="DF57110D"/>
    <w:rsid w:val="DFF6951A"/>
    <w:rsid w:val="E9CB8CFB"/>
    <w:rsid w:val="EA6F29CD"/>
    <w:rsid w:val="EAED3FF4"/>
    <w:rsid w:val="EDDE696A"/>
    <w:rsid w:val="EF355678"/>
    <w:rsid w:val="F27DF3A7"/>
    <w:rsid w:val="F9BBB094"/>
    <w:rsid w:val="FCEF5A79"/>
    <w:rsid w:val="FDEEA3D1"/>
    <w:rsid w:val="FDFBEC93"/>
    <w:rsid w:val="FF3F1319"/>
    <w:rsid w:val="FF736C62"/>
    <w:rsid w:val="FF7F8CE6"/>
    <w:rsid w:val="FFAC8463"/>
    <w:rsid w:val="FFBB5C1D"/>
    <w:rsid w:val="FFEFA3D5"/>
    <w:rsid w:val="FFF4109D"/>
    <w:rsid w:val="FFF8B690"/>
    <w:rsid w:val="FFFF2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1472</Words>
  <Characters>1502</Characters>
  <Lines>0</Lines>
  <Paragraphs>0</Paragraphs>
  <TotalTime>91</TotalTime>
  <ScaleCrop>false</ScaleCrop>
  <LinksUpToDate>false</LinksUpToDate>
  <CharactersWithSpaces>1502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2023-06-21T03:54:00Z</dcterms:created>
  <dc:creator>飞飞</dc:creator>
  <cp:lastModifiedBy>WPS_1622773723</cp:lastModifiedBy>
  <dcterms:modified xsi:type="dcterms:W3CDTF">2026-07-13T01:26:19Z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E4FE48723CBC233E6AD18F64B515503C</vt:lpwstr>
  </property>
  <property fmtid="{D5CDD505-2E9C-101B-9397-08002B2CF9AE}" pid="4" name="KSOTemplateDocerSaveRecord">
    <vt:lpwstr>eyJoZGlkIjoiMTU4OGI4NTQ5ZDQ3MGYyZThmMDExN2U0ZjJmNWUzZGUiLCJ1c2VySWQiOiIxMjE2MTk4NTMwIn0=</vt:lpwstr>
  </property>
</Properties>
</file>