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19F48">
      <w:pPr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工程安保外包人员岗位要求</w:t>
      </w:r>
    </w:p>
    <w:p w14:paraId="19585072">
      <w:pPr>
        <w:jc w:val="center"/>
        <w:rPr>
          <w:rFonts w:hint="eastAsia"/>
          <w:b/>
          <w:sz w:val="32"/>
          <w:szCs w:val="32"/>
        </w:rPr>
      </w:pPr>
    </w:p>
    <w:p w14:paraId="6C12DD3C">
      <w:pPr>
        <w:rPr>
          <w:rFonts w:hint="default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岗位名称： 工程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安保员</w:t>
      </w:r>
    </w:p>
    <w:p w14:paraId="2ABE2D00">
      <w:pPr>
        <w:widowControl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一、工作要求：</w:t>
      </w:r>
    </w:p>
    <w:p w14:paraId="5CD1298C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1、根据月度保养计划， 保养相关设备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F33C3D0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2、确保工作质量及保养进度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FEBE83D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3、根据领导安排完成各类维修及维保房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783958A7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4、完成各种报修并保证维修质量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4B0AFF78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5、处理各类突发应急事件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7FF781B8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6、严格遵守安全生产条例和操作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规程， 做好安全防护措施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</w:p>
    <w:p w14:paraId="55387BF5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7、遵守集团的制度及政策， 日常工作中注意节能和安全操作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72F8599E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8、完成上级交办的其他工作。 </w:t>
      </w:r>
    </w:p>
    <w:p w14:paraId="3C92E6A7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二、日常工作：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6AA77001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1、每日对设施设备报修项目进行维修，并在工程维修本上做好记录，对暂时无法 解决的项目要做好记录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3480C050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2、每日巡回检查各系统设备的运行情况，并做好有关的记录，及时向工程经理提 供系统运行状态方面的准确信息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4A5E90C2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3、每日在工作交接本上记录在岗时发生的情况及特殊事项，做好交接班记录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28E43832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4、每日做好工程各系统机房钥匙保管工作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64CA836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5、若巡检发现系统设备有异常情况，及时进行处理，并向工程经理反映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5DDF57C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6、每日对酒店公共区域进行巡视检查，发现问题及时解决，保证设施设备的完好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3F1F7608">
      <w:pPr>
        <w:widowControl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7、每日协助客房做好登高设施的清洁与检查工作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34FFDE88">
      <w:pPr>
        <w:widowControl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8、每周计划性的维修保养客房2间（视各店实际房量而定），并在易维修内做好记录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708E823"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9、所有维修工作，需在选择华通易维修内实施，方便记录及反馈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0BBE73AA">
      <w:p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10、在住客房维修，需主管敲门，经客人同意后进入，不偷窥客人房内的活动，不随意挪动客人物品，维修快速准确，给予正确答复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2467F848">
      <w:pPr>
        <w:widowControl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11、公共区域工作，不妨碍客人的活动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43ACAC7C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12、每周负责各系统机房的清洁卫生工作，保证各机房符合标准。 </w:t>
      </w:r>
    </w:p>
    <w:p w14:paraId="5261F214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三、月度工作：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1290CBB9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1、每月负责抄写水、电、燃气表，做好记录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7E4459B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2、定期对生活水箱进行清洗消毒，并做好各类高空照明的清洁与检查工作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6B4F3D7F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3、每月按工程经理的安排对烟感、温感进行检测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9F72A72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4、如遇到电梯、中央空调、锅炉、电话交换机消防报警系统、变配电、水泵、 闭路监控系统发生故障应及时联系维保单位维修进行维修，并及时汇报工程经理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7A24343F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5、熟悉并了解停水、停电、电梯困人等事件的处理预案，发生情况立即按方案执行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9F5571C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6、完成上级交办的其他工作任务。</w:t>
      </w:r>
    </w:p>
    <w:p w14:paraId="341BC1B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工作时间：每月休息4天（早中晚班）</w:t>
      </w:r>
    </w:p>
    <w:p w14:paraId="27E241B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年龄要求：30周岁-5</w:t>
      </w:r>
      <w:r>
        <w:rPr>
          <w:rFonts w:ascii="仿宋_GB2312" w:hAnsi="仿宋_GB2312" w:eastAsia="仿宋_GB2312" w:cs="仿宋_GB2312"/>
          <w:b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周岁</w:t>
      </w:r>
    </w:p>
    <w:p w14:paraId="2E00264F">
      <w:pPr>
        <w:widowControl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工作标准：</w:t>
      </w:r>
    </w:p>
    <w:p w14:paraId="56CA5ED8">
      <w:pPr>
        <w:widowControl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1、持电工上岗证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2CA55C83">
      <w:pPr>
        <w:widowControl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2、有良好沟通技巧，吃苦耐劳的精神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5EDAD179">
      <w:pPr>
        <w:widowControl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3、富有工作责任心，诚实可靠，态度良好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 w14:paraId="0BA2FE87">
      <w:pPr>
        <w:widowControl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4、良好的团队组织能力和人际沟通技能，能够和公司内部和外部的部门进行有效的沟通。</w:t>
      </w:r>
    </w:p>
    <w:p w14:paraId="070B4648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七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照明设备维修保养标准： </w:t>
      </w:r>
    </w:p>
    <w:p w14:paraId="5693E556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1. 保证照明系统随时处于正常状态</w:t>
      </w:r>
      <w:r>
        <w:rPr>
          <w:rFonts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 xml:space="preserve"> </w:t>
      </w:r>
    </w:p>
    <w:p w14:paraId="02D20264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2. 对灯罩内的灰尘、虫尸进行检查和清扫，以保证它的正常照明亮度</w:t>
      </w:r>
      <w:r>
        <w:rPr>
          <w:rFonts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 xml:space="preserve"> </w:t>
      </w:r>
    </w:p>
    <w:p w14:paraId="4DB26A41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3. 对应急照明系统应每季度检查并放电，确保其完好</w:t>
      </w:r>
      <w:r>
        <w:rPr>
          <w:rFonts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 xml:space="preserve"> </w:t>
      </w:r>
    </w:p>
    <w:p w14:paraId="50A314BC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4. 特殊场所的防暴、防水型灯具应每季度对其密封进行检查，发现有锈蚀损坏和密封失效等现象应及时修复或更换</w:t>
      </w:r>
      <w:r>
        <w:rPr>
          <w:rFonts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 xml:space="preserve"> </w:t>
      </w:r>
    </w:p>
    <w:p w14:paraId="1B5F47F7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5. 更换灯泡和灯管时应切断电源，禁止用湿布擦拭灯头和开关等部件，严禁非专业人员进行操作</w:t>
      </w:r>
      <w:r>
        <w:rPr>
          <w:rFonts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；</w:t>
      </w: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 xml:space="preserve"> </w:t>
      </w:r>
    </w:p>
    <w:p w14:paraId="31589623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31F20"/>
          <w:kern w:val="0"/>
          <w:sz w:val="32"/>
          <w:szCs w:val="32"/>
          <w:lang w:bidi="ar"/>
        </w:rPr>
        <w:t>6. 照明设备的回路中不得有任何缺陷，以免引起对其他设备的损失。</w:t>
      </w:r>
    </w:p>
    <w:p w14:paraId="2E849A87">
      <w:pPr>
        <w:widowControl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八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维保房标准：</w:t>
      </w:r>
    </w:p>
    <w:tbl>
      <w:tblPr>
        <w:tblStyle w:val="6"/>
        <w:tblpPr w:leftFromText="180" w:rightFromText="180" w:vertAnchor="text" w:horzAnchor="page" w:tblpX="1528" w:tblpY="583"/>
        <w:tblOverlap w:val="never"/>
        <w:tblW w:w="9939" w:type="dxa"/>
        <w:tblInd w:w="0" w:type="dxa"/>
        <w:tblBorders>
          <w:top w:val="single" w:color="221F1F" w:sz="6" w:space="0"/>
          <w:left w:val="single" w:color="221F1F" w:sz="6" w:space="0"/>
          <w:bottom w:val="single" w:color="221F1F" w:sz="6" w:space="0"/>
          <w:right w:val="single" w:color="221F1F" w:sz="6" w:space="0"/>
          <w:insideH w:val="single" w:color="221F1F" w:sz="6" w:space="0"/>
          <w:insideV w:val="single" w:color="221F1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618"/>
        <w:gridCol w:w="2100"/>
        <w:gridCol w:w="3705"/>
        <w:gridCol w:w="2865"/>
      </w:tblGrid>
      <w:tr w14:paraId="4C2AE44C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651" w:type="dxa"/>
            <w:shd w:val="clear" w:color="auto" w:fill="E36C09"/>
            <w:vAlign w:val="center"/>
          </w:tcPr>
          <w:p w14:paraId="3028F068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序号</w:t>
            </w:r>
          </w:p>
        </w:tc>
        <w:tc>
          <w:tcPr>
            <w:tcW w:w="618" w:type="dxa"/>
            <w:shd w:val="clear" w:color="auto" w:fill="E36C09"/>
            <w:vAlign w:val="center"/>
          </w:tcPr>
          <w:p w14:paraId="2D9B8493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1"/>
                <w:sz w:val="24"/>
                <w:szCs w:val="24"/>
              </w:rPr>
              <w:t>项目</w:t>
            </w:r>
          </w:p>
        </w:tc>
        <w:tc>
          <w:tcPr>
            <w:tcW w:w="2100" w:type="dxa"/>
            <w:shd w:val="clear" w:color="auto" w:fill="E36C09"/>
            <w:vAlign w:val="center"/>
          </w:tcPr>
          <w:p w14:paraId="4239B71F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保养内容</w:t>
            </w:r>
          </w:p>
        </w:tc>
        <w:tc>
          <w:tcPr>
            <w:tcW w:w="3705" w:type="dxa"/>
            <w:shd w:val="clear" w:color="auto" w:fill="E36C09"/>
            <w:vAlign w:val="center"/>
          </w:tcPr>
          <w:p w14:paraId="3B32F12F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制作标准</w:t>
            </w:r>
          </w:p>
        </w:tc>
        <w:tc>
          <w:tcPr>
            <w:tcW w:w="2865" w:type="dxa"/>
            <w:shd w:val="clear" w:color="auto" w:fill="E36C09"/>
            <w:vAlign w:val="center"/>
          </w:tcPr>
          <w:p w14:paraId="2C5B7882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合格标准</w:t>
            </w:r>
          </w:p>
        </w:tc>
      </w:tr>
      <w:tr w14:paraId="462C65FB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651" w:type="dxa"/>
            <w:vMerge w:val="restart"/>
            <w:vAlign w:val="center"/>
          </w:tcPr>
          <w:p w14:paraId="248525FB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30ED704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1</w:t>
            </w:r>
          </w:p>
        </w:tc>
        <w:tc>
          <w:tcPr>
            <w:tcW w:w="618" w:type="dxa"/>
            <w:vMerge w:val="restart"/>
            <w:vAlign w:val="center"/>
          </w:tcPr>
          <w:p w14:paraId="0B5B7D36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FDF4267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顶棚、墙面</w:t>
            </w:r>
          </w:p>
        </w:tc>
        <w:tc>
          <w:tcPr>
            <w:tcW w:w="2100" w:type="dxa"/>
            <w:vAlign w:val="center"/>
          </w:tcPr>
          <w:p w14:paraId="430355B1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1FB2CD5">
            <w:pPr>
              <w:pStyle w:val="11"/>
              <w:spacing w:line="320" w:lineRule="exact"/>
              <w:ind w:hanging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顶棚(涂料部分)，整套房 间天棚的修补粉刷。</w:t>
            </w:r>
          </w:p>
        </w:tc>
        <w:tc>
          <w:tcPr>
            <w:tcW w:w="3705" w:type="dxa"/>
            <w:vAlign w:val="center"/>
          </w:tcPr>
          <w:p w14:paraId="4BF3D6CC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如客房内棚顶存在色差、裂缝、发霉和明 显污渍等情况， 进行维修时需对棚顶进行基底处理并完成粉刷， 保证完</w:t>
            </w:r>
            <w:r>
              <w:rPr>
                <w:rFonts w:hint="eastAsia" w:ascii="宋体" w:hAnsi="宋体" w:eastAsia="宋体" w:cs="宋体"/>
                <w:color w:val="030303"/>
                <w:w w:val="95"/>
                <w:sz w:val="24"/>
                <w:szCs w:val="24"/>
              </w:rPr>
              <w:t>成维修后的棚顶无色差、起皮、发霉、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明显污渍等情况。</w:t>
            </w:r>
          </w:p>
        </w:tc>
        <w:tc>
          <w:tcPr>
            <w:tcW w:w="2865" w:type="dxa"/>
            <w:vAlign w:val="center"/>
          </w:tcPr>
          <w:p w14:paraId="64842DD8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DDF9A3A">
            <w:pPr>
              <w:pStyle w:val="11"/>
              <w:spacing w:line="320" w:lineRule="exact"/>
              <w:ind w:hanging="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粉刷后的墙面，应做到 平整、无</w:t>
            </w:r>
            <w:r>
              <w:rPr>
                <w:rFonts w:hint="eastAsia" w:ascii="宋体" w:hAnsi="宋体" w:eastAsia="宋体" w:cs="宋体"/>
                <w:color w:val="030303"/>
                <w:spacing w:val="-3"/>
                <w:sz w:val="24"/>
                <w:szCs w:val="24"/>
              </w:rPr>
              <w:t>色差、无明 显 裂缝、无发霉、明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显污 渍、起皮等现象。</w:t>
            </w:r>
          </w:p>
        </w:tc>
      </w:tr>
      <w:tr w14:paraId="1DE7DBBD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651" w:type="dxa"/>
            <w:vMerge w:val="continue"/>
            <w:tcBorders>
              <w:top w:val="nil"/>
            </w:tcBorders>
            <w:vAlign w:val="center"/>
          </w:tcPr>
          <w:p w14:paraId="30512FE4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  <w:vAlign w:val="center"/>
          </w:tcPr>
          <w:p w14:paraId="35A71246">
            <w:pPr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14:paraId="6574D61A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墙面(壁纸)，壁纸出现起 翘、破损时，根据情况，完 成小面积的裁剪、补贴。</w:t>
            </w:r>
          </w:p>
        </w:tc>
        <w:tc>
          <w:tcPr>
            <w:tcW w:w="3705" w:type="dxa"/>
            <w:vAlign w:val="center"/>
          </w:tcPr>
          <w:p w14:paraId="4E469902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壁纸出现破损时，壁纸大面积(&gt;1幅)整体更换工作交 由维护部解决处理，起翘、粘贴和非常小面积(≤1幅) 的裁剪、补贴还是由维修工根据标准完成。</w:t>
            </w:r>
          </w:p>
        </w:tc>
        <w:tc>
          <w:tcPr>
            <w:tcW w:w="2865" w:type="dxa"/>
            <w:vAlign w:val="center"/>
          </w:tcPr>
          <w:p w14:paraId="0568BB58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壁纸墙面维修后，应保证墙面平整，无明显 凸起或低凹 。接缝齐整无明显缝隙，表面 平整，边角无起翘。</w:t>
            </w:r>
          </w:p>
        </w:tc>
      </w:tr>
      <w:tr w14:paraId="3DBD2867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651" w:type="dxa"/>
            <w:vAlign w:val="center"/>
          </w:tcPr>
          <w:p w14:paraId="62E5A10C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2</w:t>
            </w:r>
          </w:p>
        </w:tc>
        <w:tc>
          <w:tcPr>
            <w:tcW w:w="618" w:type="dxa"/>
            <w:vAlign w:val="center"/>
          </w:tcPr>
          <w:p w14:paraId="1E603CD4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硅胶</w:t>
            </w:r>
          </w:p>
        </w:tc>
        <w:tc>
          <w:tcPr>
            <w:tcW w:w="2100" w:type="dxa"/>
            <w:vAlign w:val="center"/>
          </w:tcPr>
          <w:p w14:paraId="6D0A40F8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各部发霉硅胶刮净重新打胶</w:t>
            </w:r>
          </w:p>
        </w:tc>
        <w:tc>
          <w:tcPr>
            <w:tcW w:w="3705" w:type="dxa"/>
            <w:vAlign w:val="center"/>
          </w:tcPr>
          <w:p w14:paraId="3D6B4D86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硅胶发霉、老化等情况，维保时必须将原有硅胶 清理干 净，并重新打硅胶或美瓷胶处理。</w:t>
            </w:r>
          </w:p>
        </w:tc>
        <w:tc>
          <w:tcPr>
            <w:tcW w:w="2865" w:type="dxa"/>
            <w:vAlign w:val="center"/>
          </w:tcPr>
          <w:p w14:paraId="5889E904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5"/>
                <w:w w:val="95"/>
                <w:sz w:val="24"/>
                <w:szCs w:val="24"/>
              </w:rPr>
              <w:t>保养完成后，卫生间内硅胶无发黄、</w:t>
            </w:r>
            <w:r>
              <w:rPr>
                <w:rFonts w:hint="eastAsia" w:ascii="宋体" w:hAnsi="宋体" w:eastAsia="宋体" w:cs="宋体"/>
                <w:color w:val="030303"/>
                <w:spacing w:val="-3"/>
                <w:sz w:val="24"/>
                <w:szCs w:val="24"/>
              </w:rPr>
              <w:t>发黑、 发霉、不完整现象。</w:t>
            </w:r>
          </w:p>
        </w:tc>
      </w:tr>
      <w:tr w14:paraId="186BB8C8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651" w:type="dxa"/>
            <w:vAlign w:val="center"/>
          </w:tcPr>
          <w:p w14:paraId="1CC3CB1E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3</w:t>
            </w:r>
          </w:p>
        </w:tc>
        <w:tc>
          <w:tcPr>
            <w:tcW w:w="618" w:type="dxa"/>
            <w:vAlign w:val="center"/>
          </w:tcPr>
          <w:p w14:paraId="1E53ED41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灯具</w:t>
            </w:r>
          </w:p>
        </w:tc>
        <w:tc>
          <w:tcPr>
            <w:tcW w:w="2100" w:type="dxa"/>
            <w:vAlign w:val="center"/>
          </w:tcPr>
          <w:p w14:paraId="14C1A8AA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9"/>
                <w:sz w:val="24"/>
                <w:szCs w:val="24"/>
              </w:rPr>
              <w:t>所有灯具(含台灯，床</w:t>
            </w:r>
            <w:r>
              <w:rPr>
                <w:rFonts w:hint="eastAsia" w:ascii="宋体" w:hAnsi="宋体" w:eastAsia="宋体" w:cs="宋体"/>
                <w:color w:val="030303"/>
                <w:spacing w:val="-2"/>
                <w:sz w:val="24"/>
                <w:szCs w:val="24"/>
              </w:rPr>
              <w:t>头灯 、筒灯，镜前灯，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射灯等)</w:t>
            </w:r>
          </w:p>
        </w:tc>
        <w:tc>
          <w:tcPr>
            <w:tcW w:w="3705" w:type="dxa"/>
            <w:vAlign w:val="center"/>
          </w:tcPr>
          <w:p w14:paraId="64703143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门店灯具应全部为LED。</w:t>
            </w:r>
          </w:p>
        </w:tc>
        <w:tc>
          <w:tcPr>
            <w:tcW w:w="2865" w:type="dxa"/>
            <w:vAlign w:val="center"/>
          </w:tcPr>
          <w:p w14:paraId="3F1EB753">
            <w:pPr>
              <w:pStyle w:val="11"/>
              <w:spacing w:line="320" w:lineRule="exact"/>
              <w:ind w:hanging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5"/>
                <w:sz w:val="24"/>
                <w:szCs w:val="24"/>
              </w:rPr>
              <w:t>保证灯具正常开启无问题， 灯口四</w:t>
            </w:r>
            <w:r>
              <w:rPr>
                <w:rFonts w:hint="eastAsia" w:ascii="宋体" w:hAnsi="宋体" w:eastAsia="宋体" w:cs="宋体"/>
                <w:color w:val="030303"/>
                <w:spacing w:val="-3"/>
                <w:sz w:val="24"/>
                <w:szCs w:val="24"/>
              </w:rPr>
              <w:t>周无污渍 。光源无色衰、发黑等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现象。</w:t>
            </w:r>
          </w:p>
        </w:tc>
      </w:tr>
      <w:tr w14:paraId="03FC2CF0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 w:hRule="atLeast"/>
        </w:trPr>
        <w:tc>
          <w:tcPr>
            <w:tcW w:w="651" w:type="dxa"/>
            <w:vAlign w:val="center"/>
          </w:tcPr>
          <w:p w14:paraId="779C8B06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B8E5220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4</w:t>
            </w:r>
          </w:p>
        </w:tc>
        <w:tc>
          <w:tcPr>
            <w:tcW w:w="618" w:type="dxa"/>
            <w:vAlign w:val="center"/>
          </w:tcPr>
          <w:p w14:paraId="2DF173A9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2EEF2AA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5"/>
                <w:sz w:val="24"/>
                <w:szCs w:val="24"/>
              </w:rPr>
              <w:t>五金件</w:t>
            </w:r>
          </w:p>
        </w:tc>
        <w:tc>
          <w:tcPr>
            <w:tcW w:w="2100" w:type="dxa"/>
            <w:vAlign w:val="center"/>
          </w:tcPr>
          <w:p w14:paraId="43E0162F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穿衣镜、洗手台镜等五金件 的更换、紧固( 含花洒、软 管、花洒底座、三角皂架、纸架、 角阀、手盆龙头、马 桶盖、玻璃折页，门和窗户 的隔音条等)。</w:t>
            </w:r>
          </w:p>
        </w:tc>
        <w:tc>
          <w:tcPr>
            <w:tcW w:w="3705" w:type="dxa"/>
            <w:vAlign w:val="center"/>
          </w:tcPr>
          <w:p w14:paraId="06BFEC48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对客房内各部位五金件牢固度进行检查， 发现问题及时 调整牢固，尤其注意淋浴门合页的调整。发现花洒、笼 头、角阀、金属软管等部件出现锈蚀、镀层剥落等问题要更换；穿衣 镜、洗漱镜如出现严重跑水银等现象应及时更换。</w:t>
            </w:r>
          </w:p>
        </w:tc>
        <w:tc>
          <w:tcPr>
            <w:tcW w:w="2865" w:type="dxa"/>
            <w:vAlign w:val="center"/>
          </w:tcPr>
          <w:p w14:paraId="0BD84C84">
            <w:pPr>
              <w:pStyle w:val="11"/>
              <w:spacing w:line="320" w:lineRule="exact"/>
              <w:ind w:firstLine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检修完毕后，应做到五金件牢固， 无松动现 象。镜子无 跑水银现象淋浴花洒出水 正   常，软管无漏水。花洒、笼头、角阀、金属 软管等部件无锈蚀、镀层剥落，隔音条无脱 落发硬等问题。</w:t>
            </w:r>
          </w:p>
        </w:tc>
      </w:tr>
      <w:tr w14:paraId="746BE85B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8" w:hRule="atLeast"/>
        </w:trPr>
        <w:tc>
          <w:tcPr>
            <w:tcW w:w="651" w:type="dxa"/>
            <w:vAlign w:val="center"/>
          </w:tcPr>
          <w:p w14:paraId="7C54A383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5</w:t>
            </w:r>
          </w:p>
        </w:tc>
        <w:tc>
          <w:tcPr>
            <w:tcW w:w="618" w:type="dxa"/>
            <w:vAlign w:val="center"/>
          </w:tcPr>
          <w:p w14:paraId="5611DEDC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69F8AF2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开关、插座</w:t>
            </w:r>
          </w:p>
        </w:tc>
        <w:tc>
          <w:tcPr>
            <w:tcW w:w="2100" w:type="dxa"/>
            <w:vAlign w:val="center"/>
          </w:tcPr>
          <w:p w14:paraId="31A22468">
            <w:pPr>
              <w:pStyle w:val="11"/>
              <w:tabs>
                <w:tab w:val="left" w:pos="675"/>
                <w:tab w:val="left" w:pos="910"/>
              </w:tabs>
              <w:spacing w:line="320" w:lineRule="exact"/>
              <w:ind w:hanging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11"/>
                <w:sz w:val="24"/>
                <w:szCs w:val="24"/>
              </w:rPr>
              <w:t>客房内各部位用电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器</w:t>
            </w:r>
            <w:r>
              <w:rPr>
                <w:rFonts w:hint="eastAsia" w:ascii="宋体" w:hAnsi="宋体" w:eastAsia="宋体" w:cs="宋体"/>
                <w:color w:val="030303"/>
                <w:spacing w:val="11"/>
                <w:sz w:val="24"/>
                <w:szCs w:val="24"/>
              </w:rPr>
              <w:t>的开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关、</w:t>
            </w:r>
            <w:r>
              <w:rPr>
                <w:rFonts w:hint="eastAsia" w:ascii="宋体" w:hAnsi="宋体" w:eastAsia="宋体" w:cs="宋体"/>
                <w:color w:val="030303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30303"/>
                <w:spacing w:val="11"/>
                <w:sz w:val="24"/>
                <w:szCs w:val="24"/>
              </w:rPr>
              <w:t>插座的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检</w:t>
            </w:r>
            <w:r>
              <w:rPr>
                <w:rFonts w:hint="eastAsia" w:ascii="宋体" w:hAnsi="宋体" w:eastAsia="宋体" w:cs="宋体"/>
                <w:color w:val="030303"/>
                <w:spacing w:val="11"/>
                <w:sz w:val="24"/>
                <w:szCs w:val="24"/>
              </w:rPr>
              <w:t>修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030303"/>
                <w:spacing w:val="11"/>
                <w:sz w:val="24"/>
                <w:szCs w:val="24"/>
              </w:rPr>
              <w:t>更换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含排风</w:t>
            </w:r>
            <w:r>
              <w:rPr>
                <w:rFonts w:hint="eastAsia" w:ascii="宋体" w:hAnsi="宋体" w:eastAsia="宋体" w:cs="宋体"/>
                <w:color w:val="030303"/>
                <w:spacing w:val="15"/>
                <w:sz w:val="24"/>
                <w:szCs w:val="24"/>
              </w:rPr>
              <w:t>扇等用电器及线路</w:t>
            </w:r>
            <w:r>
              <w:rPr>
                <w:rFonts w:hint="eastAsia" w:ascii="宋体" w:hAnsi="宋体" w:eastAsia="宋体" w:cs="宋体"/>
                <w:color w:val="030303"/>
                <w:spacing w:val="-19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color w:val="030303"/>
                <w:spacing w:val="15"/>
                <w:w w:val="95"/>
                <w:sz w:val="24"/>
                <w:szCs w:val="24"/>
              </w:rPr>
              <w:t>检</w:t>
            </w:r>
            <w:r>
              <w:rPr>
                <w:rFonts w:hint="eastAsia" w:ascii="宋体" w:hAnsi="宋体" w:eastAsia="宋体" w:cs="宋体"/>
                <w:color w:val="030303"/>
                <w:spacing w:val="13"/>
                <w:w w:val="95"/>
                <w:sz w:val="24"/>
                <w:szCs w:val="24"/>
              </w:rPr>
              <w:t>修</w:t>
            </w:r>
            <w:r>
              <w:rPr>
                <w:rFonts w:hint="eastAsia" w:ascii="宋体" w:hAnsi="宋体" w:eastAsia="宋体" w:cs="宋体"/>
                <w:color w:val="030303"/>
                <w:w w:val="95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030303"/>
                <w:spacing w:val="5"/>
                <w:sz w:val="24"/>
                <w:szCs w:val="24"/>
              </w:rPr>
              <w:t>更换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。</w:t>
            </w:r>
          </w:p>
        </w:tc>
        <w:tc>
          <w:tcPr>
            <w:tcW w:w="3705" w:type="dxa"/>
            <w:vAlign w:val="center"/>
          </w:tcPr>
          <w:p w14:paraId="345B6FFD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对松动、损坏的开关插座等进行维修更换，</w:t>
            </w:r>
            <w:r>
              <w:rPr>
                <w:rFonts w:hint="eastAsia" w:ascii="宋体" w:hAnsi="宋体" w:eastAsia="宋体" w:cs="宋体"/>
                <w:color w:val="030303"/>
                <w:spacing w:val="-1"/>
                <w:sz w:val="24"/>
                <w:szCs w:val="24"/>
              </w:rPr>
              <w:t>确保无电路问题。</w:t>
            </w:r>
          </w:p>
        </w:tc>
        <w:tc>
          <w:tcPr>
            <w:tcW w:w="2865" w:type="dxa"/>
            <w:vAlign w:val="center"/>
          </w:tcPr>
          <w:p w14:paraId="32E41E51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检查后，确保开关插座面板无松动，各部位可正常取店，无短路、电线裸露问题。电器运行正</w:t>
            </w:r>
            <w:r>
              <w:rPr>
                <w:rFonts w:hint="eastAsia" w:ascii="宋体" w:hAnsi="宋体" w:eastAsia="宋体" w:cs="宋体"/>
                <w:color w:val="030303"/>
                <w:w w:val="95"/>
                <w:sz w:val="24"/>
                <w:szCs w:val="24"/>
              </w:rPr>
              <w:t>常，排风扇噪音、风量处在合理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范围。</w:t>
            </w:r>
          </w:p>
        </w:tc>
      </w:tr>
      <w:tr w14:paraId="19C6D07C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5" w:hRule="atLeast"/>
        </w:trPr>
        <w:tc>
          <w:tcPr>
            <w:tcW w:w="651" w:type="dxa"/>
            <w:vAlign w:val="center"/>
          </w:tcPr>
          <w:p w14:paraId="6ABDF094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3C351FC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6</w:t>
            </w:r>
          </w:p>
        </w:tc>
        <w:tc>
          <w:tcPr>
            <w:tcW w:w="618" w:type="dxa"/>
            <w:vAlign w:val="center"/>
          </w:tcPr>
          <w:p w14:paraId="472CD975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E9F3E17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石材</w:t>
            </w:r>
          </w:p>
        </w:tc>
        <w:tc>
          <w:tcPr>
            <w:tcW w:w="2100" w:type="dxa"/>
            <w:vAlign w:val="center"/>
          </w:tcPr>
          <w:p w14:paraId="5E1DB100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41C3321">
            <w:pPr>
              <w:pStyle w:val="11"/>
              <w:spacing w:line="320" w:lineRule="exact"/>
              <w:ind w:hanging="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客房内人造石、大理石的保养与清洁。</w:t>
            </w:r>
          </w:p>
        </w:tc>
        <w:tc>
          <w:tcPr>
            <w:tcW w:w="3705" w:type="dxa"/>
            <w:vAlign w:val="center"/>
          </w:tcPr>
          <w:p w14:paraId="38E24292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8"/>
                <w:w w:val="95"/>
                <w:sz w:val="24"/>
                <w:szCs w:val="24"/>
              </w:rPr>
              <w:t>客房石材保养部位：</w:t>
            </w:r>
          </w:p>
          <w:p w14:paraId="5B209CC0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16"/>
                <w:w w:val="95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30303"/>
                <w:spacing w:val="14"/>
                <w:w w:val="95"/>
                <w:sz w:val="24"/>
                <w:szCs w:val="24"/>
              </w:rPr>
              <w:t>.洗手台台面，客房过门石，窗台石材</w:t>
            </w:r>
            <w:r>
              <w:rPr>
                <w:rFonts w:hint="eastAsia" w:ascii="宋体" w:hAnsi="宋体" w:eastAsia="宋体" w:cs="宋体"/>
                <w:color w:val="030303"/>
                <w:spacing w:val="8"/>
                <w:sz w:val="24"/>
                <w:szCs w:val="24"/>
              </w:rPr>
              <w:t>台面,石材茶水台。</w:t>
            </w:r>
          </w:p>
          <w:p w14:paraId="0D2A570E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8"/>
                <w:w w:val="95"/>
                <w:sz w:val="24"/>
                <w:szCs w:val="24"/>
              </w:rPr>
              <w:t>客房石材保养周期：</w:t>
            </w:r>
            <w:r>
              <w:rPr>
                <w:rFonts w:hint="eastAsia" w:ascii="宋体" w:hAnsi="宋体" w:eastAsia="宋体" w:cs="宋体"/>
                <w:color w:val="030303"/>
                <w:w w:val="95"/>
                <w:sz w:val="24"/>
                <w:szCs w:val="24"/>
              </w:rPr>
              <w:t>石材保养内容为翻新修复、结晶、增亮。</w:t>
            </w:r>
          </w:p>
          <w:p w14:paraId="2C5A7DBE">
            <w:pPr>
              <w:pStyle w:val="11"/>
              <w:tabs>
                <w:tab w:val="left" w:pos="223"/>
              </w:tabs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6"/>
                <w:sz w:val="24"/>
                <w:szCs w:val="24"/>
              </w:rPr>
              <w:t xml:space="preserve">实施频率与维保房一致(每周两间房)， 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每间房一年保养一次。</w:t>
            </w:r>
          </w:p>
        </w:tc>
        <w:tc>
          <w:tcPr>
            <w:tcW w:w="2865" w:type="dxa"/>
            <w:vAlign w:val="center"/>
          </w:tcPr>
          <w:p w14:paraId="2696AAB5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1、表面无开裂无损坏现象；</w:t>
            </w:r>
          </w:p>
          <w:p w14:paraId="7D1F9C92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2、表面无明显污渍侵蚀；</w:t>
            </w:r>
          </w:p>
          <w:p w14:paraId="40C67D6F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6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30303"/>
                <w:spacing w:val="-5"/>
                <w:sz w:val="24"/>
                <w:szCs w:val="24"/>
              </w:rPr>
              <w:t>、表面光线折射度应在</w:t>
            </w:r>
            <w:r>
              <w:rPr>
                <w:rFonts w:hint="eastAsia" w:ascii="宋体" w:hAnsi="宋体" w:eastAsia="宋体" w:cs="宋体"/>
                <w:color w:val="030303"/>
                <w:spacing w:val="-3"/>
                <w:sz w:val="24"/>
                <w:szCs w:val="24"/>
              </w:rPr>
              <w:t>80GU以上</w:t>
            </w:r>
          </w:p>
        </w:tc>
      </w:tr>
      <w:tr w14:paraId="175B3C9A">
        <w:tblPrEx>
          <w:tblBorders>
            <w:top w:val="single" w:color="221F1F" w:sz="6" w:space="0"/>
            <w:left w:val="single" w:color="221F1F" w:sz="6" w:space="0"/>
            <w:bottom w:val="single" w:color="221F1F" w:sz="6" w:space="0"/>
            <w:right w:val="single" w:color="221F1F" w:sz="6" w:space="0"/>
            <w:insideH w:val="single" w:color="221F1F" w:sz="6" w:space="0"/>
            <w:insideV w:val="single" w:color="221F1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7" w:hRule="atLeast"/>
        </w:trPr>
        <w:tc>
          <w:tcPr>
            <w:tcW w:w="9939" w:type="dxa"/>
            <w:gridSpan w:val="5"/>
            <w:vAlign w:val="center"/>
          </w:tcPr>
          <w:p w14:paraId="7B38F19F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2"/>
                <w:w w:val="95"/>
                <w:sz w:val="24"/>
                <w:szCs w:val="24"/>
              </w:rPr>
              <w:t>说明：以上为保养房制作的最基本内容，完成上述内容算完整的一间保养房。在每日完成此内容的基础上，可增加其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他保养维修项目，不做限制。</w:t>
            </w:r>
          </w:p>
          <w:p w14:paraId="529A5307">
            <w:pPr>
              <w:pStyle w:val="11"/>
              <w:spacing w:line="320" w:lineRule="exact"/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保养房制作原则：</w:t>
            </w:r>
          </w:p>
          <w:p w14:paraId="05700D89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95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30303"/>
                <w:spacing w:val="-1"/>
                <w:w w:val="95"/>
                <w:sz w:val="24"/>
                <w:szCs w:val="24"/>
              </w:rPr>
              <w:t>、保养房尽量避免对售卖房间的影响，对问题严重的房间实行优先保养，原则上每年度只对所有房间做一轮保养房，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一年周期内不对保养房进行重复保养。</w:t>
            </w:r>
          </w:p>
          <w:p w14:paraId="36C3FA04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2.  在保养房制作过程中，将更换地板、房间渗漏、墙纸等问题的房间刨除，随时录入在“易维修”系统中，申请以城</w:t>
            </w: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区统筹中修费用解决。</w:t>
            </w:r>
          </w:p>
        </w:tc>
      </w:tr>
    </w:tbl>
    <w:p w14:paraId="2230AEEC">
      <w:pPr>
        <w:pStyle w:val="10"/>
        <w:tabs>
          <w:tab w:val="left" w:pos="1247"/>
        </w:tabs>
        <w:spacing w:before="4"/>
        <w:ind w:left="420" w:leftChars="200" w:firstLine="0" w:firstLineChars="0"/>
        <w:jc w:val="left"/>
        <w:rPr>
          <w:rFonts w:hint="eastAsia" w:ascii="宋体" w:hAnsi="宋体" w:eastAsia="宋体" w:cs="宋体"/>
          <w:spacing w:val="-11"/>
          <w:sz w:val="24"/>
        </w:rPr>
      </w:pPr>
    </w:p>
    <w:p w14:paraId="40B35872">
      <w:pPr>
        <w:pStyle w:val="10"/>
        <w:tabs>
          <w:tab w:val="left" w:pos="1247"/>
        </w:tabs>
        <w:spacing w:before="4"/>
        <w:ind w:firstLine="0" w:firstLineChars="0"/>
        <w:jc w:val="left"/>
        <w:rPr>
          <w:rFonts w:hint="eastAsia" w:ascii="仿宋_GB2312" w:hAnsi="仿宋_GB2312" w:eastAsia="仿宋_GB2312" w:cs="仿宋_GB2312"/>
          <w:b/>
          <w:bCs/>
          <w:spacing w:val="-1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1"/>
          <w:sz w:val="32"/>
          <w:szCs w:val="32"/>
        </w:rPr>
        <w:t>九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bCs/>
          <w:spacing w:val="-11"/>
          <w:sz w:val="32"/>
          <w:szCs w:val="32"/>
        </w:rPr>
        <w:t>公共区域维护保养标准</w:t>
      </w:r>
    </w:p>
    <w:tbl>
      <w:tblPr>
        <w:tblStyle w:val="6"/>
        <w:tblpPr w:leftFromText="180" w:rightFromText="180" w:vertAnchor="text" w:horzAnchor="page" w:tblpX="1371" w:tblpY="396"/>
        <w:tblOverlap w:val="never"/>
        <w:tblW w:w="0" w:type="auto"/>
        <w:tblInd w:w="0" w:type="dxa"/>
        <w:tblBorders>
          <w:top w:val="single" w:color="030303" w:sz="6" w:space="0"/>
          <w:left w:val="single" w:color="030303" w:sz="6" w:space="0"/>
          <w:bottom w:val="single" w:color="030303" w:sz="6" w:space="0"/>
          <w:right w:val="single" w:color="030303" w:sz="6" w:space="0"/>
          <w:insideH w:val="single" w:color="030303" w:sz="6" w:space="0"/>
          <w:insideV w:val="single" w:color="030303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916"/>
        <w:gridCol w:w="2227"/>
        <w:gridCol w:w="3764"/>
        <w:gridCol w:w="2632"/>
      </w:tblGrid>
      <w:tr w14:paraId="42E3800B">
        <w:tblPrEx>
          <w:tblBorders>
            <w:top w:val="single" w:color="030303" w:sz="6" w:space="0"/>
            <w:left w:val="single" w:color="030303" w:sz="6" w:space="0"/>
            <w:bottom w:val="single" w:color="030303" w:sz="6" w:space="0"/>
            <w:right w:val="single" w:color="030303" w:sz="6" w:space="0"/>
            <w:insideH w:val="single" w:color="030303" w:sz="6" w:space="0"/>
            <w:insideV w:val="single" w:color="030303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655" w:type="dxa"/>
            <w:shd w:val="clear" w:color="auto" w:fill="E36C09"/>
            <w:vAlign w:val="center"/>
          </w:tcPr>
          <w:p w14:paraId="3B54D68B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序号</w:t>
            </w:r>
          </w:p>
        </w:tc>
        <w:tc>
          <w:tcPr>
            <w:tcW w:w="916" w:type="dxa"/>
            <w:shd w:val="clear" w:color="auto" w:fill="E36C09"/>
            <w:vAlign w:val="center"/>
          </w:tcPr>
          <w:p w14:paraId="40B77720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项目</w:t>
            </w:r>
          </w:p>
        </w:tc>
        <w:tc>
          <w:tcPr>
            <w:tcW w:w="2227" w:type="dxa"/>
            <w:shd w:val="clear" w:color="auto" w:fill="E36C09"/>
            <w:vAlign w:val="center"/>
          </w:tcPr>
          <w:p w14:paraId="5961DE4A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检修内容</w:t>
            </w:r>
          </w:p>
        </w:tc>
        <w:tc>
          <w:tcPr>
            <w:tcW w:w="3764" w:type="dxa"/>
            <w:shd w:val="clear" w:color="auto" w:fill="E36C09"/>
            <w:vAlign w:val="center"/>
          </w:tcPr>
          <w:p w14:paraId="1A99AAA8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制作说明</w:t>
            </w:r>
          </w:p>
        </w:tc>
        <w:tc>
          <w:tcPr>
            <w:tcW w:w="2632" w:type="dxa"/>
            <w:shd w:val="clear" w:color="auto" w:fill="E36C09"/>
            <w:vAlign w:val="center"/>
          </w:tcPr>
          <w:p w14:paraId="1434A67B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备注</w:t>
            </w:r>
          </w:p>
        </w:tc>
      </w:tr>
      <w:tr w14:paraId="09BD9BB2">
        <w:tblPrEx>
          <w:tblBorders>
            <w:top w:val="single" w:color="030303" w:sz="6" w:space="0"/>
            <w:left w:val="single" w:color="030303" w:sz="6" w:space="0"/>
            <w:bottom w:val="single" w:color="030303" w:sz="6" w:space="0"/>
            <w:right w:val="single" w:color="030303" w:sz="6" w:space="0"/>
            <w:insideH w:val="single" w:color="030303" w:sz="6" w:space="0"/>
            <w:insideV w:val="single" w:color="030303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1" w:hRule="atLeast"/>
        </w:trPr>
        <w:tc>
          <w:tcPr>
            <w:tcW w:w="655" w:type="dxa"/>
            <w:vAlign w:val="center"/>
          </w:tcPr>
          <w:p w14:paraId="2CB40B27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1C92E4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89"/>
                <w:sz w:val="24"/>
                <w:szCs w:val="24"/>
              </w:rPr>
              <w:t>1</w:t>
            </w:r>
          </w:p>
        </w:tc>
        <w:tc>
          <w:tcPr>
            <w:tcW w:w="916" w:type="dxa"/>
            <w:vAlign w:val="center"/>
          </w:tcPr>
          <w:p w14:paraId="6D3BDF63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CF5B966">
            <w:pPr>
              <w:pStyle w:val="11"/>
              <w:spacing w:line="320" w:lineRule="exact"/>
              <w:ind w:hanging="71"/>
              <w:jc w:val="center"/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公区</w:t>
            </w:r>
          </w:p>
          <w:p w14:paraId="69D64F33">
            <w:pPr>
              <w:pStyle w:val="11"/>
              <w:spacing w:line="320" w:lineRule="exact"/>
              <w:ind w:hanging="71"/>
              <w:jc w:val="center"/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墙面及</w:t>
            </w:r>
          </w:p>
          <w:p w14:paraId="5DA94CDD">
            <w:pPr>
              <w:pStyle w:val="11"/>
              <w:spacing w:line="320" w:lineRule="exact"/>
              <w:ind w:hanging="7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天棚</w:t>
            </w:r>
          </w:p>
        </w:tc>
        <w:tc>
          <w:tcPr>
            <w:tcW w:w="2227" w:type="dxa"/>
            <w:vAlign w:val="center"/>
          </w:tcPr>
          <w:p w14:paraId="42F6A55C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公共区域的墙面、天棚的修补粉刷；天棚矿棉板的检查更换。</w:t>
            </w:r>
          </w:p>
        </w:tc>
        <w:tc>
          <w:tcPr>
            <w:tcW w:w="3764" w:type="dxa"/>
            <w:vAlign w:val="center"/>
          </w:tcPr>
          <w:p w14:paraId="0B32838E">
            <w:pPr>
              <w:pStyle w:val="11"/>
              <w:spacing w:line="320" w:lineRule="exact"/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如走廊、会议室、餐厅、大堂等公区墙面或棚顶存在色差 、裂缝、发霉等情况，进行维修时需对墙面或棚顶进行基底处理并完成粉刷，保证完</w:t>
            </w:r>
          </w:p>
          <w:p w14:paraId="2BED9CDA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成维修后的墙面或棚顶无色差 、起皮、发霉等情况。</w:t>
            </w:r>
          </w:p>
        </w:tc>
        <w:tc>
          <w:tcPr>
            <w:tcW w:w="2632" w:type="dxa"/>
            <w:vAlign w:val="center"/>
          </w:tcPr>
          <w:p w14:paraId="55A72EDC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6"/>
                <w:sz w:val="24"/>
                <w:szCs w:val="24"/>
              </w:rPr>
              <w:t>粉刷后的墙面，应做到平整、</w:t>
            </w:r>
            <w:r>
              <w:rPr>
                <w:rFonts w:hint="eastAsia" w:ascii="宋体" w:hAnsi="宋体" w:eastAsia="宋体" w:cs="宋体"/>
                <w:color w:val="030303"/>
                <w:spacing w:val="-3"/>
                <w:sz w:val="24"/>
                <w:szCs w:val="24"/>
              </w:rPr>
              <w:t>无色差、无明显裂缝、无发霉起皮等现象。</w:t>
            </w:r>
          </w:p>
        </w:tc>
      </w:tr>
      <w:tr w14:paraId="6D82635F">
        <w:tblPrEx>
          <w:tblBorders>
            <w:top w:val="single" w:color="030303" w:sz="6" w:space="0"/>
            <w:left w:val="single" w:color="030303" w:sz="6" w:space="0"/>
            <w:bottom w:val="single" w:color="030303" w:sz="6" w:space="0"/>
            <w:right w:val="single" w:color="030303" w:sz="6" w:space="0"/>
            <w:insideH w:val="single" w:color="030303" w:sz="6" w:space="0"/>
            <w:insideV w:val="single" w:color="030303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655" w:type="dxa"/>
            <w:vAlign w:val="center"/>
          </w:tcPr>
          <w:p w14:paraId="4A0AB31C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89"/>
                <w:sz w:val="24"/>
                <w:szCs w:val="24"/>
              </w:rPr>
              <w:t>2</w:t>
            </w:r>
          </w:p>
        </w:tc>
        <w:tc>
          <w:tcPr>
            <w:tcW w:w="916" w:type="dxa"/>
            <w:vAlign w:val="center"/>
          </w:tcPr>
          <w:p w14:paraId="178622E6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硅胶</w:t>
            </w:r>
          </w:p>
        </w:tc>
        <w:tc>
          <w:tcPr>
            <w:tcW w:w="2227" w:type="dxa"/>
            <w:vAlign w:val="center"/>
          </w:tcPr>
          <w:p w14:paraId="0FF59059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公区卫生间等各部发霉</w:t>
            </w:r>
            <w:r>
              <w:rPr>
                <w:rFonts w:hint="eastAsia" w:ascii="宋体" w:hAnsi="宋体" w:eastAsia="宋体" w:cs="宋体"/>
                <w:color w:val="030303"/>
                <w:spacing w:val="-2"/>
                <w:sz w:val="24"/>
                <w:szCs w:val="24"/>
              </w:rPr>
              <w:t>硅胶刮净 重新打胶。</w:t>
            </w:r>
          </w:p>
        </w:tc>
        <w:tc>
          <w:tcPr>
            <w:tcW w:w="3764" w:type="dxa"/>
            <w:vAlign w:val="center"/>
          </w:tcPr>
          <w:p w14:paraId="5AAF620C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95"/>
                <w:sz w:val="24"/>
                <w:szCs w:val="24"/>
              </w:rPr>
              <w:t>硅胶发霉、老化等情况，维修时必须将原</w:t>
            </w:r>
            <w:r>
              <w:rPr>
                <w:rFonts w:hint="eastAsia" w:ascii="宋体" w:hAnsi="宋体" w:eastAsia="宋体" w:cs="宋体"/>
                <w:color w:val="030303"/>
                <w:spacing w:val="-3"/>
                <w:sz w:val="24"/>
                <w:szCs w:val="24"/>
              </w:rPr>
              <w:t>有硅胶清理干净 ，并重新打硅胶处理。</w:t>
            </w:r>
          </w:p>
        </w:tc>
        <w:tc>
          <w:tcPr>
            <w:tcW w:w="2632" w:type="dxa"/>
            <w:vAlign w:val="center"/>
          </w:tcPr>
          <w:p w14:paraId="15515DA6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保养完成后，硅胶无发黄、</w:t>
            </w:r>
            <w:r>
              <w:rPr>
                <w:rFonts w:hint="eastAsia" w:ascii="宋体" w:hAnsi="宋体" w:eastAsia="宋体" w:cs="宋体"/>
                <w:color w:val="030303"/>
                <w:spacing w:val="-3"/>
                <w:sz w:val="24"/>
                <w:szCs w:val="24"/>
              </w:rPr>
              <w:t>发黑、发霉 、不完整现象。</w:t>
            </w:r>
          </w:p>
        </w:tc>
      </w:tr>
      <w:tr w14:paraId="393C541C">
        <w:tblPrEx>
          <w:tblBorders>
            <w:top w:val="single" w:color="030303" w:sz="6" w:space="0"/>
            <w:left w:val="single" w:color="030303" w:sz="6" w:space="0"/>
            <w:bottom w:val="single" w:color="030303" w:sz="6" w:space="0"/>
            <w:right w:val="single" w:color="030303" w:sz="6" w:space="0"/>
            <w:insideH w:val="single" w:color="030303" w:sz="6" w:space="0"/>
            <w:insideV w:val="single" w:color="030303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55" w:type="dxa"/>
            <w:vAlign w:val="center"/>
          </w:tcPr>
          <w:p w14:paraId="3E2B2AF3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89"/>
                <w:sz w:val="24"/>
                <w:szCs w:val="24"/>
              </w:rPr>
              <w:t>3</w:t>
            </w:r>
          </w:p>
        </w:tc>
        <w:tc>
          <w:tcPr>
            <w:tcW w:w="916" w:type="dxa"/>
            <w:vAlign w:val="center"/>
          </w:tcPr>
          <w:p w14:paraId="191B7470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灯具</w:t>
            </w:r>
          </w:p>
        </w:tc>
        <w:tc>
          <w:tcPr>
            <w:tcW w:w="2227" w:type="dxa"/>
            <w:vAlign w:val="center"/>
          </w:tcPr>
          <w:p w14:paraId="4D4E9D17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走廊、会议室、餐厅灯公区灯具 更换至ED灯</w:t>
            </w:r>
            <w:r>
              <w:rPr>
                <w:rFonts w:hint="eastAsia" w:ascii="宋体" w:hAnsi="宋体" w:eastAsia="宋体" w:cs="宋体"/>
                <w:color w:val="030303"/>
                <w:spacing w:val="-2"/>
                <w:sz w:val="24"/>
                <w:szCs w:val="24"/>
              </w:rPr>
              <w:t>具。</w:t>
            </w:r>
          </w:p>
        </w:tc>
        <w:tc>
          <w:tcPr>
            <w:tcW w:w="3764" w:type="dxa"/>
            <w:vAlign w:val="center"/>
          </w:tcPr>
          <w:p w14:paraId="5BED623B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95"/>
                <w:sz w:val="24"/>
                <w:szCs w:val="24"/>
              </w:rPr>
              <w:t>门店更换ED灯具的先后顺序：大堂、餐厅</w:t>
            </w:r>
            <w:r>
              <w:rPr>
                <w:rFonts w:hint="eastAsia" w:ascii="宋体" w:hAnsi="宋体" w:eastAsia="宋体" w:cs="宋体"/>
                <w:color w:val="030303"/>
                <w:spacing w:val="-1"/>
                <w:w w:val="95"/>
                <w:sz w:val="24"/>
                <w:szCs w:val="24"/>
              </w:rPr>
              <w:t>、会议室、走廊区域、最后更换客房内灯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具。</w:t>
            </w:r>
          </w:p>
        </w:tc>
        <w:tc>
          <w:tcPr>
            <w:tcW w:w="2632" w:type="dxa"/>
            <w:vAlign w:val="center"/>
          </w:tcPr>
          <w:p w14:paraId="3CDE5A55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95"/>
                <w:sz w:val="24"/>
                <w:szCs w:val="24"/>
              </w:rPr>
              <w:t>更换ED灯具后，要保证灯具正常开启无问题，灯口四周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无污渍。</w:t>
            </w:r>
          </w:p>
        </w:tc>
      </w:tr>
      <w:tr w14:paraId="0BA198D1">
        <w:tblPrEx>
          <w:tblBorders>
            <w:top w:val="single" w:color="030303" w:sz="6" w:space="0"/>
            <w:left w:val="single" w:color="030303" w:sz="6" w:space="0"/>
            <w:bottom w:val="single" w:color="030303" w:sz="6" w:space="0"/>
            <w:right w:val="single" w:color="030303" w:sz="6" w:space="0"/>
            <w:insideH w:val="single" w:color="030303" w:sz="6" w:space="0"/>
            <w:insideV w:val="single" w:color="030303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655" w:type="dxa"/>
            <w:vAlign w:val="center"/>
          </w:tcPr>
          <w:p w14:paraId="5A7378DB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89"/>
                <w:sz w:val="24"/>
                <w:szCs w:val="24"/>
              </w:rPr>
              <w:t>4</w:t>
            </w:r>
          </w:p>
        </w:tc>
        <w:tc>
          <w:tcPr>
            <w:tcW w:w="916" w:type="dxa"/>
            <w:vAlign w:val="center"/>
          </w:tcPr>
          <w:p w14:paraId="1AF05CBA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220604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五金件</w:t>
            </w:r>
          </w:p>
        </w:tc>
        <w:tc>
          <w:tcPr>
            <w:tcW w:w="2227" w:type="dxa"/>
            <w:vAlign w:val="center"/>
          </w:tcPr>
          <w:p w14:paraId="3E4D9501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公区洗手台镜等五金件的更换、紧固，制作，防火门的检查合页紧固。</w:t>
            </w:r>
            <w:r>
              <w:rPr>
                <w:rFonts w:hint="eastAsia" w:ascii="宋体" w:hAnsi="宋体" w:eastAsia="宋体" w:cs="宋体"/>
                <w:color w:val="030303"/>
                <w:w w:val="125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含走廊、会议</w:t>
            </w:r>
            <w:r>
              <w:rPr>
                <w:rFonts w:hint="eastAsia" w:ascii="宋体" w:hAnsi="宋体" w:eastAsia="宋体" w:cs="宋体"/>
                <w:color w:val="030303"/>
                <w:spacing w:val="12"/>
                <w:w w:val="105"/>
                <w:sz w:val="24"/>
                <w:szCs w:val="24"/>
              </w:rPr>
              <w:t>室、餐厅等公区</w:t>
            </w:r>
            <w:r>
              <w:rPr>
                <w:rFonts w:hint="eastAsia" w:ascii="宋体" w:hAnsi="宋体" w:eastAsia="宋体" w:cs="宋体"/>
                <w:color w:val="030303"/>
                <w:spacing w:val="14"/>
                <w:w w:val="125"/>
                <w:sz w:val="24"/>
                <w:szCs w:val="24"/>
              </w:rPr>
              <w:t>)</w:t>
            </w: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。</w:t>
            </w:r>
          </w:p>
        </w:tc>
        <w:tc>
          <w:tcPr>
            <w:tcW w:w="3764" w:type="dxa"/>
            <w:vAlign w:val="center"/>
          </w:tcPr>
          <w:p w14:paraId="415A2121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对公共区域五金件牢固度进行检查，发现</w:t>
            </w:r>
            <w:r>
              <w:rPr>
                <w:rFonts w:hint="eastAsia" w:ascii="宋体" w:hAnsi="宋体" w:eastAsia="宋体" w:cs="宋体"/>
                <w:color w:val="030303"/>
                <w:spacing w:val="-2"/>
                <w:sz w:val="24"/>
                <w:szCs w:val="24"/>
              </w:rPr>
              <w:t>问题及时调整牢固。</w:t>
            </w:r>
          </w:p>
        </w:tc>
        <w:tc>
          <w:tcPr>
            <w:tcW w:w="2632" w:type="dxa"/>
            <w:vAlign w:val="center"/>
          </w:tcPr>
          <w:p w14:paraId="39B5B9B1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检修完毕后应做到五金件牢固，无松动现象。镜子无跑水银现象。</w:t>
            </w:r>
          </w:p>
        </w:tc>
      </w:tr>
      <w:tr w14:paraId="747BFAC0">
        <w:tblPrEx>
          <w:tblBorders>
            <w:top w:val="single" w:color="030303" w:sz="6" w:space="0"/>
            <w:left w:val="single" w:color="030303" w:sz="6" w:space="0"/>
            <w:bottom w:val="single" w:color="030303" w:sz="6" w:space="0"/>
            <w:right w:val="single" w:color="030303" w:sz="6" w:space="0"/>
            <w:insideH w:val="single" w:color="030303" w:sz="6" w:space="0"/>
            <w:insideV w:val="single" w:color="030303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5" w:hRule="atLeast"/>
        </w:trPr>
        <w:tc>
          <w:tcPr>
            <w:tcW w:w="655" w:type="dxa"/>
            <w:vAlign w:val="center"/>
          </w:tcPr>
          <w:p w14:paraId="5170316A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89"/>
                <w:sz w:val="24"/>
                <w:szCs w:val="24"/>
              </w:rPr>
              <w:t>5</w:t>
            </w:r>
          </w:p>
        </w:tc>
        <w:tc>
          <w:tcPr>
            <w:tcW w:w="916" w:type="dxa"/>
            <w:vAlign w:val="center"/>
          </w:tcPr>
          <w:p w14:paraId="58247EC8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开关/</w:t>
            </w:r>
          </w:p>
          <w:p w14:paraId="0B209F3E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插</w:t>
            </w: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座</w:t>
            </w:r>
          </w:p>
        </w:tc>
        <w:tc>
          <w:tcPr>
            <w:tcW w:w="2227" w:type="dxa"/>
            <w:vAlign w:val="center"/>
          </w:tcPr>
          <w:p w14:paraId="7D89C62A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98445C0">
            <w:pPr>
              <w:pStyle w:val="11"/>
              <w:spacing w:line="320" w:lineRule="exact"/>
              <w:ind w:firstLine="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走廊、会议室、餐厅、</w:t>
            </w:r>
            <w:r>
              <w:rPr>
                <w:rFonts w:hint="eastAsia" w:ascii="宋体" w:hAnsi="宋体" w:eastAsia="宋体" w:cs="宋体"/>
                <w:color w:val="030303"/>
                <w:spacing w:val="1"/>
                <w:sz w:val="24"/>
                <w:szCs w:val="24"/>
              </w:rPr>
              <w:t>厨房等各部位用电器的开关、插座的检修</w:t>
            </w:r>
            <w:r>
              <w:rPr>
                <w:rFonts w:hint="eastAsia" w:ascii="宋体" w:hAnsi="宋体" w:eastAsia="宋体" w:cs="宋体"/>
                <w:color w:val="030303"/>
                <w:spacing w:val="1"/>
                <w:w w:val="222"/>
                <w:sz w:val="24"/>
                <w:szCs w:val="24"/>
              </w:rPr>
              <w:t xml:space="preserve"> </w:t>
            </w:r>
          </w:p>
          <w:p w14:paraId="5274A067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7"/>
                <w:sz w:val="24"/>
                <w:szCs w:val="24"/>
              </w:rPr>
              <w:t>、更换。(含走廊、会</w:t>
            </w:r>
            <w:r>
              <w:rPr>
                <w:rFonts w:hint="eastAsia" w:ascii="宋体" w:hAnsi="宋体" w:eastAsia="宋体" w:cs="宋体"/>
                <w:color w:val="030303"/>
                <w:spacing w:val="6"/>
                <w:sz w:val="24"/>
                <w:szCs w:val="24"/>
              </w:rPr>
              <w:t>议室、餐厅等公区)。</w:t>
            </w:r>
          </w:p>
        </w:tc>
        <w:tc>
          <w:tcPr>
            <w:tcW w:w="3764" w:type="dxa"/>
            <w:vAlign w:val="center"/>
          </w:tcPr>
          <w:p w14:paraId="5F3A7E76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对松动、损坏的开关插座等进行维修更换，确保无电路问题。</w:t>
            </w:r>
          </w:p>
        </w:tc>
        <w:tc>
          <w:tcPr>
            <w:tcW w:w="2632" w:type="dxa"/>
            <w:vAlign w:val="center"/>
          </w:tcPr>
          <w:p w14:paraId="6212560C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检查后，确保开关插座面板无松动，各部位可正常取电无短路、电线裸露问题。</w:t>
            </w:r>
          </w:p>
        </w:tc>
      </w:tr>
      <w:tr w14:paraId="71DA3759">
        <w:tblPrEx>
          <w:tblBorders>
            <w:top w:val="single" w:color="030303" w:sz="6" w:space="0"/>
            <w:left w:val="single" w:color="030303" w:sz="6" w:space="0"/>
            <w:bottom w:val="single" w:color="030303" w:sz="6" w:space="0"/>
            <w:right w:val="single" w:color="030303" w:sz="6" w:space="0"/>
            <w:insideH w:val="single" w:color="030303" w:sz="6" w:space="0"/>
            <w:insideV w:val="single" w:color="030303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atLeast"/>
        </w:trPr>
        <w:tc>
          <w:tcPr>
            <w:tcW w:w="655" w:type="dxa"/>
            <w:vAlign w:val="center"/>
          </w:tcPr>
          <w:p w14:paraId="534F8345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89"/>
                <w:sz w:val="24"/>
                <w:szCs w:val="24"/>
              </w:rPr>
              <w:t>6</w:t>
            </w:r>
          </w:p>
        </w:tc>
        <w:tc>
          <w:tcPr>
            <w:tcW w:w="916" w:type="dxa"/>
            <w:vAlign w:val="center"/>
          </w:tcPr>
          <w:p w14:paraId="2C6BE115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地毯/</w:t>
            </w:r>
          </w:p>
          <w:p w14:paraId="41A6B580">
            <w:pPr>
              <w:pStyle w:val="11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w w:val="105"/>
                <w:sz w:val="24"/>
                <w:szCs w:val="24"/>
              </w:rPr>
              <w:t>地砖</w:t>
            </w:r>
          </w:p>
        </w:tc>
        <w:tc>
          <w:tcPr>
            <w:tcW w:w="2227" w:type="dxa"/>
            <w:vAlign w:val="center"/>
          </w:tcPr>
          <w:p w14:paraId="338DC54B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踢脚线的维修检查、地</w:t>
            </w:r>
            <w:r>
              <w:rPr>
                <w:rFonts w:hint="eastAsia" w:ascii="宋体" w:hAnsi="宋体" w:eastAsia="宋体" w:cs="宋体"/>
                <w:color w:val="030303"/>
                <w:spacing w:val="-3"/>
                <w:sz w:val="24"/>
                <w:szCs w:val="24"/>
              </w:rPr>
              <w:t>毯平整度 的维修检查</w:t>
            </w:r>
            <w:r>
              <w:rPr>
                <w:rFonts w:hint="eastAsia" w:ascii="宋体" w:hAnsi="宋体" w:eastAsia="宋体" w:cs="宋体"/>
                <w:color w:val="030303"/>
                <w:w w:val="99"/>
                <w:sz w:val="24"/>
                <w:szCs w:val="24"/>
              </w:rPr>
              <w:t>。</w:t>
            </w:r>
          </w:p>
        </w:tc>
        <w:tc>
          <w:tcPr>
            <w:tcW w:w="3764" w:type="dxa"/>
            <w:vAlign w:val="center"/>
          </w:tcPr>
          <w:p w14:paraId="60D6A742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对踢脚线脱落的问题及时修复、地毯出现</w:t>
            </w:r>
            <w:r>
              <w:rPr>
                <w:rFonts w:hint="eastAsia" w:ascii="宋体" w:hAnsi="宋体" w:eastAsia="宋体" w:cs="宋体"/>
                <w:color w:val="030303"/>
                <w:spacing w:val="-2"/>
                <w:sz w:val="24"/>
                <w:szCs w:val="24"/>
              </w:rPr>
              <w:t>褶皱时及时修复平整。</w:t>
            </w:r>
          </w:p>
        </w:tc>
        <w:tc>
          <w:tcPr>
            <w:tcW w:w="2632" w:type="dxa"/>
            <w:vAlign w:val="center"/>
          </w:tcPr>
          <w:p w14:paraId="25DB8717">
            <w:pPr>
              <w:pStyle w:val="11"/>
              <w:spacing w:line="3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可参考地毯维修教程。</w:t>
            </w:r>
          </w:p>
        </w:tc>
      </w:tr>
      <w:tr w14:paraId="640AA342">
        <w:tblPrEx>
          <w:tblBorders>
            <w:top w:val="single" w:color="030303" w:sz="6" w:space="0"/>
            <w:left w:val="single" w:color="030303" w:sz="6" w:space="0"/>
            <w:bottom w:val="single" w:color="030303" w:sz="6" w:space="0"/>
            <w:right w:val="single" w:color="030303" w:sz="6" w:space="0"/>
            <w:insideH w:val="single" w:color="030303" w:sz="6" w:space="0"/>
            <w:insideV w:val="single" w:color="030303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0" w:hRule="atLeast"/>
        </w:trPr>
        <w:tc>
          <w:tcPr>
            <w:tcW w:w="10194" w:type="dxa"/>
            <w:gridSpan w:val="5"/>
          </w:tcPr>
          <w:p w14:paraId="5B8A41CC">
            <w:pPr>
              <w:pStyle w:val="11"/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20B21AC">
            <w:pPr>
              <w:pStyle w:val="11"/>
              <w:spacing w:line="320" w:lineRule="exact"/>
              <w:ind w:hanging="415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说明：以上为公共区域</w:t>
            </w:r>
            <w:r>
              <w:rPr>
                <w:rFonts w:hint="eastAsia" w:ascii="宋体" w:hAnsi="宋体" w:eastAsia="宋体" w:cs="宋体"/>
                <w:color w:val="030303"/>
                <w:w w:val="120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含走廊、会议室、餐厅等区域</w:t>
            </w:r>
            <w:r>
              <w:rPr>
                <w:rFonts w:hint="eastAsia" w:ascii="宋体" w:hAnsi="宋体" w:eastAsia="宋体" w:cs="宋体"/>
                <w:color w:val="030303"/>
                <w:w w:val="120"/>
                <w:sz w:val="24"/>
                <w:szCs w:val="24"/>
              </w:rPr>
              <w:t>)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维修保养的最基本内容，其中公区墙面及天棚要保证至少1年完成1次粉刷，在门店客房持续满房时的旺季可进行公区墙面的保养粉刷工作。</w:t>
            </w:r>
          </w:p>
          <w:p w14:paraId="6017B945">
            <w:pPr>
              <w:pStyle w:val="11"/>
              <w:spacing w:line="320" w:lineRule="exact"/>
              <w:jc w:val="left"/>
              <w:rPr>
                <w:rFonts w:hint="eastAsia" w:ascii="宋体" w:hAnsi="宋体" w:eastAsia="宋体" w:cs="宋体"/>
                <w:color w:val="030303"/>
                <w:w w:val="2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公共区域保养制作原则：公区的保养粉刷工作在门店客房满房后的旺季制作保养，如果门店不满房则优先进行客房保养。</w:t>
            </w:r>
            <w:r>
              <w:rPr>
                <w:rFonts w:hint="eastAsia" w:ascii="宋体" w:hAnsi="宋体" w:eastAsia="宋体" w:cs="宋体"/>
                <w:color w:val="030303"/>
                <w:w w:val="222"/>
                <w:sz w:val="24"/>
                <w:szCs w:val="24"/>
              </w:rPr>
              <w:t xml:space="preserve">              </w:t>
            </w:r>
          </w:p>
          <w:p w14:paraId="092B7A97">
            <w:pPr>
              <w:pStyle w:val="11"/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30303"/>
                <w:spacing w:val="-1"/>
                <w:sz w:val="24"/>
                <w:szCs w:val="24"/>
              </w:rPr>
              <w:t>在公共区域维修保养制作过程中，将瓷砖脱落开裂，公共区域漏水、安全隐患等问题进行统计，由总经理汇总后</w:t>
            </w:r>
            <w:r>
              <w:rPr>
                <w:rFonts w:hint="eastAsia" w:ascii="宋体" w:hAnsi="宋体" w:eastAsia="宋体" w:cs="宋体"/>
                <w:color w:val="030303"/>
                <w:sz w:val="24"/>
                <w:szCs w:val="24"/>
              </w:rPr>
              <w:t>上报区域维护部门立项解决。</w:t>
            </w:r>
            <w:r>
              <w:rPr>
                <w:rFonts w:hint="eastAsia" w:ascii="宋体" w:hAnsi="宋体" w:eastAsia="宋体" w:cs="宋体"/>
                <w:color w:val="030303"/>
                <w:w w:val="222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14:paraId="072601DB">
      <w:pPr>
        <w:pStyle w:val="10"/>
        <w:tabs>
          <w:tab w:val="left" w:pos="1247"/>
        </w:tabs>
        <w:spacing w:before="4"/>
        <w:ind w:left="420" w:leftChars="200" w:firstLine="0" w:firstLineChars="0"/>
        <w:jc w:val="left"/>
        <w:rPr>
          <w:rFonts w:hint="eastAsia" w:ascii="宋体" w:hAnsi="宋体" w:eastAsia="宋体" w:cs="宋体"/>
          <w:b/>
          <w:bCs/>
          <w:spacing w:val="-11"/>
          <w:sz w:val="24"/>
        </w:rPr>
      </w:pPr>
    </w:p>
    <w:p w14:paraId="5821F118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应急预案处理：</w:t>
      </w:r>
    </w:p>
    <w:p w14:paraId="292B0AF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1、熟悉了解酒店方面应急预案处理；</w:t>
      </w:r>
    </w:p>
    <w:p w14:paraId="734FCEF6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火警应急预案、电梯故障应急预案、突发停电、停水、停气应急预案、突发性水管爆裂应急预案、电梯困人解救程序、系统设备故障处理流程（网络、电话、电视信号、中央空调）、抗台风、暴雨应急处理预案、锅炉应急处理、紧急疏散演练的预案等但不限于此。</w:t>
      </w:r>
    </w:p>
    <w:p w14:paraId="57C3A688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十一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可量化：</w:t>
      </w:r>
    </w:p>
    <w:p w14:paraId="07D8904B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维保房数量完成2间/周或8间/月</w:t>
      </w:r>
      <w:r>
        <w:rPr>
          <w:rFonts w:ascii="仿宋_GB2312" w:hAnsi="仿宋_GB2312" w:eastAsia="仿宋_GB2312" w:cs="仿宋_GB2312"/>
          <w:bCs/>
          <w:sz w:val="32"/>
          <w:szCs w:val="32"/>
        </w:rPr>
        <w:t>；</w:t>
      </w:r>
    </w:p>
    <w:p w14:paraId="1A243B68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2、每月不低于一次应急预案处理培训，每季度不低于一次消防安全演练培训</w:t>
      </w:r>
      <w:r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  <w:t>；</w:t>
      </w:r>
    </w:p>
    <w:p w14:paraId="7B07B40F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3、完全服从工作安排，每月不低于接受酒店4小时的专业培训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719394E3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4、全部适用5分钟响应，15分钟回应的的纪律态度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45C3C8F8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5、每个月客人投诉，不超过2起。不接受服务态度方面的投诉。</w:t>
      </w:r>
    </w:p>
    <w:p w14:paraId="0301995B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Hans"/>
        </w:rPr>
        <w:t>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不可量化（结果导向）</w:t>
      </w:r>
    </w:p>
    <w:p w14:paraId="6F64E191">
      <w:pPr>
        <w:rPr>
          <w:rFonts w:hint="eastAsia" w:ascii="宋体" w:hAnsi="宋体" w:eastAsia="宋体"/>
          <w:b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to Sans CJK HK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8D6C46A0-DAF4-4E50-B108-C29628CA305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1B3D4129-5619-40A7-9AC7-129AD26F36C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AD7274"/>
    <w:multiLevelType w:val="singleLevel"/>
    <w:tmpl w:val="B8AD727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0NjNhOWMxOWQzYTQyNzk5NjFhMThlNTllYTkyNTQifQ=="/>
  </w:docVars>
  <w:rsids>
    <w:rsidRoot w:val="006B1F01"/>
    <w:rsid w:val="00047EBF"/>
    <w:rsid w:val="00551697"/>
    <w:rsid w:val="00696021"/>
    <w:rsid w:val="006B1F01"/>
    <w:rsid w:val="0090203E"/>
    <w:rsid w:val="009B7CA7"/>
    <w:rsid w:val="009F46E9"/>
    <w:rsid w:val="00CD50C6"/>
    <w:rsid w:val="00DA58D9"/>
    <w:rsid w:val="00DE2341"/>
    <w:rsid w:val="00F36951"/>
    <w:rsid w:val="00F51DDC"/>
    <w:rsid w:val="048936C9"/>
    <w:rsid w:val="09DF7EEF"/>
    <w:rsid w:val="1CC972E7"/>
    <w:rsid w:val="23ED5B1A"/>
    <w:rsid w:val="246D4049"/>
    <w:rsid w:val="27CA0ADA"/>
    <w:rsid w:val="2C506E20"/>
    <w:rsid w:val="30F4793E"/>
    <w:rsid w:val="47D90989"/>
    <w:rsid w:val="4AD81C6A"/>
    <w:rsid w:val="52906923"/>
    <w:rsid w:val="61593394"/>
    <w:rsid w:val="64670D94"/>
    <w:rsid w:val="73B25371"/>
    <w:rsid w:val="7FBB79C8"/>
    <w:rsid w:val="8FEB0DCB"/>
    <w:rsid w:val="BEEF7F2A"/>
    <w:rsid w:val="DD330F52"/>
    <w:rsid w:val="FE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Table Paragraph"/>
    <w:basedOn w:val="1"/>
    <w:qFormat/>
    <w:uiPriority w:val="1"/>
    <w:rPr>
      <w:rFonts w:ascii="Noto Sans CJK HK" w:hAnsi="Noto Sans CJK HK" w:eastAsia="Noto Sans CJK HK" w:cs="Noto Sans CJK HK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3481</Words>
  <Characters>3506</Characters>
  <Lines>27</Lines>
  <Paragraphs>7</Paragraphs>
  <TotalTime>1</TotalTime>
  <ScaleCrop>false</ScaleCrop>
  <LinksUpToDate>false</LinksUpToDate>
  <CharactersWithSpaces>3691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2026-07-10T07:59:00Z</dcterms:created>
  <dc:creator>SKUser</dc:creator>
  <cp:lastModifiedBy>飞飞</cp:lastModifiedBy>
  <dcterms:modified xsi:type="dcterms:W3CDTF">2026-07-10T08:56:18Z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615137BD8550F6B73CFEE264F1AB0918</vt:lpwstr>
  </property>
  <property fmtid="{D5CDD505-2E9C-101B-9397-08002B2CF9AE}" pid="4" name="KSOTemplateDocerSaveRecord">
    <vt:lpwstr>eyJoZGlkIjoiZTM1N2Y5YjEzMDMxMjI2MjRmY2FmMjYyMDQwNzE3NjUiLCJ1c2VySWQiOiIxMzA5NzkwNDg3In0=</vt:lpwstr>
  </property>
</Properties>
</file>