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9458F1F">
      <w:pPr>
        <w:autoSpaceDE w:val="0"/>
        <w:autoSpaceDN w:val="0"/>
        <w:adjustRightInd w:val="0"/>
        <w:spacing w:before="100" w:line="360" w:lineRule="auto"/>
        <w:jc w:val="center"/>
        <w:rPr>
          <w:rFonts w:hint="eastAsia" w:ascii="宋体" w:hAnsi="宋体"/>
          <w:b/>
          <w:bCs/>
          <w:color w:val="000000"/>
          <w:kern w:val="0"/>
          <w:sz w:val="48"/>
          <w:szCs w:val="48"/>
        </w:rPr>
      </w:pPr>
    </w:p>
    <w:p w14:paraId="0C906B23">
      <w:pPr>
        <w:autoSpaceDE w:val="0"/>
        <w:autoSpaceDN w:val="0"/>
        <w:adjustRightInd w:val="0"/>
        <w:spacing w:before="100" w:line="360" w:lineRule="auto"/>
        <w:jc w:val="center"/>
        <w:rPr>
          <w:rFonts w:hint="eastAsia" w:ascii="宋体" w:hAnsi="宋体"/>
          <w:b/>
          <w:bCs/>
          <w:color w:val="000000"/>
          <w:kern w:val="0"/>
          <w:sz w:val="48"/>
          <w:szCs w:val="48"/>
        </w:rPr>
      </w:pPr>
    </w:p>
    <w:p w14:paraId="1B6ACD26">
      <w:pPr>
        <w:autoSpaceDE w:val="0"/>
        <w:autoSpaceDN w:val="0"/>
        <w:adjustRightInd w:val="0"/>
        <w:spacing w:before="100" w:line="360" w:lineRule="auto"/>
        <w:jc w:val="center"/>
        <w:rPr>
          <w:rFonts w:hint="eastAsia" w:ascii="宋体" w:hAnsi="宋体"/>
          <w:color w:val="000000"/>
          <w:kern w:val="0"/>
          <w:sz w:val="48"/>
          <w:szCs w:val="48"/>
        </w:rPr>
      </w:pPr>
      <w:r>
        <w:rPr>
          <w:rFonts w:hint="eastAsia" w:ascii="宋体" w:hAnsi="宋体"/>
          <w:b/>
          <w:bCs/>
          <w:color w:val="000000"/>
          <w:kern w:val="0"/>
          <w:sz w:val="48"/>
          <w:szCs w:val="48"/>
        </w:rPr>
        <w:t>软件系统运维服务合同</w:t>
      </w:r>
    </w:p>
    <w:p w14:paraId="6B4CDD74">
      <w:pPr>
        <w:autoSpaceDE w:val="0"/>
        <w:autoSpaceDN w:val="0"/>
        <w:adjustRightInd w:val="0"/>
        <w:spacing w:before="100" w:line="360" w:lineRule="auto"/>
        <w:jc w:val="center"/>
        <w:rPr>
          <w:rFonts w:hint="eastAsia" w:ascii="宋体" w:hAnsi="宋体"/>
          <w:color w:val="000000"/>
          <w:kern w:val="0"/>
          <w:sz w:val="24"/>
          <w:szCs w:val="24"/>
        </w:rPr>
      </w:pPr>
    </w:p>
    <w:p w14:paraId="7ED8A33F">
      <w:pPr>
        <w:autoSpaceDE w:val="0"/>
        <w:autoSpaceDN w:val="0"/>
        <w:adjustRightInd w:val="0"/>
        <w:spacing w:before="100" w:line="360" w:lineRule="auto"/>
        <w:jc w:val="center"/>
        <w:rPr>
          <w:rFonts w:hint="default" w:ascii="宋体" w:hAnsi="宋体" w:eastAsia="宋体"/>
          <w:color w:val="000000"/>
          <w:kern w:val="0"/>
          <w:sz w:val="24"/>
          <w:szCs w:val="24"/>
          <w:lang w:val="en-US" w:eastAsia="zh-CN"/>
        </w:rPr>
      </w:pPr>
      <w:r>
        <w:rPr>
          <w:rFonts w:hint="eastAsia" w:ascii="宋体" w:hAnsi="宋体"/>
          <w:color w:val="000000"/>
          <w:kern w:val="0"/>
          <w:sz w:val="24"/>
          <w:szCs w:val="24"/>
        </w:rPr>
        <w:t>合同编号：</w:t>
      </w:r>
      <w:r>
        <w:rPr>
          <w:rFonts w:hint="eastAsia" w:ascii="宋体" w:hAnsi="宋体"/>
          <w:color w:val="000000"/>
          <w:kern w:val="0"/>
          <w:sz w:val="24"/>
          <w:szCs w:val="24"/>
          <w:lang w:val="en-US" w:eastAsia="zh-CN"/>
        </w:rPr>
        <w:t xml:space="preserve">             </w:t>
      </w:r>
    </w:p>
    <w:p w14:paraId="57FBAEAE">
      <w:pPr>
        <w:autoSpaceDE w:val="0"/>
        <w:autoSpaceDN w:val="0"/>
        <w:adjustRightInd w:val="0"/>
        <w:spacing w:before="100" w:line="360" w:lineRule="auto"/>
        <w:jc w:val="center"/>
        <w:rPr>
          <w:rFonts w:hint="eastAsia" w:ascii="宋体" w:hAnsi="宋体"/>
          <w:color w:val="000000"/>
          <w:kern w:val="0"/>
          <w:sz w:val="24"/>
          <w:szCs w:val="24"/>
        </w:rPr>
      </w:pPr>
    </w:p>
    <w:p w14:paraId="6D6940B8">
      <w:pPr>
        <w:autoSpaceDE w:val="0"/>
        <w:autoSpaceDN w:val="0"/>
        <w:adjustRightInd w:val="0"/>
        <w:spacing w:before="100" w:line="360" w:lineRule="auto"/>
        <w:jc w:val="center"/>
        <w:rPr>
          <w:rFonts w:hint="eastAsia" w:ascii="宋体" w:hAnsi="宋体"/>
          <w:color w:val="000000"/>
          <w:kern w:val="0"/>
          <w:sz w:val="36"/>
          <w:szCs w:val="36"/>
        </w:rPr>
      </w:pPr>
    </w:p>
    <w:p w14:paraId="79E4C82E">
      <w:pPr>
        <w:autoSpaceDE w:val="0"/>
        <w:autoSpaceDN w:val="0"/>
        <w:adjustRightInd w:val="0"/>
        <w:spacing w:before="100" w:line="360" w:lineRule="auto"/>
        <w:jc w:val="center"/>
        <w:rPr>
          <w:rFonts w:hint="eastAsia" w:ascii="宋体" w:hAnsi="宋体"/>
          <w:color w:val="000000"/>
          <w:kern w:val="0"/>
          <w:sz w:val="36"/>
          <w:szCs w:val="36"/>
        </w:rPr>
      </w:pPr>
    </w:p>
    <w:p w14:paraId="58E077EF">
      <w:pPr>
        <w:autoSpaceDE w:val="0"/>
        <w:autoSpaceDN w:val="0"/>
        <w:adjustRightInd w:val="0"/>
        <w:spacing w:before="100" w:line="360" w:lineRule="auto"/>
        <w:jc w:val="center"/>
        <w:rPr>
          <w:rFonts w:hint="eastAsia" w:ascii="宋体" w:hAnsi="宋体"/>
          <w:color w:val="000000"/>
          <w:kern w:val="0"/>
          <w:sz w:val="36"/>
          <w:szCs w:val="36"/>
        </w:rPr>
      </w:pPr>
    </w:p>
    <w:p w14:paraId="3665E2F7">
      <w:pPr>
        <w:autoSpaceDE w:val="0"/>
        <w:autoSpaceDN w:val="0"/>
        <w:adjustRightInd w:val="0"/>
        <w:spacing w:before="100" w:line="360" w:lineRule="auto"/>
        <w:jc w:val="center"/>
        <w:rPr>
          <w:rFonts w:hint="eastAsia" w:ascii="宋体" w:hAnsi="宋体"/>
          <w:color w:val="000000"/>
          <w:kern w:val="0"/>
          <w:sz w:val="36"/>
          <w:szCs w:val="36"/>
        </w:rPr>
      </w:pPr>
    </w:p>
    <w:p w14:paraId="7DC10115">
      <w:pPr>
        <w:autoSpaceDE w:val="0"/>
        <w:autoSpaceDN w:val="0"/>
        <w:adjustRightInd w:val="0"/>
        <w:spacing w:before="100" w:line="360" w:lineRule="auto"/>
        <w:jc w:val="center"/>
        <w:rPr>
          <w:rFonts w:hint="eastAsia" w:ascii="宋体" w:hAnsi="宋体"/>
          <w:color w:val="000000"/>
          <w:kern w:val="0"/>
          <w:sz w:val="36"/>
          <w:szCs w:val="36"/>
        </w:rPr>
      </w:pPr>
    </w:p>
    <w:p w14:paraId="70537D49">
      <w:pPr>
        <w:autoSpaceDE w:val="0"/>
        <w:autoSpaceDN w:val="0"/>
        <w:adjustRightInd w:val="0"/>
        <w:spacing w:before="100" w:line="360" w:lineRule="auto"/>
        <w:rPr>
          <w:rFonts w:hint="eastAsia" w:ascii="宋体" w:hAnsi="宋体"/>
          <w:color w:val="000000"/>
          <w:kern w:val="0"/>
          <w:sz w:val="36"/>
          <w:szCs w:val="36"/>
        </w:rPr>
      </w:pPr>
    </w:p>
    <w:p w14:paraId="4DFA40B2">
      <w:pPr>
        <w:autoSpaceDE w:val="0"/>
        <w:autoSpaceDN w:val="0"/>
        <w:adjustRightInd w:val="0"/>
        <w:spacing w:before="100" w:line="360" w:lineRule="auto"/>
        <w:rPr>
          <w:rFonts w:hint="eastAsia" w:ascii="宋体" w:hAnsi="宋体"/>
          <w:color w:val="000000"/>
          <w:kern w:val="0"/>
          <w:sz w:val="36"/>
          <w:szCs w:val="36"/>
        </w:rPr>
      </w:pPr>
      <w:r>
        <w:rPr>
          <w:rFonts w:hint="eastAsia" w:ascii="宋体" w:hAnsi="宋体"/>
          <w:color w:val="000000"/>
          <w:kern w:val="0"/>
          <w:sz w:val="36"/>
          <w:szCs w:val="36"/>
        </w:rPr>
        <w:t xml:space="preserve">       甲方：四川特发综合能源服务有限公司</w:t>
      </w:r>
    </w:p>
    <w:p w14:paraId="1490CB27">
      <w:pPr>
        <w:autoSpaceDE w:val="0"/>
        <w:autoSpaceDN w:val="0"/>
        <w:adjustRightInd w:val="0"/>
        <w:spacing w:before="100" w:line="360" w:lineRule="auto"/>
        <w:ind w:firstLine="1260" w:firstLineChars="350"/>
        <w:rPr>
          <w:rFonts w:hint="eastAsia" w:ascii="宋体" w:hAnsi="宋体"/>
          <w:color w:val="000000"/>
          <w:kern w:val="0"/>
          <w:sz w:val="36"/>
          <w:szCs w:val="36"/>
        </w:rPr>
      </w:pPr>
      <w:r>
        <w:rPr>
          <w:rFonts w:hint="eastAsia" w:ascii="宋体" w:hAnsi="宋体"/>
          <w:color w:val="000000"/>
          <w:kern w:val="0"/>
          <w:sz w:val="36"/>
          <w:szCs w:val="36"/>
        </w:rPr>
        <w:t>乙方：成都歌杰斯科技有限责任公司</w:t>
      </w:r>
    </w:p>
    <w:p w14:paraId="11CE4C85">
      <w:pPr>
        <w:autoSpaceDE w:val="0"/>
        <w:autoSpaceDN w:val="0"/>
        <w:adjustRightInd w:val="0"/>
        <w:spacing w:before="100" w:line="360" w:lineRule="auto"/>
        <w:ind w:left="100"/>
        <w:jc w:val="right"/>
        <w:rPr>
          <w:rFonts w:hint="eastAsia" w:ascii="宋体" w:hAnsi="宋体"/>
          <w:color w:val="000000"/>
          <w:kern w:val="0"/>
          <w:sz w:val="36"/>
          <w:szCs w:val="36"/>
        </w:rPr>
      </w:pPr>
    </w:p>
    <w:p w14:paraId="325A4A62">
      <w:pPr>
        <w:widowControl/>
        <w:jc w:val="left"/>
        <w:rPr>
          <w:rFonts w:hint="eastAsia" w:ascii="宋体" w:hAnsi="宋体"/>
          <w:b/>
          <w:color w:val="000000"/>
          <w:kern w:val="0"/>
          <w:sz w:val="24"/>
          <w:szCs w:val="24"/>
        </w:rPr>
      </w:pPr>
      <w:r>
        <w:rPr>
          <w:rFonts w:ascii="宋体" w:hAnsi="宋体"/>
          <w:b/>
          <w:color w:val="000000"/>
          <w:kern w:val="0"/>
          <w:sz w:val="24"/>
          <w:szCs w:val="24"/>
        </w:rPr>
        <w:br w:type="page"/>
      </w:r>
    </w:p>
    <w:p w14:paraId="0CBFB751">
      <w:pPr>
        <w:widowControl/>
        <w:spacing w:line="360" w:lineRule="auto"/>
        <w:jc w:val="left"/>
        <w:rPr>
          <w:rFonts w:hint="eastAsia" w:ascii="宋体" w:hAnsi="宋体" w:cs="Arial"/>
          <w:b/>
          <w:kern w:val="0"/>
          <w:sz w:val="24"/>
        </w:rPr>
        <w:sectPr>
          <w:headerReference r:id="rId3" w:type="default"/>
          <w:footerReference r:id="rId4" w:type="default"/>
          <w:pgSz w:w="11906" w:h="16838"/>
          <w:pgMar w:top="1440" w:right="1440" w:bottom="1440" w:left="1800" w:header="851" w:footer="992" w:gutter="0"/>
          <w:pgNumType w:fmt="decimal"/>
          <w:cols w:space="720" w:num="1"/>
          <w:docGrid w:type="lines" w:linePitch="312" w:charSpace="0"/>
        </w:sectPr>
      </w:pPr>
    </w:p>
    <w:p w14:paraId="6DF86DE4">
      <w:pPr>
        <w:numPr>
          <w:ilvl w:val="0"/>
          <w:numId w:val="1"/>
        </w:numPr>
        <w:spacing w:line="360" w:lineRule="auto"/>
        <w:rPr>
          <w:rFonts w:hint="eastAsia" w:ascii="宋体" w:hAnsi="宋体"/>
          <w:szCs w:val="21"/>
        </w:rPr>
      </w:pPr>
      <w:r>
        <w:rPr>
          <w:rFonts w:hint="eastAsia" w:ascii="宋体" w:hAnsi="宋体"/>
          <w:szCs w:val="21"/>
        </w:rPr>
        <w:t>产品定义及服务范围</w:t>
      </w:r>
    </w:p>
    <w:p w14:paraId="6E9CAAA1">
      <w:pPr>
        <w:numPr>
          <w:ilvl w:val="1"/>
          <w:numId w:val="2"/>
        </w:numPr>
        <w:tabs>
          <w:tab w:val="left" w:pos="900"/>
          <w:tab w:val="clear" w:pos="992"/>
        </w:tabs>
        <w:spacing w:line="360" w:lineRule="auto"/>
        <w:ind w:left="902" w:hanging="482"/>
        <w:rPr>
          <w:szCs w:val="21"/>
        </w:rPr>
      </w:pPr>
      <w:r>
        <w:rPr>
          <w:rFonts w:hint="eastAsia" w:ascii="宋体" w:hAnsi="宋体"/>
          <w:szCs w:val="21"/>
        </w:rPr>
        <w:t>乙方向甲方提供系统运维服务。</w:t>
      </w:r>
    </w:p>
    <w:p w14:paraId="0B4AC46C">
      <w:pPr>
        <w:spacing w:line="360" w:lineRule="auto"/>
        <w:ind w:left="902"/>
        <w:rPr>
          <w:rFonts w:hint="eastAsia" w:ascii="宋体" w:hAnsi="宋体"/>
          <w:sz w:val="22"/>
          <w:szCs w:val="21"/>
        </w:rPr>
      </w:pPr>
      <w:r>
        <w:rPr>
          <w:rFonts w:hint="eastAsia" w:ascii="宋体" w:hAnsi="宋体"/>
        </w:rPr>
        <w:t>系统运维服务：是乙方为客户使用系统而提供的非现场服务。该服务是由乙方提供。包括但不限于：热线、微信、QQ、用户自助等。</w:t>
      </w:r>
    </w:p>
    <w:p w14:paraId="4E5E264B">
      <w:pPr>
        <w:numPr>
          <w:ilvl w:val="1"/>
          <w:numId w:val="2"/>
        </w:numPr>
        <w:tabs>
          <w:tab w:val="left" w:pos="900"/>
          <w:tab w:val="clear" w:pos="992"/>
        </w:tabs>
        <w:spacing w:line="360" w:lineRule="auto"/>
        <w:ind w:left="902" w:hanging="482"/>
        <w:rPr>
          <w:szCs w:val="21"/>
        </w:rPr>
      </w:pPr>
      <w:r>
        <w:rPr>
          <w:rFonts w:hint="eastAsia" w:ascii="宋体" w:hAnsi="宋体"/>
          <w:szCs w:val="21"/>
        </w:rPr>
        <w:t>乙方向甲方提供的系统运维服务限于下列软件产品：</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93"/>
        <w:gridCol w:w="3493"/>
      </w:tblGrid>
      <w:tr w14:paraId="4DC50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93" w:type="dxa"/>
            <w:vAlign w:val="center"/>
          </w:tcPr>
          <w:p w14:paraId="0CEFFAE5">
            <w:pPr>
              <w:spacing w:line="360" w:lineRule="auto"/>
              <w:jc w:val="center"/>
              <w:rPr>
                <w:b/>
                <w:szCs w:val="21"/>
              </w:rPr>
            </w:pPr>
            <w:r>
              <w:rPr>
                <w:rFonts w:hint="eastAsia"/>
                <w:b/>
                <w:szCs w:val="21"/>
              </w:rPr>
              <w:t>产品名称</w:t>
            </w:r>
          </w:p>
        </w:tc>
        <w:tc>
          <w:tcPr>
            <w:tcW w:w="3493" w:type="dxa"/>
            <w:vAlign w:val="center"/>
          </w:tcPr>
          <w:p w14:paraId="6D78C907">
            <w:pPr>
              <w:spacing w:line="360" w:lineRule="auto"/>
              <w:jc w:val="center"/>
              <w:rPr>
                <w:b/>
                <w:szCs w:val="21"/>
              </w:rPr>
            </w:pPr>
            <w:r>
              <w:rPr>
                <w:rFonts w:hint="eastAsia"/>
                <w:b/>
                <w:szCs w:val="21"/>
              </w:rPr>
              <w:t>备注</w:t>
            </w:r>
          </w:p>
        </w:tc>
      </w:tr>
      <w:tr w14:paraId="1AE14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93" w:type="dxa"/>
            <w:vAlign w:val="center"/>
          </w:tcPr>
          <w:p w14:paraId="1AB7100A">
            <w:pPr>
              <w:spacing w:line="360" w:lineRule="auto"/>
              <w:jc w:val="center"/>
              <w:rPr>
                <w:szCs w:val="21"/>
              </w:rPr>
            </w:pPr>
            <w:r>
              <w:rPr>
                <w:rFonts w:hint="eastAsia"/>
                <w:szCs w:val="21"/>
                <w:lang w:val="en-US" w:eastAsia="zh-CN"/>
              </w:rPr>
              <w:t>特发能服</w:t>
            </w:r>
            <w:r>
              <w:rPr>
                <w:rFonts w:hint="eastAsia"/>
                <w:szCs w:val="21"/>
              </w:rPr>
              <w:t>微信公众平台</w:t>
            </w:r>
          </w:p>
        </w:tc>
        <w:tc>
          <w:tcPr>
            <w:tcW w:w="3493" w:type="dxa"/>
            <w:vAlign w:val="center"/>
          </w:tcPr>
          <w:p w14:paraId="7BEF0008">
            <w:pPr>
              <w:spacing w:line="360" w:lineRule="auto"/>
              <w:jc w:val="center"/>
              <w:rPr>
                <w:szCs w:val="21"/>
              </w:rPr>
            </w:pPr>
            <w:r>
              <w:rPr>
                <w:rFonts w:hint="eastAsia"/>
                <w:szCs w:val="21"/>
              </w:rPr>
              <w:t>包含整个微信公众平台前后端及一卡通API，自提柜API，无人超市API</w:t>
            </w:r>
          </w:p>
        </w:tc>
      </w:tr>
      <w:tr w14:paraId="68BA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93" w:type="dxa"/>
            <w:vAlign w:val="center"/>
          </w:tcPr>
          <w:p w14:paraId="4E66B46A">
            <w:pPr>
              <w:spacing w:line="360" w:lineRule="auto"/>
              <w:jc w:val="center"/>
              <w:rPr>
                <w:szCs w:val="21"/>
              </w:rPr>
            </w:pPr>
            <w:r>
              <w:rPr>
                <w:rFonts w:hint="eastAsia"/>
                <w:szCs w:val="21"/>
                <w:lang w:val="en-US" w:eastAsia="zh-CN"/>
              </w:rPr>
              <w:t>作业量化</w:t>
            </w:r>
            <w:r>
              <w:rPr>
                <w:rFonts w:hint="eastAsia"/>
                <w:szCs w:val="21"/>
              </w:rPr>
              <w:t>系统</w:t>
            </w:r>
          </w:p>
        </w:tc>
        <w:tc>
          <w:tcPr>
            <w:tcW w:w="3493" w:type="dxa"/>
            <w:vAlign w:val="center"/>
          </w:tcPr>
          <w:p w14:paraId="552432B4">
            <w:pPr>
              <w:spacing w:line="360" w:lineRule="auto"/>
              <w:jc w:val="center"/>
              <w:rPr>
                <w:szCs w:val="21"/>
              </w:rPr>
            </w:pPr>
            <w:r>
              <w:rPr>
                <w:rFonts w:hint="eastAsia"/>
                <w:szCs w:val="21"/>
              </w:rPr>
              <w:t>V3.0</w:t>
            </w:r>
          </w:p>
        </w:tc>
      </w:tr>
    </w:tbl>
    <w:p w14:paraId="43DDFEF7">
      <w:pPr>
        <w:keepNext w:val="0"/>
        <w:keepLines w:val="0"/>
        <w:pageBreakBefore w:val="0"/>
        <w:widowControl w:val="0"/>
        <w:kinsoku/>
        <w:wordWrap/>
        <w:overflowPunct/>
        <w:topLinePunct w:val="0"/>
        <w:autoSpaceDE/>
        <w:autoSpaceDN/>
        <w:bidi w:val="0"/>
        <w:adjustRightInd/>
        <w:snapToGrid/>
        <w:spacing w:line="560" w:lineRule="exact"/>
        <w:ind w:left="902"/>
        <w:textAlignment w:val="auto"/>
        <w:rPr>
          <w:szCs w:val="21"/>
        </w:rPr>
      </w:pPr>
      <w:r>
        <w:rPr>
          <w:rFonts w:hint="eastAsia"/>
          <w:szCs w:val="21"/>
        </w:rPr>
        <w:t>备注：如上述表格不足以列明全部产品，可另行以附件形式列明。</w:t>
      </w:r>
    </w:p>
    <w:p w14:paraId="368B2704">
      <w:pPr>
        <w:keepNext w:val="0"/>
        <w:keepLines w:val="0"/>
        <w:pageBreakBefore w:val="0"/>
        <w:widowControl w:val="0"/>
        <w:numPr>
          <w:ilvl w:val="1"/>
          <w:numId w:val="2"/>
        </w:numPr>
        <w:tabs>
          <w:tab w:val="left" w:pos="900"/>
          <w:tab w:val="clear" w:pos="992"/>
        </w:tabs>
        <w:kinsoku/>
        <w:wordWrap/>
        <w:overflowPunct/>
        <w:topLinePunct w:val="0"/>
        <w:autoSpaceDE/>
        <w:autoSpaceDN/>
        <w:bidi w:val="0"/>
        <w:adjustRightInd/>
        <w:snapToGrid/>
        <w:spacing w:line="560" w:lineRule="exact"/>
        <w:ind w:left="902" w:hanging="482"/>
        <w:textAlignment w:val="auto"/>
        <w:rPr>
          <w:szCs w:val="21"/>
        </w:rPr>
      </w:pPr>
      <w:r>
        <w:rPr>
          <w:rFonts w:hint="eastAsia"/>
          <w:szCs w:val="21"/>
        </w:rPr>
        <w:t>系统运维服务具体内容见附件1《系统运维服务内容及标准》。</w:t>
      </w:r>
    </w:p>
    <w:p w14:paraId="1364A3C4">
      <w:pPr>
        <w:keepNext w:val="0"/>
        <w:keepLines w:val="0"/>
        <w:pageBreakBefore w:val="0"/>
        <w:widowControl w:val="0"/>
        <w:numPr>
          <w:ilvl w:val="1"/>
          <w:numId w:val="2"/>
        </w:numPr>
        <w:tabs>
          <w:tab w:val="left" w:pos="900"/>
          <w:tab w:val="clear" w:pos="992"/>
        </w:tabs>
        <w:kinsoku/>
        <w:wordWrap/>
        <w:overflowPunct/>
        <w:topLinePunct w:val="0"/>
        <w:autoSpaceDE/>
        <w:autoSpaceDN/>
        <w:bidi w:val="0"/>
        <w:adjustRightInd/>
        <w:snapToGrid/>
        <w:spacing w:line="560" w:lineRule="exact"/>
        <w:ind w:left="902" w:hanging="482"/>
        <w:textAlignment w:val="auto"/>
        <w:rPr>
          <w:szCs w:val="21"/>
        </w:rPr>
      </w:pPr>
      <w:r>
        <w:rPr>
          <w:rFonts w:hint="eastAsia" w:ascii="宋体" w:hAnsi="宋体"/>
          <w:szCs w:val="21"/>
        </w:rPr>
        <w:t>上述系统运维服务期限自</w:t>
      </w:r>
      <w:r>
        <w:rPr>
          <w:rFonts w:hint="eastAsia" w:ascii="宋体" w:hAnsi="宋体"/>
          <w:szCs w:val="21"/>
          <w:u w:val="single"/>
        </w:rPr>
        <w:t xml:space="preserve"> </w:t>
      </w:r>
      <w:r>
        <w:rPr>
          <w:rFonts w:hint="eastAsia" w:ascii="宋体" w:hAnsi="宋体"/>
          <w:szCs w:val="21"/>
          <w:u w:val="single"/>
          <w:lang w:eastAsia="zh-CN"/>
        </w:rPr>
        <w:t>2026</w:t>
      </w:r>
      <w:r>
        <w:rPr>
          <w:rFonts w:hint="eastAsia" w:ascii="宋体" w:hAnsi="宋体"/>
          <w:szCs w:val="21"/>
          <w:u w:val="single"/>
        </w:rPr>
        <w:t xml:space="preserve"> </w:t>
      </w:r>
      <w:r>
        <w:rPr>
          <w:rFonts w:hint="eastAsia" w:ascii="宋体" w:hAnsi="宋体"/>
          <w:szCs w:val="21"/>
        </w:rPr>
        <w:t>年</w:t>
      </w:r>
      <w:bookmarkStart w:id="0" w:name="_GoBack"/>
      <w:bookmarkEnd w:id="0"/>
      <w:r>
        <w:rPr>
          <w:rFonts w:hint="eastAsia" w:ascii="宋体" w:hAnsi="宋体"/>
          <w:szCs w:val="21"/>
          <w:u w:val="single"/>
        </w:rPr>
        <w:t xml:space="preserve"> 01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01</w:t>
      </w:r>
      <w:r>
        <w:rPr>
          <w:rFonts w:hint="eastAsia" w:ascii="宋体" w:hAnsi="宋体"/>
          <w:szCs w:val="21"/>
          <w:u w:val="single"/>
        </w:rPr>
        <w:t xml:space="preserve"> </w:t>
      </w:r>
      <w:r>
        <w:rPr>
          <w:rFonts w:hint="eastAsia" w:ascii="宋体" w:hAnsi="宋体"/>
          <w:szCs w:val="21"/>
        </w:rPr>
        <w:t>日起至</w:t>
      </w:r>
      <w:r>
        <w:rPr>
          <w:rFonts w:hint="eastAsia" w:ascii="宋体" w:hAnsi="宋体"/>
          <w:szCs w:val="21"/>
          <w:u w:val="single"/>
        </w:rPr>
        <w:t xml:space="preserve"> </w:t>
      </w:r>
      <w:r>
        <w:rPr>
          <w:rFonts w:hint="eastAsia" w:ascii="宋体" w:hAnsi="宋体"/>
          <w:szCs w:val="21"/>
          <w:u w:val="single"/>
          <w:lang w:eastAsia="zh-CN"/>
        </w:rPr>
        <w:t>2026</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1</w:t>
      </w:r>
      <w:r>
        <w:rPr>
          <w:rFonts w:hint="eastAsia" w:ascii="宋体" w:hAnsi="宋体"/>
          <w:szCs w:val="21"/>
          <w:u w:val="single"/>
        </w:rPr>
        <w:t xml:space="preserve">2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31</w:t>
      </w:r>
      <w:r>
        <w:rPr>
          <w:rFonts w:hint="eastAsia" w:ascii="宋体" w:hAnsi="宋体"/>
          <w:szCs w:val="21"/>
          <w:u w:val="single"/>
        </w:rPr>
        <w:t xml:space="preserve"> </w:t>
      </w:r>
      <w:r>
        <w:rPr>
          <w:rFonts w:hint="eastAsia" w:ascii="宋体" w:hAnsi="宋体"/>
          <w:szCs w:val="21"/>
        </w:rPr>
        <w:t>日止。</w:t>
      </w:r>
    </w:p>
    <w:p w14:paraId="16EB4B7B">
      <w:pPr>
        <w:keepNext w:val="0"/>
        <w:keepLines w:val="0"/>
        <w:pageBreakBefore w:val="0"/>
        <w:widowControl w:val="0"/>
        <w:numPr>
          <w:ilvl w:val="0"/>
          <w:numId w:val="1"/>
        </w:numPr>
        <w:kinsoku/>
        <w:wordWrap/>
        <w:overflowPunct/>
        <w:topLinePunct w:val="0"/>
        <w:autoSpaceDE/>
        <w:autoSpaceDN/>
        <w:bidi w:val="0"/>
        <w:adjustRightInd/>
        <w:snapToGrid/>
        <w:spacing w:line="560" w:lineRule="exact"/>
        <w:textAlignment w:val="auto"/>
        <w:rPr>
          <w:rFonts w:hint="eastAsia" w:ascii="宋体" w:hAnsi="宋体"/>
          <w:szCs w:val="21"/>
        </w:rPr>
      </w:pPr>
      <w:r>
        <w:rPr>
          <w:rFonts w:hint="eastAsia" w:ascii="宋体" w:hAnsi="宋体"/>
          <w:szCs w:val="21"/>
        </w:rPr>
        <w:t>服务费用及付款约定</w:t>
      </w:r>
    </w:p>
    <w:p w14:paraId="5BBB66C7">
      <w:pPr>
        <w:keepNext w:val="0"/>
        <w:keepLines w:val="0"/>
        <w:pageBreakBefore w:val="0"/>
        <w:widowControl w:val="0"/>
        <w:numPr>
          <w:ilvl w:val="1"/>
          <w:numId w:val="3"/>
        </w:numPr>
        <w:tabs>
          <w:tab w:val="left" w:pos="900"/>
          <w:tab w:val="clear" w:pos="950"/>
        </w:tabs>
        <w:kinsoku/>
        <w:wordWrap/>
        <w:overflowPunct/>
        <w:topLinePunct w:val="0"/>
        <w:autoSpaceDE/>
        <w:autoSpaceDN/>
        <w:bidi w:val="0"/>
        <w:adjustRightInd/>
        <w:snapToGrid/>
        <w:spacing w:line="560" w:lineRule="exact"/>
        <w:ind w:left="902" w:hanging="482"/>
        <w:textAlignment w:val="auto"/>
        <w:rPr>
          <w:rFonts w:hint="eastAsia" w:ascii="宋体" w:hAnsi="宋体"/>
          <w:szCs w:val="21"/>
        </w:rPr>
      </w:pPr>
      <w:r>
        <w:rPr>
          <w:rFonts w:hint="eastAsia"/>
        </w:rPr>
        <w:t>本合同约定系统运维固定服务</w:t>
      </w:r>
      <w:r>
        <w:rPr>
          <w:rFonts w:hint="eastAsia" w:ascii="宋体" w:hAnsi="宋体"/>
          <w:szCs w:val="21"/>
        </w:rPr>
        <w:t>费为</w:t>
      </w:r>
      <w:r>
        <w:rPr>
          <w:rFonts w:hint="eastAsia" w:ascii="宋体" w:hAnsi="宋体"/>
          <w:szCs w:val="21"/>
          <w:u w:val="single"/>
        </w:rPr>
        <w:t>11</w:t>
      </w:r>
      <w:r>
        <w:rPr>
          <w:rFonts w:ascii="宋体" w:hAnsi="宋体"/>
          <w:szCs w:val="21"/>
          <w:u w:val="single"/>
        </w:rPr>
        <w:t>0,000</w:t>
      </w:r>
      <w:r>
        <w:rPr>
          <w:rFonts w:hint="eastAsia" w:ascii="宋体" w:hAnsi="宋体"/>
          <w:szCs w:val="21"/>
          <w:u w:val="single"/>
        </w:rPr>
        <w:t xml:space="preserve"> </w:t>
      </w:r>
      <w:r>
        <w:rPr>
          <w:rFonts w:hint="eastAsia" w:ascii="宋体" w:hAnsi="宋体"/>
          <w:szCs w:val="21"/>
        </w:rPr>
        <w:t>元/年，本次合同约定服务期限为</w:t>
      </w:r>
      <w:r>
        <w:rPr>
          <w:rFonts w:hint="eastAsia" w:ascii="宋体" w:hAnsi="宋体"/>
          <w:szCs w:val="21"/>
          <w:u w:val="single"/>
        </w:rPr>
        <w:t>1</w:t>
      </w:r>
      <w:r>
        <w:rPr>
          <w:rFonts w:hint="eastAsia" w:ascii="宋体" w:hAnsi="宋体"/>
          <w:szCs w:val="21"/>
        </w:rPr>
        <w:t>年，共计</w:t>
      </w:r>
      <w:r>
        <w:rPr>
          <w:rFonts w:hint="eastAsia" w:ascii="宋体" w:hAnsi="宋体"/>
          <w:szCs w:val="21"/>
          <w:u w:val="single"/>
        </w:rPr>
        <w:t>11</w:t>
      </w:r>
      <w:r>
        <w:rPr>
          <w:rFonts w:ascii="宋体" w:hAnsi="宋体"/>
          <w:szCs w:val="21"/>
          <w:u w:val="single"/>
        </w:rPr>
        <w:t>0,000</w:t>
      </w:r>
      <w:r>
        <w:rPr>
          <w:rFonts w:hint="eastAsia" w:ascii="宋体" w:hAnsi="宋体"/>
          <w:szCs w:val="21"/>
        </w:rPr>
        <w:t>元大写：人民币</w:t>
      </w:r>
      <w:r>
        <w:rPr>
          <w:rFonts w:hint="eastAsia"/>
          <w:szCs w:val="21"/>
          <w:u w:val="single"/>
        </w:rPr>
        <w:t>拾壹</w:t>
      </w:r>
      <w:r>
        <w:rPr>
          <w:szCs w:val="21"/>
        </w:rPr>
        <w:t>万元整，</w:t>
      </w:r>
      <w:r>
        <w:rPr>
          <w:rFonts w:hint="eastAsia"/>
          <w:szCs w:val="21"/>
        </w:rPr>
        <w:t>该费用含税</w:t>
      </w:r>
      <w:r>
        <w:rPr>
          <w:rFonts w:hint="eastAsia" w:ascii="宋体" w:hAnsi="宋体"/>
          <w:szCs w:val="21"/>
        </w:rPr>
        <w:t>。双方再另外约定一笔不超过30个工作日的软件系统升级费用，每个工作日费用</w:t>
      </w:r>
      <w:r>
        <w:rPr>
          <w:rFonts w:hint="eastAsia" w:ascii="宋体" w:hAnsi="宋体"/>
          <w:szCs w:val="21"/>
          <w:u w:val="single"/>
        </w:rPr>
        <w:t>1500</w:t>
      </w:r>
      <w:r>
        <w:rPr>
          <w:rFonts w:hint="eastAsia" w:ascii="宋体" w:hAnsi="宋体"/>
          <w:szCs w:val="21"/>
        </w:rPr>
        <w:t>元，共计</w:t>
      </w:r>
      <w:r>
        <w:rPr>
          <w:rFonts w:hint="eastAsia" w:ascii="宋体" w:hAnsi="宋体"/>
          <w:szCs w:val="21"/>
          <w:u w:val="single"/>
        </w:rPr>
        <w:t>45,000</w:t>
      </w:r>
      <w:r>
        <w:rPr>
          <w:rFonts w:hint="eastAsia" w:ascii="宋体" w:hAnsi="宋体"/>
          <w:szCs w:val="21"/>
        </w:rPr>
        <w:t>元大写人民币</w:t>
      </w:r>
      <w:r>
        <w:rPr>
          <w:rFonts w:hint="eastAsia" w:ascii="宋体" w:hAnsi="宋体"/>
          <w:szCs w:val="21"/>
          <w:u w:val="single"/>
        </w:rPr>
        <w:t>肆万伍仟</w:t>
      </w:r>
      <w:r>
        <w:rPr>
          <w:rFonts w:hint="eastAsia" w:ascii="宋体" w:hAnsi="宋体"/>
          <w:szCs w:val="21"/>
        </w:rPr>
        <w:t>元整，该费用含税，以双方签字确认开发功能实际发生工作日据实结算，内容见附件2《软件系统新增需求确认表》。如果当前合同期限内没有发生系统新增开发功能则不产生软件系统升级费用。</w:t>
      </w:r>
    </w:p>
    <w:p w14:paraId="3F62C9DE">
      <w:pPr>
        <w:keepNext w:val="0"/>
        <w:keepLines w:val="0"/>
        <w:pageBreakBefore w:val="0"/>
        <w:widowControl w:val="0"/>
        <w:numPr>
          <w:ilvl w:val="1"/>
          <w:numId w:val="3"/>
        </w:numPr>
        <w:tabs>
          <w:tab w:val="left" w:pos="900"/>
          <w:tab w:val="clear" w:pos="950"/>
        </w:tabs>
        <w:kinsoku/>
        <w:wordWrap/>
        <w:overflowPunct/>
        <w:topLinePunct w:val="0"/>
        <w:autoSpaceDE/>
        <w:autoSpaceDN/>
        <w:bidi w:val="0"/>
        <w:adjustRightInd/>
        <w:snapToGrid/>
        <w:spacing w:line="560" w:lineRule="exact"/>
        <w:ind w:left="902" w:hanging="482"/>
        <w:textAlignment w:val="auto"/>
      </w:pPr>
      <w:r>
        <w:t>本合同</w:t>
      </w:r>
      <w:r>
        <w:rPr>
          <w:rFonts w:hint="eastAsia"/>
        </w:rPr>
        <w:t>生效</w:t>
      </w:r>
      <w:r>
        <w:t>之日起</w:t>
      </w:r>
      <w:r>
        <w:rPr>
          <w:rFonts w:hint="eastAsia"/>
        </w:rPr>
        <w:t>分四次支付运维费用，支付前乙方应提供当季软件系统运维相关服务内容的明细书面材料作为结算资料。第一次为</w:t>
      </w:r>
      <w:r>
        <w:rPr>
          <w:rFonts w:hint="eastAsia"/>
          <w:lang w:eastAsia="zh-CN"/>
        </w:rPr>
        <w:t>2026</w:t>
      </w:r>
      <w:r>
        <w:rPr>
          <w:rFonts w:hint="eastAsia"/>
        </w:rPr>
        <w:t>年3月31日前支付运维费用的25%，即27500元（大写：人民币贰万柒仟伍佰元整）；第二次为</w:t>
      </w:r>
      <w:r>
        <w:rPr>
          <w:rFonts w:hint="eastAsia"/>
          <w:lang w:eastAsia="zh-CN"/>
        </w:rPr>
        <w:t>2026</w:t>
      </w:r>
      <w:r>
        <w:rPr>
          <w:rFonts w:hint="eastAsia"/>
        </w:rPr>
        <w:t>年6月30日前支付运维费用的25%，即27500元（大写：人民币贰万柒仟伍佰元整）；第三次为</w:t>
      </w:r>
      <w:r>
        <w:rPr>
          <w:rFonts w:hint="eastAsia"/>
          <w:lang w:eastAsia="zh-CN"/>
        </w:rPr>
        <w:t>2026</w:t>
      </w:r>
      <w:r>
        <w:rPr>
          <w:rFonts w:hint="eastAsia"/>
        </w:rPr>
        <w:t>年9月3</w:t>
      </w:r>
      <w:r>
        <w:rPr>
          <w:rFonts w:hint="eastAsia"/>
          <w:lang w:val="en-US" w:eastAsia="zh-CN"/>
        </w:rPr>
        <w:t>0</w:t>
      </w:r>
      <w:r>
        <w:rPr>
          <w:rFonts w:hint="eastAsia"/>
        </w:rPr>
        <w:t>日前支付运维费用的25%，即27500元（大写：人民币贰万柒仟伍佰元整）；第四次为</w:t>
      </w:r>
      <w:r>
        <w:rPr>
          <w:rFonts w:hint="eastAsia"/>
          <w:lang w:eastAsia="zh-CN"/>
        </w:rPr>
        <w:t>2026</w:t>
      </w:r>
      <w:r>
        <w:rPr>
          <w:rFonts w:hint="eastAsia"/>
        </w:rPr>
        <w:t>年12月31日前支付运维费用的25%，即27500元（大写：人民币贰万柒仟伍佰元整）；如另外有发生升级需求开发，以附件2为模版，双方签字确认实际发生的开发所需工作日据实支付结算。</w:t>
      </w:r>
    </w:p>
    <w:p w14:paraId="4BE720DD">
      <w:pPr>
        <w:keepNext w:val="0"/>
        <w:keepLines w:val="0"/>
        <w:pageBreakBefore w:val="0"/>
        <w:widowControl w:val="0"/>
        <w:numPr>
          <w:ilvl w:val="1"/>
          <w:numId w:val="3"/>
        </w:numPr>
        <w:tabs>
          <w:tab w:val="left" w:pos="525"/>
          <w:tab w:val="left" w:pos="900"/>
          <w:tab w:val="clear" w:pos="950"/>
        </w:tabs>
        <w:kinsoku/>
        <w:wordWrap/>
        <w:overflowPunct/>
        <w:topLinePunct w:val="0"/>
        <w:autoSpaceDE/>
        <w:autoSpaceDN/>
        <w:bidi w:val="0"/>
        <w:adjustRightInd/>
        <w:snapToGrid/>
        <w:spacing w:line="560" w:lineRule="exact"/>
        <w:ind w:left="902" w:hanging="482"/>
        <w:textAlignment w:val="auto"/>
      </w:pPr>
      <w:r>
        <w:rPr>
          <w:rFonts w:hint="eastAsia"/>
        </w:rPr>
        <w:t>甲方付款前，乙方应向甲方送达与所支付金额合法等额且符合甲方要求的增值税专用发票，税率为1%，否则，甲方有权顺延付款，且不承担任何逾期付款责任。</w:t>
      </w:r>
    </w:p>
    <w:p w14:paraId="7CE4A89B">
      <w:pPr>
        <w:keepNext w:val="0"/>
        <w:keepLines w:val="0"/>
        <w:pageBreakBefore w:val="0"/>
        <w:widowControl w:val="0"/>
        <w:numPr>
          <w:ilvl w:val="1"/>
          <w:numId w:val="3"/>
        </w:numPr>
        <w:tabs>
          <w:tab w:val="left" w:pos="525"/>
          <w:tab w:val="left" w:pos="900"/>
          <w:tab w:val="clear" w:pos="950"/>
        </w:tabs>
        <w:kinsoku/>
        <w:wordWrap/>
        <w:overflowPunct/>
        <w:topLinePunct w:val="0"/>
        <w:autoSpaceDE/>
        <w:autoSpaceDN/>
        <w:bidi w:val="0"/>
        <w:adjustRightInd/>
        <w:snapToGrid/>
        <w:spacing w:line="560" w:lineRule="exact"/>
        <w:ind w:left="902" w:hanging="482"/>
        <w:textAlignment w:val="auto"/>
      </w:pPr>
      <w:r>
        <w:rPr>
          <w:rFonts w:hint="eastAsia"/>
        </w:rPr>
        <w:t xml:space="preserve">合同双方在结算时以不含税金额为基数，若因国家政策调整等原因，乙方不能按照合同要求的税率提供相应的增值税专用发票，则结算金额按照实际开票税率做相应调整。        </w:t>
      </w:r>
    </w:p>
    <w:p w14:paraId="6B2538D8">
      <w:pPr>
        <w:keepNext w:val="0"/>
        <w:keepLines w:val="0"/>
        <w:pageBreakBefore w:val="0"/>
        <w:widowControl w:val="0"/>
        <w:numPr>
          <w:ilvl w:val="1"/>
          <w:numId w:val="3"/>
        </w:numPr>
        <w:tabs>
          <w:tab w:val="left" w:pos="525"/>
          <w:tab w:val="left" w:pos="900"/>
          <w:tab w:val="clear" w:pos="950"/>
        </w:tabs>
        <w:kinsoku/>
        <w:wordWrap/>
        <w:overflowPunct/>
        <w:topLinePunct w:val="0"/>
        <w:autoSpaceDE/>
        <w:autoSpaceDN/>
        <w:bidi w:val="0"/>
        <w:adjustRightInd/>
        <w:snapToGrid/>
        <w:spacing w:line="560" w:lineRule="exact"/>
        <w:ind w:left="902" w:hanging="482"/>
        <w:textAlignment w:val="auto"/>
        <w:rPr>
          <w:szCs w:val="21"/>
        </w:rPr>
      </w:pPr>
      <w:r>
        <w:rPr>
          <w:rFonts w:hint="eastAsia" w:ascii="宋体" w:hAnsi="宋体"/>
          <w:szCs w:val="21"/>
          <w:lang w:val="zh-CN"/>
        </w:rPr>
        <w:t>本合同全部款项甲方均以转账方式向乙方支付。</w:t>
      </w:r>
    </w:p>
    <w:p w14:paraId="0E029E19">
      <w:pPr>
        <w:keepNext w:val="0"/>
        <w:keepLines w:val="0"/>
        <w:pageBreakBefore w:val="0"/>
        <w:widowControl w:val="0"/>
        <w:tabs>
          <w:tab w:val="left" w:pos="525"/>
          <w:tab w:val="left" w:pos="900"/>
        </w:tabs>
        <w:kinsoku/>
        <w:wordWrap/>
        <w:overflowPunct/>
        <w:topLinePunct w:val="0"/>
        <w:autoSpaceDE/>
        <w:autoSpaceDN/>
        <w:bidi w:val="0"/>
        <w:adjustRightInd/>
        <w:snapToGrid/>
        <w:spacing w:line="560" w:lineRule="exact"/>
        <w:ind w:left="902"/>
        <w:textAlignment w:val="auto"/>
        <w:rPr>
          <w:rFonts w:hint="eastAsia" w:ascii="宋体" w:hAnsi="宋体"/>
          <w:szCs w:val="21"/>
          <w:lang w:val="zh-CN"/>
        </w:rPr>
      </w:pPr>
      <w:r>
        <w:rPr>
          <w:rFonts w:hint="eastAsia" w:ascii="宋体" w:hAnsi="宋体"/>
          <w:szCs w:val="21"/>
          <w:lang w:val="zh-CN"/>
        </w:rPr>
        <w:t>开户名称：成都歌杰斯科技有限责任公司</w:t>
      </w:r>
    </w:p>
    <w:p w14:paraId="1577E0A7">
      <w:pPr>
        <w:keepNext w:val="0"/>
        <w:keepLines w:val="0"/>
        <w:pageBreakBefore w:val="0"/>
        <w:widowControl w:val="0"/>
        <w:tabs>
          <w:tab w:val="left" w:pos="525"/>
          <w:tab w:val="left" w:pos="900"/>
        </w:tabs>
        <w:kinsoku/>
        <w:wordWrap/>
        <w:overflowPunct/>
        <w:topLinePunct w:val="0"/>
        <w:autoSpaceDE/>
        <w:autoSpaceDN/>
        <w:bidi w:val="0"/>
        <w:adjustRightInd/>
        <w:snapToGrid/>
        <w:spacing w:line="560" w:lineRule="exact"/>
        <w:ind w:left="902"/>
        <w:textAlignment w:val="auto"/>
        <w:rPr>
          <w:rFonts w:hint="eastAsia" w:ascii="宋体" w:hAnsi="宋体"/>
          <w:szCs w:val="21"/>
          <w:lang w:val="zh-CN"/>
        </w:rPr>
      </w:pPr>
      <w:r>
        <w:rPr>
          <w:rFonts w:hint="eastAsia" w:ascii="宋体" w:hAnsi="宋体"/>
          <w:szCs w:val="21"/>
          <w:lang w:val="zh-CN"/>
        </w:rPr>
        <w:t>开户行：中国民生银行股份有限公司成都铁像寺支行</w:t>
      </w:r>
    </w:p>
    <w:p w14:paraId="32F229A8">
      <w:pPr>
        <w:keepNext w:val="0"/>
        <w:keepLines w:val="0"/>
        <w:pageBreakBefore w:val="0"/>
        <w:widowControl w:val="0"/>
        <w:tabs>
          <w:tab w:val="left" w:pos="525"/>
          <w:tab w:val="left" w:pos="900"/>
        </w:tabs>
        <w:kinsoku/>
        <w:wordWrap/>
        <w:overflowPunct/>
        <w:topLinePunct w:val="0"/>
        <w:autoSpaceDE/>
        <w:autoSpaceDN/>
        <w:bidi w:val="0"/>
        <w:adjustRightInd/>
        <w:snapToGrid/>
        <w:spacing w:line="560" w:lineRule="exact"/>
        <w:ind w:left="902"/>
        <w:textAlignment w:val="auto"/>
        <w:rPr>
          <w:szCs w:val="21"/>
        </w:rPr>
      </w:pPr>
      <w:r>
        <w:rPr>
          <w:rFonts w:hint="eastAsia" w:ascii="宋体" w:hAnsi="宋体"/>
          <w:szCs w:val="21"/>
          <w:lang w:val="zh-CN"/>
        </w:rPr>
        <w:t xml:space="preserve">账号：696612832         </w:t>
      </w:r>
    </w:p>
    <w:p w14:paraId="0F34D459">
      <w:pPr>
        <w:keepNext w:val="0"/>
        <w:keepLines w:val="0"/>
        <w:pageBreakBefore w:val="0"/>
        <w:widowControl w:val="0"/>
        <w:numPr>
          <w:ilvl w:val="1"/>
          <w:numId w:val="3"/>
        </w:numPr>
        <w:tabs>
          <w:tab w:val="left" w:pos="525"/>
          <w:tab w:val="left" w:pos="900"/>
          <w:tab w:val="clear" w:pos="950"/>
        </w:tabs>
        <w:kinsoku/>
        <w:wordWrap/>
        <w:overflowPunct/>
        <w:topLinePunct w:val="0"/>
        <w:autoSpaceDE/>
        <w:autoSpaceDN/>
        <w:bidi w:val="0"/>
        <w:adjustRightInd/>
        <w:snapToGrid/>
        <w:spacing w:line="560" w:lineRule="exact"/>
        <w:ind w:left="902" w:hanging="482"/>
        <w:textAlignment w:val="auto"/>
      </w:pPr>
      <w:r>
        <w:rPr>
          <w:rFonts w:hint="eastAsia"/>
        </w:rPr>
        <w:t>乙方保证该账号证明资料准确无误，若因开户名称、开户银行、银行账号有误，由此产生的一切纠纷和责任由乙方承担。以上信息如有变更的，乙方应在变更前三日内书面通知到甲方，否则甲方按以上信息付款的，视为已完成支付义务。</w:t>
      </w:r>
    </w:p>
    <w:p w14:paraId="78C3044A">
      <w:pPr>
        <w:keepNext w:val="0"/>
        <w:keepLines w:val="0"/>
        <w:pageBreakBefore w:val="0"/>
        <w:widowControl w:val="0"/>
        <w:numPr>
          <w:ilvl w:val="0"/>
          <w:numId w:val="1"/>
        </w:numPr>
        <w:kinsoku/>
        <w:wordWrap/>
        <w:overflowPunct/>
        <w:topLinePunct w:val="0"/>
        <w:autoSpaceDE/>
        <w:autoSpaceDN/>
        <w:bidi w:val="0"/>
        <w:adjustRightInd/>
        <w:snapToGrid/>
        <w:spacing w:line="560" w:lineRule="exact"/>
        <w:textAlignment w:val="auto"/>
        <w:rPr>
          <w:rFonts w:hint="eastAsia" w:ascii="宋体" w:hAnsi="宋体"/>
          <w:szCs w:val="21"/>
        </w:rPr>
      </w:pPr>
      <w:r>
        <w:rPr>
          <w:rFonts w:hint="eastAsia" w:ascii="宋体" w:hAnsi="宋体"/>
          <w:szCs w:val="21"/>
        </w:rPr>
        <w:t>甲方权利义务</w:t>
      </w:r>
    </w:p>
    <w:p w14:paraId="6C88804B">
      <w:pPr>
        <w:keepNext w:val="0"/>
        <w:keepLines w:val="0"/>
        <w:pageBreakBefore w:val="0"/>
        <w:widowControl w:val="0"/>
        <w:numPr>
          <w:ilvl w:val="1"/>
          <w:numId w:val="4"/>
        </w:numPr>
        <w:tabs>
          <w:tab w:val="left" w:pos="900"/>
        </w:tabs>
        <w:kinsoku/>
        <w:wordWrap/>
        <w:overflowPunct/>
        <w:topLinePunct w:val="0"/>
        <w:autoSpaceDE/>
        <w:autoSpaceDN/>
        <w:bidi w:val="0"/>
        <w:adjustRightInd/>
        <w:snapToGrid/>
        <w:spacing w:line="560" w:lineRule="exact"/>
        <w:ind w:left="900" w:hanging="475"/>
        <w:textAlignment w:val="auto"/>
        <w:rPr>
          <w:rFonts w:hint="eastAsia" w:ascii="宋体" w:hAnsi="宋体"/>
          <w:szCs w:val="21"/>
        </w:rPr>
      </w:pPr>
      <w:r>
        <w:rPr>
          <w:rFonts w:hint="eastAsia" w:ascii="宋体" w:hAnsi="宋体"/>
          <w:szCs w:val="21"/>
        </w:rPr>
        <w:t>确保软件运行环境（包括计算机、打印机及相关硬件设备）的安全，为软件正常运行提供保障。</w:t>
      </w:r>
    </w:p>
    <w:p w14:paraId="4BAEAF5D">
      <w:pPr>
        <w:keepNext w:val="0"/>
        <w:keepLines w:val="0"/>
        <w:pageBreakBefore w:val="0"/>
        <w:widowControl w:val="0"/>
        <w:numPr>
          <w:ilvl w:val="1"/>
          <w:numId w:val="4"/>
        </w:numPr>
        <w:tabs>
          <w:tab w:val="left" w:pos="900"/>
        </w:tabs>
        <w:kinsoku/>
        <w:wordWrap/>
        <w:overflowPunct/>
        <w:topLinePunct w:val="0"/>
        <w:autoSpaceDE/>
        <w:autoSpaceDN/>
        <w:bidi w:val="0"/>
        <w:adjustRightInd/>
        <w:snapToGrid/>
        <w:spacing w:line="560" w:lineRule="exact"/>
        <w:ind w:left="900" w:hanging="475"/>
        <w:textAlignment w:val="auto"/>
        <w:rPr>
          <w:rFonts w:hint="eastAsia" w:ascii="宋体" w:hAnsi="宋体"/>
          <w:szCs w:val="21"/>
        </w:rPr>
      </w:pPr>
      <w:r>
        <w:rPr>
          <w:rFonts w:hint="eastAsia" w:ascii="宋体" w:hAnsi="宋体"/>
          <w:szCs w:val="21"/>
        </w:rPr>
        <w:t>定期做好系统数据备份并妥善保管。</w:t>
      </w:r>
    </w:p>
    <w:p w14:paraId="078A4ED7">
      <w:pPr>
        <w:keepNext w:val="0"/>
        <w:keepLines w:val="0"/>
        <w:pageBreakBefore w:val="0"/>
        <w:widowControl w:val="0"/>
        <w:numPr>
          <w:ilvl w:val="1"/>
          <w:numId w:val="4"/>
        </w:numPr>
        <w:tabs>
          <w:tab w:val="left" w:pos="900"/>
        </w:tabs>
        <w:kinsoku/>
        <w:wordWrap/>
        <w:overflowPunct/>
        <w:topLinePunct w:val="0"/>
        <w:autoSpaceDE/>
        <w:autoSpaceDN/>
        <w:bidi w:val="0"/>
        <w:adjustRightInd/>
        <w:snapToGrid/>
        <w:spacing w:line="560" w:lineRule="exact"/>
        <w:ind w:left="900" w:hanging="475"/>
        <w:textAlignment w:val="auto"/>
        <w:rPr>
          <w:rFonts w:hint="eastAsia" w:ascii="宋体" w:hAnsi="宋体"/>
          <w:szCs w:val="21"/>
        </w:rPr>
      </w:pPr>
      <w:r>
        <w:rPr>
          <w:rFonts w:hint="eastAsia" w:ascii="宋体" w:hAnsi="宋体"/>
          <w:szCs w:val="21"/>
        </w:rPr>
        <w:t>在软件使用过程中发现软件异常，记录当前故障现象，并及时与乙方取得联系，便于乙方诊断。</w:t>
      </w:r>
    </w:p>
    <w:p w14:paraId="5FFF4F97">
      <w:pPr>
        <w:keepNext w:val="0"/>
        <w:keepLines w:val="0"/>
        <w:pageBreakBefore w:val="0"/>
        <w:widowControl w:val="0"/>
        <w:numPr>
          <w:ilvl w:val="1"/>
          <w:numId w:val="4"/>
        </w:numPr>
        <w:tabs>
          <w:tab w:val="left" w:pos="900"/>
          <w:tab w:val="clear" w:pos="2204"/>
        </w:tabs>
        <w:kinsoku/>
        <w:wordWrap/>
        <w:overflowPunct/>
        <w:topLinePunct w:val="0"/>
        <w:autoSpaceDE/>
        <w:autoSpaceDN/>
        <w:bidi w:val="0"/>
        <w:adjustRightInd/>
        <w:snapToGrid/>
        <w:spacing w:line="560" w:lineRule="exact"/>
        <w:ind w:left="900" w:hanging="475"/>
        <w:textAlignment w:val="auto"/>
        <w:rPr>
          <w:rFonts w:hint="eastAsia" w:ascii="宋体" w:hAnsi="宋体"/>
          <w:szCs w:val="21"/>
        </w:rPr>
      </w:pPr>
      <w:r>
        <w:rPr>
          <w:rFonts w:hint="eastAsia" w:ascii="宋体" w:hAnsi="宋体"/>
          <w:szCs w:val="21"/>
        </w:rPr>
        <w:t>乙方在每次服务过程及结束后，甲方需配合检查软件系统运行是否正常，配合对乙方提供的服务内容及结果进行确认。</w:t>
      </w:r>
    </w:p>
    <w:p w14:paraId="609D4A9D">
      <w:pPr>
        <w:keepNext w:val="0"/>
        <w:keepLines w:val="0"/>
        <w:pageBreakBefore w:val="0"/>
        <w:widowControl w:val="0"/>
        <w:numPr>
          <w:ilvl w:val="0"/>
          <w:numId w:val="1"/>
        </w:numPr>
        <w:kinsoku/>
        <w:wordWrap/>
        <w:overflowPunct/>
        <w:topLinePunct w:val="0"/>
        <w:autoSpaceDE/>
        <w:autoSpaceDN/>
        <w:bidi w:val="0"/>
        <w:adjustRightInd/>
        <w:snapToGrid/>
        <w:spacing w:line="560" w:lineRule="exact"/>
        <w:textAlignment w:val="auto"/>
        <w:rPr>
          <w:rFonts w:hint="eastAsia" w:ascii="宋体" w:hAnsi="宋体"/>
          <w:szCs w:val="21"/>
        </w:rPr>
      </w:pPr>
      <w:r>
        <w:rPr>
          <w:rFonts w:hint="eastAsia" w:ascii="宋体" w:hAnsi="宋体"/>
          <w:szCs w:val="21"/>
        </w:rPr>
        <w:t>乙方权利义务</w:t>
      </w:r>
    </w:p>
    <w:p w14:paraId="0D44656B">
      <w:pPr>
        <w:keepNext w:val="0"/>
        <w:keepLines w:val="0"/>
        <w:pageBreakBefore w:val="0"/>
        <w:widowControl w:val="0"/>
        <w:numPr>
          <w:ilvl w:val="1"/>
          <w:numId w:val="5"/>
        </w:numPr>
        <w:tabs>
          <w:tab w:val="left" w:pos="900"/>
          <w:tab w:val="clear" w:pos="780"/>
        </w:tabs>
        <w:kinsoku/>
        <w:wordWrap/>
        <w:overflowPunct/>
        <w:topLinePunct w:val="0"/>
        <w:autoSpaceDE/>
        <w:autoSpaceDN/>
        <w:bidi w:val="0"/>
        <w:adjustRightInd/>
        <w:snapToGrid/>
        <w:spacing w:line="560" w:lineRule="exact"/>
        <w:ind w:left="900" w:hanging="480"/>
        <w:textAlignment w:val="auto"/>
        <w:rPr>
          <w:rFonts w:hint="eastAsia" w:ascii="宋体" w:hAnsi="宋体"/>
          <w:szCs w:val="21"/>
        </w:rPr>
      </w:pPr>
      <w:r>
        <w:rPr>
          <w:rFonts w:hint="eastAsia" w:ascii="宋体" w:hAnsi="宋体"/>
          <w:szCs w:val="21"/>
        </w:rPr>
        <w:t xml:space="preserve">乙方承诺按照本合同及附件约定的服务范围、服务方式及时效要求全面为甲方提供服务；如甲方需要其他紧急服务的，在甲方提出服务请求后24小时内响应，并确保对甲方提供服务的质量； </w:t>
      </w:r>
    </w:p>
    <w:p w14:paraId="13F3816E">
      <w:pPr>
        <w:keepNext w:val="0"/>
        <w:keepLines w:val="0"/>
        <w:pageBreakBefore w:val="0"/>
        <w:widowControl w:val="0"/>
        <w:numPr>
          <w:ilvl w:val="1"/>
          <w:numId w:val="5"/>
        </w:numPr>
        <w:tabs>
          <w:tab w:val="left" w:pos="900"/>
          <w:tab w:val="clear" w:pos="780"/>
        </w:tabs>
        <w:kinsoku/>
        <w:wordWrap/>
        <w:overflowPunct/>
        <w:topLinePunct w:val="0"/>
        <w:autoSpaceDE/>
        <w:autoSpaceDN/>
        <w:bidi w:val="0"/>
        <w:adjustRightInd/>
        <w:snapToGrid/>
        <w:spacing w:line="560" w:lineRule="exact"/>
        <w:ind w:left="900" w:hanging="480"/>
        <w:textAlignment w:val="auto"/>
        <w:rPr>
          <w:rFonts w:hint="eastAsia" w:ascii="宋体" w:hAnsi="宋体"/>
          <w:color w:val="000000"/>
          <w:szCs w:val="21"/>
        </w:rPr>
      </w:pPr>
      <w:r>
        <w:rPr>
          <w:rFonts w:hint="eastAsia" w:ascii="宋体" w:hAnsi="宋体"/>
          <w:color w:val="000000"/>
          <w:szCs w:val="21"/>
        </w:rPr>
        <w:t>在本合同签订后乙方应免费培训甲方及甲方工作人员至能够独立操作和使用。</w:t>
      </w:r>
    </w:p>
    <w:p w14:paraId="7FB91E57">
      <w:pPr>
        <w:keepNext w:val="0"/>
        <w:keepLines w:val="0"/>
        <w:pageBreakBefore w:val="0"/>
        <w:widowControl w:val="0"/>
        <w:numPr>
          <w:ilvl w:val="1"/>
          <w:numId w:val="5"/>
        </w:numPr>
        <w:tabs>
          <w:tab w:val="left" w:pos="900"/>
          <w:tab w:val="clear" w:pos="780"/>
        </w:tabs>
        <w:kinsoku/>
        <w:wordWrap/>
        <w:overflowPunct/>
        <w:topLinePunct w:val="0"/>
        <w:autoSpaceDE/>
        <w:autoSpaceDN/>
        <w:bidi w:val="0"/>
        <w:adjustRightInd/>
        <w:snapToGrid/>
        <w:spacing w:line="560" w:lineRule="exact"/>
        <w:ind w:left="900" w:hanging="480"/>
        <w:textAlignment w:val="auto"/>
        <w:rPr>
          <w:rFonts w:hint="eastAsia" w:ascii="宋体" w:hAnsi="宋体"/>
          <w:color w:val="000000"/>
          <w:szCs w:val="21"/>
        </w:rPr>
      </w:pPr>
      <w:r>
        <w:rPr>
          <w:rFonts w:hint="eastAsia" w:ascii="宋体" w:hAnsi="宋体"/>
          <w:color w:val="000000"/>
          <w:szCs w:val="21"/>
        </w:rPr>
        <w:t>乙方承诺在软件无法使用后，甲方有权选择要求乙方在指定时间内重新安装；若甲方放弃使用本合同约定维护的相关软件，甲方可选择解除本合同。</w:t>
      </w:r>
    </w:p>
    <w:p w14:paraId="7BCDF772">
      <w:pPr>
        <w:keepNext w:val="0"/>
        <w:keepLines w:val="0"/>
        <w:pageBreakBefore w:val="0"/>
        <w:widowControl w:val="0"/>
        <w:numPr>
          <w:ilvl w:val="1"/>
          <w:numId w:val="5"/>
        </w:numPr>
        <w:tabs>
          <w:tab w:val="left" w:pos="900"/>
          <w:tab w:val="clear" w:pos="780"/>
        </w:tabs>
        <w:kinsoku/>
        <w:wordWrap/>
        <w:overflowPunct/>
        <w:topLinePunct w:val="0"/>
        <w:autoSpaceDE/>
        <w:autoSpaceDN/>
        <w:bidi w:val="0"/>
        <w:adjustRightInd/>
        <w:snapToGrid/>
        <w:spacing w:line="560" w:lineRule="exact"/>
        <w:ind w:left="900" w:hanging="480"/>
        <w:textAlignment w:val="auto"/>
        <w:rPr>
          <w:rFonts w:hint="eastAsia" w:ascii="宋体" w:hAnsi="宋体"/>
          <w:color w:val="000000"/>
          <w:szCs w:val="21"/>
        </w:rPr>
      </w:pPr>
      <w:r>
        <w:rPr>
          <w:rFonts w:hint="eastAsia" w:ascii="宋体" w:hAnsi="宋体"/>
          <w:color w:val="000000"/>
          <w:szCs w:val="21"/>
        </w:rPr>
        <w:t>乙方承诺因软件原因造成甲方数据丢失的，应当在5 日内为甲方恢复数据，若数据无法恢复，应赔偿由此给甲方造成的所有损失。</w:t>
      </w:r>
    </w:p>
    <w:p w14:paraId="279ADCC2">
      <w:pPr>
        <w:keepNext w:val="0"/>
        <w:keepLines w:val="0"/>
        <w:pageBreakBefore w:val="0"/>
        <w:widowControl w:val="0"/>
        <w:numPr>
          <w:ilvl w:val="0"/>
          <w:numId w:val="1"/>
        </w:numPr>
        <w:kinsoku/>
        <w:wordWrap/>
        <w:overflowPunct/>
        <w:topLinePunct w:val="0"/>
        <w:autoSpaceDE/>
        <w:autoSpaceDN/>
        <w:bidi w:val="0"/>
        <w:adjustRightInd/>
        <w:snapToGrid/>
        <w:spacing w:line="560" w:lineRule="exact"/>
        <w:textAlignment w:val="auto"/>
        <w:rPr>
          <w:rFonts w:hint="eastAsia" w:ascii="宋体" w:hAnsi="宋体"/>
          <w:szCs w:val="21"/>
        </w:rPr>
      </w:pPr>
      <w:r>
        <w:rPr>
          <w:rFonts w:hint="eastAsia" w:ascii="宋体" w:hAnsi="宋体"/>
          <w:szCs w:val="21"/>
        </w:rPr>
        <w:t>有限保证</w:t>
      </w:r>
    </w:p>
    <w:p w14:paraId="7B13BA31">
      <w:pPr>
        <w:keepNext w:val="0"/>
        <w:keepLines w:val="0"/>
        <w:pageBreakBefore w:val="0"/>
        <w:widowControl w:val="0"/>
        <w:numPr>
          <w:ilvl w:val="1"/>
          <w:numId w:val="0"/>
        </w:numPr>
        <w:tabs>
          <w:tab w:val="left" w:pos="900"/>
        </w:tabs>
        <w:kinsoku/>
        <w:wordWrap/>
        <w:overflowPunct/>
        <w:topLinePunct w:val="0"/>
        <w:autoSpaceDE/>
        <w:autoSpaceDN/>
        <w:bidi w:val="0"/>
        <w:adjustRightInd/>
        <w:snapToGrid/>
        <w:spacing w:line="560" w:lineRule="exact"/>
        <w:ind w:left="900" w:leftChars="0" w:hanging="540" w:firstLineChars="0"/>
        <w:textAlignment w:val="auto"/>
        <w:rPr>
          <w:rFonts w:hint="eastAsia" w:ascii="宋体" w:hAnsi="宋体"/>
          <w:szCs w:val="21"/>
        </w:rPr>
      </w:pPr>
      <w:r>
        <w:rPr>
          <w:rFonts w:hint="default" w:ascii="Times New Roman" w:hAnsi="Times New Roman" w:eastAsia="宋体" w:cs="Times New Roman"/>
          <w:kern w:val="2"/>
          <w:sz w:val="21"/>
          <w:szCs w:val="21"/>
          <w:lang w:val="en-US" w:eastAsia="zh-CN" w:bidi="ar-SA"/>
        </w:rPr>
        <w:t>5.1</w:t>
      </w:r>
      <w:r>
        <w:rPr>
          <w:rFonts w:hint="eastAsia"/>
          <w:szCs w:val="21"/>
        </w:rPr>
        <w:t>乙方承诺根据本合同的约定向甲方提供服务，但对于因不可抗力或甲方因素导致的延误而给甲方造成的损失，经甲方书面确认后，乙方不承担任何责任</w:t>
      </w:r>
      <w:r>
        <w:rPr>
          <w:rFonts w:hint="eastAsia" w:ascii="宋体" w:hAnsi="宋体"/>
          <w:szCs w:val="21"/>
        </w:rPr>
        <w:t>。</w:t>
      </w:r>
    </w:p>
    <w:p w14:paraId="3EDAE116">
      <w:pPr>
        <w:keepNext w:val="0"/>
        <w:keepLines w:val="0"/>
        <w:pageBreakBefore w:val="0"/>
        <w:widowControl w:val="0"/>
        <w:numPr>
          <w:ilvl w:val="1"/>
          <w:numId w:val="0"/>
        </w:numPr>
        <w:tabs>
          <w:tab w:val="left" w:pos="900"/>
        </w:tabs>
        <w:kinsoku/>
        <w:wordWrap/>
        <w:overflowPunct/>
        <w:topLinePunct w:val="0"/>
        <w:autoSpaceDE/>
        <w:autoSpaceDN/>
        <w:bidi w:val="0"/>
        <w:adjustRightInd/>
        <w:snapToGrid/>
        <w:spacing w:line="560" w:lineRule="exact"/>
        <w:ind w:left="900" w:leftChars="0" w:hanging="540" w:firstLineChars="0"/>
        <w:textAlignment w:val="auto"/>
        <w:rPr>
          <w:rFonts w:hint="eastAsia" w:ascii="宋体" w:hAnsi="宋体"/>
          <w:szCs w:val="21"/>
        </w:rPr>
      </w:pPr>
      <w:r>
        <w:rPr>
          <w:rFonts w:hint="default" w:ascii="Times New Roman" w:hAnsi="Times New Roman" w:eastAsia="宋体" w:cs="Times New Roman"/>
          <w:kern w:val="2"/>
          <w:sz w:val="21"/>
          <w:szCs w:val="21"/>
          <w:lang w:val="en-US" w:eastAsia="zh-CN" w:bidi="ar-SA"/>
        </w:rPr>
        <w:t>5.2</w:t>
      </w:r>
      <w:r>
        <w:rPr>
          <w:rFonts w:hint="eastAsia"/>
          <w:szCs w:val="21"/>
        </w:rPr>
        <w:t>除本合同或其附件另有约定，乙方对本条所列软件产品不提供任何支持服务：乙方及乙方代理人之外的任何人未经乙方对软件进行任何方式的修改而产生的软件；甲方未按照合同约定的范围及限制使用的软件；甲方所使用的任何第三方软件产品。</w:t>
      </w:r>
    </w:p>
    <w:p w14:paraId="6DF9E96C">
      <w:pPr>
        <w:keepNext w:val="0"/>
        <w:keepLines w:val="0"/>
        <w:pageBreakBefore w:val="0"/>
        <w:widowControl w:val="0"/>
        <w:numPr>
          <w:ilvl w:val="1"/>
          <w:numId w:val="0"/>
        </w:numPr>
        <w:tabs>
          <w:tab w:val="left" w:pos="900"/>
        </w:tabs>
        <w:kinsoku/>
        <w:wordWrap/>
        <w:overflowPunct/>
        <w:topLinePunct w:val="0"/>
        <w:autoSpaceDE/>
        <w:autoSpaceDN/>
        <w:bidi w:val="0"/>
        <w:adjustRightInd/>
        <w:snapToGrid/>
        <w:spacing w:line="560" w:lineRule="exact"/>
        <w:ind w:left="900" w:leftChars="0" w:hanging="540" w:firstLineChars="0"/>
        <w:textAlignment w:val="auto"/>
        <w:rPr>
          <w:rFonts w:hint="eastAsia" w:ascii="宋体" w:hAnsi="宋体"/>
          <w:szCs w:val="21"/>
        </w:rPr>
      </w:pPr>
      <w:r>
        <w:rPr>
          <w:rFonts w:hint="default" w:ascii="Times New Roman" w:hAnsi="Times New Roman" w:eastAsia="宋体" w:cs="Times New Roman"/>
          <w:kern w:val="2"/>
          <w:sz w:val="21"/>
          <w:szCs w:val="21"/>
          <w:lang w:val="en-US" w:eastAsia="zh-CN" w:bidi="ar-SA"/>
        </w:rPr>
        <w:t>5.3</w:t>
      </w:r>
      <w:r>
        <w:rPr>
          <w:rFonts w:hint="eastAsia"/>
          <w:szCs w:val="21"/>
        </w:rPr>
        <w:t>除本合同或其附件另有约定，乙方提供的系统运维服务不包括以下情况：甲方人员非法操作、计算机设备感染病毒、第三方产品的故障、计算机设备故障、网络故障等导致软件无法正常运行；甲方因擅自修改、计算机设备故障、网络故障、操作失误等情况造成数据混乱和丢失。</w:t>
      </w:r>
    </w:p>
    <w:p w14:paraId="277CCBA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szCs w:val="21"/>
        </w:rPr>
      </w:pPr>
      <w:r>
        <w:rPr>
          <w:rFonts w:hint="eastAsia"/>
          <w:szCs w:val="21"/>
        </w:rPr>
        <w:t xml:space="preserve">第六条 违约责任 </w:t>
      </w:r>
    </w:p>
    <w:p w14:paraId="799E4DA3">
      <w:pPr>
        <w:keepNext w:val="0"/>
        <w:keepLines w:val="0"/>
        <w:pageBreakBefore w:val="0"/>
        <w:widowControl w:val="0"/>
        <w:numPr>
          <w:ilvl w:val="1"/>
          <w:numId w:val="0"/>
        </w:numPr>
        <w:tabs>
          <w:tab w:val="left" w:pos="900"/>
        </w:tabs>
        <w:kinsoku/>
        <w:wordWrap/>
        <w:overflowPunct/>
        <w:topLinePunct w:val="0"/>
        <w:autoSpaceDE/>
        <w:autoSpaceDN/>
        <w:bidi w:val="0"/>
        <w:adjustRightInd/>
        <w:snapToGrid/>
        <w:spacing w:line="560" w:lineRule="exact"/>
        <w:ind w:left="900" w:leftChars="0" w:hanging="540" w:firstLineChars="0"/>
        <w:textAlignment w:val="auto"/>
        <w:rPr>
          <w:rFonts w:hint="eastAsia"/>
          <w:szCs w:val="21"/>
        </w:rPr>
      </w:pPr>
      <w:r>
        <w:rPr>
          <w:rFonts w:hint="eastAsia"/>
          <w:szCs w:val="21"/>
          <w:lang w:val="en-US" w:eastAsia="zh-CN"/>
        </w:rPr>
        <w:t xml:space="preserve">6.1  </w:t>
      </w:r>
      <w:r>
        <w:rPr>
          <w:rFonts w:hint="eastAsia"/>
          <w:szCs w:val="21"/>
        </w:rPr>
        <w:t>乙方不履行合同义务或履行义务不符合要求的，经甲方通知后仍不履行的，每发生一次，支付1000元违约金。因乙方原因导致甲方损失的（包括但不限于律师费、诉讼费、差旅费），乙方应予以赔偿。</w:t>
      </w:r>
    </w:p>
    <w:p w14:paraId="29F1B649">
      <w:pPr>
        <w:keepNext w:val="0"/>
        <w:keepLines w:val="0"/>
        <w:pageBreakBefore w:val="0"/>
        <w:widowControl w:val="0"/>
        <w:numPr>
          <w:ilvl w:val="1"/>
          <w:numId w:val="0"/>
        </w:numPr>
        <w:tabs>
          <w:tab w:val="left" w:pos="900"/>
        </w:tabs>
        <w:kinsoku/>
        <w:wordWrap/>
        <w:overflowPunct/>
        <w:topLinePunct w:val="0"/>
        <w:autoSpaceDE/>
        <w:autoSpaceDN/>
        <w:bidi w:val="0"/>
        <w:adjustRightInd/>
        <w:snapToGrid/>
        <w:spacing w:line="560" w:lineRule="exact"/>
        <w:ind w:left="900" w:leftChars="0" w:hanging="540" w:firstLineChars="0"/>
        <w:textAlignment w:val="auto"/>
        <w:rPr>
          <w:rFonts w:hint="eastAsia"/>
          <w:szCs w:val="21"/>
          <w:lang w:val="en-US" w:eastAsia="zh-CN"/>
        </w:rPr>
      </w:pPr>
      <w:r>
        <w:rPr>
          <w:rFonts w:hint="eastAsia"/>
          <w:szCs w:val="21"/>
          <w:lang w:val="en-US" w:eastAsia="zh-CN"/>
        </w:rPr>
        <w:t>6.2   在合同执行过程中乙方未按约定或甲方的要求履行本合同及相关文件义务（包括但不限于安全保障义务等）的，累计发生2次及以上的，或造成严重后果的，乙方应赔偿因此给甲方造成的全部损失，且甲方有权解除本合同。</w:t>
      </w:r>
    </w:p>
    <w:p w14:paraId="4915635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szCs w:val="21"/>
        </w:rPr>
      </w:pPr>
      <w:r>
        <w:rPr>
          <w:rFonts w:hint="eastAsia"/>
          <w:szCs w:val="21"/>
        </w:rPr>
        <w:t xml:space="preserve">第七条 其他事项 </w:t>
      </w:r>
    </w:p>
    <w:p w14:paraId="54910DF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szCs w:val="21"/>
        </w:rPr>
      </w:pPr>
      <w:r>
        <w:rPr>
          <w:rFonts w:hint="eastAsia"/>
          <w:szCs w:val="21"/>
        </w:rPr>
        <w:t>1、本合同一式陆份，双方各持叁份，自双方法定代表人或授权代表人签字并加盖公章或合同专用章后生效。</w:t>
      </w:r>
    </w:p>
    <w:p w14:paraId="5BD2C01C">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szCs w:val="21"/>
        </w:rPr>
      </w:pPr>
      <w:r>
        <w:rPr>
          <w:rFonts w:hint="eastAsia"/>
          <w:szCs w:val="21"/>
        </w:rPr>
        <w:t>2、一方未得到另一方同意不得向任何第三方透露合同内容及价格。</w:t>
      </w:r>
    </w:p>
    <w:p w14:paraId="3F20CF29">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szCs w:val="21"/>
        </w:rPr>
      </w:pPr>
      <w:r>
        <w:rPr>
          <w:rFonts w:hint="eastAsia"/>
          <w:szCs w:val="21"/>
        </w:rPr>
        <w:t>3、对本合同内容做出的任何修改和补充应为书面形式，由双方授权代表签字并加盖公章后成为合同不可分割的部分。</w:t>
      </w:r>
    </w:p>
    <w:p w14:paraId="68B81B5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szCs w:val="21"/>
        </w:rPr>
      </w:pPr>
      <w:r>
        <w:rPr>
          <w:rFonts w:hint="eastAsia"/>
          <w:szCs w:val="21"/>
        </w:rPr>
        <w:t>4、本合同附件与本合同具有同等法律效力。</w:t>
      </w:r>
    </w:p>
    <w:p w14:paraId="79FD51A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szCs w:val="21"/>
        </w:rPr>
      </w:pPr>
      <w:r>
        <w:rPr>
          <w:rFonts w:hint="eastAsia"/>
          <w:szCs w:val="21"/>
        </w:rPr>
        <w:t>第八条、争议解决办法</w:t>
      </w:r>
    </w:p>
    <w:p w14:paraId="0631B82E">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szCs w:val="21"/>
        </w:rPr>
      </w:pPr>
      <w:r>
        <w:rPr>
          <w:rFonts w:hint="eastAsia"/>
          <w:szCs w:val="21"/>
        </w:rPr>
        <w:t>本合同执行期间，若就合同规定范围内的相关事项产生争议，甲乙双方应努力协商解决；协商难以解决时，提交甲方所在地法院诉讼解决。</w:t>
      </w:r>
    </w:p>
    <w:p w14:paraId="236C8891">
      <w:pPr>
        <w:pStyle w:val="2"/>
        <w:keepNext w:val="0"/>
        <w:keepLines w:val="0"/>
        <w:pageBreakBefore w:val="0"/>
        <w:widowControl w:val="0"/>
        <w:kinsoku/>
        <w:wordWrap/>
        <w:overflowPunct/>
        <w:topLinePunct w:val="0"/>
        <w:autoSpaceDE/>
        <w:autoSpaceDN/>
        <w:bidi w:val="0"/>
        <w:adjustRightInd/>
        <w:snapToGrid/>
        <w:spacing w:after="0" w:line="560" w:lineRule="exact"/>
        <w:ind w:firstLine="420" w:firstLineChars="200"/>
        <w:textAlignment w:val="auto"/>
        <w:rPr>
          <w:rFonts w:hint="eastAsia"/>
          <w:szCs w:val="21"/>
        </w:rPr>
      </w:pPr>
      <w:r>
        <w:rPr>
          <w:rFonts w:hint="eastAsia"/>
          <w:lang w:val="en-US" w:eastAsia="zh-CN"/>
        </w:rPr>
        <w:t>附件</w:t>
      </w:r>
      <w:r>
        <w:rPr>
          <w:rFonts w:hint="eastAsia"/>
          <w:szCs w:val="21"/>
        </w:rPr>
        <w:t>1</w:t>
      </w:r>
      <w:r>
        <w:rPr>
          <w:rFonts w:hint="eastAsia"/>
          <w:szCs w:val="21"/>
          <w:lang w:eastAsia="zh-CN"/>
        </w:rPr>
        <w:t>：</w:t>
      </w:r>
      <w:r>
        <w:rPr>
          <w:rFonts w:hint="eastAsia"/>
          <w:szCs w:val="21"/>
        </w:rPr>
        <w:t>系统运维服务内容及标准</w:t>
      </w:r>
    </w:p>
    <w:p w14:paraId="0A488140">
      <w:pPr>
        <w:keepNext w:val="0"/>
        <w:keepLines w:val="0"/>
        <w:pageBreakBefore w:val="0"/>
        <w:widowControl w:val="0"/>
        <w:kinsoku/>
        <w:wordWrap/>
        <w:overflowPunct/>
        <w:topLinePunct w:val="0"/>
        <w:autoSpaceDE/>
        <w:autoSpaceDN/>
        <w:bidi w:val="0"/>
        <w:adjustRightInd/>
        <w:snapToGrid/>
        <w:spacing w:line="560" w:lineRule="exact"/>
        <w:ind w:left="7738" w:leftChars="199" w:right="-441" w:hanging="7320" w:hangingChars="3486"/>
        <w:jc w:val="left"/>
        <w:textAlignment w:val="auto"/>
        <w:rPr>
          <w:rFonts w:hint="eastAsia" w:ascii="宋体" w:hAnsi="宋体" w:cs="宋体"/>
          <w:color w:val="000000"/>
          <w:szCs w:val="21"/>
        </w:rPr>
      </w:pPr>
      <w:r>
        <w:rPr>
          <w:rFonts w:hint="eastAsia"/>
          <w:szCs w:val="21"/>
        </w:rPr>
        <w:t>附件2：软件系统新增需求确认表</w:t>
      </w:r>
    </w:p>
    <w:p w14:paraId="1DC7305F">
      <w:pPr>
        <w:pStyle w:val="2"/>
        <w:keepNext w:val="0"/>
        <w:keepLines w:val="0"/>
        <w:pageBreakBefore w:val="0"/>
        <w:widowControl w:val="0"/>
        <w:kinsoku/>
        <w:wordWrap/>
        <w:overflowPunct/>
        <w:topLinePunct w:val="0"/>
        <w:autoSpaceDE/>
        <w:autoSpaceDN/>
        <w:bidi w:val="0"/>
        <w:adjustRightInd/>
        <w:snapToGrid/>
        <w:spacing w:after="0" w:line="560" w:lineRule="exact"/>
        <w:ind w:firstLine="420" w:firstLineChars="200"/>
        <w:textAlignment w:val="auto"/>
        <w:rPr>
          <w:rFonts w:hint="eastAsia"/>
          <w:szCs w:val="21"/>
          <w:lang w:val="en-US" w:eastAsia="zh-CN"/>
        </w:rPr>
      </w:pPr>
      <w:r>
        <w:rPr>
          <w:rFonts w:hint="eastAsia"/>
          <w:szCs w:val="21"/>
          <w:lang w:val="en-US" w:eastAsia="zh-CN"/>
        </w:rPr>
        <w:t>附件3：廉洁合规协议书</w:t>
      </w:r>
    </w:p>
    <w:p w14:paraId="0AC6C136">
      <w:pPr>
        <w:pStyle w:val="2"/>
        <w:keepNext w:val="0"/>
        <w:keepLines w:val="0"/>
        <w:pageBreakBefore w:val="0"/>
        <w:widowControl w:val="0"/>
        <w:kinsoku/>
        <w:wordWrap/>
        <w:overflowPunct/>
        <w:topLinePunct w:val="0"/>
        <w:autoSpaceDE/>
        <w:autoSpaceDN/>
        <w:bidi w:val="0"/>
        <w:adjustRightInd/>
        <w:snapToGrid/>
        <w:spacing w:after="0" w:line="560" w:lineRule="exact"/>
        <w:ind w:firstLine="420" w:firstLineChars="200"/>
        <w:textAlignment w:val="auto"/>
        <w:rPr>
          <w:rFonts w:hint="eastAsia"/>
        </w:rPr>
      </w:pPr>
    </w:p>
    <w:p w14:paraId="3C7367CC">
      <w:pPr>
        <w:pStyle w:val="2"/>
        <w:keepNext w:val="0"/>
        <w:keepLines w:val="0"/>
        <w:pageBreakBefore w:val="0"/>
        <w:widowControl w:val="0"/>
        <w:kinsoku/>
        <w:wordWrap/>
        <w:overflowPunct/>
        <w:topLinePunct w:val="0"/>
        <w:autoSpaceDE/>
        <w:autoSpaceDN/>
        <w:bidi w:val="0"/>
        <w:adjustRightInd/>
        <w:snapToGrid/>
        <w:spacing w:after="0" w:line="560" w:lineRule="exact"/>
        <w:ind w:firstLine="420" w:firstLineChars="200"/>
        <w:textAlignment w:val="auto"/>
      </w:pPr>
      <w:r>
        <w:rPr>
          <w:rFonts w:hint="eastAsia"/>
        </w:rPr>
        <w:t>[以下无正文]</w:t>
      </w:r>
    </w:p>
    <w:p w14:paraId="3261C198">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pPr>
    </w:p>
    <w:p w14:paraId="6B4CBECE">
      <w:pPr>
        <w:keepNext w:val="0"/>
        <w:keepLines w:val="0"/>
        <w:pageBreakBefore w:val="0"/>
        <w:widowControl w:val="0"/>
        <w:kinsoku/>
        <w:wordWrap/>
        <w:overflowPunct/>
        <w:topLinePunct w:val="0"/>
        <w:autoSpaceDE/>
        <w:autoSpaceDN/>
        <w:bidi w:val="0"/>
        <w:adjustRightInd/>
        <w:snapToGrid/>
        <w:spacing w:line="560" w:lineRule="exact"/>
        <w:ind w:left="6510" w:hanging="6510" w:hangingChars="3100"/>
        <w:textAlignment w:val="auto"/>
        <w:rPr>
          <w:u w:val="single"/>
        </w:rPr>
      </w:pPr>
      <w:r>
        <w:rPr>
          <w:rFonts w:hint="eastAsia"/>
        </w:rPr>
        <w:t>甲 方：（章）</w:t>
      </w:r>
      <w:r>
        <w:rPr>
          <w:rFonts w:hint="eastAsia"/>
          <w:u w:val="single"/>
        </w:rPr>
        <w:t>四川特发综合能源服务有限公司</w:t>
      </w:r>
      <w:r>
        <w:t xml:space="preserve">   </w:t>
      </w:r>
      <w:r>
        <w:rPr>
          <w:rFonts w:hint="eastAsia"/>
        </w:rPr>
        <w:t>乙 方：（章）</w:t>
      </w:r>
      <w:r>
        <w:rPr>
          <w:rFonts w:hint="eastAsia"/>
          <w:u w:val="single"/>
        </w:rPr>
        <w:t>成都歌杰斯科技有限责任公司</w:t>
      </w:r>
    </w:p>
    <w:p w14:paraId="7A40D5D3">
      <w:pPr>
        <w:keepNext w:val="0"/>
        <w:keepLines w:val="0"/>
        <w:pageBreakBefore w:val="0"/>
        <w:widowControl w:val="0"/>
        <w:kinsoku/>
        <w:wordWrap/>
        <w:overflowPunct/>
        <w:topLinePunct w:val="0"/>
        <w:autoSpaceDE/>
        <w:autoSpaceDN/>
        <w:bidi w:val="0"/>
        <w:adjustRightInd/>
        <w:snapToGrid/>
        <w:spacing w:line="560" w:lineRule="exact"/>
        <w:ind w:left="6518" w:hanging="6518" w:hangingChars="3104"/>
        <w:textAlignment w:val="auto"/>
      </w:pPr>
      <w:r>
        <w:rPr>
          <w:rFonts w:hint="eastAsia"/>
        </w:rPr>
        <w:t xml:space="preserve">法定代表人或                               法定代表人或       </w:t>
      </w:r>
    </w:p>
    <w:p w14:paraId="2457FC8F">
      <w:pPr>
        <w:keepNext w:val="0"/>
        <w:keepLines w:val="0"/>
        <w:pageBreakBefore w:val="0"/>
        <w:widowControl w:val="0"/>
        <w:kinsoku/>
        <w:wordWrap/>
        <w:overflowPunct/>
        <w:topLinePunct w:val="0"/>
        <w:autoSpaceDE/>
        <w:autoSpaceDN/>
        <w:bidi w:val="0"/>
        <w:adjustRightInd/>
        <w:snapToGrid/>
        <w:spacing w:line="560" w:lineRule="exact"/>
        <w:ind w:left="6518" w:hanging="6518" w:hangingChars="3104"/>
        <w:textAlignment w:val="auto"/>
        <w:rPr>
          <w:u w:val="single"/>
        </w:rPr>
      </w:pPr>
      <w:r>
        <w:rPr>
          <w:rFonts w:hint="eastAsia"/>
        </w:rPr>
        <w:t>授权代表：</w:t>
      </w:r>
      <w:r>
        <w:rPr>
          <w:rFonts w:hint="eastAsia"/>
          <w:u w:val="single"/>
        </w:rPr>
        <w:t xml:space="preserve">               </w:t>
      </w:r>
      <w:r>
        <w:rPr>
          <w:rFonts w:hint="eastAsia"/>
        </w:rPr>
        <w:t xml:space="preserve">                  授权代表：</w:t>
      </w:r>
      <w:r>
        <w:t>_______________________</w:t>
      </w:r>
    </w:p>
    <w:p w14:paraId="5E80CBFF">
      <w:pPr>
        <w:keepNext w:val="0"/>
        <w:keepLines w:val="0"/>
        <w:pageBreakBefore w:val="0"/>
        <w:widowControl w:val="0"/>
        <w:kinsoku/>
        <w:wordWrap/>
        <w:overflowPunct/>
        <w:topLinePunct w:val="0"/>
        <w:autoSpaceDE/>
        <w:autoSpaceDN/>
        <w:bidi w:val="0"/>
        <w:adjustRightInd/>
        <w:snapToGrid/>
        <w:spacing w:line="560" w:lineRule="exact"/>
        <w:textAlignment w:val="auto"/>
      </w:pPr>
    </w:p>
    <w:p w14:paraId="0E1ECB82">
      <w:pPr>
        <w:keepNext w:val="0"/>
        <w:keepLines w:val="0"/>
        <w:pageBreakBefore w:val="0"/>
        <w:widowControl w:val="0"/>
        <w:kinsoku/>
        <w:wordWrap/>
        <w:overflowPunct/>
        <w:topLinePunct w:val="0"/>
        <w:autoSpaceDE/>
        <w:autoSpaceDN/>
        <w:bidi w:val="0"/>
        <w:adjustRightInd/>
        <w:snapToGrid/>
        <w:spacing w:line="560" w:lineRule="exact"/>
        <w:textAlignment w:val="auto"/>
        <w:rPr>
          <w:szCs w:val="21"/>
        </w:rPr>
      </w:pPr>
      <w:r>
        <w:rPr>
          <w:rFonts w:hint="eastAsia"/>
        </w:rPr>
        <w:t>日</w:t>
      </w:r>
      <w:r>
        <w:t xml:space="preserve">  </w:t>
      </w:r>
      <w:r>
        <w:rPr>
          <w:rFonts w:hint="eastAsia"/>
        </w:rPr>
        <w:t>期：</w:t>
      </w: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 xml:space="preserve"> 日</w:t>
      </w:r>
      <w:r>
        <w:t xml:space="preserve">  </w:t>
      </w:r>
      <w:r>
        <w:rPr>
          <w:rFonts w:hint="eastAsia"/>
        </w:rPr>
        <w:t>期：</w:t>
      </w:r>
      <w:r>
        <w:t xml:space="preserve">  </w:t>
      </w:r>
      <w:r>
        <w:tab/>
      </w:r>
      <w:r>
        <w:rPr>
          <w:rFonts w:hint="eastAsia"/>
        </w:rPr>
        <w:t>年</w:t>
      </w:r>
      <w:r>
        <w:t xml:space="preserve">    </w:t>
      </w:r>
      <w:r>
        <w:rPr>
          <w:rFonts w:hint="eastAsia"/>
        </w:rPr>
        <w:t xml:space="preserve"> 月</w:t>
      </w:r>
      <w:r>
        <w:t xml:space="preserve">     </w:t>
      </w:r>
      <w:r>
        <w:rPr>
          <w:rFonts w:hint="eastAsia"/>
        </w:rPr>
        <w:t>日</w:t>
      </w:r>
      <w:r>
        <w:br w:type="page"/>
      </w:r>
      <w:r>
        <w:rPr>
          <w:rFonts w:hint="eastAsia"/>
          <w:szCs w:val="21"/>
        </w:rPr>
        <w:t>附件1：系统运维服务内容及标准</w:t>
      </w:r>
    </w:p>
    <w:tbl>
      <w:tblPr>
        <w:tblStyle w:val="11"/>
        <w:tblW w:w="8776" w:type="dxa"/>
        <w:tblInd w:w="0" w:type="dxa"/>
        <w:tblLayout w:type="fixed"/>
        <w:tblCellMar>
          <w:top w:w="0" w:type="dxa"/>
          <w:left w:w="0" w:type="dxa"/>
          <w:bottom w:w="0" w:type="dxa"/>
          <w:right w:w="0" w:type="dxa"/>
        </w:tblCellMar>
      </w:tblPr>
      <w:tblGrid>
        <w:gridCol w:w="1066"/>
        <w:gridCol w:w="6015"/>
        <w:gridCol w:w="1695"/>
      </w:tblGrid>
      <w:tr w14:paraId="49E930BE">
        <w:tblPrEx>
          <w:tblCellMar>
            <w:top w:w="0" w:type="dxa"/>
            <w:left w:w="0" w:type="dxa"/>
            <w:bottom w:w="0" w:type="dxa"/>
            <w:right w:w="0" w:type="dxa"/>
          </w:tblCellMar>
        </w:tblPrEx>
        <w:trPr>
          <w:trHeight w:val="488" w:hRule="atLeast"/>
        </w:trPr>
        <w:tc>
          <w:tcPr>
            <w:tcW w:w="1066" w:type="dxa"/>
            <w:tcBorders>
              <w:top w:val="single" w:color="000000" w:sz="8" w:space="0"/>
              <w:left w:val="single" w:color="000000" w:sz="8" w:space="0"/>
              <w:bottom w:val="single" w:color="000000" w:sz="8" w:space="0"/>
              <w:right w:val="single" w:color="000000" w:sz="8" w:space="0"/>
            </w:tcBorders>
            <w:shd w:val="clear" w:color="auto" w:fill="F2F2F2"/>
            <w:tcMar>
              <w:top w:w="15" w:type="dxa"/>
              <w:left w:w="108" w:type="dxa"/>
              <w:bottom w:w="0" w:type="dxa"/>
              <w:right w:w="108" w:type="dxa"/>
            </w:tcMar>
            <w:vAlign w:val="center"/>
          </w:tcPr>
          <w:p w14:paraId="4E71F3D9">
            <w:pPr>
              <w:spacing w:before="120" w:line="276" w:lineRule="auto"/>
              <w:jc w:val="center"/>
              <w:rPr>
                <w:rFonts w:hint="eastAsia" w:ascii="宋体" w:hAnsi="宋体" w:cs="Arial"/>
                <w:szCs w:val="36"/>
              </w:rPr>
            </w:pPr>
            <w:r>
              <w:rPr>
                <w:rFonts w:hint="eastAsia" w:ascii="宋体" w:hAnsi="宋体" w:cs="Arial"/>
                <w:bCs/>
                <w:szCs w:val="24"/>
              </w:rPr>
              <w:t>服务内容</w:t>
            </w:r>
          </w:p>
        </w:tc>
        <w:tc>
          <w:tcPr>
            <w:tcW w:w="6015" w:type="dxa"/>
            <w:tcBorders>
              <w:top w:val="single" w:color="000000" w:sz="8" w:space="0"/>
              <w:left w:val="single" w:color="000000" w:sz="8" w:space="0"/>
              <w:bottom w:val="single" w:color="000000" w:sz="8" w:space="0"/>
              <w:right w:val="single" w:color="000000" w:sz="8" w:space="0"/>
            </w:tcBorders>
            <w:shd w:val="clear" w:color="auto" w:fill="F2F2F2"/>
            <w:tcMar>
              <w:top w:w="15" w:type="dxa"/>
              <w:left w:w="108" w:type="dxa"/>
              <w:bottom w:w="0" w:type="dxa"/>
              <w:right w:w="108" w:type="dxa"/>
            </w:tcMar>
            <w:vAlign w:val="center"/>
          </w:tcPr>
          <w:p w14:paraId="04A49976">
            <w:pPr>
              <w:spacing w:before="120" w:line="276" w:lineRule="auto"/>
              <w:jc w:val="center"/>
              <w:rPr>
                <w:rFonts w:hint="eastAsia" w:ascii="宋体" w:hAnsi="宋体" w:cs="Arial"/>
                <w:szCs w:val="36"/>
              </w:rPr>
            </w:pPr>
            <w:r>
              <w:rPr>
                <w:rFonts w:hint="eastAsia" w:ascii="宋体" w:hAnsi="宋体" w:cs="Arial"/>
                <w:bCs/>
                <w:szCs w:val="24"/>
              </w:rPr>
              <w:t>具体内容</w:t>
            </w:r>
          </w:p>
        </w:tc>
        <w:tc>
          <w:tcPr>
            <w:tcW w:w="1695" w:type="dxa"/>
            <w:tcBorders>
              <w:top w:val="single" w:color="000000" w:sz="8" w:space="0"/>
              <w:left w:val="single" w:color="000000" w:sz="8" w:space="0"/>
              <w:bottom w:val="single" w:color="000000" w:sz="8" w:space="0"/>
              <w:right w:val="single" w:color="000000" w:sz="8" w:space="0"/>
            </w:tcBorders>
            <w:shd w:val="clear" w:color="auto" w:fill="F2F2F2"/>
          </w:tcPr>
          <w:p w14:paraId="399FFE3D">
            <w:pPr>
              <w:spacing w:before="120" w:line="276" w:lineRule="auto"/>
              <w:jc w:val="center"/>
              <w:rPr>
                <w:rFonts w:hint="eastAsia" w:ascii="宋体" w:hAnsi="宋体" w:cs="Arial"/>
                <w:bCs/>
                <w:szCs w:val="24"/>
              </w:rPr>
            </w:pPr>
            <w:r>
              <w:rPr>
                <w:rFonts w:hint="eastAsia" w:ascii="宋体" w:hAnsi="宋体" w:cs="Arial"/>
                <w:bCs/>
                <w:szCs w:val="24"/>
              </w:rPr>
              <w:t>质量标准</w:t>
            </w:r>
          </w:p>
        </w:tc>
      </w:tr>
      <w:tr w14:paraId="2AA89CDE">
        <w:tblPrEx>
          <w:tblCellMar>
            <w:top w:w="0" w:type="dxa"/>
            <w:left w:w="0" w:type="dxa"/>
            <w:bottom w:w="0" w:type="dxa"/>
            <w:right w:w="0" w:type="dxa"/>
          </w:tblCellMar>
        </w:tblPrEx>
        <w:trPr>
          <w:trHeight w:val="823" w:hRule="atLeast"/>
        </w:trPr>
        <w:tc>
          <w:tcPr>
            <w:tcW w:w="106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1FFC6E9">
            <w:pPr>
              <w:jc w:val="center"/>
              <w:rPr>
                <w:rFonts w:hint="eastAsia" w:ascii="宋体" w:hAnsi="宋体"/>
                <w:sz w:val="18"/>
                <w:szCs w:val="18"/>
              </w:rPr>
            </w:pPr>
            <w:r>
              <w:rPr>
                <w:rFonts w:hint="eastAsia" w:ascii="宋体" w:hAnsi="宋体"/>
                <w:sz w:val="18"/>
                <w:szCs w:val="18"/>
              </w:rPr>
              <w:t>在线服务</w:t>
            </w:r>
          </w:p>
        </w:tc>
        <w:tc>
          <w:tcPr>
            <w:tcW w:w="601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C7EA2FA">
            <w:pPr>
              <w:spacing w:before="120" w:line="276" w:lineRule="auto"/>
              <w:rPr>
                <w:rFonts w:hint="eastAsia" w:ascii="宋体" w:hAnsi="宋体" w:cs="Arial"/>
                <w:color w:val="000000"/>
                <w:sz w:val="18"/>
                <w:szCs w:val="18"/>
              </w:rPr>
            </w:pPr>
            <w:r>
              <w:rPr>
                <w:rFonts w:hint="eastAsia" w:ascii="宋体" w:hAnsi="宋体" w:cs="Arial"/>
                <w:color w:val="000000"/>
                <w:sz w:val="18"/>
                <w:szCs w:val="18"/>
              </w:rPr>
              <w:t>客户可通过微信进行在线问答，运维工程师将在规定时间内对客户在线提问予以答复。</w:t>
            </w:r>
          </w:p>
        </w:tc>
        <w:tc>
          <w:tcPr>
            <w:tcW w:w="1695" w:type="dxa"/>
            <w:tcBorders>
              <w:top w:val="single" w:color="000000" w:sz="8" w:space="0"/>
              <w:left w:val="single" w:color="000000" w:sz="8" w:space="0"/>
              <w:bottom w:val="single" w:color="000000" w:sz="8" w:space="0"/>
              <w:right w:val="single" w:color="000000" w:sz="8" w:space="0"/>
            </w:tcBorders>
            <w:vAlign w:val="center"/>
          </w:tcPr>
          <w:p w14:paraId="413F0B7D">
            <w:pPr>
              <w:spacing w:before="120" w:line="276" w:lineRule="auto"/>
              <w:jc w:val="center"/>
              <w:rPr>
                <w:rFonts w:hint="eastAsia" w:ascii="宋体" w:hAnsi="宋体" w:cs="Arial"/>
                <w:color w:val="000000"/>
                <w:sz w:val="18"/>
                <w:szCs w:val="18"/>
              </w:rPr>
            </w:pPr>
            <w:r>
              <w:rPr>
                <w:rFonts w:hint="eastAsia" w:ascii="宋体" w:hAnsi="宋体" w:cs="Arial"/>
                <w:color w:val="000000"/>
                <w:sz w:val="18"/>
                <w:szCs w:val="18"/>
              </w:rPr>
              <w:t>5 ╳ 8小时</w:t>
            </w:r>
          </w:p>
        </w:tc>
      </w:tr>
      <w:tr w14:paraId="69DBD661">
        <w:tblPrEx>
          <w:tblCellMar>
            <w:top w:w="0" w:type="dxa"/>
            <w:left w:w="0" w:type="dxa"/>
            <w:bottom w:w="0" w:type="dxa"/>
            <w:right w:w="0" w:type="dxa"/>
          </w:tblCellMar>
        </w:tblPrEx>
        <w:trPr>
          <w:trHeight w:val="1091" w:hRule="atLeast"/>
        </w:trPr>
        <w:tc>
          <w:tcPr>
            <w:tcW w:w="106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196BE0D">
            <w:pPr>
              <w:jc w:val="center"/>
              <w:rPr>
                <w:rFonts w:hint="eastAsia" w:ascii="宋体" w:hAnsi="宋体"/>
                <w:sz w:val="18"/>
                <w:szCs w:val="18"/>
              </w:rPr>
            </w:pPr>
            <w:r>
              <w:rPr>
                <w:rFonts w:hint="eastAsia" w:ascii="宋体" w:hAnsi="宋体"/>
                <w:sz w:val="18"/>
                <w:szCs w:val="18"/>
              </w:rPr>
              <w:t>远程服务</w:t>
            </w:r>
          </w:p>
        </w:tc>
        <w:tc>
          <w:tcPr>
            <w:tcW w:w="601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2F05C48D">
            <w:pPr>
              <w:spacing w:before="120" w:line="276" w:lineRule="auto"/>
              <w:rPr>
                <w:rFonts w:hint="eastAsia" w:ascii="宋体" w:hAnsi="宋体" w:cs="Arial"/>
                <w:color w:val="000000"/>
                <w:sz w:val="18"/>
                <w:szCs w:val="18"/>
              </w:rPr>
            </w:pPr>
            <w:r>
              <w:rPr>
                <w:rFonts w:hint="eastAsia" w:ascii="宋体" w:hAnsi="宋体" w:cs="Arial"/>
                <w:color w:val="000000"/>
                <w:sz w:val="18"/>
                <w:szCs w:val="18"/>
              </w:rPr>
              <w:t>运维工程师通过远程协助系统和客户电脑建立连接后，通过界面演示、界面指导、文件传输或直接远程控制等方式解决客户使用运维软件过程中遇到的配置、操作应用等疑难问题，提升服务效率。</w:t>
            </w:r>
          </w:p>
        </w:tc>
        <w:tc>
          <w:tcPr>
            <w:tcW w:w="1695" w:type="dxa"/>
            <w:tcBorders>
              <w:top w:val="single" w:color="000000" w:sz="8" w:space="0"/>
              <w:left w:val="single" w:color="000000" w:sz="8" w:space="0"/>
              <w:bottom w:val="single" w:color="000000" w:sz="8" w:space="0"/>
              <w:right w:val="single" w:color="000000" w:sz="8" w:space="0"/>
            </w:tcBorders>
            <w:vAlign w:val="center"/>
          </w:tcPr>
          <w:p w14:paraId="0B52282C">
            <w:pPr>
              <w:spacing w:before="120" w:line="276" w:lineRule="auto"/>
              <w:jc w:val="center"/>
              <w:rPr>
                <w:rFonts w:hint="eastAsia" w:ascii="宋体" w:hAnsi="宋体" w:cs="Arial"/>
                <w:color w:val="000000"/>
                <w:sz w:val="18"/>
                <w:szCs w:val="18"/>
              </w:rPr>
            </w:pPr>
            <w:r>
              <w:rPr>
                <w:rFonts w:hint="eastAsia" w:ascii="宋体" w:hAnsi="宋体" w:cs="Arial"/>
                <w:color w:val="000000"/>
                <w:sz w:val="18"/>
                <w:szCs w:val="18"/>
              </w:rPr>
              <w:t>5 ╳ 8小时</w:t>
            </w:r>
          </w:p>
        </w:tc>
      </w:tr>
      <w:tr w14:paraId="3B213B6D">
        <w:tblPrEx>
          <w:tblCellMar>
            <w:top w:w="0" w:type="dxa"/>
            <w:left w:w="0" w:type="dxa"/>
            <w:bottom w:w="0" w:type="dxa"/>
            <w:right w:w="0" w:type="dxa"/>
          </w:tblCellMar>
        </w:tblPrEx>
        <w:trPr>
          <w:trHeight w:val="824" w:hRule="atLeast"/>
        </w:trPr>
        <w:tc>
          <w:tcPr>
            <w:tcW w:w="106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1BC427F">
            <w:pPr>
              <w:jc w:val="center"/>
              <w:rPr>
                <w:rFonts w:hint="eastAsia" w:ascii="宋体" w:hAnsi="宋体"/>
                <w:sz w:val="18"/>
                <w:szCs w:val="18"/>
              </w:rPr>
            </w:pPr>
            <w:r>
              <w:rPr>
                <w:rFonts w:hint="eastAsia" w:ascii="宋体" w:hAnsi="宋体"/>
                <w:sz w:val="18"/>
                <w:szCs w:val="18"/>
              </w:rPr>
              <w:t>预约服务</w:t>
            </w:r>
          </w:p>
        </w:tc>
        <w:tc>
          <w:tcPr>
            <w:tcW w:w="601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1E4FD443">
            <w:pPr>
              <w:spacing w:before="120" w:line="276" w:lineRule="auto"/>
              <w:rPr>
                <w:rFonts w:hint="eastAsia" w:ascii="宋体" w:hAnsi="宋体" w:cs="Arial"/>
                <w:color w:val="000000"/>
                <w:sz w:val="18"/>
                <w:szCs w:val="18"/>
              </w:rPr>
            </w:pPr>
            <w:r>
              <w:rPr>
                <w:rFonts w:hint="eastAsia" w:ascii="宋体" w:hAnsi="宋体" w:cs="Arial"/>
                <w:color w:val="000000"/>
                <w:sz w:val="18"/>
                <w:szCs w:val="18"/>
              </w:rPr>
              <w:t>客户可通过微信进行规定时间内的服务预约，运维工程师将根据客户提供的联系方式及预约时间提供服务。</w:t>
            </w:r>
          </w:p>
        </w:tc>
        <w:tc>
          <w:tcPr>
            <w:tcW w:w="1695" w:type="dxa"/>
            <w:tcBorders>
              <w:top w:val="single" w:color="000000" w:sz="8" w:space="0"/>
              <w:left w:val="single" w:color="000000" w:sz="8" w:space="0"/>
              <w:bottom w:val="single" w:color="000000" w:sz="8" w:space="0"/>
              <w:right w:val="single" w:color="000000" w:sz="8" w:space="0"/>
            </w:tcBorders>
            <w:vAlign w:val="center"/>
          </w:tcPr>
          <w:p w14:paraId="778EC4CF">
            <w:pPr>
              <w:spacing w:before="120" w:line="276" w:lineRule="auto"/>
              <w:jc w:val="center"/>
              <w:rPr>
                <w:rFonts w:hint="eastAsia" w:ascii="宋体" w:hAnsi="宋体" w:cs="Arial"/>
                <w:color w:val="000000"/>
                <w:sz w:val="18"/>
                <w:szCs w:val="18"/>
              </w:rPr>
            </w:pPr>
            <w:r>
              <w:rPr>
                <w:rFonts w:hint="eastAsia" w:ascii="宋体" w:hAnsi="宋体" w:cs="Arial"/>
                <w:color w:val="000000"/>
                <w:sz w:val="18"/>
                <w:szCs w:val="18"/>
              </w:rPr>
              <w:t>5 ╳ 8小时</w:t>
            </w:r>
          </w:p>
        </w:tc>
      </w:tr>
      <w:tr w14:paraId="63351D49">
        <w:tblPrEx>
          <w:tblCellMar>
            <w:top w:w="0" w:type="dxa"/>
            <w:left w:w="0" w:type="dxa"/>
            <w:bottom w:w="0" w:type="dxa"/>
            <w:right w:w="0" w:type="dxa"/>
          </w:tblCellMar>
        </w:tblPrEx>
        <w:trPr>
          <w:trHeight w:val="1530" w:hRule="atLeast"/>
        </w:trPr>
        <w:tc>
          <w:tcPr>
            <w:tcW w:w="106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4F192C0">
            <w:pPr>
              <w:jc w:val="center"/>
              <w:rPr>
                <w:rFonts w:hint="eastAsia" w:ascii="宋体" w:hAnsi="宋体"/>
                <w:sz w:val="18"/>
                <w:szCs w:val="18"/>
              </w:rPr>
            </w:pPr>
            <w:r>
              <w:rPr>
                <w:rFonts w:hint="eastAsia" w:ascii="宋体" w:hAnsi="宋体"/>
                <w:sz w:val="18"/>
                <w:szCs w:val="18"/>
              </w:rPr>
              <w:t>热线服务</w:t>
            </w:r>
          </w:p>
        </w:tc>
        <w:tc>
          <w:tcPr>
            <w:tcW w:w="601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42979489">
            <w:pPr>
              <w:spacing w:before="120" w:line="276" w:lineRule="auto"/>
              <w:rPr>
                <w:rFonts w:hint="eastAsia" w:ascii="宋体" w:hAnsi="宋体" w:cs="Arial"/>
                <w:color w:val="000000"/>
                <w:sz w:val="18"/>
                <w:szCs w:val="18"/>
              </w:rPr>
            </w:pPr>
            <w:r>
              <w:rPr>
                <w:rFonts w:hint="eastAsia" w:ascii="宋体" w:hAnsi="宋体" w:cs="Arial"/>
                <w:color w:val="000000"/>
                <w:sz w:val="18"/>
                <w:szCs w:val="18"/>
              </w:rPr>
              <w:t>1）软件应用指导：通过热线指导客户进行软件设置、功能操作，提升客户软件应用能力；</w:t>
            </w:r>
          </w:p>
          <w:p w14:paraId="4C2A1BDE">
            <w:pPr>
              <w:spacing w:before="120" w:line="276" w:lineRule="auto"/>
              <w:rPr>
                <w:rFonts w:hint="eastAsia" w:ascii="宋体" w:hAnsi="宋体" w:cs="Arial"/>
                <w:color w:val="000000"/>
                <w:sz w:val="18"/>
                <w:szCs w:val="18"/>
              </w:rPr>
            </w:pPr>
            <w:r>
              <w:rPr>
                <w:rFonts w:hint="eastAsia" w:ascii="宋体" w:hAnsi="宋体" w:cs="Arial"/>
                <w:color w:val="000000"/>
                <w:sz w:val="18"/>
                <w:szCs w:val="18"/>
              </w:rPr>
              <w:t>2）软件故障诊断：通过热线为客户诊断运维软件故障并提供处理，保障客户软件正常使用。</w:t>
            </w:r>
          </w:p>
        </w:tc>
        <w:tc>
          <w:tcPr>
            <w:tcW w:w="1695" w:type="dxa"/>
            <w:tcBorders>
              <w:top w:val="single" w:color="000000" w:sz="8" w:space="0"/>
              <w:left w:val="single" w:color="000000" w:sz="8" w:space="0"/>
              <w:bottom w:val="single" w:color="000000" w:sz="8" w:space="0"/>
              <w:right w:val="single" w:color="000000" w:sz="8" w:space="0"/>
            </w:tcBorders>
            <w:vAlign w:val="center"/>
          </w:tcPr>
          <w:p w14:paraId="067BF429">
            <w:pPr>
              <w:spacing w:before="120" w:line="276" w:lineRule="auto"/>
              <w:jc w:val="center"/>
              <w:rPr>
                <w:rStyle w:val="17"/>
                <w:rFonts w:hint="eastAsia" w:ascii="宋体" w:hAnsi="宋体" w:cs="Arial"/>
                <w:sz w:val="18"/>
                <w:szCs w:val="18"/>
              </w:rPr>
            </w:pPr>
            <w:r>
              <w:rPr>
                <w:rStyle w:val="17"/>
                <w:rFonts w:hint="eastAsia" w:ascii="宋体" w:hAnsi="宋体" w:cs="Arial"/>
                <w:sz w:val="18"/>
                <w:szCs w:val="18"/>
              </w:rPr>
              <w:t>18602898887</w:t>
            </w:r>
          </w:p>
          <w:p w14:paraId="5C527A92">
            <w:pPr>
              <w:spacing w:before="120" w:line="276" w:lineRule="auto"/>
              <w:jc w:val="center"/>
              <w:rPr>
                <w:rFonts w:hint="eastAsia" w:ascii="宋体" w:hAnsi="宋体" w:cs="Arial"/>
                <w:color w:val="000000"/>
                <w:sz w:val="18"/>
                <w:szCs w:val="18"/>
              </w:rPr>
            </w:pPr>
            <w:r>
              <w:rPr>
                <w:rFonts w:hint="eastAsia" w:ascii="宋体" w:hAnsi="宋体" w:cs="Arial"/>
                <w:color w:val="000000"/>
                <w:sz w:val="18"/>
                <w:szCs w:val="18"/>
              </w:rPr>
              <w:t>5 ╳ 8小时</w:t>
            </w:r>
          </w:p>
        </w:tc>
      </w:tr>
      <w:tr w14:paraId="470A9733">
        <w:tblPrEx>
          <w:tblCellMar>
            <w:top w:w="0" w:type="dxa"/>
            <w:left w:w="0" w:type="dxa"/>
            <w:bottom w:w="0" w:type="dxa"/>
            <w:right w:w="0" w:type="dxa"/>
          </w:tblCellMar>
        </w:tblPrEx>
        <w:trPr>
          <w:trHeight w:val="801" w:hRule="atLeast"/>
        </w:trPr>
        <w:tc>
          <w:tcPr>
            <w:tcW w:w="106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7B16917">
            <w:pPr>
              <w:spacing w:before="120" w:line="276" w:lineRule="auto"/>
              <w:jc w:val="center"/>
              <w:rPr>
                <w:rFonts w:hint="eastAsia" w:ascii="宋体" w:hAnsi="宋体" w:cs="Arial"/>
                <w:sz w:val="18"/>
                <w:szCs w:val="18"/>
              </w:rPr>
            </w:pPr>
            <w:r>
              <w:rPr>
                <w:rFonts w:hint="eastAsia" w:ascii="宋体" w:hAnsi="宋体" w:cs="Arial"/>
                <w:color w:val="000000"/>
                <w:sz w:val="18"/>
                <w:szCs w:val="18"/>
              </w:rPr>
              <w:t>需求反馈服务</w:t>
            </w:r>
          </w:p>
        </w:tc>
        <w:tc>
          <w:tcPr>
            <w:tcW w:w="601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C195C97">
            <w:pPr>
              <w:spacing w:before="120" w:line="276" w:lineRule="auto"/>
              <w:rPr>
                <w:rFonts w:hint="eastAsia" w:ascii="宋体" w:hAnsi="宋体" w:cs="Arial"/>
                <w:sz w:val="18"/>
                <w:szCs w:val="18"/>
              </w:rPr>
            </w:pPr>
            <w:r>
              <w:rPr>
                <w:rFonts w:hint="eastAsia" w:ascii="宋体" w:hAnsi="宋体" w:cs="Arial"/>
                <w:color w:val="000000"/>
                <w:sz w:val="18"/>
                <w:szCs w:val="18"/>
              </w:rPr>
              <w:t>客户反馈应用需求，运维通过标准的反馈处理流程，对客户需求进行分析处理，给出合理的解决方案。</w:t>
            </w:r>
          </w:p>
        </w:tc>
        <w:tc>
          <w:tcPr>
            <w:tcW w:w="1695" w:type="dxa"/>
            <w:tcBorders>
              <w:top w:val="single" w:color="000000" w:sz="8" w:space="0"/>
              <w:left w:val="single" w:color="000000" w:sz="8" w:space="0"/>
              <w:bottom w:val="single" w:color="000000" w:sz="8" w:space="0"/>
              <w:right w:val="single" w:color="000000" w:sz="8" w:space="0"/>
            </w:tcBorders>
            <w:vAlign w:val="center"/>
          </w:tcPr>
          <w:p w14:paraId="3401E067">
            <w:pPr>
              <w:spacing w:before="120" w:line="276" w:lineRule="auto"/>
              <w:jc w:val="center"/>
              <w:rPr>
                <w:rFonts w:hint="eastAsia" w:ascii="宋体" w:hAnsi="宋体" w:cs="Arial"/>
                <w:color w:val="000000"/>
                <w:sz w:val="18"/>
                <w:szCs w:val="18"/>
              </w:rPr>
            </w:pPr>
            <w:r>
              <w:rPr>
                <w:rFonts w:hint="eastAsia" w:ascii="宋体" w:hAnsi="宋体" w:cs="Arial"/>
                <w:color w:val="000000"/>
                <w:sz w:val="18"/>
                <w:szCs w:val="18"/>
              </w:rPr>
              <w:t>5 ╳ 8小时</w:t>
            </w:r>
          </w:p>
        </w:tc>
      </w:tr>
      <w:tr w14:paraId="1B1E22A8">
        <w:tblPrEx>
          <w:tblCellMar>
            <w:top w:w="0" w:type="dxa"/>
            <w:left w:w="0" w:type="dxa"/>
            <w:bottom w:w="0" w:type="dxa"/>
            <w:right w:w="0" w:type="dxa"/>
          </w:tblCellMar>
        </w:tblPrEx>
        <w:trPr>
          <w:trHeight w:val="614" w:hRule="atLeast"/>
        </w:trPr>
        <w:tc>
          <w:tcPr>
            <w:tcW w:w="106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C5759D0">
            <w:pPr>
              <w:jc w:val="center"/>
              <w:rPr>
                <w:rFonts w:hint="eastAsia" w:ascii="宋体" w:hAnsi="宋体"/>
                <w:sz w:val="18"/>
                <w:szCs w:val="18"/>
              </w:rPr>
            </w:pPr>
            <w:r>
              <w:fldChar w:fldCharType="begin"/>
            </w:r>
            <w:r>
              <w:instrText xml:space="preserve"> HYPERLINK "mailto:erps@inspur.com邮件服务" </w:instrText>
            </w:r>
            <w:r>
              <w:fldChar w:fldCharType="separate"/>
            </w:r>
            <w:r>
              <w:rPr>
                <w:rFonts w:hint="eastAsia" w:ascii="宋体" w:hAnsi="宋体"/>
                <w:sz w:val="18"/>
                <w:szCs w:val="18"/>
              </w:rPr>
              <w:t>邮件服务</w:t>
            </w:r>
            <w:r>
              <w:rPr>
                <w:rFonts w:hint="eastAsia" w:ascii="宋体" w:hAnsi="宋体"/>
                <w:sz w:val="18"/>
                <w:szCs w:val="18"/>
              </w:rPr>
              <w:fldChar w:fldCharType="end"/>
            </w:r>
          </w:p>
        </w:tc>
        <w:tc>
          <w:tcPr>
            <w:tcW w:w="601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3E1D7C0B">
            <w:pPr>
              <w:spacing w:before="120" w:line="276" w:lineRule="auto"/>
              <w:rPr>
                <w:rFonts w:hint="eastAsia" w:ascii="宋体" w:hAnsi="宋体" w:cs="Arial"/>
                <w:color w:val="000000"/>
                <w:sz w:val="18"/>
                <w:szCs w:val="18"/>
              </w:rPr>
            </w:pPr>
            <w:r>
              <w:rPr>
                <w:rFonts w:hint="eastAsia" w:ascii="宋体" w:hAnsi="宋体" w:cs="Arial"/>
                <w:color w:val="000000"/>
                <w:sz w:val="18"/>
                <w:szCs w:val="18"/>
              </w:rPr>
              <w:t>客户可以发邮件至运维服务机构资讯问题或寻求问题解决方案，运维工程师在规定时间内对客户的邮件给予答复。</w:t>
            </w:r>
          </w:p>
        </w:tc>
        <w:tc>
          <w:tcPr>
            <w:tcW w:w="1695" w:type="dxa"/>
            <w:tcBorders>
              <w:top w:val="single" w:color="000000" w:sz="8" w:space="0"/>
              <w:left w:val="single" w:color="000000" w:sz="8" w:space="0"/>
              <w:bottom w:val="single" w:color="000000" w:sz="8" w:space="0"/>
              <w:right w:val="single" w:color="000000" w:sz="8" w:space="0"/>
            </w:tcBorders>
            <w:vAlign w:val="center"/>
          </w:tcPr>
          <w:p w14:paraId="0C2C9907">
            <w:pPr>
              <w:spacing w:before="120" w:line="276" w:lineRule="auto"/>
              <w:jc w:val="center"/>
              <w:rPr>
                <w:rFonts w:hint="eastAsia" w:ascii="宋体" w:hAnsi="宋体" w:cs="Arial"/>
                <w:color w:val="000000"/>
                <w:sz w:val="18"/>
                <w:szCs w:val="18"/>
              </w:rPr>
            </w:pPr>
            <w:r>
              <w:rPr>
                <w:rFonts w:hint="eastAsia" w:ascii="宋体" w:hAnsi="宋体" w:cs="Arial"/>
                <w:color w:val="000000"/>
                <w:sz w:val="18"/>
                <w:szCs w:val="18"/>
              </w:rPr>
              <w:t>Email：</w:t>
            </w:r>
            <w:r>
              <w:fldChar w:fldCharType="begin"/>
            </w:r>
            <w:r>
              <w:instrText xml:space="preserve"> HYPERLINK "mailto:erps@inspur.com" </w:instrText>
            </w:r>
            <w:r>
              <w:fldChar w:fldCharType="separate"/>
            </w:r>
            <w:r>
              <w:rPr>
                <w:rStyle w:val="17"/>
                <w:rFonts w:hint="eastAsia" w:ascii="宋体" w:hAnsi="宋体" w:cs="Arial"/>
                <w:sz w:val="18"/>
                <w:szCs w:val="18"/>
              </w:rPr>
              <w:t>18602898887@wo.c</w:t>
            </w:r>
            <w:r>
              <w:rPr>
                <w:rStyle w:val="17"/>
                <w:rFonts w:hint="eastAsia" w:ascii="宋体" w:hAnsi="宋体" w:cs="Arial"/>
                <w:sz w:val="18"/>
                <w:szCs w:val="18"/>
              </w:rPr>
              <w:fldChar w:fldCharType="end"/>
            </w:r>
            <w:r>
              <w:rPr>
                <w:rStyle w:val="17"/>
                <w:rFonts w:hint="eastAsia" w:ascii="宋体" w:hAnsi="宋体" w:cs="Arial"/>
                <w:sz w:val="18"/>
                <w:szCs w:val="18"/>
              </w:rPr>
              <w:t>n</w:t>
            </w:r>
          </w:p>
          <w:p w14:paraId="25F74BA8">
            <w:pPr>
              <w:spacing w:before="120" w:line="276" w:lineRule="auto"/>
              <w:jc w:val="center"/>
              <w:rPr>
                <w:rFonts w:hint="eastAsia" w:ascii="宋体" w:hAnsi="宋体" w:cs="Arial"/>
                <w:color w:val="000000"/>
                <w:sz w:val="18"/>
                <w:szCs w:val="18"/>
              </w:rPr>
            </w:pPr>
            <w:r>
              <w:rPr>
                <w:rFonts w:hint="eastAsia" w:ascii="宋体" w:hAnsi="宋体" w:cs="Arial"/>
                <w:color w:val="000000"/>
                <w:sz w:val="18"/>
                <w:szCs w:val="18"/>
              </w:rPr>
              <w:t>5 ╳ 8小时</w:t>
            </w:r>
          </w:p>
        </w:tc>
      </w:tr>
      <w:tr w14:paraId="52CC07D1">
        <w:tblPrEx>
          <w:tblCellMar>
            <w:top w:w="0" w:type="dxa"/>
            <w:left w:w="0" w:type="dxa"/>
            <w:bottom w:w="0" w:type="dxa"/>
            <w:right w:w="0" w:type="dxa"/>
          </w:tblCellMar>
        </w:tblPrEx>
        <w:trPr>
          <w:trHeight w:val="614" w:hRule="atLeast"/>
        </w:trPr>
        <w:tc>
          <w:tcPr>
            <w:tcW w:w="106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E244A77">
            <w:pPr>
              <w:jc w:val="center"/>
              <w:rPr>
                <w:rFonts w:hint="eastAsia" w:ascii="宋体" w:hAnsi="宋体"/>
                <w:sz w:val="18"/>
                <w:szCs w:val="18"/>
              </w:rPr>
            </w:pPr>
            <w:r>
              <w:rPr>
                <w:rFonts w:ascii="宋体" w:hAnsi="宋体"/>
                <w:sz w:val="18"/>
                <w:szCs w:val="18"/>
              </w:rPr>
              <w:t>优化服务</w:t>
            </w:r>
          </w:p>
        </w:tc>
        <w:tc>
          <w:tcPr>
            <w:tcW w:w="601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0149A35B">
            <w:pPr>
              <w:numPr>
                <w:ilvl w:val="0"/>
                <w:numId w:val="6"/>
              </w:numPr>
              <w:spacing w:before="120" w:line="276" w:lineRule="auto"/>
              <w:rPr>
                <w:rFonts w:hint="eastAsia" w:ascii="宋体" w:hAnsi="宋体" w:cs="Arial"/>
                <w:color w:val="000000"/>
                <w:sz w:val="18"/>
                <w:szCs w:val="18"/>
              </w:rPr>
            </w:pPr>
            <w:r>
              <w:rPr>
                <w:rFonts w:hint="eastAsia" w:ascii="宋体" w:hAnsi="宋体" w:cs="Arial"/>
                <w:color w:val="000000"/>
                <w:sz w:val="18"/>
                <w:szCs w:val="18"/>
              </w:rPr>
              <w:t>报表优化：在现有报表体系下，根据客户最新业务需要，优化报表公式及格式；</w:t>
            </w:r>
          </w:p>
          <w:p w14:paraId="010C91BC">
            <w:pPr>
              <w:numPr>
                <w:ilvl w:val="0"/>
                <w:numId w:val="6"/>
              </w:numPr>
              <w:spacing w:before="120" w:line="276" w:lineRule="auto"/>
              <w:rPr>
                <w:rFonts w:hint="eastAsia" w:ascii="宋体" w:hAnsi="宋体" w:cs="Arial"/>
                <w:color w:val="000000"/>
                <w:sz w:val="18"/>
                <w:szCs w:val="18"/>
              </w:rPr>
            </w:pPr>
            <w:r>
              <w:rPr>
                <w:rFonts w:ascii="宋体" w:hAnsi="宋体" w:cs="Arial"/>
                <w:color w:val="000000"/>
                <w:sz w:val="18"/>
                <w:szCs w:val="18"/>
              </w:rPr>
              <w:t>其他优化</w:t>
            </w:r>
            <w:r>
              <w:rPr>
                <w:rFonts w:hint="eastAsia" w:ascii="宋体" w:hAnsi="宋体" w:cs="Arial"/>
                <w:color w:val="000000"/>
                <w:sz w:val="18"/>
                <w:szCs w:val="18"/>
              </w:rPr>
              <w:t>：</w:t>
            </w:r>
            <w:r>
              <w:rPr>
                <w:rFonts w:ascii="宋体" w:hAnsi="宋体" w:cs="Arial"/>
                <w:color w:val="000000"/>
                <w:sz w:val="18"/>
                <w:szCs w:val="18"/>
              </w:rPr>
              <w:t>在服务期内</w:t>
            </w:r>
            <w:r>
              <w:rPr>
                <w:rFonts w:hint="eastAsia" w:ascii="宋体" w:hAnsi="宋体" w:cs="Arial"/>
                <w:color w:val="000000"/>
                <w:sz w:val="18"/>
                <w:szCs w:val="18"/>
              </w:rPr>
              <w:t>，</w:t>
            </w:r>
            <w:r>
              <w:rPr>
                <w:rFonts w:ascii="宋体" w:hAnsi="宋体" w:cs="Arial"/>
                <w:color w:val="000000"/>
                <w:sz w:val="18"/>
                <w:szCs w:val="18"/>
              </w:rPr>
              <w:t>对现有系统进行简单优化</w:t>
            </w:r>
            <w:r>
              <w:rPr>
                <w:rFonts w:hint="eastAsia" w:ascii="宋体" w:hAnsi="宋体" w:cs="Arial"/>
                <w:color w:val="000000"/>
                <w:sz w:val="18"/>
                <w:szCs w:val="18"/>
              </w:rPr>
              <w:t>，</w:t>
            </w:r>
            <w:r>
              <w:rPr>
                <w:rFonts w:ascii="宋体" w:hAnsi="宋体" w:cs="Arial"/>
                <w:color w:val="000000"/>
                <w:sz w:val="18"/>
                <w:szCs w:val="18"/>
              </w:rPr>
              <w:t>不涉及到开发及功能调整优化</w:t>
            </w:r>
            <w:r>
              <w:rPr>
                <w:rFonts w:hint="eastAsia" w:ascii="宋体" w:hAnsi="宋体" w:cs="Arial"/>
                <w:color w:val="000000"/>
                <w:sz w:val="18"/>
                <w:szCs w:val="18"/>
              </w:rPr>
              <w:t>。</w:t>
            </w:r>
            <w:r>
              <w:rPr>
                <w:rFonts w:ascii="宋体" w:hAnsi="宋体" w:cs="Arial"/>
                <w:color w:val="000000"/>
                <w:sz w:val="18"/>
                <w:szCs w:val="18"/>
              </w:rPr>
              <w:t>如有发生</w:t>
            </w:r>
            <w:r>
              <w:rPr>
                <w:rFonts w:hint="eastAsia" w:ascii="宋体" w:hAnsi="宋体" w:cs="Arial"/>
                <w:color w:val="000000"/>
                <w:sz w:val="18"/>
                <w:szCs w:val="18"/>
              </w:rPr>
              <w:t>按附件2双方确定工时进行。</w:t>
            </w:r>
          </w:p>
        </w:tc>
        <w:tc>
          <w:tcPr>
            <w:tcW w:w="1695" w:type="dxa"/>
            <w:tcBorders>
              <w:top w:val="single" w:color="000000" w:sz="8" w:space="0"/>
              <w:left w:val="single" w:color="000000" w:sz="8" w:space="0"/>
              <w:bottom w:val="single" w:color="000000" w:sz="8" w:space="0"/>
              <w:right w:val="single" w:color="000000" w:sz="8" w:space="0"/>
            </w:tcBorders>
            <w:vAlign w:val="center"/>
          </w:tcPr>
          <w:p w14:paraId="5A3F8B33">
            <w:pPr>
              <w:spacing w:before="120" w:line="276" w:lineRule="auto"/>
              <w:jc w:val="center"/>
              <w:rPr>
                <w:rFonts w:hint="eastAsia" w:ascii="宋体" w:hAnsi="宋体" w:cs="Arial"/>
                <w:color w:val="000000"/>
                <w:sz w:val="18"/>
                <w:szCs w:val="18"/>
              </w:rPr>
            </w:pPr>
            <w:r>
              <w:rPr>
                <w:rFonts w:hint="eastAsia" w:ascii="宋体" w:hAnsi="宋体" w:cs="Arial"/>
                <w:color w:val="000000"/>
                <w:sz w:val="18"/>
                <w:szCs w:val="18"/>
              </w:rPr>
              <w:t>按需执行</w:t>
            </w:r>
          </w:p>
        </w:tc>
      </w:tr>
      <w:tr w14:paraId="60565044">
        <w:tblPrEx>
          <w:tblCellMar>
            <w:top w:w="0" w:type="dxa"/>
            <w:left w:w="0" w:type="dxa"/>
            <w:bottom w:w="0" w:type="dxa"/>
            <w:right w:w="0" w:type="dxa"/>
          </w:tblCellMar>
        </w:tblPrEx>
        <w:trPr>
          <w:trHeight w:val="1031" w:hRule="atLeast"/>
        </w:trPr>
        <w:tc>
          <w:tcPr>
            <w:tcW w:w="1066"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7854B7D0">
            <w:pPr>
              <w:jc w:val="center"/>
              <w:rPr>
                <w:rFonts w:hint="eastAsia" w:ascii="宋体" w:hAnsi="宋体"/>
                <w:sz w:val="18"/>
                <w:szCs w:val="18"/>
              </w:rPr>
            </w:pPr>
            <w:r>
              <w:rPr>
                <w:rFonts w:hint="eastAsia" w:ascii="宋体" w:hAnsi="宋体" w:cs="Arial"/>
                <w:color w:val="000000"/>
                <w:sz w:val="18"/>
                <w:szCs w:val="18"/>
              </w:rPr>
              <w:t>巡检服务</w:t>
            </w:r>
          </w:p>
        </w:tc>
        <w:tc>
          <w:tcPr>
            <w:tcW w:w="6015" w:type="dxa"/>
            <w:tcBorders>
              <w:top w:val="single" w:color="000000" w:sz="8" w:space="0"/>
              <w:left w:val="single" w:color="000000" w:sz="8" w:space="0"/>
              <w:bottom w:val="single" w:color="000000" w:sz="8" w:space="0"/>
              <w:right w:val="single" w:color="000000" w:sz="8" w:space="0"/>
            </w:tcBorders>
            <w:tcMar>
              <w:top w:w="15" w:type="dxa"/>
              <w:left w:w="108" w:type="dxa"/>
              <w:bottom w:w="0" w:type="dxa"/>
              <w:right w:w="108" w:type="dxa"/>
            </w:tcMar>
            <w:vAlign w:val="center"/>
          </w:tcPr>
          <w:p w14:paraId="651C8D10">
            <w:pPr>
              <w:spacing w:before="120" w:line="276" w:lineRule="auto"/>
              <w:rPr>
                <w:rFonts w:hint="eastAsia" w:ascii="宋体" w:hAnsi="宋体" w:cs="Arial"/>
                <w:color w:val="000000"/>
                <w:sz w:val="18"/>
                <w:szCs w:val="18"/>
              </w:rPr>
            </w:pPr>
            <w:r>
              <w:rPr>
                <w:rFonts w:hint="eastAsia" w:ascii="宋体" w:hAnsi="宋体" w:cs="Arial"/>
                <w:color w:val="000000"/>
                <w:sz w:val="18"/>
                <w:szCs w:val="18"/>
              </w:rPr>
              <w:t>乙方每月指定专人对系统进行全面检查，优化系统，对可能出现的非法操作故障以外的问题提前解决。（非法操作特指：非正常退出软件，、染病毒、非操作人员使用系统软件、其它非正常使用电脑或软件）。</w:t>
            </w:r>
          </w:p>
        </w:tc>
        <w:tc>
          <w:tcPr>
            <w:tcW w:w="1695" w:type="dxa"/>
            <w:tcBorders>
              <w:top w:val="single" w:color="000000" w:sz="8" w:space="0"/>
              <w:left w:val="single" w:color="000000" w:sz="8" w:space="0"/>
              <w:bottom w:val="single" w:color="000000" w:sz="8" w:space="0"/>
              <w:right w:val="single" w:color="000000" w:sz="8" w:space="0"/>
            </w:tcBorders>
            <w:vAlign w:val="center"/>
          </w:tcPr>
          <w:p w14:paraId="135C8B3D">
            <w:pPr>
              <w:spacing w:before="120" w:line="276" w:lineRule="auto"/>
              <w:jc w:val="center"/>
              <w:rPr>
                <w:rFonts w:hint="eastAsia" w:ascii="宋体" w:hAnsi="宋体" w:cs="Arial"/>
                <w:color w:val="000000"/>
                <w:sz w:val="18"/>
                <w:szCs w:val="18"/>
              </w:rPr>
            </w:pPr>
            <w:r>
              <w:rPr>
                <w:rFonts w:hint="eastAsia" w:ascii="宋体" w:hAnsi="宋体" w:cs="Arial"/>
                <w:color w:val="000000"/>
                <w:sz w:val="18"/>
                <w:szCs w:val="18"/>
              </w:rPr>
              <w:t>每月巡检</w:t>
            </w:r>
          </w:p>
        </w:tc>
      </w:tr>
    </w:tbl>
    <w:p w14:paraId="6A5227E1">
      <w:pPr>
        <w:spacing w:line="360" w:lineRule="auto"/>
        <w:ind w:left="7742" w:leftChars="-100" w:right="-441" w:hanging="7952"/>
        <w:jc w:val="left"/>
        <w:rPr>
          <w:b/>
          <w:color w:val="000000"/>
        </w:rPr>
      </w:pPr>
    </w:p>
    <w:p w14:paraId="6CD0C125">
      <w:pPr>
        <w:spacing w:line="360" w:lineRule="auto"/>
        <w:ind w:left="7742" w:leftChars="-100" w:right="-441" w:hanging="7952"/>
        <w:jc w:val="left"/>
        <w:rPr>
          <w:b/>
          <w:color w:val="000000"/>
        </w:rPr>
      </w:pPr>
    </w:p>
    <w:p w14:paraId="1F8EA38D">
      <w:pPr>
        <w:spacing w:line="360" w:lineRule="auto"/>
        <w:ind w:left="7742" w:leftChars="-100" w:right="-441" w:hanging="7952"/>
        <w:jc w:val="left"/>
        <w:rPr>
          <w:b/>
          <w:color w:val="000000"/>
        </w:rPr>
      </w:pPr>
    </w:p>
    <w:p w14:paraId="3E251C7C">
      <w:pPr>
        <w:spacing w:line="360" w:lineRule="auto"/>
        <w:ind w:left="7742" w:leftChars="-100" w:right="-441" w:hanging="7952"/>
        <w:jc w:val="left"/>
        <w:rPr>
          <w:b/>
          <w:color w:val="000000"/>
        </w:rPr>
      </w:pPr>
    </w:p>
    <w:p w14:paraId="30C286BB">
      <w:pPr>
        <w:spacing w:line="360" w:lineRule="auto"/>
        <w:ind w:left="7742" w:leftChars="-100" w:right="-441" w:hanging="7952"/>
        <w:jc w:val="left"/>
        <w:rPr>
          <w:b/>
          <w:color w:val="000000"/>
        </w:rPr>
      </w:pPr>
    </w:p>
    <w:p w14:paraId="31B78AED">
      <w:pPr>
        <w:spacing w:line="360" w:lineRule="auto"/>
        <w:ind w:left="7742" w:leftChars="-100" w:right="-441" w:hanging="7952"/>
        <w:jc w:val="left"/>
        <w:rPr>
          <w:b/>
          <w:color w:val="000000"/>
        </w:rPr>
      </w:pPr>
    </w:p>
    <w:p w14:paraId="69597B84">
      <w:pPr>
        <w:spacing w:line="360" w:lineRule="auto"/>
        <w:ind w:left="7742" w:leftChars="-100" w:right="-441" w:hanging="7952"/>
        <w:jc w:val="left"/>
        <w:rPr>
          <w:b/>
          <w:color w:val="000000"/>
        </w:rPr>
      </w:pPr>
    </w:p>
    <w:p w14:paraId="4119BF53">
      <w:pPr>
        <w:spacing w:line="360" w:lineRule="auto"/>
        <w:ind w:left="7742" w:leftChars="-100" w:right="-441" w:hanging="7952"/>
        <w:jc w:val="left"/>
        <w:rPr>
          <w:rFonts w:hint="eastAsia" w:ascii="宋体" w:hAnsi="宋体" w:cs="宋体"/>
          <w:color w:val="000000"/>
          <w:szCs w:val="21"/>
        </w:rPr>
      </w:pPr>
      <w:r>
        <w:rPr>
          <w:rFonts w:hint="eastAsia"/>
          <w:szCs w:val="21"/>
        </w:rPr>
        <w:t>附件2：软件系统新增需求确认表</w:t>
      </w:r>
    </w:p>
    <w:p w14:paraId="13CDAEDE">
      <w:pPr>
        <w:spacing w:after="156" w:afterLines="50"/>
        <w:jc w:val="center"/>
        <w:rPr>
          <w:rFonts w:hint="eastAsia" w:asciiTheme="minorEastAsia" w:hAnsiTheme="minorEastAsia" w:cstheme="minorEastAsia"/>
          <w:sz w:val="24"/>
        </w:rPr>
      </w:pPr>
      <w:r>
        <w:rPr>
          <w:rFonts w:hint="eastAsia" w:ascii="仿宋_GB2312" w:hAnsi="仿宋_GB2312" w:eastAsia="仿宋_GB2312" w:cs="仿宋_GB2312"/>
          <w:b/>
          <w:bCs/>
          <w:sz w:val="32"/>
          <w:szCs w:val="32"/>
        </w:rPr>
        <w:t>软件系统新增需求确认表</w:t>
      </w:r>
    </w:p>
    <w:p w14:paraId="54BA3AB6">
      <w:pPr>
        <w:spacing w:after="156" w:afterLines="50"/>
        <w:rPr>
          <w:rFonts w:hint="eastAsia" w:asciiTheme="minorEastAsia" w:hAnsiTheme="minorEastAsia" w:eastAsiaTheme="minorEastAsia" w:cstheme="minorEastAsia"/>
          <w:sz w:val="24"/>
        </w:rPr>
      </w:pPr>
      <w:r>
        <w:rPr>
          <w:rFonts w:hint="eastAsia" w:asciiTheme="minorEastAsia" w:hAnsiTheme="minorEastAsia" w:cstheme="minorEastAsia"/>
          <w:sz w:val="24"/>
        </w:rPr>
        <w:t xml:space="preserve">编号：                                     填报日期：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2"/>
        <w:gridCol w:w="2888"/>
        <w:gridCol w:w="1288"/>
        <w:gridCol w:w="2974"/>
      </w:tblGrid>
      <w:tr w14:paraId="204DC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372" w:type="dxa"/>
            <w:vAlign w:val="center"/>
          </w:tcPr>
          <w:p w14:paraId="076B3D93">
            <w:pPr>
              <w:jc w:val="center"/>
              <w:rPr>
                <w:b/>
                <w:sz w:val="24"/>
              </w:rPr>
            </w:pPr>
            <w:r>
              <w:rPr>
                <w:rFonts w:hint="eastAsia"/>
                <w:b/>
                <w:sz w:val="24"/>
              </w:rPr>
              <w:t>甲方</w:t>
            </w:r>
          </w:p>
        </w:tc>
        <w:tc>
          <w:tcPr>
            <w:tcW w:w="7150" w:type="dxa"/>
            <w:gridSpan w:val="3"/>
            <w:vAlign w:val="center"/>
          </w:tcPr>
          <w:p w14:paraId="3825E1A2">
            <w:pPr>
              <w:spacing w:line="360" w:lineRule="auto"/>
              <w:jc w:val="left"/>
              <w:rPr>
                <w:rFonts w:eastAsia="仿宋_GB2312"/>
                <w:sz w:val="22"/>
                <w:szCs w:val="28"/>
              </w:rPr>
            </w:pPr>
            <w:r>
              <w:rPr>
                <w:rFonts w:hint="eastAsia" w:eastAsia="仿宋_GB2312"/>
                <w:sz w:val="22"/>
                <w:szCs w:val="28"/>
              </w:rPr>
              <w:t>四川特发综合能源服务有限公司</w:t>
            </w:r>
          </w:p>
        </w:tc>
      </w:tr>
      <w:tr w14:paraId="73B9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372" w:type="dxa"/>
            <w:vAlign w:val="center"/>
          </w:tcPr>
          <w:p w14:paraId="62702CD0">
            <w:pPr>
              <w:jc w:val="center"/>
              <w:rPr>
                <w:b/>
                <w:sz w:val="24"/>
              </w:rPr>
            </w:pPr>
            <w:r>
              <w:rPr>
                <w:rFonts w:hint="eastAsia"/>
                <w:b/>
                <w:sz w:val="24"/>
              </w:rPr>
              <w:t>乙方</w:t>
            </w:r>
          </w:p>
        </w:tc>
        <w:tc>
          <w:tcPr>
            <w:tcW w:w="7150" w:type="dxa"/>
            <w:gridSpan w:val="3"/>
            <w:vAlign w:val="center"/>
          </w:tcPr>
          <w:p w14:paraId="047410EA">
            <w:pPr>
              <w:spacing w:line="360" w:lineRule="auto"/>
              <w:jc w:val="left"/>
              <w:rPr>
                <w:rFonts w:eastAsia="仿宋_GB2312"/>
                <w:sz w:val="22"/>
                <w:szCs w:val="28"/>
              </w:rPr>
            </w:pPr>
            <w:r>
              <w:rPr>
                <w:rFonts w:hint="eastAsia" w:eastAsia="仿宋_GB2312"/>
                <w:sz w:val="22"/>
                <w:szCs w:val="28"/>
              </w:rPr>
              <w:t>成都歌杰斯科技有限责任公司</w:t>
            </w:r>
          </w:p>
        </w:tc>
      </w:tr>
      <w:tr w14:paraId="5408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372" w:type="dxa"/>
            <w:vAlign w:val="center"/>
          </w:tcPr>
          <w:p w14:paraId="33BB511D">
            <w:pPr>
              <w:jc w:val="center"/>
              <w:rPr>
                <w:b/>
                <w:sz w:val="24"/>
              </w:rPr>
            </w:pPr>
            <w:r>
              <w:rPr>
                <w:rFonts w:hint="eastAsia"/>
                <w:b/>
                <w:sz w:val="24"/>
              </w:rPr>
              <w:t>新增事项</w:t>
            </w:r>
          </w:p>
        </w:tc>
        <w:tc>
          <w:tcPr>
            <w:tcW w:w="7150" w:type="dxa"/>
            <w:gridSpan w:val="3"/>
            <w:vAlign w:val="center"/>
          </w:tcPr>
          <w:p w14:paraId="34239496">
            <w:pPr>
              <w:spacing w:line="360" w:lineRule="auto"/>
              <w:jc w:val="left"/>
              <w:rPr>
                <w:rFonts w:hint="eastAsia" w:ascii="仿宋_GB2312" w:hAnsi="仿宋_GB2312" w:eastAsia="仿宋_GB2312" w:cs="仿宋_GB2312"/>
                <w:b/>
                <w:bCs/>
                <w:sz w:val="32"/>
                <w:szCs w:val="32"/>
              </w:rPr>
            </w:pPr>
            <w:r>
              <w:rPr>
                <w:rFonts w:hint="eastAsia" w:eastAsia="仿宋_GB2312"/>
                <w:sz w:val="22"/>
                <w:szCs w:val="28"/>
              </w:rPr>
              <w:t xml:space="preserve"> </w:t>
            </w:r>
          </w:p>
        </w:tc>
      </w:tr>
      <w:tr w14:paraId="680F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4" w:hRule="atLeast"/>
        </w:trPr>
        <w:tc>
          <w:tcPr>
            <w:tcW w:w="1372" w:type="dxa"/>
            <w:vAlign w:val="center"/>
          </w:tcPr>
          <w:p w14:paraId="537AFEFE">
            <w:pPr>
              <w:jc w:val="center"/>
              <w:rPr>
                <w:b/>
                <w:sz w:val="24"/>
              </w:rPr>
            </w:pPr>
            <w:r>
              <w:rPr>
                <w:rFonts w:hint="eastAsia"/>
                <w:b/>
                <w:sz w:val="24"/>
              </w:rPr>
              <w:t>新增内容及原因</w:t>
            </w:r>
          </w:p>
        </w:tc>
        <w:tc>
          <w:tcPr>
            <w:tcW w:w="7150" w:type="dxa"/>
            <w:gridSpan w:val="3"/>
            <w:vAlign w:val="center"/>
          </w:tcPr>
          <w:p w14:paraId="30953B47">
            <w:pPr>
              <w:jc w:val="left"/>
            </w:pPr>
          </w:p>
        </w:tc>
      </w:tr>
      <w:tr w14:paraId="5FA1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372" w:type="dxa"/>
            <w:vAlign w:val="center"/>
          </w:tcPr>
          <w:p w14:paraId="451B5E5A">
            <w:pPr>
              <w:jc w:val="center"/>
              <w:rPr>
                <w:rFonts w:eastAsiaTheme="minorEastAsia"/>
                <w:b/>
                <w:sz w:val="24"/>
              </w:rPr>
            </w:pPr>
            <w:r>
              <w:rPr>
                <w:rFonts w:hint="eastAsia"/>
                <w:b/>
                <w:sz w:val="24"/>
              </w:rPr>
              <w:t>新增工天</w:t>
            </w:r>
          </w:p>
        </w:tc>
        <w:tc>
          <w:tcPr>
            <w:tcW w:w="2888" w:type="dxa"/>
            <w:vAlign w:val="center"/>
          </w:tcPr>
          <w:p w14:paraId="45FF8261">
            <w:pPr>
              <w:jc w:val="center"/>
              <w:rPr>
                <w:b/>
                <w:sz w:val="24"/>
              </w:rPr>
            </w:pPr>
          </w:p>
        </w:tc>
        <w:tc>
          <w:tcPr>
            <w:tcW w:w="1288" w:type="dxa"/>
            <w:vAlign w:val="center"/>
          </w:tcPr>
          <w:p w14:paraId="76399B5A">
            <w:pPr>
              <w:jc w:val="left"/>
              <w:rPr>
                <w:b/>
                <w:sz w:val="24"/>
              </w:rPr>
            </w:pPr>
            <w:r>
              <w:rPr>
                <w:rFonts w:hint="eastAsia"/>
                <w:b/>
                <w:sz w:val="24"/>
              </w:rPr>
              <w:t xml:space="preserve">费用         </w:t>
            </w:r>
          </w:p>
        </w:tc>
        <w:tc>
          <w:tcPr>
            <w:tcW w:w="2974" w:type="dxa"/>
            <w:vAlign w:val="center"/>
          </w:tcPr>
          <w:p w14:paraId="1B09BCEA">
            <w:pPr>
              <w:jc w:val="left"/>
              <w:rPr>
                <w:b/>
                <w:sz w:val="24"/>
              </w:rPr>
            </w:pPr>
          </w:p>
        </w:tc>
      </w:tr>
      <w:tr w14:paraId="1C20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372" w:type="dxa"/>
            <w:vAlign w:val="center"/>
          </w:tcPr>
          <w:p w14:paraId="43A89833">
            <w:pPr>
              <w:jc w:val="center"/>
              <w:rPr>
                <w:b/>
                <w:sz w:val="24"/>
              </w:rPr>
            </w:pPr>
            <w:r>
              <w:rPr>
                <w:rFonts w:hint="eastAsia"/>
                <w:b/>
                <w:sz w:val="24"/>
              </w:rPr>
              <w:t>甲方代表</w:t>
            </w:r>
          </w:p>
        </w:tc>
        <w:tc>
          <w:tcPr>
            <w:tcW w:w="2888" w:type="dxa"/>
            <w:vAlign w:val="center"/>
          </w:tcPr>
          <w:p w14:paraId="35E3A86E">
            <w:pPr>
              <w:jc w:val="center"/>
              <w:rPr>
                <w:b/>
                <w:sz w:val="24"/>
              </w:rPr>
            </w:pPr>
          </w:p>
        </w:tc>
        <w:tc>
          <w:tcPr>
            <w:tcW w:w="1288" w:type="dxa"/>
            <w:vAlign w:val="center"/>
          </w:tcPr>
          <w:p w14:paraId="79C15DDF">
            <w:pPr>
              <w:jc w:val="left"/>
              <w:rPr>
                <w:b/>
                <w:sz w:val="24"/>
              </w:rPr>
            </w:pPr>
            <w:r>
              <w:rPr>
                <w:rFonts w:hint="eastAsia"/>
                <w:b/>
                <w:sz w:val="24"/>
              </w:rPr>
              <w:t>乙方代表</w:t>
            </w:r>
          </w:p>
        </w:tc>
        <w:tc>
          <w:tcPr>
            <w:tcW w:w="2974" w:type="dxa"/>
            <w:vAlign w:val="center"/>
          </w:tcPr>
          <w:p w14:paraId="0A3B3305">
            <w:pPr>
              <w:jc w:val="left"/>
              <w:rPr>
                <w:b/>
                <w:sz w:val="24"/>
              </w:rPr>
            </w:pPr>
          </w:p>
        </w:tc>
      </w:tr>
      <w:tr w14:paraId="304A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522" w:type="dxa"/>
            <w:gridSpan w:val="4"/>
            <w:tcBorders>
              <w:left w:val="nil"/>
              <w:right w:val="nil"/>
            </w:tcBorders>
            <w:vAlign w:val="center"/>
          </w:tcPr>
          <w:p w14:paraId="378268AE">
            <w:pPr>
              <w:spacing w:after="156" w:afterLines="50" w:line="560" w:lineRule="exact"/>
              <w:jc w:val="center"/>
              <w:rPr>
                <w:bCs/>
                <w:sz w:val="24"/>
              </w:rPr>
            </w:pPr>
          </w:p>
          <w:p w14:paraId="20F69F53">
            <w:pPr>
              <w:spacing w:after="156" w:afterLines="50" w:line="560" w:lineRule="exact"/>
              <w:jc w:val="center"/>
              <w:rPr>
                <w:rFonts w:hint="eastAsia" w:ascii="仿宋_GB2312" w:hAnsi="仿宋_GB2312" w:eastAsia="仿宋_GB2312" w:cs="仿宋_GB2312"/>
                <w:b/>
                <w:bCs/>
                <w:sz w:val="32"/>
                <w:szCs w:val="32"/>
              </w:rPr>
            </w:pPr>
            <w:r>
              <w:rPr>
                <w:rFonts w:hint="eastAsia"/>
                <w:bCs/>
                <w:sz w:val="24"/>
              </w:rPr>
              <w:t>以下为完成新增功能开发后验收签字确认</w:t>
            </w:r>
          </w:p>
        </w:tc>
      </w:tr>
      <w:tr w14:paraId="1E63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4260" w:type="dxa"/>
            <w:gridSpan w:val="2"/>
            <w:vAlign w:val="center"/>
          </w:tcPr>
          <w:p w14:paraId="452258CA">
            <w:pPr>
              <w:jc w:val="left"/>
              <w:rPr>
                <w:b/>
                <w:sz w:val="24"/>
              </w:rPr>
            </w:pPr>
          </w:p>
          <w:p w14:paraId="51B5120D">
            <w:pPr>
              <w:jc w:val="left"/>
              <w:rPr>
                <w:b/>
                <w:sz w:val="24"/>
              </w:rPr>
            </w:pPr>
            <w:r>
              <w:rPr>
                <w:rFonts w:hint="eastAsia"/>
                <w:b/>
                <w:sz w:val="24"/>
              </w:rPr>
              <w:t>意见：</w:t>
            </w:r>
          </w:p>
          <w:p w14:paraId="2A82604E">
            <w:pPr>
              <w:jc w:val="left"/>
              <w:rPr>
                <w:b/>
                <w:sz w:val="24"/>
              </w:rPr>
            </w:pPr>
          </w:p>
          <w:p w14:paraId="66B5532C">
            <w:pPr>
              <w:jc w:val="left"/>
              <w:rPr>
                <w:b/>
                <w:sz w:val="24"/>
              </w:rPr>
            </w:pPr>
            <w:r>
              <w:rPr>
                <w:rFonts w:hint="eastAsia"/>
                <w:b/>
                <w:sz w:val="24"/>
              </w:rPr>
              <w:t>甲方代表：</w:t>
            </w:r>
          </w:p>
          <w:p w14:paraId="554499B9">
            <w:pPr>
              <w:jc w:val="left"/>
              <w:rPr>
                <w:b/>
                <w:sz w:val="24"/>
              </w:rPr>
            </w:pPr>
          </w:p>
          <w:p w14:paraId="43CA26C6">
            <w:pPr>
              <w:ind w:firstLine="2640" w:firstLineChars="1100"/>
              <w:rPr>
                <w:b/>
                <w:sz w:val="24"/>
              </w:rPr>
            </w:pPr>
            <w:r>
              <w:rPr>
                <w:rFonts w:hint="eastAsia"/>
                <w:bCs/>
                <w:sz w:val="24"/>
              </w:rPr>
              <w:t>年  月  日</w:t>
            </w:r>
          </w:p>
        </w:tc>
        <w:tc>
          <w:tcPr>
            <w:tcW w:w="4262" w:type="dxa"/>
            <w:gridSpan w:val="2"/>
            <w:vAlign w:val="center"/>
          </w:tcPr>
          <w:p w14:paraId="3D3E483B">
            <w:pPr>
              <w:jc w:val="left"/>
              <w:rPr>
                <w:b/>
                <w:sz w:val="24"/>
              </w:rPr>
            </w:pPr>
          </w:p>
          <w:p w14:paraId="1965D228">
            <w:pPr>
              <w:jc w:val="left"/>
              <w:rPr>
                <w:b/>
                <w:sz w:val="24"/>
              </w:rPr>
            </w:pPr>
            <w:r>
              <w:rPr>
                <w:rFonts w:hint="eastAsia"/>
                <w:b/>
                <w:sz w:val="24"/>
              </w:rPr>
              <w:t>意见：</w:t>
            </w:r>
          </w:p>
          <w:p w14:paraId="723C1062">
            <w:pPr>
              <w:jc w:val="left"/>
              <w:rPr>
                <w:b/>
                <w:sz w:val="24"/>
              </w:rPr>
            </w:pPr>
          </w:p>
          <w:p w14:paraId="054D873A">
            <w:pPr>
              <w:jc w:val="left"/>
              <w:rPr>
                <w:b/>
                <w:sz w:val="24"/>
              </w:rPr>
            </w:pPr>
            <w:r>
              <w:rPr>
                <w:rFonts w:hint="eastAsia"/>
                <w:b/>
                <w:sz w:val="24"/>
              </w:rPr>
              <w:t>乙方代表：</w:t>
            </w:r>
          </w:p>
          <w:p w14:paraId="0A4966DC">
            <w:pPr>
              <w:jc w:val="left"/>
              <w:rPr>
                <w:b/>
                <w:sz w:val="24"/>
              </w:rPr>
            </w:pPr>
          </w:p>
          <w:p w14:paraId="3CFBAE89">
            <w:pPr>
              <w:ind w:firstLine="2640" w:firstLineChars="1100"/>
              <w:jc w:val="left"/>
              <w:rPr>
                <w:rFonts w:hint="eastAsia" w:ascii="仿宋_GB2312" w:hAnsi="仿宋_GB2312" w:eastAsia="仿宋_GB2312" w:cs="仿宋_GB2312"/>
                <w:b/>
                <w:bCs/>
                <w:sz w:val="32"/>
                <w:szCs w:val="32"/>
              </w:rPr>
            </w:pPr>
            <w:r>
              <w:rPr>
                <w:rFonts w:hint="eastAsia"/>
                <w:bCs/>
                <w:sz w:val="24"/>
              </w:rPr>
              <w:t>年  月  日</w:t>
            </w:r>
          </w:p>
        </w:tc>
      </w:tr>
    </w:tbl>
    <w:p w14:paraId="6A9171D0"/>
    <w:p w14:paraId="68C81D30">
      <w:pPr>
        <w:spacing w:line="360" w:lineRule="auto"/>
        <w:ind w:left="7742" w:leftChars="-100" w:right="-441" w:hanging="7952"/>
        <w:jc w:val="left"/>
        <w:rPr>
          <w:rFonts w:hint="eastAsia" w:ascii="宋体" w:hAnsi="宋体" w:cs="宋体"/>
          <w:color w:val="000000"/>
          <w:sz w:val="24"/>
          <w:szCs w:val="24"/>
        </w:rPr>
      </w:pPr>
    </w:p>
    <w:p w14:paraId="6014B877">
      <w:r>
        <w:br w:type="page"/>
      </w:r>
    </w:p>
    <w:p w14:paraId="041FF7F5">
      <w:pPr>
        <w:spacing w:line="360" w:lineRule="auto"/>
        <w:ind w:firstLine="210" w:firstLineChars="100"/>
        <w:jc w:val="both"/>
        <w:rPr>
          <w:rFonts w:hint="eastAsia" w:ascii="宋体" w:hAnsi="宋体" w:eastAsia="宋体" w:cs="宋体"/>
          <w:b/>
          <w:bCs/>
          <w:sz w:val="24"/>
          <w:szCs w:val="24"/>
          <w:highlight w:val="none"/>
          <w:lang w:val="en-US" w:eastAsia="zh-CN"/>
        </w:rPr>
      </w:pPr>
      <w:r>
        <w:rPr>
          <w:rFonts w:hint="eastAsia"/>
          <w:szCs w:val="21"/>
        </w:rPr>
        <w:t>附件</w:t>
      </w:r>
      <w:r>
        <w:rPr>
          <w:rFonts w:hint="eastAsia"/>
          <w:szCs w:val="21"/>
          <w:lang w:val="en-US" w:eastAsia="zh-CN"/>
        </w:rPr>
        <w:t>3</w:t>
      </w:r>
      <w:r>
        <w:rPr>
          <w:rFonts w:hint="eastAsia"/>
          <w:szCs w:val="21"/>
        </w:rPr>
        <w:t>：</w:t>
      </w:r>
    </w:p>
    <w:p w14:paraId="3A19689F">
      <w:pPr>
        <w:spacing w:line="360" w:lineRule="auto"/>
        <w:ind w:firstLine="241" w:firstLineChars="100"/>
        <w:jc w:val="cente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廉洁合规协议书</w:t>
      </w:r>
    </w:p>
    <w:p w14:paraId="74645823">
      <w:pPr>
        <w:spacing w:line="360" w:lineRule="auto"/>
        <w:ind w:firstLine="480" w:firstLineChars="200"/>
        <w:rPr>
          <w:rFonts w:hint="eastAsia" w:ascii="宋体" w:hAnsi="宋体" w:eastAsia="宋体" w:cs="宋体"/>
          <w:sz w:val="24"/>
          <w:szCs w:val="24"/>
          <w:highlight w:val="none"/>
          <w:lang w:val="en-US" w:eastAsia="zh-CN"/>
        </w:rPr>
      </w:pPr>
    </w:p>
    <w:p w14:paraId="211E53E7">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甲方：四川特发综合能源服务有限公司</w:t>
      </w:r>
    </w:p>
    <w:p w14:paraId="74D2F6DF">
      <w:pPr>
        <w:spacing w:line="360" w:lineRule="auto"/>
        <w:ind w:firstLine="480" w:firstLineChars="200"/>
        <w:rPr>
          <w:rFonts w:hint="eastAsia" w:ascii="宋体" w:hAnsi="宋体" w:cs="宋体"/>
          <w:bCs/>
          <w:sz w:val="24"/>
        </w:rPr>
      </w:pPr>
      <w:r>
        <w:rPr>
          <w:rFonts w:hint="eastAsia" w:ascii="宋体" w:hAnsi="宋体" w:eastAsia="宋体" w:cs="宋体"/>
          <w:sz w:val="24"/>
          <w:szCs w:val="24"/>
          <w:highlight w:val="none"/>
          <w:lang w:val="en-US" w:eastAsia="zh-CN"/>
        </w:rPr>
        <w:t>乙方：</w:t>
      </w:r>
      <w:r>
        <w:rPr>
          <w:rFonts w:hint="eastAsia" w:ascii="宋体" w:hAnsi="宋体" w:cs="宋体"/>
          <w:bCs w:val="0"/>
          <w:sz w:val="24"/>
          <w:highlight w:val="none"/>
        </w:rPr>
        <w:t>成都歌杰斯科技有限责任公司</w:t>
      </w:r>
    </w:p>
    <w:p w14:paraId="089C03FC">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鉴于甲方拟向乙方采购相关商品或服务，为了保障双方在采购业务往来中的合法权益，充分体现公正、廉洁、诚信合作的精神，防止商业贿赂及违规违纪违法行为发生，持续推进党风廉政建设，反“四风”、转作风、树新风，加强双方在廉洁合规领域的合作共建，通过互相承诺、互相监督，促进建立廉洁、诚信、共赢的合作关系，经双方友好协商，确定如下：</w:t>
      </w:r>
    </w:p>
    <w:p w14:paraId="461EDBF9">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  行为准则</w:t>
      </w:r>
    </w:p>
    <w:p w14:paraId="1AE9FAF5">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1.1双方应自觉遵守业务所在国有关法律法规、规章制度中关于公平交易、廉洁自律、反对腐败的相关规定。</w:t>
      </w:r>
    </w:p>
    <w:p w14:paraId="6B2C95E1">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1.2双方应对业务人员进行经常性的廉洁合规教育，使其建立良好的职业操守和从业行为。</w:t>
      </w:r>
    </w:p>
    <w:p w14:paraId="6D1240C3">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  合作交往的共同遵循及廉洁承诺</w:t>
      </w:r>
    </w:p>
    <w:p w14:paraId="505D5D3F">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2.1不得以任何名义相互赠送或接受礼金、商业预付卡、购物卡、有价证券、支付凭证、贵金属等贵重物品和土特产。</w:t>
      </w:r>
    </w:p>
    <w:p w14:paraId="61C0F17F">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2.2不得向对方索取或收受各种名义的回扣，以及正常业务办理以外的各种手续费。</w:t>
      </w:r>
    </w:p>
    <w:p w14:paraId="0DF89FA5">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2.3不得以任何方式换用、借用、占用对方单位和个人的车辆。</w:t>
      </w:r>
    </w:p>
    <w:p w14:paraId="027AEA58">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2.4不得安排或接受超标准接待。</w:t>
      </w:r>
    </w:p>
    <w:p w14:paraId="24DF0D29">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2.5不得用公款安排高消费娱乐健身活动。</w:t>
      </w:r>
    </w:p>
    <w:p w14:paraId="78C8336E">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2.6不得以任何名义向对方转嫁业务招待费、差旅费、培训费等费用报销。</w:t>
      </w:r>
    </w:p>
    <w:p w14:paraId="304EE83E">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2.7不得有违反廉洁自律规定的任何其他行为。</w:t>
      </w:r>
    </w:p>
    <w:p w14:paraId="06E2022E">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  双方义务及违约责任</w:t>
      </w:r>
    </w:p>
    <w:p w14:paraId="04CA3030">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3.1甲方有权派出相关纪律队伍到乙方单位进行廉洁从业方面的工作访谈。</w:t>
      </w:r>
    </w:p>
    <w:p w14:paraId="3069AB26">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3.2如乙方人员存在违反上述承诺内容的行为，甲方纪检监察部门在接到投诉举报后，有权对乙方相关人员进行调查取证，乙方应当给予积极配合。</w:t>
      </w:r>
    </w:p>
    <w:p w14:paraId="1C899BBC">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3.3甲、乙双方保证对投诉举报情况予以保密，并在投诉举报核实办结后向对方进行反馈。</w:t>
      </w:r>
    </w:p>
    <w:p w14:paraId="5E67BD01">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3.4自签字并盖章之日起，双方正式确定为廉洁伙伴，明确彼此合作交往的行为准则，互相做出廉洁合规承诺，在本单位内部进行公示，确保全员知晓。</w:t>
      </w:r>
    </w:p>
    <w:p w14:paraId="51B7F733">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3.5乙方及其业务人员违反本协议规定，或出现商业贿赂、BCG（business compliance guideline，商业行为准则）违规、虚假投标、围标、串标等违规违纪违法行为，违反国家或地方招投标管理有关规定的，甲方将有权停止与乙方所有采购业务合作，三年内不准参加公司未来合作服务项目的招标采购活动。情节严重的，甲方将有权取消乙方作为甲方供应商的资格，无限期停止与乙方所有采购业务合作，并保留通过法律途径追究乙方责任的权利。如违反本协议规定并给甲方造成损失的，乙方应承担赔偿责任。</w:t>
      </w:r>
    </w:p>
    <w:p w14:paraId="758E2EC6">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3.6乙方支持甲方的廉洁合规建设，若甲方员工及甲方合作的其它供应商公司人员在日常业务过程中有索贿行为，乙方必须拒绝，并向甲方纪检监察部门投诉，投诉方式如下。</w:t>
      </w:r>
    </w:p>
    <w:p w14:paraId="4ECF76C4">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3.6.1 邮箱：【jiancha@tefafuwu.com】</w:t>
      </w:r>
    </w:p>
    <w:p w14:paraId="56A5E3E7">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3.6.2 电话：【0755-23914976】</w:t>
      </w:r>
    </w:p>
    <w:p w14:paraId="35E2B80E">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3.7双方一致同意，本协议亦适用于甲乙方各自的关联公司。</w:t>
      </w:r>
    </w:p>
    <w:p w14:paraId="2D025ACD">
      <w:pPr>
        <w:spacing w:line="360" w:lineRule="auto"/>
        <w:ind w:firstLine="480" w:firstLineChars="200"/>
        <w:rPr>
          <w:rFonts w:hint="eastAsia" w:ascii="宋体" w:hAnsi="宋体" w:eastAsia="宋体" w:cs="宋体"/>
          <w:sz w:val="24"/>
          <w:szCs w:val="24"/>
          <w:highlight w:val="none"/>
          <w:lang w:val="en-US" w:eastAsia="zh-CN"/>
        </w:rPr>
      </w:pPr>
    </w:p>
    <w:p w14:paraId="574768CB">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本协议有未尽事宜，由双方另行商定。</w:t>
      </w:r>
    </w:p>
    <w:p w14:paraId="571D8E97">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本协议与主合同份数一致，具有同等法律效力。</w:t>
      </w:r>
    </w:p>
    <w:p w14:paraId="59827A10">
      <w:pPr>
        <w:spacing w:line="360" w:lineRule="auto"/>
        <w:ind w:firstLine="480" w:firstLineChars="200"/>
        <w:rPr>
          <w:rFonts w:hint="eastAsia" w:ascii="宋体" w:hAnsi="宋体" w:eastAsia="宋体" w:cs="宋体"/>
          <w:sz w:val="24"/>
          <w:szCs w:val="24"/>
          <w:highlight w:val="none"/>
          <w:lang w:val="en-US" w:eastAsia="zh-CN"/>
        </w:rPr>
      </w:pPr>
    </w:p>
    <w:p w14:paraId="4EBB48B6">
      <w:pPr>
        <w:spacing w:line="360" w:lineRule="auto"/>
        <w:ind w:firstLine="480" w:firstLineChars="200"/>
        <w:rPr>
          <w:rFonts w:hint="eastAsia" w:ascii="宋体" w:hAnsi="宋体" w:eastAsia="宋体" w:cs="宋体"/>
          <w:sz w:val="24"/>
          <w:szCs w:val="24"/>
          <w:highlight w:val="none"/>
          <w:lang w:val="en-US" w:eastAsia="zh-CN"/>
        </w:rPr>
      </w:pPr>
    </w:p>
    <w:p w14:paraId="0587F79D">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甲方（签章）                乙方（签章）</w:t>
      </w:r>
    </w:p>
    <w:p w14:paraId="1B93400E">
      <w:pPr>
        <w:spacing w:line="360" w:lineRule="auto"/>
        <w:ind w:firstLine="480" w:firstLineChars="200"/>
        <w:rPr>
          <w:rFonts w:hint="eastAsia" w:ascii="宋体" w:hAnsi="宋体" w:eastAsia="宋体" w:cs="宋体"/>
          <w:sz w:val="24"/>
          <w:szCs w:val="24"/>
          <w:highlight w:val="none"/>
          <w:lang w:val="en-US" w:eastAsia="zh-CN"/>
        </w:rPr>
      </w:pPr>
    </w:p>
    <w:p w14:paraId="2F6D36E5">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甲方负责人签字：            乙方负责人签字：</w:t>
      </w:r>
    </w:p>
    <w:p w14:paraId="4CD336BF">
      <w:pPr>
        <w:spacing w:line="360" w:lineRule="auto"/>
        <w:ind w:firstLine="480" w:firstLineChars="200"/>
        <w:rPr>
          <w:rFonts w:hint="eastAsia" w:ascii="宋体" w:hAnsi="宋体" w:eastAsia="宋体" w:cs="宋体"/>
          <w:sz w:val="24"/>
          <w:szCs w:val="24"/>
          <w:highlight w:val="none"/>
          <w:lang w:val="en-US" w:eastAsia="zh-CN"/>
        </w:rPr>
      </w:pPr>
    </w:p>
    <w:p w14:paraId="4EE5F084">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日期：                      日期：</w:t>
      </w:r>
    </w:p>
    <w:p w14:paraId="6C9C438F">
      <w:pPr>
        <w:spacing w:before="156" w:beforeLines="50" w:after="156" w:afterLines="50" w:line="520" w:lineRule="exact"/>
        <w:ind w:firstLine="0"/>
        <w:outlineLvl w:val="0"/>
        <w:rPr>
          <w:rFonts w:hint="eastAsia" w:ascii="宋体" w:hAnsi="宋体" w:cs="宋体"/>
          <w:b/>
          <w:bCs/>
          <w:sz w:val="32"/>
          <w:szCs w:val="32"/>
        </w:rPr>
        <w:sectPr>
          <w:footerReference r:id="rId5" w:type="default"/>
          <w:type w:val="continuous"/>
          <w:pgSz w:w="11906" w:h="16838"/>
          <w:pgMar w:top="1440" w:right="1800" w:bottom="1440" w:left="1800" w:header="851" w:footer="992" w:gutter="0"/>
          <w:pgNumType w:fmt="decimal" w:start="1"/>
          <w:cols w:space="425" w:num="1"/>
          <w:docGrid w:type="lines" w:linePitch="312" w:charSpace="0"/>
        </w:sectPr>
      </w:pPr>
    </w:p>
    <w:p w14:paraId="7552C412"/>
    <w:sectPr>
      <w:type w:val="continuous"/>
      <w:pgSz w:w="11906" w:h="16838"/>
      <w:pgMar w:top="1440" w:right="1416"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iti SC Light">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0553E">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15457">
    <w:pPr>
      <w:pStyle w:val="7"/>
      <w:ind w:right="360"/>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32385</wp:posOffset>
              </wp:positionV>
              <wp:extent cx="1111250" cy="28257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11250" cy="2825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C336FC">
                          <w:pPr>
                            <w:pStyle w:val="7"/>
                            <w:jc w:val="both"/>
                            <w:rPr>
                              <w:rStyle w:val="16"/>
                              <w:sz w:val="21"/>
                              <w:szCs w:val="24"/>
                            </w:rPr>
                          </w:pPr>
                          <w:r>
                            <w:rPr>
                              <w:rStyle w:val="16"/>
                              <w:rFonts w:hint="eastAsia"/>
                              <w:kern w:val="0"/>
                            </w:rPr>
                            <w:t>第</w:t>
                          </w:r>
                          <w:r>
                            <w:rPr>
                              <w:rStyle w:val="16"/>
                              <w:kern w:val="0"/>
                            </w:rPr>
                            <w:t xml:space="preserve"> </w:t>
                          </w:r>
                          <w:r>
                            <w:rPr>
                              <w:kern w:val="0"/>
                            </w:rPr>
                            <w:fldChar w:fldCharType="begin"/>
                          </w:r>
                          <w:r>
                            <w:rPr>
                              <w:rStyle w:val="16"/>
                              <w:kern w:val="0"/>
                            </w:rPr>
                            <w:instrText xml:space="preserve"> PAGE </w:instrText>
                          </w:r>
                          <w:r>
                            <w:rPr>
                              <w:kern w:val="0"/>
                            </w:rPr>
                            <w:fldChar w:fldCharType="separate"/>
                          </w:r>
                          <w:r>
                            <w:rPr>
                              <w:rStyle w:val="16"/>
                              <w:kern w:val="0"/>
                            </w:rPr>
                            <w:t>5</w:t>
                          </w:r>
                          <w:r>
                            <w:rPr>
                              <w:kern w:val="0"/>
                            </w:rPr>
                            <w:fldChar w:fldCharType="end"/>
                          </w:r>
                          <w:r>
                            <w:rPr>
                              <w:rStyle w:val="16"/>
                              <w:kern w:val="0"/>
                            </w:rPr>
                            <w:t xml:space="preserve"> </w:t>
                          </w:r>
                          <w:r>
                            <w:rPr>
                              <w:rStyle w:val="16"/>
                              <w:rFonts w:hint="eastAsia"/>
                              <w:kern w:val="0"/>
                            </w:rPr>
                            <w:t>页</w:t>
                          </w:r>
                          <w:r>
                            <w:rPr>
                              <w:rStyle w:val="16"/>
                              <w:kern w:val="0"/>
                            </w:rPr>
                            <w:t xml:space="preserve"> </w:t>
                          </w:r>
                          <w:r>
                            <w:rPr>
                              <w:rStyle w:val="16"/>
                              <w:rFonts w:hint="eastAsia"/>
                              <w:kern w:val="0"/>
                            </w:rPr>
                            <w:t>共</w:t>
                          </w:r>
                          <w:r>
                            <w:rPr>
                              <w:rStyle w:val="16"/>
                              <w:kern w:val="0"/>
                            </w:rPr>
                            <w:t xml:space="preserve"> </w:t>
                          </w:r>
                          <w:r>
                            <w:rPr>
                              <w:rStyle w:val="16"/>
                              <w:rFonts w:hint="eastAsia"/>
                              <w:kern w:val="0"/>
                              <w:lang w:val="en-US" w:eastAsia="zh-CN"/>
                            </w:rPr>
                            <w:t>8</w:t>
                          </w:r>
                          <w:r>
                            <w:rPr>
                              <w:rStyle w:val="16"/>
                              <w:rFonts w:hint="eastAsia"/>
                              <w:kern w:val="0"/>
                            </w:rPr>
                            <w:t>页</w:t>
                          </w:r>
                        </w:p>
                        <w:p w14:paraId="3C7A2CE2"/>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2.55pt;height:22.25pt;width:87.5pt;mso-position-horizontal:center;mso-position-horizontal-relative:margin;z-index:251659264;mso-width-relative:page;mso-height-relative:page;" filled="f" stroked="f" coordsize="21600,21600" o:gfxdata="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iJb7fTAAAABQEAAA8AAAAAAAAAAQAgAAAAIgAAAGRycy9kb3ducmV2LnhtbFBLAQIUABQA&#10;AAAIAIdO4kD8JSvVLgIAAFYEAAAOAAAAAAAAAAEAIAAAACIBAABkcnMvZTJvRG9jLnhtbFBLBQYA&#10;AAAABgAGAFkBAADCBQAAAAA=&#10;">
              <v:fill on="f" focussize="0,0"/>
              <v:stroke on="f" weight="0.5pt"/>
              <v:imagedata o:title=""/>
              <o:lock v:ext="edit" aspectratio="f"/>
              <v:textbox inset="0mm,0mm,0mm,0mm">
                <w:txbxContent>
                  <w:p w14:paraId="4CC336FC">
                    <w:pPr>
                      <w:pStyle w:val="7"/>
                      <w:jc w:val="both"/>
                      <w:rPr>
                        <w:rStyle w:val="16"/>
                        <w:sz w:val="21"/>
                        <w:szCs w:val="24"/>
                      </w:rPr>
                    </w:pPr>
                    <w:r>
                      <w:rPr>
                        <w:rStyle w:val="16"/>
                        <w:rFonts w:hint="eastAsia"/>
                        <w:kern w:val="0"/>
                      </w:rPr>
                      <w:t>第</w:t>
                    </w:r>
                    <w:r>
                      <w:rPr>
                        <w:rStyle w:val="16"/>
                        <w:kern w:val="0"/>
                      </w:rPr>
                      <w:t xml:space="preserve"> </w:t>
                    </w:r>
                    <w:r>
                      <w:rPr>
                        <w:kern w:val="0"/>
                      </w:rPr>
                      <w:fldChar w:fldCharType="begin"/>
                    </w:r>
                    <w:r>
                      <w:rPr>
                        <w:rStyle w:val="16"/>
                        <w:kern w:val="0"/>
                      </w:rPr>
                      <w:instrText xml:space="preserve"> PAGE </w:instrText>
                    </w:r>
                    <w:r>
                      <w:rPr>
                        <w:kern w:val="0"/>
                      </w:rPr>
                      <w:fldChar w:fldCharType="separate"/>
                    </w:r>
                    <w:r>
                      <w:rPr>
                        <w:rStyle w:val="16"/>
                        <w:kern w:val="0"/>
                      </w:rPr>
                      <w:t>5</w:t>
                    </w:r>
                    <w:r>
                      <w:rPr>
                        <w:kern w:val="0"/>
                      </w:rPr>
                      <w:fldChar w:fldCharType="end"/>
                    </w:r>
                    <w:r>
                      <w:rPr>
                        <w:rStyle w:val="16"/>
                        <w:kern w:val="0"/>
                      </w:rPr>
                      <w:t xml:space="preserve"> </w:t>
                    </w:r>
                    <w:r>
                      <w:rPr>
                        <w:rStyle w:val="16"/>
                        <w:rFonts w:hint="eastAsia"/>
                        <w:kern w:val="0"/>
                      </w:rPr>
                      <w:t>页</w:t>
                    </w:r>
                    <w:r>
                      <w:rPr>
                        <w:rStyle w:val="16"/>
                        <w:kern w:val="0"/>
                      </w:rPr>
                      <w:t xml:space="preserve"> </w:t>
                    </w:r>
                    <w:r>
                      <w:rPr>
                        <w:rStyle w:val="16"/>
                        <w:rFonts w:hint="eastAsia"/>
                        <w:kern w:val="0"/>
                      </w:rPr>
                      <w:t>共</w:t>
                    </w:r>
                    <w:r>
                      <w:rPr>
                        <w:rStyle w:val="16"/>
                        <w:kern w:val="0"/>
                      </w:rPr>
                      <w:t xml:space="preserve"> </w:t>
                    </w:r>
                    <w:r>
                      <w:rPr>
                        <w:rStyle w:val="16"/>
                        <w:rFonts w:hint="eastAsia"/>
                        <w:kern w:val="0"/>
                        <w:lang w:val="en-US" w:eastAsia="zh-CN"/>
                      </w:rPr>
                      <w:t>8</w:t>
                    </w:r>
                    <w:r>
                      <w:rPr>
                        <w:rStyle w:val="16"/>
                        <w:rFonts w:hint="eastAsia"/>
                        <w:kern w:val="0"/>
                      </w:rPr>
                      <w:t>页</w:t>
                    </w:r>
                  </w:p>
                  <w:p w14:paraId="3C7A2CE2"/>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842DB">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3"/>
      <w:numFmt w:val="decimal"/>
      <w:lvlText w:val="%1"/>
      <w:lvlJc w:val="left"/>
      <w:pPr>
        <w:tabs>
          <w:tab w:val="left" w:pos="360"/>
        </w:tabs>
        <w:ind w:left="360" w:hanging="360"/>
      </w:pPr>
      <w:rPr>
        <w:rFonts w:hint="default"/>
      </w:rPr>
    </w:lvl>
    <w:lvl w:ilvl="1" w:tentative="0">
      <w:start w:val="1"/>
      <w:numFmt w:val="decimal"/>
      <w:lvlText w:val="%1.%2"/>
      <w:lvlJc w:val="left"/>
      <w:pPr>
        <w:tabs>
          <w:tab w:val="left" w:pos="2204"/>
        </w:tabs>
        <w:ind w:left="2204" w:hanging="360"/>
      </w:pPr>
      <w:rPr>
        <w:rFonts w:hint="default" w:ascii="Times New Roman" w:hAnsi="Times New Roman" w:cs="Times New Roman"/>
      </w:rPr>
    </w:lvl>
    <w:lvl w:ilvl="2" w:tentative="0">
      <w:start w:val="1"/>
      <w:numFmt w:val="decimal"/>
      <w:lvlText w:val="%1.%2.%3"/>
      <w:lvlJc w:val="left"/>
      <w:pPr>
        <w:tabs>
          <w:tab w:val="left" w:pos="1570"/>
        </w:tabs>
        <w:ind w:left="1570" w:hanging="720"/>
      </w:pPr>
      <w:rPr>
        <w:rFonts w:hint="default"/>
      </w:rPr>
    </w:lvl>
    <w:lvl w:ilvl="3" w:tentative="0">
      <w:start w:val="1"/>
      <w:numFmt w:val="decimal"/>
      <w:lvlText w:val="%1.%2.%3.%4"/>
      <w:lvlJc w:val="left"/>
      <w:pPr>
        <w:tabs>
          <w:tab w:val="left" w:pos="2355"/>
        </w:tabs>
        <w:ind w:left="2355" w:hanging="1080"/>
      </w:pPr>
      <w:rPr>
        <w:rFonts w:hint="default"/>
      </w:rPr>
    </w:lvl>
    <w:lvl w:ilvl="4" w:tentative="0">
      <w:start w:val="1"/>
      <w:numFmt w:val="decimal"/>
      <w:lvlText w:val="%1.%2.%3.%4.%5"/>
      <w:lvlJc w:val="left"/>
      <w:pPr>
        <w:tabs>
          <w:tab w:val="left" w:pos="2780"/>
        </w:tabs>
        <w:ind w:left="2780" w:hanging="1080"/>
      </w:pPr>
      <w:rPr>
        <w:rFonts w:hint="default"/>
      </w:rPr>
    </w:lvl>
    <w:lvl w:ilvl="5" w:tentative="0">
      <w:start w:val="1"/>
      <w:numFmt w:val="decimal"/>
      <w:lvlText w:val="%1.%2.%3.%4.%5.%6"/>
      <w:lvlJc w:val="left"/>
      <w:pPr>
        <w:tabs>
          <w:tab w:val="left" w:pos="3565"/>
        </w:tabs>
        <w:ind w:left="3565" w:hanging="1440"/>
      </w:pPr>
      <w:rPr>
        <w:rFonts w:hint="default"/>
      </w:rPr>
    </w:lvl>
    <w:lvl w:ilvl="6" w:tentative="0">
      <w:start w:val="1"/>
      <w:numFmt w:val="decimal"/>
      <w:lvlText w:val="%1.%2.%3.%4.%5.%6.%7"/>
      <w:lvlJc w:val="left"/>
      <w:pPr>
        <w:tabs>
          <w:tab w:val="left" w:pos="3990"/>
        </w:tabs>
        <w:ind w:left="3990" w:hanging="1440"/>
      </w:pPr>
      <w:rPr>
        <w:rFonts w:hint="default"/>
      </w:rPr>
    </w:lvl>
    <w:lvl w:ilvl="7" w:tentative="0">
      <w:start w:val="1"/>
      <w:numFmt w:val="decimal"/>
      <w:lvlText w:val="%1.%2.%3.%4.%5.%6.%7.%8"/>
      <w:lvlJc w:val="left"/>
      <w:pPr>
        <w:tabs>
          <w:tab w:val="left" w:pos="4775"/>
        </w:tabs>
        <w:ind w:left="4775" w:hanging="1800"/>
      </w:pPr>
      <w:rPr>
        <w:rFonts w:hint="default"/>
      </w:rPr>
    </w:lvl>
    <w:lvl w:ilvl="8" w:tentative="0">
      <w:start w:val="1"/>
      <w:numFmt w:val="decimal"/>
      <w:lvlText w:val="%1.%2.%3.%4.%5.%6.%7.%8.%9"/>
      <w:lvlJc w:val="left"/>
      <w:pPr>
        <w:tabs>
          <w:tab w:val="left" w:pos="5200"/>
        </w:tabs>
        <w:ind w:left="5200" w:hanging="1800"/>
      </w:pPr>
      <w:rPr>
        <w:rFonts w:hint="default"/>
      </w:rPr>
    </w:lvl>
  </w:abstractNum>
  <w:abstractNum w:abstractNumId="1">
    <w:nsid w:val="00000010"/>
    <w:multiLevelType w:val="multilevel"/>
    <w:tmpl w:val="00000010"/>
    <w:lvl w:ilvl="0" w:tentative="0">
      <w:start w:val="2"/>
      <w:numFmt w:val="decimal"/>
      <w:lvlText w:val="%1"/>
      <w:lvlJc w:val="left"/>
      <w:pPr>
        <w:tabs>
          <w:tab w:val="left" w:pos="525"/>
        </w:tabs>
        <w:ind w:left="525" w:hanging="525"/>
      </w:pPr>
      <w:rPr>
        <w:rFonts w:hint="default"/>
      </w:rPr>
    </w:lvl>
    <w:lvl w:ilvl="1" w:tentative="0">
      <w:start w:val="1"/>
      <w:numFmt w:val="decimal"/>
      <w:lvlText w:val="%1.%2"/>
      <w:lvlJc w:val="left"/>
      <w:pPr>
        <w:tabs>
          <w:tab w:val="left" w:pos="950"/>
        </w:tabs>
        <w:ind w:left="950" w:hanging="525"/>
      </w:pPr>
      <w:rPr>
        <w:rFonts w:hint="default" w:ascii="Times New Roman" w:hAnsi="Times New Roman" w:cs="Times New Roman"/>
      </w:rPr>
    </w:lvl>
    <w:lvl w:ilvl="2" w:tentative="0">
      <w:start w:val="1"/>
      <w:numFmt w:val="decimal"/>
      <w:lvlText w:val="%1.%2.%3"/>
      <w:lvlJc w:val="left"/>
      <w:pPr>
        <w:tabs>
          <w:tab w:val="left" w:pos="1570"/>
        </w:tabs>
        <w:ind w:left="1570" w:hanging="720"/>
      </w:pPr>
      <w:rPr>
        <w:rFonts w:hint="default"/>
      </w:rPr>
    </w:lvl>
    <w:lvl w:ilvl="3" w:tentative="0">
      <w:start w:val="1"/>
      <w:numFmt w:val="decimal"/>
      <w:lvlText w:val="%1.%2.%3.%4"/>
      <w:lvlJc w:val="left"/>
      <w:pPr>
        <w:tabs>
          <w:tab w:val="left" w:pos="2355"/>
        </w:tabs>
        <w:ind w:left="2355" w:hanging="1080"/>
      </w:pPr>
      <w:rPr>
        <w:rFonts w:hint="default"/>
      </w:rPr>
    </w:lvl>
    <w:lvl w:ilvl="4" w:tentative="0">
      <w:start w:val="1"/>
      <w:numFmt w:val="decimal"/>
      <w:lvlText w:val="%1.%2.%3.%4.%5"/>
      <w:lvlJc w:val="left"/>
      <w:pPr>
        <w:tabs>
          <w:tab w:val="left" w:pos="2780"/>
        </w:tabs>
        <w:ind w:left="2780" w:hanging="1080"/>
      </w:pPr>
      <w:rPr>
        <w:rFonts w:hint="default"/>
      </w:rPr>
    </w:lvl>
    <w:lvl w:ilvl="5" w:tentative="0">
      <w:start w:val="1"/>
      <w:numFmt w:val="decimal"/>
      <w:lvlText w:val="%1.%2.%3.%4.%5.%6"/>
      <w:lvlJc w:val="left"/>
      <w:pPr>
        <w:tabs>
          <w:tab w:val="left" w:pos="3565"/>
        </w:tabs>
        <w:ind w:left="3565" w:hanging="1440"/>
      </w:pPr>
      <w:rPr>
        <w:rFonts w:hint="default"/>
      </w:rPr>
    </w:lvl>
    <w:lvl w:ilvl="6" w:tentative="0">
      <w:start w:val="1"/>
      <w:numFmt w:val="decimal"/>
      <w:lvlText w:val="%1.%2.%3.%4.%5.%6.%7"/>
      <w:lvlJc w:val="left"/>
      <w:pPr>
        <w:tabs>
          <w:tab w:val="left" w:pos="3990"/>
        </w:tabs>
        <w:ind w:left="3990" w:hanging="1440"/>
      </w:pPr>
      <w:rPr>
        <w:rFonts w:hint="default"/>
      </w:rPr>
    </w:lvl>
    <w:lvl w:ilvl="7" w:tentative="0">
      <w:start w:val="1"/>
      <w:numFmt w:val="decimal"/>
      <w:lvlText w:val="%1.%2.%3.%4.%5.%6.%7.%8"/>
      <w:lvlJc w:val="left"/>
      <w:pPr>
        <w:tabs>
          <w:tab w:val="left" w:pos="4775"/>
        </w:tabs>
        <w:ind w:left="4775" w:hanging="1800"/>
      </w:pPr>
      <w:rPr>
        <w:rFonts w:hint="default"/>
      </w:rPr>
    </w:lvl>
    <w:lvl w:ilvl="8" w:tentative="0">
      <w:start w:val="1"/>
      <w:numFmt w:val="decimal"/>
      <w:lvlText w:val="%1.%2.%3.%4.%5.%6.%7.%8.%9"/>
      <w:lvlJc w:val="left"/>
      <w:pPr>
        <w:tabs>
          <w:tab w:val="left" w:pos="5200"/>
        </w:tabs>
        <w:ind w:left="5200" w:hanging="1800"/>
      </w:pPr>
      <w:rPr>
        <w:rFonts w:hint="default"/>
      </w:rPr>
    </w:lvl>
  </w:abstractNum>
  <w:abstractNum w:abstractNumId="2">
    <w:nsid w:val="00000017"/>
    <w:multiLevelType w:val="multilevel"/>
    <w:tmpl w:val="00000017"/>
    <w:lvl w:ilvl="0" w:tentative="0">
      <w:start w:val="1"/>
      <w:numFmt w:val="ideographDigital"/>
      <w:lvlText w:val="第%1条"/>
      <w:lvlJc w:val="left"/>
      <w:pPr>
        <w:tabs>
          <w:tab w:val="left" w:pos="425"/>
        </w:tabs>
        <w:ind w:left="425" w:hanging="425"/>
      </w:pPr>
      <w:rPr>
        <w:rFonts w:hint="eastAsia" w:ascii="宋体" w:hAnsi="宋体" w:eastAsia="宋体"/>
        <w:b w:val="0"/>
        <w:lang w:val="en-US"/>
      </w:rPr>
    </w:lvl>
    <w:lvl w:ilvl="1" w:tentative="0">
      <w:start w:val="1"/>
      <w:numFmt w:val="decimal"/>
      <w:lvlRestart w:val="0"/>
      <w:lvlText w:val="5.%2"/>
      <w:lvlJc w:val="left"/>
      <w:pPr>
        <w:tabs>
          <w:tab w:val="left" w:pos="601"/>
        </w:tabs>
        <w:ind w:left="601" w:hanging="601"/>
      </w:pPr>
      <w:rPr>
        <w:rFonts w:hint="eastAsia" w:ascii="宋体" w:hAnsi="宋体" w:eastAsia="宋体"/>
      </w:rPr>
    </w:lvl>
    <w:lvl w:ilvl="2" w:tentative="0">
      <w:start w:val="1"/>
      <w:numFmt w:val="decimal"/>
      <w:lvlText w:val="%1.%2.%3"/>
      <w:lvlJc w:val="left"/>
      <w:pPr>
        <w:tabs>
          <w:tab w:val="left" w:pos="1389"/>
        </w:tabs>
        <w:ind w:left="1389" w:hanging="788"/>
      </w:pPr>
      <w:rPr>
        <w:rFonts w:hint="eastAsia"/>
      </w:rPr>
    </w:lvl>
    <w:lvl w:ilvl="3" w:tentative="0">
      <w:start w:val="1"/>
      <w:numFmt w:val="lowerLetter"/>
      <w:lvlText w:val="%4)"/>
      <w:lvlJc w:val="left"/>
      <w:pPr>
        <w:tabs>
          <w:tab w:val="left" w:pos="420"/>
        </w:tabs>
        <w:ind w:left="420" w:hanging="420"/>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3">
    <w:nsid w:val="00000020"/>
    <w:multiLevelType w:val="multilevel"/>
    <w:tmpl w:val="00000020"/>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default" w:ascii="Times New Roman" w:hAnsi="Times New Roman" w:eastAsia="宋体" w:cs="Times New Roman"/>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0000021"/>
    <w:multiLevelType w:val="multilevel"/>
    <w:tmpl w:val="00000021"/>
    <w:lvl w:ilvl="0" w:tentative="0">
      <w:start w:val="4"/>
      <w:numFmt w:val="decimal"/>
      <w:lvlText w:val="%1"/>
      <w:lvlJc w:val="left"/>
      <w:pPr>
        <w:tabs>
          <w:tab w:val="left" w:pos="360"/>
        </w:tabs>
        <w:ind w:left="360" w:hanging="360"/>
      </w:pPr>
      <w:rPr>
        <w:rFonts w:hint="default"/>
      </w:rPr>
    </w:lvl>
    <w:lvl w:ilvl="1" w:tentative="0">
      <w:start w:val="1"/>
      <w:numFmt w:val="decimal"/>
      <w:lvlText w:val="%1.%2"/>
      <w:lvlJc w:val="left"/>
      <w:pPr>
        <w:tabs>
          <w:tab w:val="left" w:pos="780"/>
        </w:tabs>
        <w:ind w:left="780" w:hanging="360"/>
      </w:pPr>
      <w:rPr>
        <w:rFonts w:hint="default" w:ascii="Times New Roman" w:hAnsi="Times New Roman" w:cs="Times New Roman"/>
      </w:rPr>
    </w:lvl>
    <w:lvl w:ilvl="2" w:tentative="0">
      <w:start w:val="1"/>
      <w:numFmt w:val="decimal"/>
      <w:lvlText w:val="%1.%2.%3"/>
      <w:lvlJc w:val="left"/>
      <w:pPr>
        <w:tabs>
          <w:tab w:val="left" w:pos="1560"/>
        </w:tabs>
        <w:ind w:left="1560" w:hanging="720"/>
      </w:pPr>
      <w:rPr>
        <w:rFonts w:hint="default"/>
      </w:rPr>
    </w:lvl>
    <w:lvl w:ilvl="3" w:tentative="0">
      <w:start w:val="1"/>
      <w:numFmt w:val="decimal"/>
      <w:lvlText w:val="%1.%2.%3.%4"/>
      <w:lvlJc w:val="left"/>
      <w:pPr>
        <w:tabs>
          <w:tab w:val="left" w:pos="2340"/>
        </w:tabs>
        <w:ind w:left="2340" w:hanging="1080"/>
      </w:pPr>
      <w:rPr>
        <w:rFonts w:hint="default"/>
      </w:rPr>
    </w:lvl>
    <w:lvl w:ilvl="4" w:tentative="0">
      <w:start w:val="1"/>
      <w:numFmt w:val="decimal"/>
      <w:lvlText w:val="%1.%2.%3.%4.%5"/>
      <w:lvlJc w:val="left"/>
      <w:pPr>
        <w:tabs>
          <w:tab w:val="left" w:pos="2760"/>
        </w:tabs>
        <w:ind w:left="2760" w:hanging="1080"/>
      </w:pPr>
      <w:rPr>
        <w:rFonts w:hint="default"/>
      </w:rPr>
    </w:lvl>
    <w:lvl w:ilvl="5" w:tentative="0">
      <w:start w:val="1"/>
      <w:numFmt w:val="decimal"/>
      <w:lvlText w:val="%1.%2.%3.%4.%5.%6"/>
      <w:lvlJc w:val="left"/>
      <w:pPr>
        <w:tabs>
          <w:tab w:val="left" w:pos="3540"/>
        </w:tabs>
        <w:ind w:left="3540" w:hanging="1440"/>
      </w:pPr>
      <w:rPr>
        <w:rFonts w:hint="default"/>
      </w:rPr>
    </w:lvl>
    <w:lvl w:ilvl="6" w:tentative="0">
      <w:start w:val="1"/>
      <w:numFmt w:val="decimal"/>
      <w:lvlText w:val="%1.%2.%3.%4.%5.%6.%7"/>
      <w:lvlJc w:val="left"/>
      <w:pPr>
        <w:tabs>
          <w:tab w:val="left" w:pos="3960"/>
        </w:tabs>
        <w:ind w:left="3960" w:hanging="1440"/>
      </w:pPr>
      <w:rPr>
        <w:rFonts w:hint="default"/>
      </w:rPr>
    </w:lvl>
    <w:lvl w:ilvl="7" w:tentative="0">
      <w:start w:val="1"/>
      <w:numFmt w:val="decimal"/>
      <w:lvlText w:val="%1.%2.%3.%4.%5.%6.%7.%8"/>
      <w:lvlJc w:val="left"/>
      <w:pPr>
        <w:tabs>
          <w:tab w:val="left" w:pos="4740"/>
        </w:tabs>
        <w:ind w:left="4740" w:hanging="1800"/>
      </w:pPr>
      <w:rPr>
        <w:rFonts w:hint="default"/>
      </w:rPr>
    </w:lvl>
    <w:lvl w:ilvl="8" w:tentative="0">
      <w:start w:val="1"/>
      <w:numFmt w:val="decimal"/>
      <w:lvlText w:val="%1.%2.%3.%4.%5.%6.%7.%8.%9"/>
      <w:lvlJc w:val="left"/>
      <w:pPr>
        <w:tabs>
          <w:tab w:val="left" w:pos="5160"/>
        </w:tabs>
        <w:ind w:left="5160" w:hanging="1800"/>
      </w:pPr>
      <w:rPr>
        <w:rFonts w:hint="default"/>
      </w:rPr>
    </w:lvl>
  </w:abstractNum>
  <w:abstractNum w:abstractNumId="5">
    <w:nsid w:val="2C811F4E"/>
    <w:multiLevelType w:val="multilevel"/>
    <w:tmpl w:val="2C811F4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BkZmU4ZjFiNGI3Mzk1YTQyMWJmOWI4M2FiOGJhMDMifQ=="/>
  </w:docVars>
  <w:rsids>
    <w:rsidRoot w:val="00172A27"/>
    <w:rsid w:val="000000AB"/>
    <w:rsid w:val="00004762"/>
    <w:rsid w:val="00005ECA"/>
    <w:rsid w:val="0000729D"/>
    <w:rsid w:val="00010A40"/>
    <w:rsid w:val="00012BE4"/>
    <w:rsid w:val="000144E8"/>
    <w:rsid w:val="0001641C"/>
    <w:rsid w:val="00016942"/>
    <w:rsid w:val="000246CB"/>
    <w:rsid w:val="00027A3A"/>
    <w:rsid w:val="00035C28"/>
    <w:rsid w:val="00037248"/>
    <w:rsid w:val="0004132C"/>
    <w:rsid w:val="00042DCC"/>
    <w:rsid w:val="00047768"/>
    <w:rsid w:val="00047D46"/>
    <w:rsid w:val="00053697"/>
    <w:rsid w:val="000538FA"/>
    <w:rsid w:val="00061F0E"/>
    <w:rsid w:val="00063317"/>
    <w:rsid w:val="00064A54"/>
    <w:rsid w:val="00065F8A"/>
    <w:rsid w:val="00066F57"/>
    <w:rsid w:val="000677C9"/>
    <w:rsid w:val="00067AE0"/>
    <w:rsid w:val="00070F60"/>
    <w:rsid w:val="000829C1"/>
    <w:rsid w:val="00083196"/>
    <w:rsid w:val="000950D3"/>
    <w:rsid w:val="000A54C9"/>
    <w:rsid w:val="000A6A81"/>
    <w:rsid w:val="000A6B08"/>
    <w:rsid w:val="000B06B2"/>
    <w:rsid w:val="000B35D7"/>
    <w:rsid w:val="000B3DB6"/>
    <w:rsid w:val="000B5BF5"/>
    <w:rsid w:val="000C2629"/>
    <w:rsid w:val="000C50E6"/>
    <w:rsid w:val="000D35EC"/>
    <w:rsid w:val="000D3F45"/>
    <w:rsid w:val="000E0906"/>
    <w:rsid w:val="000F5125"/>
    <w:rsid w:val="000F677E"/>
    <w:rsid w:val="00101DE3"/>
    <w:rsid w:val="00112B51"/>
    <w:rsid w:val="00112CDA"/>
    <w:rsid w:val="00116E67"/>
    <w:rsid w:val="00132C21"/>
    <w:rsid w:val="00134E0B"/>
    <w:rsid w:val="001350D8"/>
    <w:rsid w:val="00147F6D"/>
    <w:rsid w:val="00160E9E"/>
    <w:rsid w:val="0016250D"/>
    <w:rsid w:val="001667EC"/>
    <w:rsid w:val="00172A27"/>
    <w:rsid w:val="00172C2C"/>
    <w:rsid w:val="0017520B"/>
    <w:rsid w:val="00177653"/>
    <w:rsid w:val="001A0F80"/>
    <w:rsid w:val="001A7FD6"/>
    <w:rsid w:val="001B2317"/>
    <w:rsid w:val="001C027E"/>
    <w:rsid w:val="001C0323"/>
    <w:rsid w:val="001C08EF"/>
    <w:rsid w:val="001C0D95"/>
    <w:rsid w:val="001C61BE"/>
    <w:rsid w:val="001D4469"/>
    <w:rsid w:val="001D6CC6"/>
    <w:rsid w:val="001F0039"/>
    <w:rsid w:val="001F31FD"/>
    <w:rsid w:val="001F363A"/>
    <w:rsid w:val="001F3AED"/>
    <w:rsid w:val="001F4279"/>
    <w:rsid w:val="001F713E"/>
    <w:rsid w:val="002017B4"/>
    <w:rsid w:val="0021632C"/>
    <w:rsid w:val="002179B1"/>
    <w:rsid w:val="00217EB7"/>
    <w:rsid w:val="0022079E"/>
    <w:rsid w:val="00220ACF"/>
    <w:rsid w:val="002231C6"/>
    <w:rsid w:val="0022339D"/>
    <w:rsid w:val="002246F1"/>
    <w:rsid w:val="00224760"/>
    <w:rsid w:val="00226DC9"/>
    <w:rsid w:val="002308A4"/>
    <w:rsid w:val="00236165"/>
    <w:rsid w:val="0025079D"/>
    <w:rsid w:val="002546E0"/>
    <w:rsid w:val="00256637"/>
    <w:rsid w:val="00256F13"/>
    <w:rsid w:val="0026056B"/>
    <w:rsid w:val="0026116B"/>
    <w:rsid w:val="00262382"/>
    <w:rsid w:val="00263C4A"/>
    <w:rsid w:val="002674F3"/>
    <w:rsid w:val="002731D3"/>
    <w:rsid w:val="0027393A"/>
    <w:rsid w:val="00275971"/>
    <w:rsid w:val="00295C3E"/>
    <w:rsid w:val="00296316"/>
    <w:rsid w:val="002A2DE3"/>
    <w:rsid w:val="002A3141"/>
    <w:rsid w:val="002A4F80"/>
    <w:rsid w:val="002B0076"/>
    <w:rsid w:val="002B0C96"/>
    <w:rsid w:val="002B127F"/>
    <w:rsid w:val="002B464D"/>
    <w:rsid w:val="002C017B"/>
    <w:rsid w:val="002C4E82"/>
    <w:rsid w:val="002D35E8"/>
    <w:rsid w:val="002D4835"/>
    <w:rsid w:val="002E0EE3"/>
    <w:rsid w:val="002E3DF0"/>
    <w:rsid w:val="002E4099"/>
    <w:rsid w:val="002E439F"/>
    <w:rsid w:val="002E4A31"/>
    <w:rsid w:val="002E7855"/>
    <w:rsid w:val="002F00AA"/>
    <w:rsid w:val="002F4FE2"/>
    <w:rsid w:val="002F5BBD"/>
    <w:rsid w:val="00304925"/>
    <w:rsid w:val="0030666D"/>
    <w:rsid w:val="0031307E"/>
    <w:rsid w:val="00315F67"/>
    <w:rsid w:val="00316763"/>
    <w:rsid w:val="00322263"/>
    <w:rsid w:val="003263EE"/>
    <w:rsid w:val="003267FA"/>
    <w:rsid w:val="00330A13"/>
    <w:rsid w:val="00332A90"/>
    <w:rsid w:val="00336651"/>
    <w:rsid w:val="00340686"/>
    <w:rsid w:val="00345F47"/>
    <w:rsid w:val="003504C1"/>
    <w:rsid w:val="00355EF1"/>
    <w:rsid w:val="0039143C"/>
    <w:rsid w:val="00395A1D"/>
    <w:rsid w:val="00397C55"/>
    <w:rsid w:val="003A31F2"/>
    <w:rsid w:val="003A7246"/>
    <w:rsid w:val="003B1A95"/>
    <w:rsid w:val="003B1BBA"/>
    <w:rsid w:val="003B2333"/>
    <w:rsid w:val="003B3C84"/>
    <w:rsid w:val="003B7521"/>
    <w:rsid w:val="003C3561"/>
    <w:rsid w:val="003C496A"/>
    <w:rsid w:val="003D2670"/>
    <w:rsid w:val="003D345B"/>
    <w:rsid w:val="003D5551"/>
    <w:rsid w:val="003D71E7"/>
    <w:rsid w:val="003D79BB"/>
    <w:rsid w:val="003E6289"/>
    <w:rsid w:val="003F28CD"/>
    <w:rsid w:val="003F3D09"/>
    <w:rsid w:val="003F439B"/>
    <w:rsid w:val="004030EA"/>
    <w:rsid w:val="00410C55"/>
    <w:rsid w:val="0041381A"/>
    <w:rsid w:val="004179CD"/>
    <w:rsid w:val="00417F3E"/>
    <w:rsid w:val="0042143C"/>
    <w:rsid w:val="00425D05"/>
    <w:rsid w:val="004270DD"/>
    <w:rsid w:val="00427B32"/>
    <w:rsid w:val="00427B88"/>
    <w:rsid w:val="004366B6"/>
    <w:rsid w:val="00437A75"/>
    <w:rsid w:val="004425C3"/>
    <w:rsid w:val="004440DF"/>
    <w:rsid w:val="00447B0B"/>
    <w:rsid w:val="00447B7F"/>
    <w:rsid w:val="00461CC9"/>
    <w:rsid w:val="00466608"/>
    <w:rsid w:val="00470565"/>
    <w:rsid w:val="00470BA2"/>
    <w:rsid w:val="0048015F"/>
    <w:rsid w:val="0048092F"/>
    <w:rsid w:val="00481089"/>
    <w:rsid w:val="00482A76"/>
    <w:rsid w:val="004854BF"/>
    <w:rsid w:val="0048790A"/>
    <w:rsid w:val="004971F4"/>
    <w:rsid w:val="00497A4A"/>
    <w:rsid w:val="00497EAD"/>
    <w:rsid w:val="004A277B"/>
    <w:rsid w:val="004B49AA"/>
    <w:rsid w:val="004B7EB9"/>
    <w:rsid w:val="004C461D"/>
    <w:rsid w:val="004D49DA"/>
    <w:rsid w:val="004D52E4"/>
    <w:rsid w:val="004D639B"/>
    <w:rsid w:val="004D6C21"/>
    <w:rsid w:val="004D77F7"/>
    <w:rsid w:val="004E317E"/>
    <w:rsid w:val="004F0E02"/>
    <w:rsid w:val="004F143F"/>
    <w:rsid w:val="004F1C6F"/>
    <w:rsid w:val="004F6F15"/>
    <w:rsid w:val="0050356C"/>
    <w:rsid w:val="00513FE7"/>
    <w:rsid w:val="005158C7"/>
    <w:rsid w:val="00515CDD"/>
    <w:rsid w:val="0052286A"/>
    <w:rsid w:val="00523456"/>
    <w:rsid w:val="00523542"/>
    <w:rsid w:val="0052396A"/>
    <w:rsid w:val="00531773"/>
    <w:rsid w:val="0053410F"/>
    <w:rsid w:val="00553D7C"/>
    <w:rsid w:val="00554CF1"/>
    <w:rsid w:val="005551E6"/>
    <w:rsid w:val="00560E50"/>
    <w:rsid w:val="00572CE9"/>
    <w:rsid w:val="005739E0"/>
    <w:rsid w:val="00587A6E"/>
    <w:rsid w:val="00590AD6"/>
    <w:rsid w:val="00594863"/>
    <w:rsid w:val="005A12C0"/>
    <w:rsid w:val="005A14AA"/>
    <w:rsid w:val="005A641D"/>
    <w:rsid w:val="005B0551"/>
    <w:rsid w:val="005B0F0C"/>
    <w:rsid w:val="005B2524"/>
    <w:rsid w:val="005B4343"/>
    <w:rsid w:val="005B5ABA"/>
    <w:rsid w:val="005B63C9"/>
    <w:rsid w:val="005C0CCD"/>
    <w:rsid w:val="005E12C5"/>
    <w:rsid w:val="005E24E5"/>
    <w:rsid w:val="005F0127"/>
    <w:rsid w:val="005F182F"/>
    <w:rsid w:val="005F2CBE"/>
    <w:rsid w:val="005F7F80"/>
    <w:rsid w:val="006028B6"/>
    <w:rsid w:val="00613E35"/>
    <w:rsid w:val="00617CC3"/>
    <w:rsid w:val="00622682"/>
    <w:rsid w:val="00622905"/>
    <w:rsid w:val="00622C34"/>
    <w:rsid w:val="00622F44"/>
    <w:rsid w:val="0062385B"/>
    <w:rsid w:val="006352E0"/>
    <w:rsid w:val="00646898"/>
    <w:rsid w:val="006504A6"/>
    <w:rsid w:val="00651DA1"/>
    <w:rsid w:val="0065385B"/>
    <w:rsid w:val="006552EC"/>
    <w:rsid w:val="00660336"/>
    <w:rsid w:val="0066359A"/>
    <w:rsid w:val="00666368"/>
    <w:rsid w:val="006734D0"/>
    <w:rsid w:val="00683C9B"/>
    <w:rsid w:val="006846FB"/>
    <w:rsid w:val="00685FEE"/>
    <w:rsid w:val="00686122"/>
    <w:rsid w:val="00686BFB"/>
    <w:rsid w:val="00697138"/>
    <w:rsid w:val="006A0569"/>
    <w:rsid w:val="006A1C39"/>
    <w:rsid w:val="006A1CCC"/>
    <w:rsid w:val="006B2A18"/>
    <w:rsid w:val="006B49F7"/>
    <w:rsid w:val="006B4ABF"/>
    <w:rsid w:val="006B69F2"/>
    <w:rsid w:val="006B78B8"/>
    <w:rsid w:val="006C0F36"/>
    <w:rsid w:val="006D12A6"/>
    <w:rsid w:val="006E068E"/>
    <w:rsid w:val="006E1737"/>
    <w:rsid w:val="006F61EC"/>
    <w:rsid w:val="00704070"/>
    <w:rsid w:val="00704CC8"/>
    <w:rsid w:val="007157C9"/>
    <w:rsid w:val="007218D5"/>
    <w:rsid w:val="00740806"/>
    <w:rsid w:val="00740B67"/>
    <w:rsid w:val="0074290B"/>
    <w:rsid w:val="00742FBB"/>
    <w:rsid w:val="007435C8"/>
    <w:rsid w:val="00747A78"/>
    <w:rsid w:val="00747EF1"/>
    <w:rsid w:val="007500E8"/>
    <w:rsid w:val="0075066E"/>
    <w:rsid w:val="0075076C"/>
    <w:rsid w:val="00751F93"/>
    <w:rsid w:val="00753BCC"/>
    <w:rsid w:val="007555C0"/>
    <w:rsid w:val="007643B8"/>
    <w:rsid w:val="007664F5"/>
    <w:rsid w:val="00771073"/>
    <w:rsid w:val="00774398"/>
    <w:rsid w:val="007748EF"/>
    <w:rsid w:val="00775C5F"/>
    <w:rsid w:val="0077780D"/>
    <w:rsid w:val="00781E02"/>
    <w:rsid w:val="0078360F"/>
    <w:rsid w:val="00784D17"/>
    <w:rsid w:val="0079552C"/>
    <w:rsid w:val="007A494A"/>
    <w:rsid w:val="007B0E45"/>
    <w:rsid w:val="007B277F"/>
    <w:rsid w:val="007B2EC7"/>
    <w:rsid w:val="007B54F7"/>
    <w:rsid w:val="007C0DEA"/>
    <w:rsid w:val="007C107C"/>
    <w:rsid w:val="007D04FC"/>
    <w:rsid w:val="007D0BDF"/>
    <w:rsid w:val="007D38E8"/>
    <w:rsid w:val="007D716D"/>
    <w:rsid w:val="007E4B88"/>
    <w:rsid w:val="007F37DD"/>
    <w:rsid w:val="007F5247"/>
    <w:rsid w:val="007F63FC"/>
    <w:rsid w:val="007F65DB"/>
    <w:rsid w:val="00802910"/>
    <w:rsid w:val="0081341C"/>
    <w:rsid w:val="00817BF8"/>
    <w:rsid w:val="00821A1F"/>
    <w:rsid w:val="00827B48"/>
    <w:rsid w:val="0083172B"/>
    <w:rsid w:val="008325BF"/>
    <w:rsid w:val="0084636F"/>
    <w:rsid w:val="008467CD"/>
    <w:rsid w:val="0086166F"/>
    <w:rsid w:val="008650A3"/>
    <w:rsid w:val="008720DD"/>
    <w:rsid w:val="008761E2"/>
    <w:rsid w:val="00882DDF"/>
    <w:rsid w:val="008834CA"/>
    <w:rsid w:val="008860A5"/>
    <w:rsid w:val="008860F7"/>
    <w:rsid w:val="00890DDD"/>
    <w:rsid w:val="00891A01"/>
    <w:rsid w:val="00891BDB"/>
    <w:rsid w:val="00893D92"/>
    <w:rsid w:val="008B22E2"/>
    <w:rsid w:val="008B3F87"/>
    <w:rsid w:val="008B5BC7"/>
    <w:rsid w:val="008C15D8"/>
    <w:rsid w:val="008C3B7E"/>
    <w:rsid w:val="008C6E26"/>
    <w:rsid w:val="008C7CE4"/>
    <w:rsid w:val="008D470D"/>
    <w:rsid w:val="008D6F33"/>
    <w:rsid w:val="008E48D7"/>
    <w:rsid w:val="008E596D"/>
    <w:rsid w:val="008E7861"/>
    <w:rsid w:val="008F29EE"/>
    <w:rsid w:val="008F2A59"/>
    <w:rsid w:val="00901962"/>
    <w:rsid w:val="00901AE2"/>
    <w:rsid w:val="009023EE"/>
    <w:rsid w:val="009054A1"/>
    <w:rsid w:val="009063CE"/>
    <w:rsid w:val="00915EBC"/>
    <w:rsid w:val="0091775C"/>
    <w:rsid w:val="009238BF"/>
    <w:rsid w:val="009317BF"/>
    <w:rsid w:val="0093379D"/>
    <w:rsid w:val="0094150D"/>
    <w:rsid w:val="00943348"/>
    <w:rsid w:val="00943CDB"/>
    <w:rsid w:val="00946190"/>
    <w:rsid w:val="00947385"/>
    <w:rsid w:val="00950204"/>
    <w:rsid w:val="00950B40"/>
    <w:rsid w:val="00964D9F"/>
    <w:rsid w:val="00971F1B"/>
    <w:rsid w:val="00975BEE"/>
    <w:rsid w:val="00983BEC"/>
    <w:rsid w:val="00984A50"/>
    <w:rsid w:val="009903C6"/>
    <w:rsid w:val="00995067"/>
    <w:rsid w:val="00996234"/>
    <w:rsid w:val="009A48DD"/>
    <w:rsid w:val="009A58BF"/>
    <w:rsid w:val="009A5A37"/>
    <w:rsid w:val="009A6CE5"/>
    <w:rsid w:val="009B101D"/>
    <w:rsid w:val="009B2BB2"/>
    <w:rsid w:val="009B36B2"/>
    <w:rsid w:val="009B59A7"/>
    <w:rsid w:val="009D2BE7"/>
    <w:rsid w:val="009D591A"/>
    <w:rsid w:val="009E3BFA"/>
    <w:rsid w:val="009E5BE2"/>
    <w:rsid w:val="009E655D"/>
    <w:rsid w:val="009F1FCA"/>
    <w:rsid w:val="009F324B"/>
    <w:rsid w:val="00A073F9"/>
    <w:rsid w:val="00A14052"/>
    <w:rsid w:val="00A14EBE"/>
    <w:rsid w:val="00A16226"/>
    <w:rsid w:val="00A1772B"/>
    <w:rsid w:val="00A203C9"/>
    <w:rsid w:val="00A21DBA"/>
    <w:rsid w:val="00A27610"/>
    <w:rsid w:val="00A413CF"/>
    <w:rsid w:val="00A41B56"/>
    <w:rsid w:val="00A43FCF"/>
    <w:rsid w:val="00A44799"/>
    <w:rsid w:val="00A46806"/>
    <w:rsid w:val="00A51E78"/>
    <w:rsid w:val="00A57086"/>
    <w:rsid w:val="00A63B2B"/>
    <w:rsid w:val="00A66E47"/>
    <w:rsid w:val="00A77540"/>
    <w:rsid w:val="00A81588"/>
    <w:rsid w:val="00A91321"/>
    <w:rsid w:val="00A91BA6"/>
    <w:rsid w:val="00AB1595"/>
    <w:rsid w:val="00AB6ADD"/>
    <w:rsid w:val="00AD2695"/>
    <w:rsid w:val="00AE4EFE"/>
    <w:rsid w:val="00AF0F1D"/>
    <w:rsid w:val="00AF1D77"/>
    <w:rsid w:val="00AF2BD6"/>
    <w:rsid w:val="00AF31A1"/>
    <w:rsid w:val="00AF6EFC"/>
    <w:rsid w:val="00B16C0C"/>
    <w:rsid w:val="00B22F51"/>
    <w:rsid w:val="00B267CA"/>
    <w:rsid w:val="00B30378"/>
    <w:rsid w:val="00B31324"/>
    <w:rsid w:val="00B3174E"/>
    <w:rsid w:val="00B342AE"/>
    <w:rsid w:val="00B34E19"/>
    <w:rsid w:val="00B53B90"/>
    <w:rsid w:val="00B550D4"/>
    <w:rsid w:val="00B64144"/>
    <w:rsid w:val="00B72AC3"/>
    <w:rsid w:val="00B77380"/>
    <w:rsid w:val="00B82F48"/>
    <w:rsid w:val="00B90B69"/>
    <w:rsid w:val="00B9533F"/>
    <w:rsid w:val="00BA1568"/>
    <w:rsid w:val="00BA1CF7"/>
    <w:rsid w:val="00BA578C"/>
    <w:rsid w:val="00BA6AC5"/>
    <w:rsid w:val="00BD0CB7"/>
    <w:rsid w:val="00BE0299"/>
    <w:rsid w:val="00BE367F"/>
    <w:rsid w:val="00BE4001"/>
    <w:rsid w:val="00BF1DA5"/>
    <w:rsid w:val="00BF5CD6"/>
    <w:rsid w:val="00C008F8"/>
    <w:rsid w:val="00C03F5F"/>
    <w:rsid w:val="00C068AD"/>
    <w:rsid w:val="00C101C0"/>
    <w:rsid w:val="00C115A2"/>
    <w:rsid w:val="00C1165A"/>
    <w:rsid w:val="00C1613D"/>
    <w:rsid w:val="00C17473"/>
    <w:rsid w:val="00C20208"/>
    <w:rsid w:val="00C214FB"/>
    <w:rsid w:val="00C23981"/>
    <w:rsid w:val="00C4096D"/>
    <w:rsid w:val="00C45260"/>
    <w:rsid w:val="00C454F7"/>
    <w:rsid w:val="00C60CB2"/>
    <w:rsid w:val="00C62F67"/>
    <w:rsid w:val="00C640DB"/>
    <w:rsid w:val="00C66DBA"/>
    <w:rsid w:val="00C74674"/>
    <w:rsid w:val="00C7478A"/>
    <w:rsid w:val="00C7533E"/>
    <w:rsid w:val="00C9193B"/>
    <w:rsid w:val="00C9765B"/>
    <w:rsid w:val="00CA2892"/>
    <w:rsid w:val="00CA3A3A"/>
    <w:rsid w:val="00CA657D"/>
    <w:rsid w:val="00CB5C86"/>
    <w:rsid w:val="00CB79B1"/>
    <w:rsid w:val="00CC2BA6"/>
    <w:rsid w:val="00CC440F"/>
    <w:rsid w:val="00CC45E7"/>
    <w:rsid w:val="00CC7568"/>
    <w:rsid w:val="00CD1EE4"/>
    <w:rsid w:val="00CD27AC"/>
    <w:rsid w:val="00CD2DE5"/>
    <w:rsid w:val="00CE1578"/>
    <w:rsid w:val="00CE598B"/>
    <w:rsid w:val="00CE6748"/>
    <w:rsid w:val="00CE7905"/>
    <w:rsid w:val="00CF3430"/>
    <w:rsid w:val="00CF5F0F"/>
    <w:rsid w:val="00CF6124"/>
    <w:rsid w:val="00D109C3"/>
    <w:rsid w:val="00D13885"/>
    <w:rsid w:val="00D166EF"/>
    <w:rsid w:val="00D16754"/>
    <w:rsid w:val="00D21A93"/>
    <w:rsid w:val="00D26AA3"/>
    <w:rsid w:val="00D27FB0"/>
    <w:rsid w:val="00D33A5C"/>
    <w:rsid w:val="00D36AB5"/>
    <w:rsid w:val="00D416E8"/>
    <w:rsid w:val="00D451B0"/>
    <w:rsid w:val="00D521FB"/>
    <w:rsid w:val="00D53BEF"/>
    <w:rsid w:val="00D54FA5"/>
    <w:rsid w:val="00D6050D"/>
    <w:rsid w:val="00D678F6"/>
    <w:rsid w:val="00D801CC"/>
    <w:rsid w:val="00D8068F"/>
    <w:rsid w:val="00D82BBC"/>
    <w:rsid w:val="00D84F5B"/>
    <w:rsid w:val="00D907B8"/>
    <w:rsid w:val="00D908B2"/>
    <w:rsid w:val="00D94634"/>
    <w:rsid w:val="00D94F84"/>
    <w:rsid w:val="00DA2E96"/>
    <w:rsid w:val="00DA3E2F"/>
    <w:rsid w:val="00DA4A29"/>
    <w:rsid w:val="00DA625E"/>
    <w:rsid w:val="00DA7BC7"/>
    <w:rsid w:val="00DA7BFD"/>
    <w:rsid w:val="00DB6251"/>
    <w:rsid w:val="00DC25A2"/>
    <w:rsid w:val="00DC49EF"/>
    <w:rsid w:val="00DD154B"/>
    <w:rsid w:val="00DD4D9D"/>
    <w:rsid w:val="00DD4ED9"/>
    <w:rsid w:val="00DD5DD6"/>
    <w:rsid w:val="00DF2052"/>
    <w:rsid w:val="00DF33E9"/>
    <w:rsid w:val="00DF4B65"/>
    <w:rsid w:val="00E02716"/>
    <w:rsid w:val="00E05B2D"/>
    <w:rsid w:val="00E126DE"/>
    <w:rsid w:val="00E14BF4"/>
    <w:rsid w:val="00E21269"/>
    <w:rsid w:val="00E267FE"/>
    <w:rsid w:val="00E26F5C"/>
    <w:rsid w:val="00E32C96"/>
    <w:rsid w:val="00E415D3"/>
    <w:rsid w:val="00E50802"/>
    <w:rsid w:val="00E55A16"/>
    <w:rsid w:val="00E61DA1"/>
    <w:rsid w:val="00E638A6"/>
    <w:rsid w:val="00E71010"/>
    <w:rsid w:val="00E71B0F"/>
    <w:rsid w:val="00E73A8D"/>
    <w:rsid w:val="00E749D4"/>
    <w:rsid w:val="00E82CA0"/>
    <w:rsid w:val="00E85D4C"/>
    <w:rsid w:val="00E87732"/>
    <w:rsid w:val="00EA07EA"/>
    <w:rsid w:val="00EA2E2A"/>
    <w:rsid w:val="00EA4144"/>
    <w:rsid w:val="00EA501E"/>
    <w:rsid w:val="00EB1067"/>
    <w:rsid w:val="00EB7403"/>
    <w:rsid w:val="00EC3F47"/>
    <w:rsid w:val="00EC5FD0"/>
    <w:rsid w:val="00ED1D54"/>
    <w:rsid w:val="00ED2F35"/>
    <w:rsid w:val="00EE7769"/>
    <w:rsid w:val="00EF4BEF"/>
    <w:rsid w:val="00EF5DAB"/>
    <w:rsid w:val="00F03249"/>
    <w:rsid w:val="00F072FA"/>
    <w:rsid w:val="00F1319B"/>
    <w:rsid w:val="00F13593"/>
    <w:rsid w:val="00F176BB"/>
    <w:rsid w:val="00F24D16"/>
    <w:rsid w:val="00F2547C"/>
    <w:rsid w:val="00F34087"/>
    <w:rsid w:val="00F35569"/>
    <w:rsid w:val="00F402D5"/>
    <w:rsid w:val="00F41DF3"/>
    <w:rsid w:val="00F4336E"/>
    <w:rsid w:val="00F442BA"/>
    <w:rsid w:val="00F57D45"/>
    <w:rsid w:val="00F65203"/>
    <w:rsid w:val="00F67446"/>
    <w:rsid w:val="00F735AF"/>
    <w:rsid w:val="00F76521"/>
    <w:rsid w:val="00F91132"/>
    <w:rsid w:val="00F929DD"/>
    <w:rsid w:val="00F965CE"/>
    <w:rsid w:val="00F968A7"/>
    <w:rsid w:val="00FA0FB1"/>
    <w:rsid w:val="00FB3017"/>
    <w:rsid w:val="00FB31E2"/>
    <w:rsid w:val="00FB524A"/>
    <w:rsid w:val="00FB5728"/>
    <w:rsid w:val="00FC4EC2"/>
    <w:rsid w:val="00FD57C3"/>
    <w:rsid w:val="00FD764A"/>
    <w:rsid w:val="00FE29A7"/>
    <w:rsid w:val="00FE4903"/>
    <w:rsid w:val="00FF6DCC"/>
    <w:rsid w:val="01CA660B"/>
    <w:rsid w:val="02BC7B6D"/>
    <w:rsid w:val="06DC7E68"/>
    <w:rsid w:val="087770FB"/>
    <w:rsid w:val="0A9C23F9"/>
    <w:rsid w:val="0AE65372"/>
    <w:rsid w:val="0C4B0730"/>
    <w:rsid w:val="0EBE6C6E"/>
    <w:rsid w:val="0EC82A4F"/>
    <w:rsid w:val="10A50573"/>
    <w:rsid w:val="127D06A6"/>
    <w:rsid w:val="12A40D16"/>
    <w:rsid w:val="136B3719"/>
    <w:rsid w:val="138F0A28"/>
    <w:rsid w:val="14C92527"/>
    <w:rsid w:val="17A175CE"/>
    <w:rsid w:val="19AB6A2A"/>
    <w:rsid w:val="1B1B31EA"/>
    <w:rsid w:val="223212B8"/>
    <w:rsid w:val="256F6916"/>
    <w:rsid w:val="26D414A4"/>
    <w:rsid w:val="27083BC3"/>
    <w:rsid w:val="2A6A057F"/>
    <w:rsid w:val="31277B65"/>
    <w:rsid w:val="34A20056"/>
    <w:rsid w:val="377F41C8"/>
    <w:rsid w:val="379933AF"/>
    <w:rsid w:val="39DD62B6"/>
    <w:rsid w:val="3BA903A6"/>
    <w:rsid w:val="3D606EA6"/>
    <w:rsid w:val="3E463F8E"/>
    <w:rsid w:val="3EDF0977"/>
    <w:rsid w:val="40960B8D"/>
    <w:rsid w:val="41EE2A1C"/>
    <w:rsid w:val="42BC3F9D"/>
    <w:rsid w:val="44F17D9B"/>
    <w:rsid w:val="46554D0F"/>
    <w:rsid w:val="488951E1"/>
    <w:rsid w:val="49AB0023"/>
    <w:rsid w:val="4B8F331D"/>
    <w:rsid w:val="4BBF67EB"/>
    <w:rsid w:val="4DA42E3E"/>
    <w:rsid w:val="4EA40C13"/>
    <w:rsid w:val="518944A6"/>
    <w:rsid w:val="52F67FD5"/>
    <w:rsid w:val="53A77A60"/>
    <w:rsid w:val="560E5041"/>
    <w:rsid w:val="57A8298D"/>
    <w:rsid w:val="5BDB115C"/>
    <w:rsid w:val="60834C63"/>
    <w:rsid w:val="61100E43"/>
    <w:rsid w:val="68FA5B84"/>
    <w:rsid w:val="69752A46"/>
    <w:rsid w:val="6ACA20F9"/>
    <w:rsid w:val="6B58033A"/>
    <w:rsid w:val="6C08061D"/>
    <w:rsid w:val="7005222D"/>
    <w:rsid w:val="71F338C1"/>
    <w:rsid w:val="771A1539"/>
    <w:rsid w:val="79290E93"/>
    <w:rsid w:val="7B67369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qFormat="1" w:unhideWhenUsed="0" w:uiPriority="99" w:name="Colorful Shading Accent 1"/>
    <w:lsdException w:qFormat="1"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5">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Document Map"/>
    <w:basedOn w:val="1"/>
    <w:link w:val="20"/>
    <w:qFormat/>
    <w:uiPriority w:val="0"/>
    <w:rPr>
      <w:rFonts w:ascii="宋体"/>
      <w:sz w:val="18"/>
      <w:szCs w:val="18"/>
    </w:rPr>
  </w:style>
  <w:style w:type="paragraph" w:styleId="4">
    <w:name w:val="annotation text"/>
    <w:basedOn w:val="1"/>
    <w:link w:val="22"/>
    <w:qFormat/>
    <w:uiPriority w:val="0"/>
    <w:pPr>
      <w:jc w:val="left"/>
    </w:pPr>
  </w:style>
  <w:style w:type="paragraph" w:styleId="5">
    <w:name w:val="Body Text Indent"/>
    <w:basedOn w:val="1"/>
    <w:qFormat/>
    <w:uiPriority w:val="0"/>
    <w:pPr>
      <w:ind w:firstLine="420"/>
    </w:pPr>
    <w:rPr>
      <w:rFonts w:ascii="宋体" w:cs="宋体"/>
      <w:sz w:val="20"/>
    </w:rPr>
  </w:style>
  <w:style w:type="paragraph" w:styleId="6">
    <w:name w:val="Balloon Text"/>
    <w:basedOn w:val="1"/>
    <w:link w:val="21"/>
    <w:qFormat/>
    <w:uiPriority w:val="0"/>
    <w:rPr>
      <w:rFonts w:ascii="Heiti SC Light" w:eastAsia="Heiti SC Light"/>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0">
    <w:name w:val="annotation subject"/>
    <w:basedOn w:val="4"/>
    <w:next w:val="4"/>
    <w:link w:val="19"/>
    <w:qFormat/>
    <w:uiPriority w:val="0"/>
    <w:rPr>
      <w:b/>
      <w:bCs/>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
    <w:name w:val="Colorful Shading Accent 1"/>
    <w:semiHidden/>
    <w:qFormat/>
    <w:uiPriority w:val="99"/>
    <w:rPr>
      <w:kern w:val="2"/>
      <w:sz w:val="21"/>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CellMar>
        <w:top w:w="0" w:type="dxa"/>
        <w:left w:w="0" w:type="dxa"/>
        <w:bottom w:w="0" w:type="dxa"/>
        <w:right w:w="0" w:type="dxa"/>
      </w:tblCellMar>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4">
    <w:name w:val="Colorful List Accent 1"/>
    <w:qFormat/>
    <w:uiPriority w:val="72"/>
    <w:pPr>
      <w:ind w:firstLine="420" w:firstLineChars="200"/>
    </w:pPr>
    <w:rPr>
      <w:color w:val="000000"/>
    </w:rPr>
    <w:tblPr>
      <w:tblCellMar>
        <w:top w:w="0" w:type="dxa"/>
        <w:left w:w="0" w:type="dxa"/>
        <w:bottom w:w="0" w:type="dxa"/>
        <w:right w:w="0" w:type="dxa"/>
      </w:tblCellMar>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16">
    <w:name w:val="page number"/>
    <w:basedOn w:val="15"/>
    <w:qFormat/>
    <w:uiPriority w:val="0"/>
  </w:style>
  <w:style w:type="character" w:styleId="17">
    <w:name w:val="Hyperlink"/>
    <w:unhideWhenUsed/>
    <w:qFormat/>
    <w:uiPriority w:val="99"/>
    <w:rPr>
      <w:color w:val="333333"/>
      <w:u w:val="none"/>
    </w:rPr>
  </w:style>
  <w:style w:type="character" w:styleId="18">
    <w:name w:val="annotation reference"/>
    <w:qFormat/>
    <w:uiPriority w:val="0"/>
    <w:rPr>
      <w:sz w:val="21"/>
      <w:szCs w:val="21"/>
    </w:rPr>
  </w:style>
  <w:style w:type="character" w:customStyle="1" w:styleId="19">
    <w:name w:val="批注主题 字符"/>
    <w:link w:val="10"/>
    <w:qFormat/>
    <w:uiPriority w:val="0"/>
    <w:rPr>
      <w:b/>
      <w:bCs/>
      <w:kern w:val="2"/>
      <w:sz w:val="21"/>
    </w:rPr>
  </w:style>
  <w:style w:type="character" w:customStyle="1" w:styleId="20">
    <w:name w:val="文档结构图 字符"/>
    <w:link w:val="3"/>
    <w:qFormat/>
    <w:uiPriority w:val="0"/>
    <w:rPr>
      <w:rFonts w:ascii="宋体"/>
      <w:kern w:val="2"/>
      <w:sz w:val="18"/>
      <w:szCs w:val="18"/>
    </w:rPr>
  </w:style>
  <w:style w:type="character" w:customStyle="1" w:styleId="21">
    <w:name w:val="批注框文本 字符"/>
    <w:link w:val="6"/>
    <w:qFormat/>
    <w:uiPriority w:val="0"/>
    <w:rPr>
      <w:rFonts w:ascii="Heiti SC Light" w:eastAsia="Heiti SC Light"/>
      <w:kern w:val="2"/>
      <w:sz w:val="18"/>
      <w:szCs w:val="18"/>
    </w:rPr>
  </w:style>
  <w:style w:type="character" w:customStyle="1" w:styleId="22">
    <w:name w:val="批注文字 字符"/>
    <w:link w:val="4"/>
    <w:qFormat/>
    <w:uiPriority w:val="0"/>
    <w:rPr>
      <w:kern w:val="2"/>
      <w:sz w:val="21"/>
    </w:rPr>
  </w:style>
  <w:style w:type="paragraph" w:customStyle="1" w:styleId="23">
    <w:name w:val="p0"/>
    <w:basedOn w:val="1"/>
    <w:qFormat/>
    <w:uiPriority w:val="0"/>
    <w:rPr>
      <w:rFonts w:ascii="宋体" w:hAnsi="宋体" w:cs="宋体"/>
      <w:sz w:val="24"/>
      <w:szCs w:val="24"/>
    </w:rPr>
  </w:style>
  <w:style w:type="paragraph" w:customStyle="1" w:styleId="24">
    <w:name w:val="彩色列表 - 强调文字颜色 11"/>
    <w:basedOn w:val="1"/>
    <w:qFormat/>
    <w:uiPriority w:val="0"/>
    <w:pPr>
      <w:ind w:firstLine="420" w:firstLineChars="200"/>
    </w:pPr>
  </w:style>
  <w:style w:type="paragraph" w:styleId="25">
    <w:name w:val="List Paragraph"/>
    <w:basedOn w:val="1"/>
    <w:qFormat/>
    <w:uiPriority w:val="34"/>
    <w:pPr>
      <w:ind w:firstLine="420" w:firstLineChars="200"/>
    </w:pPr>
    <w:rPr>
      <w:szCs w:val="24"/>
    </w:rPr>
  </w:style>
  <w:style w:type="paragraph" w:customStyle="1" w:styleId="26">
    <w:name w:val="修订1"/>
    <w:hidden/>
    <w:semiHidden/>
    <w:qFormat/>
    <w:uiPriority w:val="99"/>
    <w:rPr>
      <w:rFonts w:ascii="Times New Roman" w:hAnsi="Times New Roman" w:eastAsia="宋体" w:cs="Times New Roman"/>
      <w:kern w:val="2"/>
      <w:sz w:val="21"/>
      <w:lang w:val="en-US" w:eastAsia="zh-CN" w:bidi="ar-SA"/>
    </w:rPr>
  </w:style>
  <w:style w:type="paragraph" w:customStyle="1" w:styleId="27">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4092</Words>
  <Characters>4336</Characters>
  <Lines>25</Lines>
  <Paragraphs>7</Paragraphs>
  <TotalTime>3</TotalTime>
  <ScaleCrop>false</ScaleCrop>
  <LinksUpToDate>false</LinksUpToDate>
  <CharactersWithSpaces>4653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2024-12-13T04:45:00Z</dcterms:created>
  <dc:creator>iplayer</dc:creator>
  <cp:lastModifiedBy>LiuQi</cp:lastModifiedBy>
  <cp:lastPrinted>2023-12-22T09:08:00Z</cp:lastPrinted>
  <dcterms:modified xsi:type="dcterms:W3CDTF">2025-12-16T10:44:39Z</dcterms:modified>
  <dc:title>软件运维合同</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EDD4ECF96A5E46C180B0224D8CCA59CF_13</vt:lpwstr>
  </property>
  <property fmtid="{D5CDD505-2E9C-101B-9397-08002B2CF9AE}" pid="4" name="KSOTemplateDocerSaveRecord">
    <vt:lpwstr>eyJoZGlkIjoiNmMzODEwYzI4MDNjMmVmODg5MTE0OTM5NDBkMWJlZDQiLCJ1c2VySWQiOiI0NTQzMjc1MTkifQ==</vt:lpwstr>
  </property>
</Properties>
</file>