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863B3">
      <w:pPr>
        <w:spacing w:line="360" w:lineRule="auto"/>
        <w:rPr>
          <w:color w:val="auto"/>
        </w:rPr>
      </w:pPr>
    </w:p>
    <w:p w14:paraId="4DDFCEDB">
      <w:pPr>
        <w:spacing w:line="360" w:lineRule="auto"/>
        <w:jc w:val="right"/>
        <w:rPr>
          <w:color w:val="auto"/>
        </w:rPr>
      </w:pPr>
      <w:r>
        <w:rPr>
          <w:rFonts w:ascii="宋体" w:hAnsi="宋体" w:eastAsia="宋体"/>
          <w:b w:val="0"/>
          <w:color w:val="auto"/>
          <w:sz w:val="28"/>
        </w:rPr>
        <w:t>合同编号：【　　　　　　】</w:t>
      </w:r>
    </w:p>
    <w:p w14:paraId="306AE256">
      <w:pPr>
        <w:spacing w:line="360" w:lineRule="auto"/>
        <w:rPr>
          <w:color w:val="auto"/>
        </w:rPr>
      </w:pPr>
    </w:p>
    <w:p w14:paraId="1BC81CE6">
      <w:pPr>
        <w:spacing w:line="360" w:lineRule="auto"/>
        <w:jc w:val="center"/>
        <w:rPr>
          <w:rFonts w:hint="eastAsia" w:ascii="方正公文小标宋" w:hAnsi="方正公文小标宋" w:eastAsia="方正公文小标宋" w:cs="方正公文小标宋"/>
          <w:b/>
          <w:color w:val="auto"/>
          <w:sz w:val="44"/>
          <w:lang w:val="en-US" w:eastAsia="zh-CN"/>
        </w:rPr>
      </w:pPr>
      <w:r>
        <w:rPr>
          <w:rFonts w:hint="eastAsia" w:ascii="方正公文小标宋" w:hAnsi="方正公文小标宋" w:eastAsia="方正公文小标宋" w:cs="方正公文小标宋"/>
          <w:b/>
          <w:color w:val="auto"/>
          <w:sz w:val="44"/>
          <w:lang w:val="en-US" w:eastAsia="zh-CN"/>
        </w:rPr>
        <w:t>2026-2027年展示交流中心</w:t>
      </w:r>
    </w:p>
    <w:p w14:paraId="738E0127">
      <w:pPr>
        <w:spacing w:line="360" w:lineRule="auto"/>
        <w:jc w:val="center"/>
        <w:rPr>
          <w:rFonts w:hint="default"/>
          <w:color w:val="auto"/>
          <w:lang w:val="en-US"/>
        </w:rPr>
      </w:pPr>
      <w:r>
        <w:rPr>
          <w:rFonts w:hint="eastAsia" w:ascii="方正公文小标宋" w:hAnsi="方正公文小标宋" w:eastAsia="方正公文小标宋" w:cs="方正公文小标宋"/>
          <w:b/>
          <w:color w:val="auto"/>
          <w:sz w:val="44"/>
          <w:lang w:val="en-US" w:eastAsia="zh-CN"/>
        </w:rPr>
        <w:t>保洁、绿植租摆服务合同</w:t>
      </w:r>
    </w:p>
    <w:p w14:paraId="62BCF0D6">
      <w:pPr>
        <w:spacing w:line="360" w:lineRule="auto"/>
        <w:rPr>
          <w:color w:val="auto"/>
        </w:rPr>
      </w:pPr>
    </w:p>
    <w:p w14:paraId="55CFE118">
      <w:pPr>
        <w:spacing w:line="360" w:lineRule="auto"/>
        <w:rPr>
          <w:color w:val="auto"/>
        </w:rPr>
      </w:pPr>
    </w:p>
    <w:p w14:paraId="6C9449F3">
      <w:pPr>
        <w:spacing w:line="360" w:lineRule="auto"/>
        <w:rPr>
          <w:color w:val="auto"/>
        </w:rPr>
      </w:pPr>
    </w:p>
    <w:p w14:paraId="3AB9016C">
      <w:pPr>
        <w:spacing w:line="360" w:lineRule="auto"/>
        <w:rPr>
          <w:color w:val="auto"/>
        </w:rPr>
      </w:pPr>
    </w:p>
    <w:p w14:paraId="3D842526">
      <w:pPr>
        <w:spacing w:line="360" w:lineRule="auto"/>
        <w:rPr>
          <w:color w:val="auto"/>
        </w:rPr>
      </w:pPr>
    </w:p>
    <w:p w14:paraId="10147EB0">
      <w:pPr>
        <w:spacing w:line="360" w:lineRule="auto"/>
        <w:rPr>
          <w:color w:val="auto"/>
        </w:rPr>
      </w:pPr>
    </w:p>
    <w:p w14:paraId="1A24639B">
      <w:pPr>
        <w:spacing w:line="360" w:lineRule="auto"/>
        <w:rPr>
          <w:rFonts w:hint="eastAsia" w:ascii="仿宋" w:hAnsi="仿宋" w:eastAsia="仿宋" w:cs="仿宋"/>
          <w:color w:val="auto"/>
          <w:sz w:val="32"/>
          <w:szCs w:val="32"/>
        </w:rPr>
      </w:pPr>
    </w:p>
    <w:p w14:paraId="5668A10D">
      <w:pPr>
        <w:spacing w:line="360" w:lineRule="auto"/>
        <w:jc w:val="left"/>
        <w:rPr>
          <w:rFonts w:hint="eastAsia" w:ascii="仿宋" w:hAnsi="仿宋" w:eastAsia="仿宋" w:cs="仿宋"/>
          <w:color w:val="auto"/>
          <w:sz w:val="32"/>
          <w:szCs w:val="32"/>
        </w:rPr>
      </w:pPr>
      <w:r>
        <w:rPr>
          <w:rFonts w:hint="eastAsia" w:ascii="仿宋" w:hAnsi="仿宋" w:eastAsia="仿宋" w:cs="仿宋"/>
          <w:b w:val="0"/>
          <w:color w:val="auto"/>
          <w:sz w:val="32"/>
          <w:szCs w:val="32"/>
        </w:rPr>
        <w:t>甲方：深圳深港科技创新合作区发展有限公司</w:t>
      </w:r>
    </w:p>
    <w:p w14:paraId="5C69D7FD">
      <w:pPr>
        <w:spacing w:line="360" w:lineRule="auto"/>
        <w:jc w:val="left"/>
        <w:rPr>
          <w:rFonts w:hint="eastAsia" w:ascii="仿宋" w:hAnsi="仿宋" w:eastAsia="仿宋" w:cs="仿宋"/>
          <w:color w:val="auto"/>
          <w:sz w:val="32"/>
          <w:szCs w:val="32"/>
        </w:rPr>
      </w:pPr>
      <w:r>
        <w:rPr>
          <w:rFonts w:hint="eastAsia" w:ascii="仿宋" w:hAnsi="仿宋" w:eastAsia="仿宋" w:cs="仿宋"/>
          <w:b w:val="0"/>
          <w:color w:val="auto"/>
          <w:sz w:val="32"/>
          <w:szCs w:val="32"/>
        </w:rPr>
        <w:t>乙方：【中标单位名称】</w:t>
      </w:r>
    </w:p>
    <w:p w14:paraId="28B32F5A">
      <w:pPr>
        <w:spacing w:line="360" w:lineRule="auto"/>
        <w:rPr>
          <w:rFonts w:hint="eastAsia" w:ascii="仿宋" w:hAnsi="仿宋" w:eastAsia="仿宋" w:cs="仿宋"/>
          <w:color w:val="auto"/>
          <w:sz w:val="32"/>
          <w:szCs w:val="32"/>
        </w:rPr>
      </w:pPr>
    </w:p>
    <w:p w14:paraId="06684605">
      <w:pPr>
        <w:spacing w:line="360" w:lineRule="auto"/>
        <w:jc w:val="center"/>
        <w:rPr>
          <w:rFonts w:hint="eastAsia" w:ascii="仿宋" w:hAnsi="仿宋" w:eastAsia="仿宋" w:cs="仿宋"/>
          <w:color w:val="auto"/>
          <w:sz w:val="32"/>
          <w:szCs w:val="32"/>
        </w:rPr>
      </w:pPr>
      <w:r>
        <w:rPr>
          <w:rFonts w:hint="eastAsia" w:ascii="仿宋" w:hAnsi="仿宋" w:eastAsia="仿宋" w:cs="仿宋"/>
          <w:b w:val="0"/>
          <w:color w:val="auto"/>
          <w:sz w:val="32"/>
          <w:szCs w:val="32"/>
        </w:rPr>
        <w:t>日期：　　　　年　　月　　日</w:t>
      </w:r>
    </w:p>
    <w:p w14:paraId="1BAB7902">
      <w:pPr>
        <w:rPr>
          <w:color w:val="auto"/>
        </w:rPr>
      </w:pPr>
      <w:r>
        <w:rPr>
          <w:color w:val="auto"/>
        </w:rPr>
        <w:br w:type="page"/>
      </w:r>
    </w:p>
    <w:p w14:paraId="58325DA8">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甲方：深圳深港科技创新合作区发展有限公司</w:t>
      </w:r>
    </w:p>
    <w:p w14:paraId="61CE3269">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法定代表人：</w:t>
      </w:r>
      <w:r>
        <w:rPr>
          <w:rFonts w:hint="default" w:ascii="仿宋" w:hAnsi="仿宋" w:eastAsia="仿宋" w:cs="仿宋"/>
          <w:b w:val="0"/>
          <w:color w:val="auto"/>
          <w:sz w:val="32"/>
          <w:szCs w:val="32"/>
          <w:woUserID w:val="1"/>
        </w:rPr>
        <w:t>吴寅骁</w:t>
      </w:r>
    </w:p>
    <w:p w14:paraId="18088CA3">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联系方式：82772373</w:t>
      </w:r>
    </w:p>
    <w:p w14:paraId="5E5CB2A2">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地址：深圳市福田区福保街道桃花路3号国电科技现代物流中心2栋7层</w:t>
      </w:r>
    </w:p>
    <w:p w14:paraId="71C133BD">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p>
    <w:p w14:paraId="7D2F5060">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乙方：【中标单位名称】</w:t>
      </w:r>
    </w:p>
    <w:p w14:paraId="4A373478">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法定代表人：【　　　　】</w:t>
      </w:r>
    </w:p>
    <w:p w14:paraId="276A9D56">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联系方式：【　　　　】</w:t>
      </w:r>
    </w:p>
    <w:p w14:paraId="2137791C">
      <w:pPr>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地址：【　　　　】</w:t>
      </w:r>
    </w:p>
    <w:p w14:paraId="01ACEF4B">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color w:val="auto"/>
          <w:sz w:val="32"/>
          <w:szCs w:val="32"/>
        </w:rPr>
      </w:pPr>
    </w:p>
    <w:p w14:paraId="34021A62">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河套深港科技创新合作区展示交流中心位于福田保税区长富金茂大厦1号楼44层，面积约2300平方米。作为深港科技创新合作区的重要展示窗口和对外交流平台，承担着政务接待、成果展示、交流合作、贵宾接待等重要功能。</w:t>
      </w:r>
    </w:p>
    <w:p w14:paraId="7BDE937F">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根据《中华人民共和国民法典》及相关法律法规，就乙方为河套深港科技创新合作区展示交流中心提供保洁服务及绿植租摆养护服务等事宜，经双方协商一致，订立本合同。</w:t>
      </w:r>
    </w:p>
    <w:p w14:paraId="169707CF">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第一条　服务内容</w:t>
      </w:r>
    </w:p>
    <w:p w14:paraId="1AC79984">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color w:val="auto"/>
          <w:sz w:val="32"/>
          <w:szCs w:val="32"/>
        </w:rPr>
      </w:pPr>
      <w:r>
        <w:rPr>
          <w:rFonts w:hint="eastAsia" w:ascii="仿宋" w:hAnsi="仿宋" w:eastAsia="仿宋" w:cs="仿宋"/>
          <w:b w:val="0"/>
          <w:color w:val="auto"/>
          <w:sz w:val="32"/>
          <w:szCs w:val="32"/>
        </w:rPr>
        <w:t>乙方按照本合同的约定，为甲方提供以下服务：</w:t>
      </w:r>
    </w:p>
    <w:p w14:paraId="21393847">
      <w:pPr>
        <w:pageBreakBefore w:val="0"/>
        <w:widowControl/>
        <w:kinsoku/>
        <w:wordWrap/>
        <w:overflowPunct/>
        <w:topLinePunct w:val="0"/>
        <w:autoSpaceDE/>
        <w:autoSpaceDN/>
        <w:bidi w:val="0"/>
        <w:adjustRightInd/>
        <w:snapToGrid/>
        <w:spacing w:after="0" w:line="560" w:lineRule="exact"/>
        <w:ind w:firstLine="643" w:firstLineChars="200"/>
        <w:jc w:val="left"/>
        <w:textAlignment w:val="auto"/>
        <w:rPr>
          <w:color w:val="auto"/>
          <w:sz w:val="32"/>
          <w:szCs w:val="32"/>
        </w:rPr>
      </w:pPr>
      <w:r>
        <w:rPr>
          <w:rFonts w:ascii="宋体" w:hAnsi="宋体" w:eastAsia="宋体"/>
          <w:b/>
          <w:color w:val="auto"/>
          <w:sz w:val="32"/>
          <w:szCs w:val="32"/>
        </w:rPr>
        <w:t>一、保洁服务</w:t>
      </w:r>
    </w:p>
    <w:p w14:paraId="1F00600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1. 长富金茂大厦1号楼44层河套深港科技创新合作区展示交流中心日常保洁，保洁面积约2300平方米。</w:t>
      </w:r>
    </w:p>
    <w:p w14:paraId="33A0698E">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2. 长富金茂大厦1号楼44层河套深港科技创新合作区展示交流中心幕墙玻璃清洗（整层3次/年，四面6次/年）。</w:t>
      </w:r>
    </w:p>
    <w:p w14:paraId="0667BFF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3. 长富金茂大厦1号楼44层河套深港科技创新合作区展示交流中心地毯深度清洁，地毯保洁面积约1900平方米，每年安排2次。</w:t>
      </w:r>
    </w:p>
    <w:p w14:paraId="51959F05">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color w:val="auto"/>
          <w:sz w:val="32"/>
          <w:szCs w:val="32"/>
        </w:rPr>
      </w:pPr>
      <w:r>
        <w:rPr>
          <w:rFonts w:hint="eastAsia" w:ascii="仿宋" w:hAnsi="仿宋" w:eastAsia="仿宋" w:cs="仿宋"/>
          <w:b w:val="0"/>
          <w:color w:val="auto"/>
          <w:sz w:val="32"/>
          <w:szCs w:val="32"/>
        </w:rPr>
        <w:t>4. 长富金茂大厦1号楼44层河套深港科技创新合作区展示交流中心四害消杀，每月安排1次。</w:t>
      </w:r>
    </w:p>
    <w:p w14:paraId="3765EA66">
      <w:pPr>
        <w:pageBreakBefore w:val="0"/>
        <w:widowControl/>
        <w:kinsoku/>
        <w:wordWrap/>
        <w:overflowPunct/>
        <w:topLinePunct w:val="0"/>
        <w:autoSpaceDE/>
        <w:autoSpaceDN/>
        <w:bidi w:val="0"/>
        <w:adjustRightInd/>
        <w:snapToGrid/>
        <w:spacing w:after="0" w:line="560" w:lineRule="exact"/>
        <w:ind w:firstLine="643" w:firstLineChars="200"/>
        <w:jc w:val="left"/>
        <w:textAlignment w:val="auto"/>
        <w:rPr>
          <w:color w:val="auto"/>
          <w:sz w:val="32"/>
          <w:szCs w:val="32"/>
        </w:rPr>
      </w:pPr>
      <w:r>
        <w:rPr>
          <w:rFonts w:ascii="宋体" w:hAnsi="宋体" w:eastAsia="宋体"/>
          <w:b/>
          <w:color w:val="auto"/>
          <w:sz w:val="32"/>
          <w:szCs w:val="32"/>
        </w:rPr>
        <w:t>二、绿植租摆养护服务</w:t>
      </w:r>
    </w:p>
    <w:p w14:paraId="71C48866">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1. 按照甲方要求及本合同附件《绿植摆放清单》提供绿植花卉租摆服务，摆放于展示交流中心指定位置。</w:t>
      </w:r>
    </w:p>
    <w:p w14:paraId="77265544">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2. 负责绿植的日常养护管理，包括浇水、施肥、修剪、清洁叶面、病虫害防治等。</w:t>
      </w:r>
    </w:p>
    <w:p w14:paraId="40D806C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3. 及时更换枯死、病害或观赏效果不佳的绿植，确保良好的展示效果。</w:t>
      </w:r>
    </w:p>
    <w:p w14:paraId="1686EBE7">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default" w:ascii="仿宋" w:hAnsi="仿宋" w:eastAsia="仿宋" w:cs="仿宋"/>
          <w:b w:val="0"/>
          <w:color w:val="auto"/>
          <w:sz w:val="32"/>
          <w:szCs w:val="32"/>
          <w:woUserID w:val="1"/>
        </w:rPr>
      </w:pPr>
      <w:r>
        <w:rPr>
          <w:rFonts w:hint="default" w:ascii="仿宋" w:hAnsi="仿宋" w:eastAsia="仿宋" w:cs="仿宋"/>
          <w:b w:val="0"/>
          <w:color w:val="auto"/>
          <w:sz w:val="32"/>
          <w:szCs w:val="32"/>
          <w:woUserID w:val="1"/>
        </w:rPr>
        <w:t>4.甲方有权要求根据现场实际情况更换同等价位不同品种的绿植，乙方不得要求额外增加服务费用。</w:t>
      </w:r>
    </w:p>
    <w:p w14:paraId="39EB9303">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第二条　服务期限</w:t>
      </w:r>
    </w:p>
    <w:p w14:paraId="248879FC">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服务期限</w:t>
      </w:r>
      <w:r>
        <w:rPr>
          <w:rFonts w:hint="eastAsia" w:ascii="仿宋" w:hAnsi="仿宋" w:eastAsia="仿宋" w:cs="仿宋"/>
          <w:b w:val="0"/>
          <w:bCs w:val="0"/>
          <w:color w:val="auto"/>
          <w:sz w:val="32"/>
          <w:szCs w:val="32"/>
          <w:lang w:val="en-US" w:eastAsia="zh-CN"/>
        </w:rPr>
        <w:t>自2026年8月1日起至2027年7月31日止</w:t>
      </w:r>
      <w:r>
        <w:rPr>
          <w:rFonts w:hint="eastAsia" w:ascii="仿宋" w:hAnsi="仿宋" w:eastAsia="仿宋" w:cs="仿宋"/>
          <w:b w:val="0"/>
          <w:color w:val="auto"/>
          <w:sz w:val="32"/>
          <w:szCs w:val="32"/>
        </w:rPr>
        <w:t>，共计1年。合同期满前一个月，由甲方对乙方进行履约评价（详见附件《履约评价表》），评价结果为良好及以上的，在符合甲方采购政策的前提下，双方可协商续签合同，单次延长时间不超过1年。</w:t>
      </w:r>
    </w:p>
    <w:p w14:paraId="050D430A">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其中，绿植租摆服务开始时间为</w:t>
      </w:r>
      <w:r>
        <w:rPr>
          <w:rFonts w:hint="eastAsia" w:ascii="仿宋" w:hAnsi="仿宋" w:eastAsia="仿宋" w:cs="仿宋"/>
          <w:b w:val="0"/>
          <w:bCs w:val="0"/>
          <w:color w:val="auto"/>
          <w:sz w:val="32"/>
          <w:szCs w:val="32"/>
          <w:lang w:val="en-US" w:eastAsia="zh-CN"/>
        </w:rPr>
        <w:t>2026年8月8日起。另外，</w:t>
      </w:r>
      <w:r>
        <w:rPr>
          <w:rFonts w:hint="eastAsia" w:ascii="仿宋" w:hAnsi="仿宋" w:eastAsia="仿宋" w:cs="仿宋"/>
          <w:b w:val="0"/>
          <w:color w:val="auto"/>
          <w:sz w:val="32"/>
          <w:szCs w:val="32"/>
          <w:lang w:val="en-US" w:eastAsia="zh-CN"/>
        </w:rPr>
        <w:t>甲方有权视业务实际需求单方面提前终止本合同，此行为不视为甲方违约。甲方行使前述权利的，应提前3个工作日通知乙方。本合同提前终止的，双方应根据乙方提供服务天数占原应服务天数之比例，据实结算费用</w:t>
      </w:r>
    </w:p>
    <w:p w14:paraId="0FF078C6">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第三条　服务要求</w:t>
      </w:r>
    </w:p>
    <w:p w14:paraId="750740BB">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color w:val="auto"/>
          <w:sz w:val="32"/>
          <w:szCs w:val="32"/>
        </w:rPr>
      </w:pPr>
      <w:r>
        <w:rPr>
          <w:rFonts w:hint="eastAsia" w:ascii="仿宋" w:hAnsi="仿宋" w:eastAsia="仿宋" w:cs="仿宋"/>
          <w:b w:val="0"/>
          <w:color w:val="auto"/>
          <w:sz w:val="32"/>
          <w:szCs w:val="32"/>
          <w:lang w:val="en-US" w:eastAsia="zh-CN"/>
        </w:rPr>
        <w:t>乙方按照本合同的约定，安排配置保洁服务人员（以下简称“服务人员”），根据甲方提出的要求，对本合同约定的服务区域提供达标服务。具体要求如下：</w:t>
      </w:r>
    </w:p>
    <w:p w14:paraId="4BA58C2B">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ascii="宋体" w:hAnsi="宋体" w:eastAsia="宋体"/>
          <w:b/>
          <w:color w:val="auto"/>
          <w:sz w:val="32"/>
          <w:szCs w:val="32"/>
        </w:rPr>
        <w:t>一、人员配置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2767"/>
        <w:gridCol w:w="2767"/>
      </w:tblGrid>
      <w:tr w14:paraId="529C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shd w:val="clear" w:color="auto" w:fill="D9E2F3"/>
          </w:tcPr>
          <w:p w14:paraId="48ED9A8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岗位</w:t>
            </w:r>
          </w:p>
        </w:tc>
        <w:tc>
          <w:tcPr>
            <w:tcW w:w="2767" w:type="dxa"/>
            <w:shd w:val="clear" w:color="auto" w:fill="D9E2F3"/>
          </w:tcPr>
          <w:p w14:paraId="7307EA5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人数</w:t>
            </w:r>
          </w:p>
        </w:tc>
        <w:tc>
          <w:tcPr>
            <w:tcW w:w="2767" w:type="dxa"/>
            <w:shd w:val="clear" w:color="auto" w:fill="D9E2F3"/>
          </w:tcPr>
          <w:p w14:paraId="07AA61B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岗位要求</w:t>
            </w:r>
          </w:p>
        </w:tc>
      </w:tr>
      <w:tr w14:paraId="711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tcPr>
          <w:p w14:paraId="16BF263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保洁员</w:t>
            </w:r>
          </w:p>
        </w:tc>
        <w:tc>
          <w:tcPr>
            <w:tcW w:w="2767" w:type="dxa"/>
          </w:tcPr>
          <w:p w14:paraId="34AC04A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不少于1人</w:t>
            </w:r>
          </w:p>
        </w:tc>
        <w:tc>
          <w:tcPr>
            <w:tcW w:w="2767" w:type="dxa"/>
          </w:tcPr>
          <w:p w14:paraId="5D17487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身体健康，责任心强，熟悉政务场馆保洁标准，服从排班管理。</w:t>
            </w:r>
          </w:p>
        </w:tc>
      </w:tr>
    </w:tbl>
    <w:p w14:paraId="1086E7F8">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0F6B14DF">
      <w:pPr>
        <w:pageBreakBefore w:val="0"/>
        <w:widowControl/>
        <w:kinsoku/>
        <w:wordWrap/>
        <w:overflowPunct/>
        <w:topLinePunct w:val="0"/>
        <w:autoSpaceDE/>
        <w:autoSpaceDN/>
        <w:bidi w:val="0"/>
        <w:adjustRightInd/>
        <w:snapToGrid/>
        <w:spacing w:after="0" w:line="560" w:lineRule="exact"/>
        <w:ind w:firstLine="643" w:firstLineChars="200"/>
        <w:jc w:val="left"/>
        <w:textAlignment w:val="auto"/>
        <w:rPr>
          <w:color w:val="auto"/>
          <w:sz w:val="32"/>
          <w:szCs w:val="32"/>
        </w:rPr>
      </w:pPr>
      <w:r>
        <w:rPr>
          <w:rFonts w:ascii="宋体" w:hAnsi="宋体" w:eastAsia="宋体"/>
          <w:b/>
          <w:color w:val="auto"/>
          <w:sz w:val="32"/>
          <w:szCs w:val="32"/>
        </w:rPr>
        <w:t>二、保洁服务标准</w:t>
      </w:r>
    </w:p>
    <w:p w14:paraId="4E37DDDE">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每日全面清洁不少于1次，巡回保洁保持环境整洁。垃圾日产日清，卫生间无异味、无污渍。</w:t>
      </w:r>
    </w:p>
    <w:p w14:paraId="0EF90C7E">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公共区域、展厅、会议室等保持一尘不染，符合政务接待标准。</w:t>
      </w:r>
    </w:p>
    <w:p w14:paraId="16C38BC8">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地毯深度清洁后色泽均匀、无污渍、无异味。</w:t>
      </w:r>
    </w:p>
    <w:p w14:paraId="5E0CDB90">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幕墙玻璃清洗后洁净明亮，无污渍水渍。</w:t>
      </w:r>
    </w:p>
    <w:p w14:paraId="6AB1BB4F">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 四害消杀每月不少于1次，使用符合国家标准的环保型消杀药品。</w:t>
      </w:r>
    </w:p>
    <w:p w14:paraId="1F3DABCA">
      <w:pPr>
        <w:pageBreakBefore w:val="0"/>
        <w:widowControl/>
        <w:kinsoku/>
        <w:wordWrap/>
        <w:overflowPunct/>
        <w:topLinePunct w:val="0"/>
        <w:autoSpaceDE/>
        <w:autoSpaceDN/>
        <w:bidi w:val="0"/>
        <w:adjustRightInd/>
        <w:snapToGrid/>
        <w:spacing w:after="0" w:line="560" w:lineRule="exact"/>
        <w:ind w:firstLine="643" w:firstLineChars="200"/>
        <w:jc w:val="left"/>
        <w:textAlignment w:val="auto"/>
        <w:rPr>
          <w:color w:val="auto"/>
          <w:sz w:val="32"/>
          <w:szCs w:val="32"/>
        </w:rPr>
      </w:pPr>
      <w:r>
        <w:rPr>
          <w:rFonts w:ascii="宋体" w:hAnsi="宋体" w:eastAsia="宋体"/>
          <w:b/>
          <w:color w:val="auto"/>
          <w:sz w:val="32"/>
          <w:szCs w:val="32"/>
        </w:rPr>
        <w:t>三、绿植养护标准</w:t>
      </w:r>
    </w:p>
    <w:p w14:paraId="520EBA5E">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每周不少于2次养护巡检，确保绿植生长健康、无枯黄、无病虫害。</w:t>
      </w:r>
    </w:p>
    <w:p w14:paraId="56033B37">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发现枯死、病害或观赏效果不佳的绿植，须在2个工作日内更换。</w:t>
      </w:r>
    </w:p>
    <w:p w14:paraId="413B1452">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定期修剪、清洁叶面，保持绿植形态美观、叶面洁净。</w:t>
      </w:r>
    </w:p>
    <w:p w14:paraId="760B440F">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根据季节变化或甲方要求，及时调整绿植品种和摆放方案。</w:t>
      </w:r>
    </w:p>
    <w:p w14:paraId="2178AAB5">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第四条　甲方的权利和义务</w:t>
      </w:r>
    </w:p>
    <w:p w14:paraId="6BC27F4E">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甲方对乙方提供的各项服务进行监督、检查和具体指导，有权要求乙方调换不合格的服务人员。若乙方提供的服务没有达到本合同约定的要求，甲方有权以口头或书面形式通知乙方进行整改。</w:t>
      </w:r>
    </w:p>
    <w:p w14:paraId="28F33D46">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甲方应按合同约定及时向乙方支付费用。</w:t>
      </w:r>
    </w:p>
    <w:p w14:paraId="14F64B90">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乙方不能按照甲方要求的保洁、绿植养护标准完成工作的，甲方有权解除本服务合同。</w:t>
      </w:r>
    </w:p>
    <w:p w14:paraId="458DD31B">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甲方为乙方服务人员工作期间提供服务所必要的水、电等条件。</w:t>
      </w:r>
    </w:p>
    <w:p w14:paraId="00A92B42">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 甲方有权定期对乙方的服务进行履约评价（履约评价表见附件1，且甲方有权不时合理调整评价要求），并根据履约评价结果对乙方进行考核。乙方提供的服务不符合本合同约定的，甲方有权根据考核结果扣减服务费用。</w:t>
      </w:r>
    </w:p>
    <w:p w14:paraId="7F9EEA17">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第五条　乙方的权利和义务</w:t>
      </w:r>
    </w:p>
    <w:p w14:paraId="0888AAA5">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乙方应确保自身具有提供本合同项下服务的资质与能力；乙方应按照甲方标准指定具有一定资质的服务人员，展示交流中心配备保洁员不少于1人。</w:t>
      </w:r>
    </w:p>
    <w:p w14:paraId="218632D0">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乙方应按照本合同约定对约定服务区域提供服务，达到本合同约定的服务标准。</w:t>
      </w:r>
    </w:p>
    <w:p w14:paraId="254EE360">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乙方负责对服务人员进行培训和其他日常管理，确保其派遣的服务人员具备相应工作岗位的工作能力和工作经验，思想作风正派，经过完整的培训，符合本合同约定的标准。</w:t>
      </w:r>
    </w:p>
    <w:p w14:paraId="1925C0ED">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乙方进场后必须定岗、定编、定人，如有服务人员离职，应提前通知甲方，并及时补充人员。对于甲方确认不符合本合同约定标准、工作中不称职的服务人员，乙方应在5日内给予调换。</w:t>
      </w:r>
    </w:p>
    <w:p w14:paraId="0CD4795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 乙方必须合法用工，承诺与服务人员签订劳动合同并承担国家法律、法规规定的用人单位义务，乙方负责服务人员的工资、社会保险、意外伤害险、财产损害险等。如与乙方服务人员发生劳动或劳务纠纷，由乙方负责处理，与甲方无关。</w:t>
      </w:r>
    </w:p>
    <w:p w14:paraId="35FD246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6. 乙方的服务人员对甲方或第三人的人身、财产造成损失的，应由乙方承担损害赔偿的责任。</w:t>
      </w:r>
    </w:p>
    <w:p w14:paraId="4B75961A">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7. 乙方负责提供保洁作业时需要的各类清洁工具、耗材、机器等，按具体作业规格完成作业；负责提供绿植养护所需的花盆、肥料、药剂、工具等。</w:t>
      </w:r>
    </w:p>
    <w:p w14:paraId="3257D71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8. 乙方为提供本合同项下服务指派相关人员进入甲方指定场所或空间的，应严格遵守安全生产相关规定，因乙方原因造成安全事故等的，由乙方承担相关责任。</w:t>
      </w:r>
    </w:p>
    <w:p w14:paraId="5D180D8A">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9. 乙方应根据甲方的要求制作和提交保洁服务清单、验收单、绿植养护记录等文件，并做好相应台账记录备查；完成相应的服务后，应根据甲方的要求申请验收。</w:t>
      </w:r>
    </w:p>
    <w:p w14:paraId="7B01F483">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10. 乙方及乙方的服务人员应对本合同的内容、因履行本合同或在本合同期间获得的或收到的甲方的信息、资料（无论是否标明“保密”字样）承担保密义务，未经甲方事先书面同意，不得向第三方披露或用于本合同之外的目的。</w:t>
      </w:r>
    </w:p>
    <w:p w14:paraId="367C04C3">
      <w:pPr>
        <w:pStyle w:val="4"/>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rPr>
          <w:color w:val="auto"/>
          <w:sz w:val="32"/>
          <w:szCs w:val="32"/>
        </w:rPr>
      </w:pPr>
      <w:r>
        <w:rPr>
          <w:rFonts w:ascii="黑体" w:hAnsi="黑体" w:eastAsia="黑体"/>
          <w:color w:val="auto"/>
          <w:sz w:val="32"/>
          <w:szCs w:val="32"/>
        </w:rPr>
        <w:t>第六条　服务费金额及付款方式</w:t>
      </w:r>
    </w:p>
    <w:p w14:paraId="178973FF">
      <w:pPr>
        <w:pageBreakBefore w:val="0"/>
        <w:widowControl/>
        <w:kinsoku/>
        <w:wordWrap/>
        <w:overflowPunct/>
        <w:topLinePunct w:val="0"/>
        <w:autoSpaceDE/>
        <w:autoSpaceDN/>
        <w:bidi w:val="0"/>
        <w:adjustRightInd/>
        <w:snapToGrid/>
        <w:spacing w:after="0" w:line="560" w:lineRule="exact"/>
        <w:ind w:firstLine="643" w:firstLineChars="200"/>
        <w:jc w:val="left"/>
        <w:textAlignment w:val="auto"/>
        <w:rPr>
          <w:color w:val="auto"/>
          <w:sz w:val="32"/>
          <w:szCs w:val="32"/>
        </w:rPr>
      </w:pPr>
      <w:r>
        <w:rPr>
          <w:rFonts w:ascii="宋体" w:hAnsi="宋体" w:eastAsia="宋体"/>
          <w:b/>
          <w:color w:val="auto"/>
          <w:sz w:val="32"/>
          <w:szCs w:val="32"/>
        </w:rPr>
        <w:t>一、常驻月度服务费用</w:t>
      </w:r>
    </w:p>
    <w:tbl>
      <w:tblPr>
        <w:tblStyle w:val="33"/>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209"/>
        <w:gridCol w:w="1383"/>
        <w:gridCol w:w="1383"/>
        <w:gridCol w:w="1383"/>
        <w:gridCol w:w="1738"/>
      </w:tblGrid>
      <w:tr w14:paraId="53C4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shd w:val="clear" w:color="auto" w:fill="D9E2F3"/>
          </w:tcPr>
          <w:p w14:paraId="50902F9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序号</w:t>
            </w:r>
          </w:p>
        </w:tc>
        <w:tc>
          <w:tcPr>
            <w:tcW w:w="2209" w:type="dxa"/>
            <w:shd w:val="clear" w:color="auto" w:fill="D9E2F3"/>
          </w:tcPr>
          <w:p w14:paraId="15C29D7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服务内容</w:t>
            </w:r>
          </w:p>
        </w:tc>
        <w:tc>
          <w:tcPr>
            <w:tcW w:w="1383" w:type="dxa"/>
            <w:shd w:val="clear" w:color="auto" w:fill="D9E2F3"/>
          </w:tcPr>
          <w:p w14:paraId="458E6F7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单位</w:t>
            </w:r>
          </w:p>
        </w:tc>
        <w:tc>
          <w:tcPr>
            <w:tcW w:w="1383" w:type="dxa"/>
            <w:shd w:val="clear" w:color="auto" w:fill="D9E2F3"/>
          </w:tcPr>
          <w:p w14:paraId="2CD4E5A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数量</w:t>
            </w:r>
          </w:p>
        </w:tc>
        <w:tc>
          <w:tcPr>
            <w:tcW w:w="1383" w:type="dxa"/>
            <w:shd w:val="clear" w:color="auto" w:fill="D9E2F3"/>
          </w:tcPr>
          <w:p w14:paraId="2CF7E99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单价（元）</w:t>
            </w:r>
          </w:p>
        </w:tc>
        <w:tc>
          <w:tcPr>
            <w:tcW w:w="1738" w:type="dxa"/>
            <w:shd w:val="clear" w:color="auto" w:fill="D9E2F3"/>
          </w:tcPr>
          <w:p w14:paraId="066877D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月度费用（元）</w:t>
            </w:r>
          </w:p>
        </w:tc>
      </w:tr>
      <w:tr w14:paraId="3F6B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3CF5456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1</w:t>
            </w:r>
          </w:p>
        </w:tc>
        <w:tc>
          <w:tcPr>
            <w:tcW w:w="2209" w:type="dxa"/>
          </w:tcPr>
          <w:p w14:paraId="689533F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日常保洁</w:t>
            </w:r>
          </w:p>
        </w:tc>
        <w:tc>
          <w:tcPr>
            <w:tcW w:w="1383" w:type="dxa"/>
          </w:tcPr>
          <w:p w14:paraId="19F8E9E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元/人/月</w:t>
            </w:r>
          </w:p>
        </w:tc>
        <w:tc>
          <w:tcPr>
            <w:tcW w:w="1383" w:type="dxa"/>
          </w:tcPr>
          <w:p w14:paraId="06E1729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1</w:t>
            </w:r>
          </w:p>
        </w:tc>
        <w:tc>
          <w:tcPr>
            <w:tcW w:w="1383" w:type="dxa"/>
          </w:tcPr>
          <w:p w14:paraId="07A7B43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p>
        </w:tc>
        <w:tc>
          <w:tcPr>
            <w:tcW w:w="1738" w:type="dxa"/>
          </w:tcPr>
          <w:p w14:paraId="40E660D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p>
        </w:tc>
      </w:tr>
      <w:tr w14:paraId="0B62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1C88981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2</w:t>
            </w:r>
          </w:p>
        </w:tc>
        <w:tc>
          <w:tcPr>
            <w:tcW w:w="2209" w:type="dxa"/>
          </w:tcPr>
          <w:p w14:paraId="1CE1C30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四害消杀</w:t>
            </w:r>
          </w:p>
        </w:tc>
        <w:tc>
          <w:tcPr>
            <w:tcW w:w="1383" w:type="dxa"/>
          </w:tcPr>
          <w:p w14:paraId="1B9353D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元/㎡/次</w:t>
            </w:r>
          </w:p>
        </w:tc>
        <w:tc>
          <w:tcPr>
            <w:tcW w:w="1383" w:type="dxa"/>
          </w:tcPr>
          <w:p w14:paraId="0FCFF41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2,300</w:t>
            </w:r>
          </w:p>
        </w:tc>
        <w:tc>
          <w:tcPr>
            <w:tcW w:w="1383" w:type="dxa"/>
          </w:tcPr>
          <w:p w14:paraId="379A2BB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p>
        </w:tc>
        <w:tc>
          <w:tcPr>
            <w:tcW w:w="1738" w:type="dxa"/>
          </w:tcPr>
          <w:p w14:paraId="096088F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p>
        </w:tc>
      </w:tr>
      <w:tr w14:paraId="483D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Pr>
          <w:p w14:paraId="2802957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3</w:t>
            </w:r>
          </w:p>
        </w:tc>
        <w:tc>
          <w:tcPr>
            <w:tcW w:w="2209" w:type="dxa"/>
          </w:tcPr>
          <w:p w14:paraId="0E91142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b w:val="0"/>
                <w:color w:val="auto"/>
                <w:sz w:val="28"/>
                <w:szCs w:val="28"/>
              </w:rPr>
              <w:t>绿植租摆养护</w:t>
            </w:r>
            <w:r>
              <w:rPr>
                <w:rFonts w:hint="eastAsia" w:ascii="仿宋" w:hAnsi="仿宋" w:eastAsia="仿宋" w:cs="仿宋"/>
                <w:b w:val="0"/>
                <w:color w:val="auto"/>
                <w:sz w:val="28"/>
                <w:szCs w:val="28"/>
                <w:lang w:eastAsia="zh-CN"/>
              </w:rPr>
              <w:t>（</w:t>
            </w:r>
            <w:r>
              <w:rPr>
                <w:rFonts w:hint="eastAsia" w:ascii="仿宋" w:hAnsi="仿宋" w:eastAsia="仿宋" w:cs="仿宋"/>
                <w:b w:val="0"/>
                <w:color w:val="auto"/>
                <w:sz w:val="28"/>
                <w:szCs w:val="28"/>
                <w:lang w:val="en-US" w:eastAsia="zh-CN"/>
              </w:rPr>
              <w:t>详见清单</w:t>
            </w:r>
            <w:r>
              <w:rPr>
                <w:rFonts w:hint="eastAsia" w:ascii="仿宋" w:hAnsi="仿宋" w:eastAsia="仿宋" w:cs="仿宋"/>
                <w:b w:val="0"/>
                <w:color w:val="auto"/>
                <w:sz w:val="28"/>
                <w:szCs w:val="28"/>
                <w:lang w:eastAsia="zh-CN"/>
              </w:rPr>
              <w:t>）</w:t>
            </w:r>
          </w:p>
        </w:tc>
        <w:tc>
          <w:tcPr>
            <w:tcW w:w="1383" w:type="dxa"/>
          </w:tcPr>
          <w:p w14:paraId="30CC875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w:t>
            </w:r>
          </w:p>
        </w:tc>
        <w:tc>
          <w:tcPr>
            <w:tcW w:w="1383" w:type="dxa"/>
          </w:tcPr>
          <w:p w14:paraId="4B4A6DD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w:t>
            </w:r>
          </w:p>
        </w:tc>
        <w:tc>
          <w:tcPr>
            <w:tcW w:w="1383" w:type="dxa"/>
          </w:tcPr>
          <w:p w14:paraId="1D8FA03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w:t>
            </w:r>
          </w:p>
        </w:tc>
        <w:tc>
          <w:tcPr>
            <w:tcW w:w="1738" w:type="dxa"/>
          </w:tcPr>
          <w:p w14:paraId="61217BA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p>
        </w:tc>
      </w:tr>
    </w:tbl>
    <w:p w14:paraId="1463FCC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常驻月度服务费用合计（含税）：</w:t>
      </w:r>
      <w:r>
        <w:rPr>
          <w:rFonts w:ascii="宋体" w:hAnsi="宋体" w:eastAsia="宋体"/>
          <w:b w:val="0"/>
          <w:color w:val="auto"/>
          <w:sz w:val="32"/>
          <w:szCs w:val="32"/>
        </w:rPr>
        <w:t>【　】</w:t>
      </w:r>
      <w:r>
        <w:rPr>
          <w:rFonts w:hint="eastAsia" w:ascii="仿宋" w:hAnsi="仿宋" w:eastAsia="仿宋" w:cs="仿宋"/>
          <w:b w:val="0"/>
          <w:color w:val="auto"/>
          <w:sz w:val="32"/>
          <w:szCs w:val="32"/>
          <w:lang w:val="en-US" w:eastAsia="zh-CN"/>
        </w:rPr>
        <w:t>元/月，合计</w:t>
      </w:r>
      <w:r>
        <w:rPr>
          <w:rFonts w:ascii="宋体" w:hAnsi="宋体" w:eastAsia="宋体"/>
          <w:b w:val="0"/>
          <w:color w:val="auto"/>
          <w:sz w:val="32"/>
          <w:szCs w:val="32"/>
        </w:rPr>
        <w:t>【　】</w:t>
      </w:r>
      <w:r>
        <w:rPr>
          <w:rFonts w:hint="eastAsia" w:ascii="仿宋" w:hAnsi="仿宋" w:eastAsia="仿宋" w:cs="仿宋"/>
          <w:b w:val="0"/>
          <w:color w:val="auto"/>
          <w:sz w:val="32"/>
          <w:szCs w:val="32"/>
          <w:lang w:val="en-US" w:eastAsia="zh-CN"/>
        </w:rPr>
        <w:t>元/年，税率</w:t>
      </w:r>
      <w:r>
        <w:rPr>
          <w:rFonts w:ascii="宋体" w:hAnsi="宋体" w:eastAsia="宋体"/>
          <w:b w:val="0"/>
          <w:color w:val="auto"/>
          <w:sz w:val="32"/>
          <w:szCs w:val="32"/>
        </w:rPr>
        <w:t>【　】%</w:t>
      </w:r>
      <w:r>
        <w:rPr>
          <w:rFonts w:hint="eastAsia"/>
          <w:b w:val="0"/>
          <w:color w:val="auto"/>
          <w:sz w:val="32"/>
          <w:szCs w:val="32"/>
          <w:lang w:eastAsia="zh-CN"/>
        </w:rPr>
        <w:t>，</w:t>
      </w:r>
      <w:r>
        <w:rPr>
          <w:rFonts w:hint="eastAsia" w:ascii="仿宋" w:hAnsi="仿宋" w:eastAsia="仿宋" w:cs="仿宋"/>
          <w:b w:val="0"/>
          <w:color w:val="auto"/>
          <w:sz w:val="32"/>
          <w:szCs w:val="32"/>
          <w:lang w:val="en-US" w:eastAsia="zh-CN"/>
        </w:rPr>
        <w:t>不含税价格为【　】元/年。</w:t>
      </w:r>
    </w:p>
    <w:p w14:paraId="327858B9">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ascii="宋体" w:hAnsi="宋体" w:eastAsia="宋体"/>
          <w:b/>
          <w:color w:val="auto"/>
          <w:sz w:val="32"/>
          <w:szCs w:val="32"/>
        </w:rPr>
        <w:t>二、按次专项服务费用（据实结算）</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164"/>
        <w:gridCol w:w="976"/>
        <w:gridCol w:w="1034"/>
        <w:gridCol w:w="1180"/>
        <w:gridCol w:w="1180"/>
        <w:gridCol w:w="976"/>
        <w:gridCol w:w="1180"/>
      </w:tblGrid>
      <w:tr w14:paraId="7D35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D9E2F3"/>
          </w:tcPr>
          <w:p w14:paraId="0A9610E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序号</w:t>
            </w:r>
          </w:p>
        </w:tc>
        <w:tc>
          <w:tcPr>
            <w:tcW w:w="1167" w:type="dxa"/>
            <w:shd w:val="clear" w:color="auto" w:fill="D9E2F3"/>
          </w:tcPr>
          <w:p w14:paraId="120A0E0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服务内容</w:t>
            </w:r>
          </w:p>
        </w:tc>
        <w:tc>
          <w:tcPr>
            <w:tcW w:w="979" w:type="dxa"/>
            <w:shd w:val="clear" w:color="auto" w:fill="D9E2F3"/>
          </w:tcPr>
          <w:p w14:paraId="54B6F71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单位</w:t>
            </w:r>
          </w:p>
        </w:tc>
        <w:tc>
          <w:tcPr>
            <w:tcW w:w="1035" w:type="dxa"/>
            <w:shd w:val="clear" w:color="auto" w:fill="D9E2F3"/>
          </w:tcPr>
          <w:p w14:paraId="0D61413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数量</w:t>
            </w:r>
          </w:p>
        </w:tc>
        <w:tc>
          <w:tcPr>
            <w:tcW w:w="1176" w:type="dxa"/>
            <w:shd w:val="clear" w:color="auto" w:fill="D9E2F3"/>
          </w:tcPr>
          <w:p w14:paraId="6B48ECF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单价（元）</w:t>
            </w:r>
          </w:p>
        </w:tc>
        <w:tc>
          <w:tcPr>
            <w:tcW w:w="1176" w:type="dxa"/>
            <w:shd w:val="clear" w:color="auto" w:fill="D9E2F3"/>
          </w:tcPr>
          <w:p w14:paraId="73AF53E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单次费用（元）</w:t>
            </w:r>
          </w:p>
        </w:tc>
        <w:tc>
          <w:tcPr>
            <w:tcW w:w="979" w:type="dxa"/>
            <w:shd w:val="clear" w:color="auto" w:fill="D9E2F3"/>
          </w:tcPr>
          <w:p w14:paraId="3420811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年度预估次数</w:t>
            </w:r>
          </w:p>
        </w:tc>
        <w:tc>
          <w:tcPr>
            <w:tcW w:w="1176" w:type="dxa"/>
            <w:shd w:val="clear" w:color="auto" w:fill="D9E2F3"/>
          </w:tcPr>
          <w:p w14:paraId="3C619D1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年度预估费用（元）</w:t>
            </w:r>
          </w:p>
        </w:tc>
      </w:tr>
      <w:tr w14:paraId="5DA9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796D631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1</w:t>
            </w:r>
          </w:p>
        </w:tc>
        <w:tc>
          <w:tcPr>
            <w:tcW w:w="1167" w:type="dxa"/>
          </w:tcPr>
          <w:p w14:paraId="4089F77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地毯清洗</w:t>
            </w:r>
          </w:p>
        </w:tc>
        <w:tc>
          <w:tcPr>
            <w:tcW w:w="979" w:type="dxa"/>
          </w:tcPr>
          <w:p w14:paraId="6086C54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元/㎡</w:t>
            </w:r>
          </w:p>
        </w:tc>
        <w:tc>
          <w:tcPr>
            <w:tcW w:w="1035" w:type="dxa"/>
          </w:tcPr>
          <w:p w14:paraId="6F33D80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1,900</w:t>
            </w:r>
          </w:p>
        </w:tc>
        <w:tc>
          <w:tcPr>
            <w:tcW w:w="1176" w:type="dxa"/>
          </w:tcPr>
          <w:p w14:paraId="32E6E46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1176" w:type="dxa"/>
          </w:tcPr>
          <w:p w14:paraId="4878DC0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979" w:type="dxa"/>
          </w:tcPr>
          <w:p w14:paraId="0E303AE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2次/年</w:t>
            </w:r>
          </w:p>
        </w:tc>
        <w:tc>
          <w:tcPr>
            <w:tcW w:w="1176" w:type="dxa"/>
          </w:tcPr>
          <w:p w14:paraId="065BC2C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r>
      <w:tr w14:paraId="592D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2709081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2</w:t>
            </w:r>
          </w:p>
        </w:tc>
        <w:tc>
          <w:tcPr>
            <w:tcW w:w="1167" w:type="dxa"/>
          </w:tcPr>
          <w:p w14:paraId="3A39BA6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外墙清洗（整层）</w:t>
            </w:r>
          </w:p>
        </w:tc>
        <w:tc>
          <w:tcPr>
            <w:tcW w:w="979" w:type="dxa"/>
          </w:tcPr>
          <w:p w14:paraId="289B3DF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元/次</w:t>
            </w:r>
          </w:p>
        </w:tc>
        <w:tc>
          <w:tcPr>
            <w:tcW w:w="1035" w:type="dxa"/>
          </w:tcPr>
          <w:p w14:paraId="022A17F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1</w:t>
            </w:r>
          </w:p>
        </w:tc>
        <w:tc>
          <w:tcPr>
            <w:tcW w:w="1176" w:type="dxa"/>
          </w:tcPr>
          <w:p w14:paraId="26891DB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1176" w:type="dxa"/>
          </w:tcPr>
          <w:p w14:paraId="26280EB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979" w:type="dxa"/>
          </w:tcPr>
          <w:p w14:paraId="2496683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3次/年</w:t>
            </w:r>
          </w:p>
        </w:tc>
        <w:tc>
          <w:tcPr>
            <w:tcW w:w="1176" w:type="dxa"/>
          </w:tcPr>
          <w:p w14:paraId="214B069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r>
      <w:tr w14:paraId="2F42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78DF144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3</w:t>
            </w:r>
          </w:p>
        </w:tc>
        <w:tc>
          <w:tcPr>
            <w:tcW w:w="1167" w:type="dxa"/>
          </w:tcPr>
          <w:p w14:paraId="55025BE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外墙清洗（四面）</w:t>
            </w:r>
          </w:p>
        </w:tc>
        <w:tc>
          <w:tcPr>
            <w:tcW w:w="979" w:type="dxa"/>
          </w:tcPr>
          <w:p w14:paraId="6518792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元/次</w:t>
            </w:r>
          </w:p>
        </w:tc>
        <w:tc>
          <w:tcPr>
            <w:tcW w:w="1035" w:type="dxa"/>
          </w:tcPr>
          <w:p w14:paraId="08DEAC1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1</w:t>
            </w:r>
          </w:p>
        </w:tc>
        <w:tc>
          <w:tcPr>
            <w:tcW w:w="1176" w:type="dxa"/>
          </w:tcPr>
          <w:p w14:paraId="7202C0D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1176" w:type="dxa"/>
          </w:tcPr>
          <w:p w14:paraId="3CC1F7E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c>
          <w:tcPr>
            <w:tcW w:w="979" w:type="dxa"/>
          </w:tcPr>
          <w:p w14:paraId="7504EE4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6次/年</w:t>
            </w:r>
          </w:p>
        </w:tc>
        <w:tc>
          <w:tcPr>
            <w:tcW w:w="1176" w:type="dxa"/>
          </w:tcPr>
          <w:p w14:paraId="014DC93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color w:val="auto"/>
                <w:sz w:val="28"/>
                <w:szCs w:val="28"/>
              </w:rPr>
            </w:pPr>
          </w:p>
        </w:tc>
      </w:tr>
    </w:tbl>
    <w:p w14:paraId="7E1F8223">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hint="eastAsia" w:ascii="仿宋" w:hAnsi="仿宋" w:eastAsia="仿宋" w:cs="仿宋"/>
          <w:b w:val="0"/>
          <w:color w:val="auto"/>
          <w:sz w:val="32"/>
          <w:szCs w:val="32"/>
          <w:lang w:val="en-US" w:eastAsia="zh-CN"/>
        </w:rPr>
        <w:t>专项服务年度预估费用合计（含税）：【　】元/年，按次据实结算。税率【　】%，不含税价格为【　】元/年。</w:t>
      </w:r>
    </w:p>
    <w:p w14:paraId="056A17BA">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ascii="宋体" w:hAnsi="宋体" w:eastAsia="宋体"/>
          <w:b/>
          <w:color w:val="auto"/>
          <w:sz w:val="32"/>
          <w:szCs w:val="32"/>
        </w:rPr>
        <w:t>三、合同总价</w:t>
      </w:r>
    </w:p>
    <w:p w14:paraId="26B9A4C3">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常驻月度服务年度费用（   元/月×12月）=   元</w:t>
      </w:r>
    </w:p>
    <w:p w14:paraId="51B75ECC">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专项服务年度预估费用 =   元</w:t>
      </w:r>
    </w:p>
    <w:p w14:paraId="587A121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本合同年度预估总价（含税）：约  元/年（大写：人民币   元整），税率为  %，不含税预估总价约  元/年（大写：人民币   元整）。最终以实际发生服务据实结算。</w:t>
      </w:r>
    </w:p>
    <w:p w14:paraId="65FAF2D8">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5F3C02AC">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ascii="宋体" w:hAnsi="宋体" w:eastAsia="宋体"/>
          <w:b/>
          <w:color w:val="auto"/>
          <w:sz w:val="32"/>
          <w:szCs w:val="32"/>
        </w:rPr>
        <w:t>四、付款方式</w:t>
      </w:r>
    </w:p>
    <w:p w14:paraId="7446F3A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default"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常驻服务费用（日常保洁、四害消杀、绿植租摆）：按季度结算，乙方</w:t>
      </w:r>
      <w:r>
        <w:rPr>
          <w:rFonts w:hint="eastAsia" w:ascii="仿宋" w:hAnsi="仿宋" w:eastAsia="仿宋" w:cs="仿宋"/>
          <w:b w:val="0"/>
          <w:color w:val="auto"/>
          <w:sz w:val="32"/>
          <w:szCs w:val="32"/>
        </w:rPr>
        <w:t>每季度</w:t>
      </w:r>
      <w:r>
        <w:rPr>
          <w:rFonts w:hint="eastAsia" w:ascii="仿宋" w:hAnsi="仿宋" w:eastAsia="仿宋" w:cs="仿宋"/>
          <w:b w:val="0"/>
          <w:color w:val="auto"/>
          <w:sz w:val="32"/>
          <w:szCs w:val="32"/>
          <w:lang w:val="en-US" w:eastAsia="zh-CN"/>
        </w:rPr>
        <w:t>末</w:t>
      </w:r>
      <w:r>
        <w:rPr>
          <w:rFonts w:hint="eastAsia" w:ascii="仿宋" w:hAnsi="仿宋" w:eastAsia="仿宋" w:cs="仿宋"/>
          <w:b w:val="0"/>
          <w:color w:val="auto"/>
          <w:sz w:val="32"/>
          <w:szCs w:val="32"/>
        </w:rPr>
        <w:t>5日</w:t>
      </w:r>
      <w:r>
        <w:rPr>
          <w:rFonts w:hint="eastAsia" w:ascii="仿宋" w:hAnsi="仿宋" w:eastAsia="仿宋" w:cs="仿宋"/>
          <w:b w:val="0"/>
          <w:color w:val="auto"/>
          <w:sz w:val="32"/>
          <w:szCs w:val="32"/>
          <w:lang w:val="en-US" w:eastAsia="zh-CN"/>
        </w:rPr>
        <w:t>内提供合格增值税专用发票及上季度服务明细，甲方于收到发票并确认服务明细后10个工作日内以转账方式支付。其中绿植租摆服务开始时间为</w:t>
      </w:r>
      <w:r>
        <w:rPr>
          <w:rFonts w:hint="eastAsia" w:ascii="仿宋" w:hAnsi="仿宋" w:eastAsia="仿宋" w:cs="仿宋"/>
          <w:b w:val="0"/>
          <w:bCs w:val="0"/>
          <w:color w:val="auto"/>
          <w:sz w:val="32"/>
          <w:szCs w:val="32"/>
          <w:lang w:val="en-US" w:eastAsia="zh-CN"/>
        </w:rPr>
        <w:t>2026年8月8日起，首季度将扣除对应款项据实结算。</w:t>
      </w:r>
    </w:p>
    <w:p w14:paraId="4897286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专项服务费用（地毯清洗、外墙清洗）：按次结算，每次服务完成经甲方验收合格后，甲方收到乙方提供的合格增值税专用发票并确认服务明细后，随</w:t>
      </w:r>
      <w:r>
        <w:rPr>
          <w:rFonts w:hint="eastAsia" w:ascii="仿宋" w:hAnsi="仿宋" w:eastAsia="仿宋" w:cs="仿宋"/>
          <w:b w:val="0"/>
          <w:color w:val="auto"/>
          <w:sz w:val="32"/>
          <w:szCs w:val="32"/>
        </w:rPr>
        <w:t>常驻服务费用</w:t>
      </w:r>
      <w:r>
        <w:rPr>
          <w:rFonts w:hint="eastAsia" w:ascii="仿宋" w:hAnsi="仿宋" w:eastAsia="仿宋" w:cs="仿宋"/>
          <w:b w:val="0"/>
          <w:color w:val="auto"/>
          <w:sz w:val="32"/>
          <w:szCs w:val="32"/>
          <w:lang w:val="en-US" w:eastAsia="zh-CN"/>
        </w:rPr>
        <w:t>按季度15个工作日内支付。</w:t>
      </w:r>
    </w:p>
    <w:p w14:paraId="4FC1D4A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default"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3.对于经甲乙双方协商后核减的常驻类服务，甲方有权扣除相关费用后据实支付。</w:t>
      </w:r>
    </w:p>
    <w:p w14:paraId="05F5AF6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第四季度根据年度履约评价结果进行结算。合同结束前一个月，甲方对乙方进行考核，考核结果为良好及以上的，甲方按季度全额支付。考核结果为合格的，甲方按季度费用的80%支付。考核结果为不合格的，甲方有权要求整改并扣减相应费用，情节严重的甲方有权单方解除合同。</w:t>
      </w:r>
    </w:p>
    <w:p w14:paraId="48D1E261">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3AA89F4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乙方收款信息：</w:t>
      </w:r>
    </w:p>
    <w:p w14:paraId="58C4D19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开户银行：【　　　　　　　　　　】</w:t>
      </w:r>
    </w:p>
    <w:p w14:paraId="0C6AAAC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账户名称：【　　　　　　　　　　】</w:t>
      </w:r>
    </w:p>
    <w:p w14:paraId="5332CF4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银行账号：【　　　　　　　　　　】</w:t>
      </w:r>
    </w:p>
    <w:p w14:paraId="7B1554D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p>
    <w:p w14:paraId="12DDBCA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乙方紧急联系人及其联系方式：</w:t>
      </w:r>
    </w:p>
    <w:p w14:paraId="4CE0566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紧急联系人一：【　　　　】　联系方式：【　　　　】</w:t>
      </w:r>
    </w:p>
    <w:p w14:paraId="09670EC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紧急联系人二：【　　　　】　联系方式：【　　　　】</w:t>
      </w:r>
    </w:p>
    <w:p w14:paraId="6C7D6C65">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hint="eastAsia" w:ascii="仿宋" w:hAnsi="仿宋" w:eastAsia="仿宋" w:cs="仿宋"/>
          <w:b w:val="0"/>
          <w:color w:val="auto"/>
          <w:sz w:val="32"/>
          <w:szCs w:val="32"/>
        </w:rPr>
        <w:t>乙方的紧急联系人变更的，应及时书面通知甲方。</w:t>
      </w:r>
    </w:p>
    <w:p w14:paraId="34516BD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 乙方知晓甲方付款需履行财政审批程序，并承诺如因审批原因造成迟延付款的，乙方不得因此向甲方主张违约责任，但甲方应及时将情况通知乙方。</w:t>
      </w:r>
    </w:p>
    <w:p w14:paraId="529D61C7">
      <w:pPr>
        <w:pStyle w:val="4"/>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第七条　合同变更和解除</w:t>
      </w:r>
    </w:p>
    <w:p w14:paraId="39D406A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所有合同条款以打印文本为准，手写、涂改无效。本合同的变更必须由双方协商一致，并另签补充合同。</w:t>
      </w:r>
    </w:p>
    <w:p w14:paraId="263C101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如甲乙双方协商一致且合同履约评价为“良好”及以上，在符合甲方采购政策的前提下，双方可通过另行签订合同或补充合同的形式延长本合同服务期限，单次延长时间不超过12个月。</w:t>
      </w:r>
    </w:p>
    <w:p w14:paraId="424C2B8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甲方有权单方要求提前终止本合同，但需提前三个工作日通知乙方。</w:t>
      </w:r>
    </w:p>
    <w:p w14:paraId="3C58B949">
      <w:pPr>
        <w:pStyle w:val="4"/>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第八条　违约责任</w:t>
      </w:r>
    </w:p>
    <w:p w14:paraId="3BF8245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一方违反本合同约定，给另一方造成损失的，应根据损失情况及本合同、有关法律法规要求承担赔偿责任。</w:t>
      </w:r>
    </w:p>
    <w:p w14:paraId="546CEE2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除非法律规定或本合同另有约定，乙方不得单方解除本合同，否则，甲方有权不予支付剩余未付服务费用并有权要求乙方返还甲方已支付的全部服务费用（应在甲方要求后7日内返还），且甲方还有权要求乙方支付相当于本合同服务费用总额的20%作为违约金。</w:t>
      </w:r>
    </w:p>
    <w:p w14:paraId="4AD9151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发生以下情况，甲方有权单方解除合同，不予支付剩余未付服务费用，且甲方还有权要求乙方支付相当于本合同服务费用总额的20%作为违约金：</w:t>
      </w:r>
    </w:p>
    <w:p w14:paraId="653C053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（1）未经甲方书面同意，乙方将本合同项下部分或全部权利义务转让给第三方、或委托第三方完成本合同项下工作；</w:t>
      </w:r>
    </w:p>
    <w:p w14:paraId="4850D58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（2）乙方以甲方名义从事与本合同约定内容无关的活动；</w:t>
      </w:r>
    </w:p>
    <w:p w14:paraId="45A9630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（3）合同期内乙方违约行为累计超过5次，或者乙方服务累计3次经甲方考核为不合格；</w:t>
      </w:r>
    </w:p>
    <w:p w14:paraId="38B5BB7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（4）乙方工作未达服务要求，甲方提出整改意见而乙方未整改、或整改效果依然未达到甲方要求的；</w:t>
      </w:r>
    </w:p>
    <w:p w14:paraId="647FB81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（5）乙方不配合重大接待参观、考察工作的。</w:t>
      </w:r>
    </w:p>
    <w:p w14:paraId="157ECED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（6）绿植大面积枯黄、死亡或出现严重病虫害，经甲方催告后2个工作日内仍未更换处理完毕的。</w:t>
      </w:r>
    </w:p>
    <w:p w14:paraId="424CAB20">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服务质量违约：乙方提供的服务未能达到合同约定标准的，甲方有权书面通知乙方在合理期限内整改。乙方逾期未能完成整改的，自整改期限届满之次日起，甲方有权要求乙方每日支付人民币3,000元违约金。</w:t>
      </w:r>
    </w:p>
    <w:p w14:paraId="071FC9A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 绿植养护违约：乙方提供的绿植出现枯黄、死亡或病虫害未及时处理的，甲方有权要求乙方在2个工作日内更换，每逾期一日支付500元违约金。</w:t>
      </w:r>
    </w:p>
    <w:p w14:paraId="3E33299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6. 本合同终止或解除时，除双方另以书面形式认可外，乙方所派驻的人员应立即无条件迁出，并与甲方及新的服务单位办妥现场内各项工作之交接手续，否则，应向甲方支付合同总服务费20%的违约金，并赔偿因此给甲方造成的损失。</w:t>
      </w:r>
    </w:p>
    <w:p w14:paraId="1F0B8D8F">
      <w:pPr>
        <w:pStyle w:val="4"/>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第九条　不可抗力</w:t>
      </w:r>
    </w:p>
    <w:p w14:paraId="1FDA0D1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双方同意如发生不可抗力致使本合同不可能或者没有必要继续履行的，任何一方经提前5个工作日通知对方，可以解除本合同，不承担法律责任。</w:t>
      </w:r>
    </w:p>
    <w:p w14:paraId="2CFADA0F">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甲、乙双方中的任何一方，由于战争、火灾、台风、洪水、地震或其它双方共同认为属于不可抗力因素影响合同执行时，则合同执行要相应延迟，延迟的时间等于不可抗力发生作用的时间。</w:t>
      </w:r>
    </w:p>
    <w:p w14:paraId="57A9E12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如发生不可抗力，受影响的一方应在不可抗力终止或被排除后尽快通过书面形式通知另一方，告之另一方不可抗力已终结或排除。</w:t>
      </w:r>
    </w:p>
    <w:p w14:paraId="6F01B15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4. 如果不可抗力的影响超过二个月，一方应与对方取得联系，以便解决履行本合同的问题。如果不可抗力的影响持续超过三个月，任何一方都有权终止全部或部分合同，乙方需向甲方返还未能履行本合同的款项（应在合同终止后7日内返还）。</w:t>
      </w:r>
    </w:p>
    <w:p w14:paraId="424AFA31">
      <w:pPr>
        <w:pStyle w:val="4"/>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第十条　争议的解决</w:t>
      </w:r>
    </w:p>
    <w:p w14:paraId="148E50A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因本合同引起的或与本合同有关的任何争议，由双方友好协商解决；协商不成的，双方均同意提交深圳国际仲裁院（深圳仲裁委员会）仲裁，并同意按照该院届时有效的仲裁规则仲裁。仲裁裁决是终局的，对各方均有约束力。</w:t>
      </w:r>
    </w:p>
    <w:p w14:paraId="7AB27A79">
      <w:pPr>
        <w:pStyle w:val="4"/>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第十一条　其他</w:t>
      </w:r>
    </w:p>
    <w:p w14:paraId="0D31BDD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1. 本合同经双方盖章之日起生效，至本合同履行完毕时止。本合同之附件是本合同不可分割的部分，与合同正文具有同等法律效力。</w:t>
      </w:r>
    </w:p>
    <w:p w14:paraId="1F30194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2. 本合同一式肆份，甲方执贰份，乙方执贰份，均具有同等法律效力。</w:t>
      </w:r>
    </w:p>
    <w:p w14:paraId="4D47343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3. 本合同附件包括：</w:t>
      </w:r>
    </w:p>
    <w:p w14:paraId="6B69720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附件1：履约评价表</w:t>
      </w:r>
    </w:p>
    <w:p w14:paraId="505E726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default"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附件2：报价清单</w:t>
      </w:r>
    </w:p>
    <w:p w14:paraId="335FB75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附件3：安全生产管理协议</w:t>
      </w:r>
    </w:p>
    <w:p w14:paraId="0E111A2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hint="default" w:ascii="仿宋" w:hAnsi="仿宋" w:eastAsia="仿宋" w:cs="仿宋"/>
          <w:b w:val="0"/>
          <w:color w:val="auto"/>
          <w:sz w:val="32"/>
          <w:szCs w:val="32"/>
          <w:lang w:val="en-US" w:eastAsia="zh-CN"/>
        </w:rPr>
      </w:pPr>
    </w:p>
    <w:p w14:paraId="2ADB8B1F">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71F39F32">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5B3F9B13">
      <w:pPr>
        <w:rPr>
          <w:color w:val="auto"/>
          <w:sz w:val="32"/>
          <w:szCs w:val="32"/>
        </w:rPr>
      </w:pPr>
      <w:r>
        <w:rPr>
          <w:color w:val="auto"/>
          <w:sz w:val="32"/>
          <w:szCs w:val="32"/>
        </w:rPr>
        <w:br w:type="page"/>
      </w:r>
    </w:p>
    <w:p w14:paraId="290BD50F">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rFonts w:ascii="宋体" w:hAnsi="宋体" w:eastAsia="宋体"/>
          <w:b w:val="0"/>
          <w:color w:val="auto"/>
          <w:sz w:val="32"/>
          <w:szCs w:val="32"/>
        </w:rPr>
        <w:t>（本页无正文，为《</w:t>
      </w:r>
      <w:r>
        <w:rPr>
          <w:rFonts w:hint="eastAsia" w:ascii="宋体" w:hAnsi="宋体" w:eastAsia="宋体"/>
          <w:b w:val="0"/>
          <w:color w:val="auto"/>
          <w:sz w:val="32"/>
          <w:szCs w:val="32"/>
        </w:rPr>
        <w:t>2026-2027年展示交流中心保洁、绿植租摆服务合同</w:t>
      </w:r>
      <w:r>
        <w:rPr>
          <w:rFonts w:ascii="宋体" w:hAnsi="宋体" w:eastAsia="宋体"/>
          <w:b w:val="0"/>
          <w:color w:val="auto"/>
          <w:sz w:val="32"/>
          <w:szCs w:val="32"/>
        </w:rPr>
        <w:t>》签订页）</w:t>
      </w:r>
    </w:p>
    <w:p w14:paraId="0F30AA80">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tbl>
      <w:tblPr>
        <w:tblStyle w:val="33"/>
        <w:tblpPr w:leftFromText="180" w:rightFromText="180" w:vertAnchor="text" w:horzAnchor="page" w:tblpX="1857"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4150"/>
      </w:tblGrid>
      <w:tr w14:paraId="427F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shd w:val="clear" w:color="auto" w:fill="D9E2F3"/>
          </w:tcPr>
          <w:p w14:paraId="494A980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甲方：深圳深港科技创新合作区发展有限公司</w:t>
            </w:r>
            <w:r>
              <w:rPr>
                <w:rFonts w:hint="eastAsia" w:ascii="仿宋" w:hAnsi="仿宋" w:eastAsia="仿宋" w:cs="仿宋"/>
                <w:b/>
                <w:color w:val="auto"/>
                <w:sz w:val="32"/>
                <w:szCs w:val="32"/>
              </w:rPr>
              <w:br w:type="textWrapping"/>
            </w:r>
            <w:r>
              <w:rPr>
                <w:rFonts w:hint="eastAsia" w:ascii="仿宋" w:hAnsi="仿宋" w:eastAsia="仿宋" w:cs="仿宋"/>
                <w:b/>
                <w:color w:val="auto"/>
                <w:sz w:val="32"/>
                <w:szCs w:val="32"/>
              </w:rPr>
              <w:t>（盖章）</w:t>
            </w:r>
          </w:p>
        </w:tc>
        <w:tc>
          <w:tcPr>
            <w:tcW w:w="4150" w:type="dxa"/>
            <w:shd w:val="clear" w:color="auto" w:fill="D9E2F3"/>
          </w:tcPr>
          <w:p w14:paraId="722D3AA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乙方：【中标单位名称】</w:t>
            </w:r>
            <w:r>
              <w:rPr>
                <w:rFonts w:hint="eastAsia" w:ascii="仿宋" w:hAnsi="仿宋" w:eastAsia="仿宋" w:cs="仿宋"/>
                <w:b/>
                <w:color w:val="auto"/>
                <w:sz w:val="32"/>
                <w:szCs w:val="32"/>
              </w:rPr>
              <w:br w:type="textWrapping"/>
            </w:r>
            <w:r>
              <w:rPr>
                <w:rFonts w:hint="eastAsia" w:ascii="仿宋" w:hAnsi="仿宋" w:eastAsia="仿宋" w:cs="仿宋"/>
                <w:b/>
                <w:color w:val="auto"/>
                <w:sz w:val="32"/>
                <w:szCs w:val="32"/>
              </w:rPr>
              <w:t>（盖章）</w:t>
            </w:r>
          </w:p>
        </w:tc>
      </w:tr>
      <w:tr w14:paraId="0697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Pr>
          <w:p w14:paraId="31C0351C">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授权代表：</w:t>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t>（签字）</w:t>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t>日期：　　　　年　　月　　日</w:t>
            </w:r>
          </w:p>
        </w:tc>
        <w:tc>
          <w:tcPr>
            <w:tcW w:w="4150" w:type="dxa"/>
          </w:tcPr>
          <w:p w14:paraId="413D8B5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color w:val="auto"/>
                <w:sz w:val="32"/>
                <w:szCs w:val="32"/>
              </w:rPr>
              <w:t>授权代表：</w:t>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t>（签字）</w:t>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br w:type="textWrapping"/>
            </w:r>
            <w:r>
              <w:rPr>
                <w:rFonts w:hint="eastAsia" w:ascii="仿宋" w:hAnsi="仿宋" w:eastAsia="仿宋" w:cs="仿宋"/>
                <w:b w:val="0"/>
                <w:color w:val="auto"/>
                <w:sz w:val="32"/>
                <w:szCs w:val="32"/>
              </w:rPr>
              <w:t>日期：　　　　年　　月　　日</w:t>
            </w:r>
          </w:p>
        </w:tc>
      </w:tr>
    </w:tbl>
    <w:p w14:paraId="34C4B051">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64FC2459">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5CB7699A">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color w:val="auto"/>
          <w:sz w:val="32"/>
          <w:szCs w:val="32"/>
        </w:rPr>
        <w:br w:type="page"/>
      </w:r>
    </w:p>
    <w:p w14:paraId="68EF0549">
      <w:pPr>
        <w:pStyle w:val="3"/>
        <w:pageBreakBefore w:val="0"/>
        <w:widowControl/>
        <w:kinsoku/>
        <w:wordWrap/>
        <w:overflowPunct/>
        <w:topLinePunct w:val="0"/>
        <w:autoSpaceDE/>
        <w:autoSpaceDN/>
        <w:bidi w:val="0"/>
        <w:adjustRightInd/>
        <w:snapToGrid/>
        <w:spacing w:before="0" w:after="0" w:line="560" w:lineRule="exact"/>
        <w:jc w:val="left"/>
        <w:textAlignment w:val="auto"/>
        <w:rPr>
          <w:color w:val="auto"/>
          <w:sz w:val="32"/>
          <w:szCs w:val="32"/>
        </w:rPr>
      </w:pPr>
      <w:r>
        <w:rPr>
          <w:rFonts w:ascii="黑体" w:hAnsi="黑体" w:eastAsia="黑体"/>
          <w:color w:val="auto"/>
          <w:sz w:val="32"/>
          <w:szCs w:val="32"/>
        </w:rPr>
        <w:t>附件1：履约评价表</w:t>
      </w:r>
    </w:p>
    <w:tbl>
      <w:tblPr>
        <w:tblStyle w:val="33"/>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880"/>
        <w:gridCol w:w="780"/>
        <w:gridCol w:w="5460"/>
        <w:gridCol w:w="855"/>
      </w:tblGrid>
      <w:tr w14:paraId="3C4A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D9E2F3"/>
          </w:tcPr>
          <w:p w14:paraId="4A4D459F">
            <w:pPr>
              <w:pageBreakBefore w:val="0"/>
              <w:widowControl/>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序号</w:t>
            </w:r>
          </w:p>
        </w:tc>
        <w:tc>
          <w:tcPr>
            <w:tcW w:w="880" w:type="dxa"/>
            <w:shd w:val="clear" w:color="auto" w:fill="D9E2F3"/>
          </w:tcPr>
          <w:p w14:paraId="45D1B985">
            <w:pPr>
              <w:pageBreakBefore w:val="0"/>
              <w:widowControl/>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分项内容</w:t>
            </w:r>
          </w:p>
        </w:tc>
        <w:tc>
          <w:tcPr>
            <w:tcW w:w="780" w:type="dxa"/>
            <w:shd w:val="clear" w:color="auto" w:fill="D9E2F3"/>
          </w:tcPr>
          <w:p w14:paraId="5B4CC4F9">
            <w:pPr>
              <w:pageBreakBefore w:val="0"/>
              <w:widowControl/>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满分分值</w:t>
            </w:r>
          </w:p>
        </w:tc>
        <w:tc>
          <w:tcPr>
            <w:tcW w:w="5460" w:type="dxa"/>
            <w:shd w:val="clear" w:color="auto" w:fill="D9E2F3"/>
          </w:tcPr>
          <w:p w14:paraId="1A3B59C0">
            <w:pPr>
              <w:pageBreakBefore w:val="0"/>
              <w:widowControl/>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评价标准</w:t>
            </w:r>
          </w:p>
        </w:tc>
        <w:tc>
          <w:tcPr>
            <w:tcW w:w="855" w:type="dxa"/>
            <w:shd w:val="clear" w:color="auto" w:fill="D9E2F3"/>
          </w:tcPr>
          <w:p w14:paraId="3E00DA95">
            <w:pPr>
              <w:pageBreakBefore w:val="0"/>
              <w:widowControl/>
              <w:kinsoku/>
              <w:wordWrap/>
              <w:overflowPunct/>
              <w:topLinePunct w:val="0"/>
              <w:autoSpaceDE/>
              <w:autoSpaceDN/>
              <w:bidi w:val="0"/>
              <w:adjustRightInd/>
              <w:snapToGrid/>
              <w:spacing w:after="0" w:line="560" w:lineRule="exact"/>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得分</w:t>
            </w:r>
          </w:p>
        </w:tc>
      </w:tr>
      <w:tr w14:paraId="5672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4B56D66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一</w:t>
            </w:r>
          </w:p>
        </w:tc>
        <w:tc>
          <w:tcPr>
            <w:tcW w:w="880" w:type="dxa"/>
          </w:tcPr>
          <w:p w14:paraId="253A9A9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人员配备</w:t>
            </w:r>
          </w:p>
        </w:tc>
        <w:tc>
          <w:tcPr>
            <w:tcW w:w="780" w:type="dxa"/>
          </w:tcPr>
          <w:p w14:paraId="2938FA7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10</w:t>
            </w:r>
          </w:p>
        </w:tc>
        <w:tc>
          <w:tcPr>
            <w:tcW w:w="5460" w:type="dxa"/>
          </w:tcPr>
          <w:p w14:paraId="17B0E39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55" w:type="dxa"/>
          </w:tcPr>
          <w:p w14:paraId="14B2E97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3C3B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788B3C6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w:t>
            </w:r>
          </w:p>
        </w:tc>
        <w:tc>
          <w:tcPr>
            <w:tcW w:w="880" w:type="dxa"/>
          </w:tcPr>
          <w:p w14:paraId="544C8E1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人员数量要求</w:t>
            </w:r>
          </w:p>
        </w:tc>
        <w:tc>
          <w:tcPr>
            <w:tcW w:w="780" w:type="dxa"/>
          </w:tcPr>
          <w:p w14:paraId="5C47ED8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2</w:t>
            </w:r>
          </w:p>
        </w:tc>
        <w:tc>
          <w:tcPr>
            <w:tcW w:w="5460" w:type="dxa"/>
          </w:tcPr>
          <w:p w14:paraId="3C42F18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优秀：配备人员的数量满足合同要求；</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不合格：配备人员的数量不满足合同要求。</w:t>
            </w:r>
          </w:p>
        </w:tc>
        <w:tc>
          <w:tcPr>
            <w:tcW w:w="855" w:type="dxa"/>
          </w:tcPr>
          <w:p w14:paraId="35FDBA1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5E62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267DAD2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2</w:t>
            </w:r>
          </w:p>
        </w:tc>
        <w:tc>
          <w:tcPr>
            <w:tcW w:w="880" w:type="dxa"/>
          </w:tcPr>
          <w:p w14:paraId="083AE01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专业配置要求</w:t>
            </w:r>
          </w:p>
        </w:tc>
        <w:tc>
          <w:tcPr>
            <w:tcW w:w="780" w:type="dxa"/>
          </w:tcPr>
          <w:p w14:paraId="6B4F442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3</w:t>
            </w:r>
          </w:p>
        </w:tc>
        <w:tc>
          <w:tcPr>
            <w:tcW w:w="5460" w:type="dxa"/>
          </w:tcPr>
          <w:p w14:paraId="503587C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优秀：配备人员的专业满足合同要求且各专业人员稳定；</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良好：比较稳定；</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合格：基本稳定；</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不合格：不满足要求或不稳定。</w:t>
            </w:r>
          </w:p>
        </w:tc>
        <w:tc>
          <w:tcPr>
            <w:tcW w:w="855" w:type="dxa"/>
          </w:tcPr>
          <w:p w14:paraId="33C69D4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43AC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0769C3F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3</w:t>
            </w:r>
          </w:p>
        </w:tc>
        <w:tc>
          <w:tcPr>
            <w:tcW w:w="880" w:type="dxa"/>
          </w:tcPr>
          <w:p w14:paraId="7271162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项目负责人要求</w:t>
            </w:r>
          </w:p>
        </w:tc>
        <w:tc>
          <w:tcPr>
            <w:tcW w:w="780" w:type="dxa"/>
          </w:tcPr>
          <w:p w14:paraId="4F3A702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5460" w:type="dxa"/>
          </w:tcPr>
          <w:p w14:paraId="71CAC95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优秀：配备固定负责人，具有高度责任心、良好组织协调能力和专业业务水平；</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良好：比较良好；</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合格：基本良好；</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不合格：不固定或不具备相应能力。</w:t>
            </w:r>
          </w:p>
        </w:tc>
        <w:tc>
          <w:tcPr>
            <w:tcW w:w="855" w:type="dxa"/>
          </w:tcPr>
          <w:p w14:paraId="60CF4C2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1402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1286CF6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二</w:t>
            </w:r>
          </w:p>
        </w:tc>
        <w:tc>
          <w:tcPr>
            <w:tcW w:w="880" w:type="dxa"/>
          </w:tcPr>
          <w:p w14:paraId="517CBE3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履约质量</w:t>
            </w:r>
          </w:p>
        </w:tc>
        <w:tc>
          <w:tcPr>
            <w:tcW w:w="780" w:type="dxa"/>
          </w:tcPr>
          <w:p w14:paraId="0F8F03E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45</w:t>
            </w:r>
          </w:p>
        </w:tc>
        <w:tc>
          <w:tcPr>
            <w:tcW w:w="5460" w:type="dxa"/>
          </w:tcPr>
          <w:p w14:paraId="5E66A4F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55" w:type="dxa"/>
          </w:tcPr>
          <w:p w14:paraId="5FE2E0C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0967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7318F14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4</w:t>
            </w:r>
          </w:p>
        </w:tc>
        <w:tc>
          <w:tcPr>
            <w:tcW w:w="880" w:type="dxa"/>
          </w:tcPr>
          <w:p w14:paraId="47D3863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保洁服务质量</w:t>
            </w:r>
          </w:p>
        </w:tc>
        <w:tc>
          <w:tcPr>
            <w:tcW w:w="780" w:type="dxa"/>
          </w:tcPr>
          <w:p w14:paraId="7350CA1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20</w:t>
            </w:r>
          </w:p>
        </w:tc>
        <w:tc>
          <w:tcPr>
            <w:tcW w:w="5460" w:type="dxa"/>
          </w:tcPr>
          <w:p w14:paraId="34D3F9E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优秀：严格按合同开展保洁工作，确保环境质量符合运营要求；</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良好：经少量补正后通过验收；</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合格：整改后通过验收；</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不合格：整改后仍未通过验收。</w:t>
            </w:r>
          </w:p>
        </w:tc>
        <w:tc>
          <w:tcPr>
            <w:tcW w:w="855" w:type="dxa"/>
          </w:tcPr>
          <w:p w14:paraId="1660093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2E01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46F6346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880" w:type="dxa"/>
          </w:tcPr>
          <w:p w14:paraId="3001877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绿植养护质量</w:t>
            </w:r>
          </w:p>
        </w:tc>
        <w:tc>
          <w:tcPr>
            <w:tcW w:w="780" w:type="dxa"/>
          </w:tcPr>
          <w:p w14:paraId="3550CBF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15</w:t>
            </w:r>
          </w:p>
        </w:tc>
        <w:tc>
          <w:tcPr>
            <w:tcW w:w="5460" w:type="dxa"/>
          </w:tcPr>
          <w:p w14:paraId="0FB6E46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优秀：绿植生长健康、形态美观，按合同要求养护；</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良好：总体良好；</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合格：基本达标；</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不合格：大面积枯黄、病虫害严重。</w:t>
            </w:r>
          </w:p>
        </w:tc>
        <w:tc>
          <w:tcPr>
            <w:tcW w:w="855" w:type="dxa"/>
          </w:tcPr>
          <w:p w14:paraId="2EC3EDE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701D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265A927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6</w:t>
            </w:r>
          </w:p>
        </w:tc>
        <w:tc>
          <w:tcPr>
            <w:tcW w:w="880" w:type="dxa"/>
          </w:tcPr>
          <w:p w14:paraId="5FC2FD3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成果文件</w:t>
            </w:r>
          </w:p>
        </w:tc>
        <w:tc>
          <w:tcPr>
            <w:tcW w:w="780" w:type="dxa"/>
          </w:tcPr>
          <w:p w14:paraId="1CF9231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5460" w:type="dxa"/>
          </w:tcPr>
          <w:p w14:paraId="18B6403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优秀：按要求提交服务清单、验收单、台账记录等；</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不合格：未能按要求提交完整文件。</w:t>
            </w:r>
          </w:p>
        </w:tc>
        <w:tc>
          <w:tcPr>
            <w:tcW w:w="855" w:type="dxa"/>
          </w:tcPr>
          <w:p w14:paraId="68BC819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36A2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1CBDD16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7</w:t>
            </w:r>
          </w:p>
        </w:tc>
        <w:tc>
          <w:tcPr>
            <w:tcW w:w="880" w:type="dxa"/>
          </w:tcPr>
          <w:p w14:paraId="69C1468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绿植更换及时性</w:t>
            </w:r>
          </w:p>
        </w:tc>
        <w:tc>
          <w:tcPr>
            <w:tcW w:w="780" w:type="dxa"/>
          </w:tcPr>
          <w:p w14:paraId="46A1F13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5460" w:type="dxa"/>
          </w:tcPr>
          <w:p w14:paraId="513DA54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优秀：枯死/病害绿植2个工作日内更换；</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良好：3个工作日内更换；</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合格：5个工作日内更换；</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不合格：超过5个工作日或未更换。</w:t>
            </w:r>
          </w:p>
        </w:tc>
        <w:tc>
          <w:tcPr>
            <w:tcW w:w="855" w:type="dxa"/>
          </w:tcPr>
          <w:p w14:paraId="055CBC0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306B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7468940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三</w:t>
            </w:r>
          </w:p>
        </w:tc>
        <w:tc>
          <w:tcPr>
            <w:tcW w:w="880" w:type="dxa"/>
          </w:tcPr>
          <w:p w14:paraId="4118E9C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履约时间</w:t>
            </w:r>
          </w:p>
        </w:tc>
        <w:tc>
          <w:tcPr>
            <w:tcW w:w="780" w:type="dxa"/>
          </w:tcPr>
          <w:p w14:paraId="7A3C773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10</w:t>
            </w:r>
          </w:p>
        </w:tc>
        <w:tc>
          <w:tcPr>
            <w:tcW w:w="5460" w:type="dxa"/>
          </w:tcPr>
          <w:p w14:paraId="282D704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55" w:type="dxa"/>
          </w:tcPr>
          <w:p w14:paraId="6F56B2B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1241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4F4C429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8</w:t>
            </w:r>
          </w:p>
        </w:tc>
        <w:tc>
          <w:tcPr>
            <w:tcW w:w="880" w:type="dxa"/>
          </w:tcPr>
          <w:p w14:paraId="1C12B5D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工作时间</w:t>
            </w:r>
          </w:p>
        </w:tc>
        <w:tc>
          <w:tcPr>
            <w:tcW w:w="780" w:type="dxa"/>
          </w:tcPr>
          <w:p w14:paraId="39C6655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10</w:t>
            </w:r>
          </w:p>
        </w:tc>
        <w:tc>
          <w:tcPr>
            <w:tcW w:w="5460" w:type="dxa"/>
          </w:tcPr>
          <w:p w14:paraId="68BE162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优秀：及时完成各项服务；</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良好：比较及时；</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合格：基本及时；</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不合格：不能及时完成。</w:t>
            </w:r>
          </w:p>
        </w:tc>
        <w:tc>
          <w:tcPr>
            <w:tcW w:w="855" w:type="dxa"/>
          </w:tcPr>
          <w:p w14:paraId="29DABFF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44BA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54FD271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四</w:t>
            </w:r>
          </w:p>
        </w:tc>
        <w:tc>
          <w:tcPr>
            <w:tcW w:w="880" w:type="dxa"/>
          </w:tcPr>
          <w:p w14:paraId="795309A5">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履约配合</w:t>
            </w:r>
          </w:p>
        </w:tc>
        <w:tc>
          <w:tcPr>
            <w:tcW w:w="780" w:type="dxa"/>
          </w:tcPr>
          <w:p w14:paraId="0799B5A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35</w:t>
            </w:r>
          </w:p>
        </w:tc>
        <w:tc>
          <w:tcPr>
            <w:tcW w:w="5460" w:type="dxa"/>
          </w:tcPr>
          <w:p w14:paraId="6F082F5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55" w:type="dxa"/>
          </w:tcPr>
          <w:p w14:paraId="4423B76B">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49E3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17372F64">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9</w:t>
            </w:r>
          </w:p>
        </w:tc>
        <w:tc>
          <w:tcPr>
            <w:tcW w:w="880" w:type="dxa"/>
          </w:tcPr>
          <w:p w14:paraId="3A278CA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配合情况</w:t>
            </w:r>
          </w:p>
        </w:tc>
        <w:tc>
          <w:tcPr>
            <w:tcW w:w="780" w:type="dxa"/>
          </w:tcPr>
          <w:p w14:paraId="455B423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25</w:t>
            </w:r>
          </w:p>
        </w:tc>
        <w:tc>
          <w:tcPr>
            <w:tcW w:w="5460" w:type="dxa"/>
          </w:tcPr>
          <w:p w14:paraId="1C56E80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优秀：积极主动配合甲方管理、完成交办工作；</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良好：比较主动；</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合格：基本配合；</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不合格：不能按合同要求配合。</w:t>
            </w:r>
          </w:p>
        </w:tc>
        <w:tc>
          <w:tcPr>
            <w:tcW w:w="855" w:type="dxa"/>
          </w:tcPr>
          <w:p w14:paraId="4BE80ECF">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319F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3BCE0F28">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10</w:t>
            </w:r>
          </w:p>
        </w:tc>
        <w:tc>
          <w:tcPr>
            <w:tcW w:w="880" w:type="dxa"/>
          </w:tcPr>
          <w:p w14:paraId="75B3FE9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保密工作</w:t>
            </w:r>
          </w:p>
        </w:tc>
        <w:tc>
          <w:tcPr>
            <w:tcW w:w="780" w:type="dxa"/>
          </w:tcPr>
          <w:p w14:paraId="0FABC46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5460" w:type="dxa"/>
          </w:tcPr>
          <w:p w14:paraId="64A4784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优秀：未对外公开涉及机密的资料；</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不合格：对外公开机密资料并造成后果。</w:t>
            </w:r>
          </w:p>
        </w:tc>
        <w:tc>
          <w:tcPr>
            <w:tcW w:w="855" w:type="dxa"/>
          </w:tcPr>
          <w:p w14:paraId="5A87724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78C0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26C0E74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11</w:t>
            </w:r>
          </w:p>
        </w:tc>
        <w:tc>
          <w:tcPr>
            <w:tcW w:w="880" w:type="dxa"/>
          </w:tcPr>
          <w:p w14:paraId="556044DD">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诚信情况</w:t>
            </w:r>
          </w:p>
        </w:tc>
        <w:tc>
          <w:tcPr>
            <w:tcW w:w="780" w:type="dxa"/>
          </w:tcPr>
          <w:p w14:paraId="4D97B7B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5</w:t>
            </w:r>
          </w:p>
        </w:tc>
        <w:tc>
          <w:tcPr>
            <w:tcW w:w="5460" w:type="dxa"/>
          </w:tcPr>
          <w:p w14:paraId="14319DA1">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优秀：无弄虚作假现象；</w:t>
            </w:r>
            <w:r>
              <w:rPr>
                <w:rFonts w:hint="eastAsia" w:ascii="仿宋" w:hAnsi="仿宋" w:eastAsia="仿宋" w:cs="仿宋"/>
                <w:b w:val="0"/>
                <w:color w:val="auto"/>
                <w:sz w:val="24"/>
                <w:szCs w:val="24"/>
              </w:rPr>
              <w:br w:type="textWrapping"/>
            </w:r>
            <w:r>
              <w:rPr>
                <w:rFonts w:hint="eastAsia" w:ascii="仿宋" w:hAnsi="仿宋" w:eastAsia="仿宋" w:cs="仿宋"/>
                <w:b w:val="0"/>
                <w:color w:val="auto"/>
                <w:sz w:val="24"/>
                <w:szCs w:val="24"/>
              </w:rPr>
              <w:t>不合格：有弄虚作假现象。</w:t>
            </w:r>
          </w:p>
        </w:tc>
        <w:tc>
          <w:tcPr>
            <w:tcW w:w="855" w:type="dxa"/>
          </w:tcPr>
          <w:p w14:paraId="0714592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r w14:paraId="298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4BF9CCC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80" w:type="dxa"/>
          </w:tcPr>
          <w:p w14:paraId="7BF556C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合计</w:t>
            </w:r>
          </w:p>
        </w:tc>
        <w:tc>
          <w:tcPr>
            <w:tcW w:w="780" w:type="dxa"/>
          </w:tcPr>
          <w:p w14:paraId="74696C9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r>
              <w:rPr>
                <w:rFonts w:hint="eastAsia" w:ascii="仿宋" w:hAnsi="仿宋" w:eastAsia="仿宋" w:cs="仿宋"/>
                <w:b w:val="0"/>
                <w:color w:val="auto"/>
                <w:sz w:val="24"/>
                <w:szCs w:val="24"/>
              </w:rPr>
              <w:t>100</w:t>
            </w:r>
          </w:p>
        </w:tc>
        <w:tc>
          <w:tcPr>
            <w:tcW w:w="5460" w:type="dxa"/>
          </w:tcPr>
          <w:p w14:paraId="221A4386">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c>
          <w:tcPr>
            <w:tcW w:w="855" w:type="dxa"/>
          </w:tcPr>
          <w:p w14:paraId="5235E119">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4"/>
                <w:szCs w:val="24"/>
              </w:rPr>
            </w:pPr>
          </w:p>
        </w:tc>
      </w:tr>
    </w:tbl>
    <w:p w14:paraId="33BA1A16">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70823903">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rPr>
        <w:t>说明：</w:t>
      </w:r>
    </w:p>
    <w:p w14:paraId="79ADB897">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1. 分数采用百分制，90-100为优；80-90（不含）为良；60-80（不含）为合格；少于60为不合格。</w:t>
      </w:r>
    </w:p>
    <w:p w14:paraId="56B072CA">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lang w:val="en-US" w:eastAsia="zh-CN"/>
        </w:rPr>
        <w:t>2</w:t>
      </w:r>
      <w:r>
        <w:rPr>
          <w:rFonts w:hint="eastAsia" w:ascii="仿宋" w:hAnsi="仿宋" w:eastAsia="仿宋" w:cs="仿宋"/>
          <w:b w:val="0"/>
          <w:color w:val="auto"/>
          <w:sz w:val="28"/>
          <w:szCs w:val="28"/>
        </w:rPr>
        <w:t>. 本表为参考用表，履约评价实施单位可以根据合同约定调整评分项目和权重分值。</w:t>
      </w:r>
    </w:p>
    <w:p w14:paraId="638E4BCD">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r>
        <w:rPr>
          <w:color w:val="auto"/>
          <w:sz w:val="32"/>
          <w:szCs w:val="32"/>
        </w:rPr>
        <w:br w:type="page"/>
      </w:r>
    </w:p>
    <w:p w14:paraId="37AC5490">
      <w:pPr>
        <w:pStyle w:val="3"/>
        <w:pageBreakBefore w:val="0"/>
        <w:widowControl/>
        <w:kinsoku/>
        <w:wordWrap/>
        <w:overflowPunct/>
        <w:topLinePunct w:val="0"/>
        <w:autoSpaceDE/>
        <w:autoSpaceDN/>
        <w:bidi w:val="0"/>
        <w:adjustRightInd/>
        <w:snapToGrid/>
        <w:spacing w:before="0" w:after="0" w:line="560" w:lineRule="exact"/>
        <w:jc w:val="left"/>
        <w:textAlignment w:val="auto"/>
        <w:rPr>
          <w:rFonts w:hint="default" w:eastAsia="黑体"/>
          <w:color w:val="auto"/>
          <w:sz w:val="32"/>
          <w:szCs w:val="32"/>
          <w:lang w:val="en-US" w:eastAsia="zh-CN"/>
        </w:rPr>
      </w:pPr>
      <w:r>
        <w:rPr>
          <w:rFonts w:ascii="黑体" w:hAnsi="黑体" w:eastAsia="黑体"/>
          <w:color w:val="auto"/>
          <w:sz w:val="32"/>
          <w:szCs w:val="32"/>
        </w:rPr>
        <w:t>附件2：</w:t>
      </w:r>
      <w:r>
        <w:rPr>
          <w:rFonts w:hint="eastAsia" w:ascii="黑体" w:hAnsi="黑体" w:eastAsia="黑体"/>
          <w:color w:val="auto"/>
          <w:sz w:val="32"/>
          <w:szCs w:val="32"/>
          <w:lang w:val="en-US" w:eastAsia="zh-CN"/>
        </w:rPr>
        <w:t>报价清单</w:t>
      </w:r>
    </w:p>
    <w:p w14:paraId="186B3AAA">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p w14:paraId="511A69D8">
      <w:pPr>
        <w:rPr>
          <w:color w:val="auto"/>
          <w:sz w:val="32"/>
          <w:szCs w:val="32"/>
        </w:rPr>
      </w:pPr>
      <w:r>
        <w:rPr>
          <w:color w:val="auto"/>
          <w:sz w:val="32"/>
          <w:szCs w:val="32"/>
        </w:rPr>
        <w:br w:type="page"/>
      </w:r>
    </w:p>
    <w:p w14:paraId="3AE4F961">
      <w:pPr>
        <w:pStyle w:val="3"/>
        <w:pageBreakBefore w:val="0"/>
        <w:widowControl/>
        <w:kinsoku/>
        <w:wordWrap/>
        <w:overflowPunct/>
        <w:topLinePunct w:val="0"/>
        <w:autoSpaceDE/>
        <w:autoSpaceDN/>
        <w:bidi w:val="0"/>
        <w:adjustRightInd/>
        <w:snapToGrid/>
        <w:spacing w:before="0" w:after="0" w:line="560" w:lineRule="exact"/>
        <w:jc w:val="left"/>
        <w:textAlignment w:val="auto"/>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附件3</w:t>
      </w:r>
    </w:p>
    <w:p w14:paraId="63CBB13A">
      <w:pPr>
        <w:widowControl w:val="0"/>
        <w:spacing w:after="0" w:line="560" w:lineRule="exact"/>
        <w:jc w:val="center"/>
        <w:rPr>
          <w:rFonts w:ascii="仿宋_GB2312" w:hAnsi="Times New Roman" w:eastAsia="仿宋_GB2312" w:cs="Times New Roman"/>
          <w:b/>
          <w:bCs/>
          <w:kern w:val="2"/>
          <w:sz w:val="32"/>
          <w:szCs w:val="32"/>
          <w:lang w:eastAsia="zh-CN"/>
        </w:rPr>
      </w:pPr>
      <w:bookmarkStart w:id="0" w:name="_GoBack"/>
      <w:bookmarkEnd w:id="0"/>
      <w:r>
        <w:rPr>
          <w:rFonts w:hint="eastAsia" w:ascii="仿宋_GB2312" w:hAnsi="Times New Roman" w:eastAsia="仿宋_GB2312" w:cs="Times New Roman"/>
          <w:b/>
          <w:bCs/>
          <w:kern w:val="2"/>
          <w:sz w:val="32"/>
          <w:szCs w:val="32"/>
          <w:lang w:eastAsia="zh-CN"/>
        </w:rPr>
        <w:t>安全生产管理协议</w:t>
      </w:r>
    </w:p>
    <w:p w14:paraId="48B356E1">
      <w:pPr>
        <w:widowControl w:val="0"/>
        <w:spacing w:after="0" w:line="560" w:lineRule="exact"/>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甲方：</w:t>
      </w:r>
      <w:r>
        <w:rPr>
          <w:rFonts w:hint="eastAsia" w:ascii="仿宋_GB2312" w:hAnsi="Times New Roman" w:eastAsia="仿宋_GB2312" w:cs="Times New Roman"/>
          <w:kern w:val="2"/>
          <w:sz w:val="24"/>
          <w:szCs w:val="24"/>
          <w:u w:val="single"/>
          <w:lang w:eastAsia="zh-CN"/>
        </w:rPr>
        <w:t>深圳深港科技创新合作区发展有限公司</w:t>
      </w:r>
    </w:p>
    <w:p w14:paraId="61D03720">
      <w:pPr>
        <w:widowControl w:val="0"/>
        <w:spacing w:after="0" w:line="560" w:lineRule="exact"/>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w:t>
      </w:r>
      <w:r>
        <w:rPr>
          <w:rFonts w:hint="eastAsia" w:ascii="仿宋_GB2312" w:hAnsi="Times New Roman" w:eastAsia="仿宋_GB2312" w:cs="Times New Roman"/>
          <w:kern w:val="2"/>
          <w:sz w:val="24"/>
          <w:szCs w:val="24"/>
          <w:u w:val="single"/>
          <w:lang w:eastAsia="zh-CN"/>
        </w:rPr>
        <w:t xml:space="preserve"> </w:t>
      </w:r>
      <w:r>
        <w:rPr>
          <w:rFonts w:ascii="仿宋_GB2312" w:hAnsi="Times New Roman" w:eastAsia="仿宋_GB2312" w:cs="Times New Roman"/>
          <w:kern w:val="2"/>
          <w:sz w:val="24"/>
          <w:szCs w:val="24"/>
          <w:u w:val="single"/>
          <w:lang w:eastAsia="zh-CN"/>
        </w:rPr>
        <w:t xml:space="preserve">                              </w:t>
      </w:r>
      <w:r>
        <w:rPr>
          <w:rFonts w:hint="eastAsia" w:ascii="仿宋_GB2312" w:hAnsi="Times New Roman" w:eastAsia="仿宋_GB2312" w:cs="Times New Roman"/>
          <w:kern w:val="2"/>
          <w:sz w:val="24"/>
          <w:szCs w:val="24"/>
          <w:u w:val="single"/>
          <w:lang w:eastAsia="zh-CN"/>
        </w:rPr>
        <w:t xml:space="preserve"> </w:t>
      </w:r>
      <w:r>
        <w:rPr>
          <w:rFonts w:ascii="仿宋_GB2312" w:hAnsi="Times New Roman" w:eastAsia="仿宋_GB2312" w:cs="Times New Roman"/>
          <w:kern w:val="2"/>
          <w:sz w:val="24"/>
          <w:szCs w:val="24"/>
          <w:u w:val="single"/>
          <w:lang w:eastAsia="zh-CN"/>
        </w:rPr>
        <w:t xml:space="preserve"> </w:t>
      </w:r>
    </w:p>
    <w:p w14:paraId="00E8468C">
      <w:pPr>
        <w:widowControl w:val="0"/>
        <w:spacing w:after="0" w:line="560" w:lineRule="exact"/>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根据甲乙双方签订的《</w:t>
      </w:r>
      <w:r>
        <w:rPr>
          <w:rFonts w:hint="eastAsia" w:ascii="仿宋_GB2312" w:hAnsi="Times New Roman" w:eastAsia="仿宋_GB2312" w:cs="Times New Roman"/>
          <w:kern w:val="2"/>
          <w:sz w:val="24"/>
          <w:szCs w:val="24"/>
          <w:highlight w:val="yellow"/>
          <w:lang w:eastAsia="zh-CN"/>
        </w:rPr>
        <w:t>【 】</w:t>
      </w:r>
      <w:r>
        <w:rPr>
          <w:rFonts w:hint="eastAsia" w:ascii="仿宋_GB2312" w:hAnsi="Times New Roman" w:eastAsia="仿宋_GB2312" w:cs="Times New Roman"/>
          <w:kern w:val="2"/>
          <w:sz w:val="24"/>
          <w:szCs w:val="24"/>
          <w:lang w:eastAsia="zh-CN"/>
        </w:rPr>
        <w:t>合同》（下称“</w:t>
      </w:r>
      <w:r>
        <w:rPr>
          <w:rFonts w:hint="eastAsia" w:ascii="仿宋_GB2312" w:hAnsi="Times New Roman" w:eastAsia="仿宋_GB2312" w:cs="Times New Roman"/>
          <w:b/>
          <w:bCs/>
          <w:kern w:val="2"/>
          <w:sz w:val="24"/>
          <w:szCs w:val="24"/>
          <w:lang w:eastAsia="zh-CN"/>
        </w:rPr>
        <w:t>主合同</w:t>
      </w:r>
      <w:r>
        <w:rPr>
          <w:rFonts w:hint="eastAsia" w:ascii="仿宋_GB2312" w:hAnsi="Times New Roman" w:eastAsia="仿宋_GB2312" w:cs="Times New Roman"/>
          <w:kern w:val="2"/>
          <w:sz w:val="24"/>
          <w:szCs w:val="24"/>
          <w:lang w:eastAsia="zh-CN"/>
        </w:rPr>
        <w:t>”），【乙方为</w:t>
      </w:r>
      <w:r>
        <w:rPr>
          <w:rFonts w:hint="default" w:ascii="仿宋_GB2312" w:hAnsi="Times New Roman" w:eastAsia="仿宋_GB2312" w:cs="Times New Roman"/>
          <w:kern w:val="2"/>
          <w:sz w:val="24"/>
          <w:szCs w:val="24"/>
          <w:lang w:eastAsia="zh-CN"/>
        </w:rPr>
        <w:t>履行</w:t>
      </w:r>
      <w:r>
        <w:rPr>
          <w:rFonts w:hint="eastAsia" w:ascii="仿宋_GB2312" w:hAnsi="Times New Roman" w:eastAsia="仿宋_GB2312" w:cs="Times New Roman"/>
          <w:kern w:val="2"/>
          <w:sz w:val="24"/>
          <w:szCs w:val="24"/>
          <w:lang w:eastAsia="zh-CN"/>
        </w:rPr>
        <w:t>主合同项下约定</w:t>
      </w:r>
      <w:r>
        <w:rPr>
          <w:rFonts w:hint="default" w:ascii="仿宋_GB2312" w:hAnsi="Times New Roman" w:eastAsia="仿宋_GB2312" w:cs="Times New Roman"/>
          <w:kern w:val="2"/>
          <w:sz w:val="24"/>
          <w:szCs w:val="24"/>
          <w:lang w:eastAsia="zh-CN"/>
        </w:rPr>
        <w:t>义务</w:t>
      </w:r>
      <w:r>
        <w:rPr>
          <w:rFonts w:hint="eastAsia" w:ascii="仿宋_GB2312" w:hAnsi="Times New Roman" w:eastAsia="仿宋_GB2312" w:cs="Times New Roman"/>
          <w:kern w:val="2"/>
          <w:sz w:val="24"/>
          <w:szCs w:val="24"/>
          <w:lang w:eastAsia="zh-CN"/>
        </w:rPr>
        <w:t>，需要进入甲方办公场所及项目（含甲方关联公司开发的项目，下同）施工场地】，甲乙双方特就乙方服务人员（不论是否实际为乙方员工）进入甲方办公场所及项目施工场地的安全管理事宜，达成如下协议：</w:t>
      </w:r>
    </w:p>
    <w:p w14:paraId="7F1EDEE8">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乙方应当严格遵守且促使其服务人员严格遵守国家、深圳市、行业和甲方及现场相关单位的安全管理法律、规章、制度，服从甲方及现场相关单位的管理。</w:t>
      </w:r>
    </w:p>
    <w:p w14:paraId="643C5C60">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乙方服务人员应秉持专业态度，在甲方办公场所及项目施工场地等区域审慎行动，杜绝与提供主合同项下服务无关的行为。</w:t>
      </w:r>
    </w:p>
    <w:p w14:paraId="5B64A29A">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乙方服务人员在提供服务过程中应严格听从现场人员指挥，正确佩戴和使用劳动防护用品，不违规、盲目作业，不抱侥幸心理。</w:t>
      </w:r>
    </w:p>
    <w:p w14:paraId="6B408EB3">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乙方服务人员在接受甲方及相关单位的安全交底和技术交底前绝不擅自作业，严格执行安全交底和技术交底要求的各种安全措施。</w:t>
      </w:r>
    </w:p>
    <w:p w14:paraId="3A017464">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乙方在发现其服务人员的不安全行为时，应第一时间制止。发现事故隐患或者其他不安全因素的，应立即向现场安全生产管理人员或者甲方现场负责人报告。</w:t>
      </w:r>
    </w:p>
    <w:p w14:paraId="05E77B8A">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在提供主合同项下服务期间，乙方应积极参加各种安全培训和安全学习、安全活动、事故应急演练，掌握作业所需的安全生产知识，提高安全生产技能，增强事故预防和应急处理能力。</w:t>
      </w:r>
    </w:p>
    <w:p w14:paraId="072EBB2D">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乙方服务人员遵守消防管理的各项法律、规章、制度、规定，积极学习灭火与火场逃生知识，熟悉各种灭火器材的使用方法和逃生线路。</w:t>
      </w:r>
    </w:p>
    <w:p w14:paraId="736A316B">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乙方及其服务人员的安全责任后果均由乙方负责，乙方对乙方服务人员的行为负责并承担相应责任与后果。</w:t>
      </w:r>
    </w:p>
    <w:p w14:paraId="22581337">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w:t>
      </w:r>
      <w:r>
        <w:rPr>
          <w:rFonts w:ascii="仿宋_GB2312" w:hAnsi="Times New Roman" w:eastAsia="仿宋_GB2312" w:cs="Times New Roman"/>
          <w:kern w:val="2"/>
          <w:sz w:val="24"/>
          <w:szCs w:val="24"/>
          <w:lang w:eastAsia="zh-CN"/>
        </w:rPr>
        <w:t>未充分履行</w:t>
      </w:r>
      <w:r>
        <w:rPr>
          <w:rFonts w:hint="eastAsia" w:ascii="仿宋_GB2312" w:hAnsi="Times New Roman" w:eastAsia="仿宋_GB2312" w:cs="Times New Roman"/>
          <w:kern w:val="2"/>
          <w:sz w:val="24"/>
          <w:szCs w:val="24"/>
          <w:lang w:eastAsia="zh-CN"/>
        </w:rPr>
        <w:t>本协议约定引起安全事故</w:t>
      </w:r>
      <w:r>
        <w:rPr>
          <w:rFonts w:ascii="仿宋_GB2312" w:hAnsi="Times New Roman" w:eastAsia="仿宋_GB2312" w:cs="Times New Roman"/>
          <w:kern w:val="2"/>
          <w:sz w:val="24"/>
          <w:szCs w:val="24"/>
          <w:lang w:eastAsia="zh-CN"/>
        </w:rPr>
        <w:t>，或造成事故损失扩大的，</w:t>
      </w:r>
      <w:r>
        <w:rPr>
          <w:rFonts w:hint="eastAsia" w:ascii="仿宋_GB2312" w:hAnsi="Times New Roman" w:eastAsia="仿宋_GB2312" w:cs="Times New Roman"/>
          <w:kern w:val="2"/>
          <w:sz w:val="24"/>
          <w:szCs w:val="24"/>
          <w:lang w:eastAsia="zh-CN"/>
        </w:rPr>
        <w:t>责任由乙方予以承担；给甲方或第三方造成损失（含诉讼费、律师费及其他合理费用）的，乙方应承担赔偿责任。</w:t>
      </w:r>
    </w:p>
    <w:p w14:paraId="72229F99">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本协议签署后，对于因本协议的履行产生的争议，争议发生之日起3</w:t>
      </w:r>
      <w:r>
        <w:rPr>
          <w:rFonts w:ascii="仿宋_GB2312" w:hAnsi="Times New Roman" w:eastAsia="仿宋_GB2312" w:cs="Times New Roman"/>
          <w:kern w:val="2"/>
          <w:sz w:val="24"/>
          <w:szCs w:val="24"/>
          <w:lang w:eastAsia="zh-CN"/>
        </w:rPr>
        <w:t>0</w:t>
      </w:r>
      <w:r>
        <w:rPr>
          <w:rFonts w:hint="eastAsia" w:ascii="仿宋_GB2312" w:hAnsi="Times New Roman" w:eastAsia="仿宋_GB2312" w:cs="Times New Roman"/>
          <w:kern w:val="2"/>
          <w:sz w:val="24"/>
          <w:szCs w:val="24"/>
          <w:lang w:eastAsia="zh-CN"/>
        </w:rPr>
        <w:t>日内协商不成或一方拒绝协商的，任何一方均有权向甲方所在地人民法院提起诉讼解决。</w:t>
      </w:r>
    </w:p>
    <w:p w14:paraId="17AA746A">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本协议一式两份，协议双方各持一份，自</w:t>
      </w:r>
      <w:r>
        <w:rPr>
          <w:rFonts w:hint="default" w:ascii="仿宋_GB2312" w:hAnsi="Times New Roman" w:eastAsia="仿宋_GB2312" w:cs="Times New Roman"/>
          <w:kern w:val="2"/>
          <w:sz w:val="24"/>
          <w:szCs w:val="24"/>
          <w:lang w:eastAsia="zh-CN"/>
        </w:rPr>
        <w:t>主合同</w:t>
      </w:r>
      <w:r>
        <w:rPr>
          <w:rFonts w:hint="eastAsia" w:ascii="仿宋_GB2312" w:hAnsi="Times New Roman" w:eastAsia="仿宋_GB2312" w:cs="Times New Roman"/>
          <w:kern w:val="2"/>
          <w:sz w:val="24"/>
          <w:szCs w:val="24"/>
          <w:lang w:eastAsia="zh-CN"/>
        </w:rPr>
        <w:t>生效</w:t>
      </w:r>
      <w:r>
        <w:rPr>
          <w:rFonts w:hint="default" w:ascii="仿宋_GB2312" w:hAnsi="Times New Roman" w:eastAsia="仿宋_GB2312" w:cs="Times New Roman"/>
          <w:kern w:val="2"/>
          <w:sz w:val="24"/>
          <w:szCs w:val="24"/>
          <w:lang w:eastAsia="zh-CN"/>
        </w:rPr>
        <w:t>之日起生效</w:t>
      </w:r>
      <w:r>
        <w:rPr>
          <w:rFonts w:hint="eastAsia" w:ascii="仿宋_GB2312" w:hAnsi="Times New Roman" w:eastAsia="仿宋_GB2312" w:cs="Times New Roman"/>
          <w:kern w:val="2"/>
          <w:sz w:val="24"/>
          <w:szCs w:val="24"/>
          <w:lang w:eastAsia="zh-CN"/>
        </w:rPr>
        <w:t>。</w:t>
      </w:r>
    </w:p>
    <w:p w14:paraId="29A93959">
      <w:pPr>
        <w:widowControl w:val="0"/>
        <w:spacing w:after="0" w:line="560" w:lineRule="exact"/>
        <w:jc w:val="both"/>
        <w:rPr>
          <w:rFonts w:hint="eastAsia" w:ascii="仿宋_GB2312" w:hAnsi="Times New Roman" w:eastAsia="仿宋_GB2312" w:cs="Times New Roman"/>
          <w:kern w:val="2"/>
          <w:sz w:val="24"/>
          <w:szCs w:val="24"/>
          <w:lang w:eastAsia="zh-CN"/>
        </w:rPr>
      </w:pPr>
    </w:p>
    <w:p w14:paraId="7C042449">
      <w:pPr>
        <w:pageBreakBefore w:val="0"/>
        <w:widowControl/>
        <w:kinsoku/>
        <w:wordWrap/>
        <w:overflowPunct/>
        <w:topLinePunct w:val="0"/>
        <w:autoSpaceDE/>
        <w:autoSpaceDN/>
        <w:bidi w:val="0"/>
        <w:adjustRightInd/>
        <w:snapToGrid/>
        <w:spacing w:after="0" w:line="560" w:lineRule="exact"/>
        <w:jc w:val="left"/>
        <w:textAlignment w:val="auto"/>
        <w:rPr>
          <w:color w:val="auto"/>
          <w:sz w:val="32"/>
          <w:szCs w:val="32"/>
        </w:rPr>
      </w:pPr>
    </w:p>
    <w:sectPr>
      <w:pgSz w:w="11906" w:h="16838"/>
      <w:pgMar w:top="1440" w:right="1803" w:bottom="1440" w:left="180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293990-9A26-4A8E-BD81-5ADF1F7EEC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汉仪书宋二KW">
    <w:altName w:val="宋体"/>
    <w:panose1 w:val="00020600040101010101"/>
    <w:charset w:val="86"/>
    <w:family w:val="auto"/>
    <w:pitch w:val="default"/>
    <w:sig w:usb0="00000000" w:usb1="00000000" w:usb2="00000016" w:usb3="00000000" w:csb0="00040000" w:csb1="00000000"/>
  </w:font>
  <w:font w:name="Cambria">
    <w:panose1 w:val="02040503050406030204"/>
    <w:charset w:val="00"/>
    <w:family w:val="auto"/>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35D11F18-3749-4E3C-AE99-818E237DD189}"/>
  </w:font>
  <w:font w:name="仿宋">
    <w:panose1 w:val="02010609060101010101"/>
    <w:charset w:val="86"/>
    <w:family w:val="auto"/>
    <w:pitch w:val="default"/>
    <w:sig w:usb0="800002BF" w:usb1="38CF7CFA" w:usb2="00000016" w:usb3="00000000" w:csb0="00040001" w:csb1="00000000"/>
    <w:embedRegular r:id="rId3" w:fontKey="{2B9477B4-753B-47E0-9C8C-8D9D6D3EE0D7}"/>
  </w:font>
  <w:font w:name="仿宋_GB2312">
    <w:altName w:val="仿宋"/>
    <w:panose1 w:val="02010609030101010101"/>
    <w:charset w:val="86"/>
    <w:family w:val="auto"/>
    <w:pitch w:val="default"/>
    <w:sig w:usb0="00000000" w:usb1="00000000" w:usb2="00000000" w:usb3="00000000" w:csb0="00040000" w:csb1="00000000"/>
    <w:embedRegular r:id="rId4" w:fontKey="{165EDCF6-94BE-4EDB-B703-6D3358D81D01}"/>
  </w:font>
  <w:font w:name="汉仪仿宋KW">
    <w:altName w:val="仿宋"/>
    <w:panose1 w:val="00020600040101010101"/>
    <w:charset w:val="86"/>
    <w:family w:val="auto"/>
    <w:pitch w:val="default"/>
    <w:sig w:usb0="00000000" w:usb1="00000000" w:usb2="00000016" w:usb3="00000000" w:csb0="00040000"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26315F18"/>
    <w:multiLevelType w:val="multilevel"/>
    <w:tmpl w:val="26315F18"/>
    <w:lvl w:ilvl="0" w:tentative="0">
      <w:start w:val="1"/>
      <w:numFmt w:val="decimal"/>
      <w:lvlText w:val="%1."/>
      <w:lvlJc w:val="left"/>
      <w:pPr>
        <w:ind w:left="440" w:hanging="440"/>
      </w:pPr>
      <w:rPr>
        <w:rFonts w:hint="default" w:ascii="Times New Roman" w:hAnsi="Times New Roman"/>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40931CC"/>
    <w:rsid w:val="05F465BF"/>
    <w:rsid w:val="087E1A1F"/>
    <w:rsid w:val="1F3C637F"/>
    <w:rsid w:val="256C6251"/>
    <w:rsid w:val="34DB60CD"/>
    <w:rsid w:val="4C7F2F50"/>
    <w:rsid w:val="4D9746D7"/>
    <w:rsid w:val="665B11CB"/>
    <w:rsid w:val="BF96063A"/>
    <w:rsid w:val="FAE7994F"/>
    <w:rsid w:val="FB7FD5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360" w:lineRule="auto"/>
    </w:pPr>
    <w:rPr>
      <w:rFonts w:ascii="宋体" w:hAnsi="宋体" w:eastAsia="宋体" w:cstheme="minorBidi"/>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page number"/>
    <w:qFormat/>
    <w:uiPriority w:val="0"/>
  </w:style>
  <w:style w:type="character" w:styleId="135">
    <w:name w:val="Emphasis"/>
    <w:basedOn w:val="132"/>
    <w:qFormat/>
    <w:uiPriority w:val="20"/>
    <w:rPr>
      <w:i/>
      <w:iCs/>
    </w:rPr>
  </w:style>
  <w:style w:type="character" w:customStyle="1" w:styleId="136">
    <w:name w:val="Header Char"/>
    <w:basedOn w:val="132"/>
    <w:link w:val="25"/>
    <w:qFormat/>
    <w:uiPriority w:val="99"/>
  </w:style>
  <w:style w:type="character" w:customStyle="1" w:styleId="137">
    <w:name w:val="Footer Char"/>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2"/>
    <w:link w:val="19"/>
    <w:qFormat/>
    <w:uiPriority w:val="99"/>
  </w:style>
  <w:style w:type="character" w:customStyle="1" w:styleId="146">
    <w:name w:val="Body Text 2 Char"/>
    <w:basedOn w:val="132"/>
    <w:link w:val="28"/>
    <w:qFormat/>
    <w:uiPriority w:val="99"/>
  </w:style>
  <w:style w:type="character" w:customStyle="1" w:styleId="147">
    <w:name w:val="Body Text 3 Char"/>
    <w:basedOn w:val="132"/>
    <w:link w:val="17"/>
    <w:qFormat/>
    <w:uiPriority w:val="99"/>
    <w:rPr>
      <w:sz w:val="16"/>
      <w:szCs w:val="16"/>
    </w:rPr>
  </w:style>
  <w:style w:type="character" w:customStyle="1" w:styleId="148">
    <w:name w:val="Macro Text Char"/>
    <w:basedOn w:val="132"/>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2"/>
    <w:link w:val="149"/>
    <w:qFormat/>
    <w:uiPriority w:val="29"/>
    <w:rPr>
      <w:i/>
      <w:iCs/>
      <w:color w:val="000000" w:themeColor="text1"/>
      <w14:textFill>
        <w14:solidFill>
          <w14:schemeClr w14:val="tx1"/>
        </w14:solidFill>
      </w14:textFill>
    </w:rPr>
  </w:style>
  <w:style w:type="character" w:customStyle="1" w:styleId="151">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Pages>20</Pages>
  <Words>4011</Words>
  <Characters>4120</Characters>
  <Lines>0</Lines>
  <Paragraphs>0</Paragraphs>
  <TotalTime>5</TotalTime>
  <ScaleCrop>false</ScaleCrop>
  <LinksUpToDate>false</LinksUpToDate>
  <CharactersWithSpaces>4273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茜茜</cp:lastModifiedBy>
  <dcterms:modified xsi:type="dcterms:W3CDTF">2026-06-23T08:05:25Z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eyJoZGlkIjoiZmUyZDg3MDQzZDZhMDQyM2ZlOTQ2MGE3NTU2MmQ2MjgiLCJ1c2VySWQiOiIzMjQ4NDI5NjcifQ==</vt:lpwstr>
  </property>
  <property fmtid="{D5CDD505-2E9C-101B-9397-08002B2CF9AE}" pid="3" name="KSOProductBuildVer">
    <vt:lpwstr>2052-12.1.0.26375</vt:lpwstr>
  </property>
  <property fmtid="{D5CDD505-2E9C-101B-9397-08002B2CF9AE}" pid="4" name="ICV">
    <vt:lpwstr>CA50B52FAD9D4A0A81C648D2B9D3A944_12</vt:lpwstr>
  </property>
</Properties>
</file>