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863B3">
      <w:pPr>
        <w:spacing w:line="360" w:lineRule="auto"/>
        <w:rPr>
          <w:color w:val="auto"/>
        </w:rPr>
      </w:pPr>
    </w:p>
    <w:p w14:paraId="4DDFCEDB">
      <w:pPr>
        <w:spacing w:line="360" w:lineRule="auto"/>
        <w:jc w:val="right"/>
        <w:rPr>
          <w:color w:val="auto"/>
        </w:rPr>
      </w:pPr>
      <w:r>
        <w:rPr>
          <w:rFonts w:ascii="宋体" w:hAnsi="宋体" w:eastAsia="宋体"/>
          <w:b w:val="0"/>
          <w:color w:val="auto"/>
          <w:sz w:val="28"/>
        </w:rPr>
        <w:t>合同编号：【　　　　　　】</w:t>
      </w:r>
    </w:p>
    <w:p w14:paraId="306AE256">
      <w:pPr>
        <w:spacing w:line="360" w:lineRule="auto"/>
        <w:rPr>
          <w:color w:val="auto"/>
        </w:rPr>
      </w:pPr>
    </w:p>
    <w:p w14:paraId="1BC81CE6">
      <w:pPr>
        <w:spacing w:line="360" w:lineRule="auto"/>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2026-2027年展示交流中心</w:t>
      </w:r>
    </w:p>
    <w:p w14:paraId="738E0127">
      <w:pPr>
        <w:spacing w:line="360" w:lineRule="auto"/>
        <w:jc w:val="center"/>
        <w:rPr>
          <w:rFonts w:hint="default"/>
          <w:color w:val="auto"/>
          <w:lang w:val="en-US"/>
        </w:rPr>
      </w:pPr>
      <w:r>
        <w:rPr>
          <w:rFonts w:hint="eastAsia" w:ascii="方正公文小标宋" w:hAnsi="方正公文小标宋" w:eastAsia="方正公文小标宋" w:cs="方正公文小标宋"/>
          <w:b/>
          <w:color w:val="auto"/>
          <w:sz w:val="44"/>
          <w:lang w:val="en-US" w:eastAsia="zh-CN"/>
        </w:rPr>
        <w:t>保洁、绿植租摆服务合同</w:t>
      </w:r>
    </w:p>
    <w:p w14:paraId="62BCF0D6">
      <w:pPr>
        <w:spacing w:line="360" w:lineRule="auto"/>
        <w:rPr>
          <w:color w:val="auto"/>
        </w:rPr>
      </w:pPr>
    </w:p>
    <w:p w14:paraId="55CFE118">
      <w:pPr>
        <w:spacing w:line="360" w:lineRule="auto"/>
        <w:rPr>
          <w:color w:val="auto"/>
        </w:rPr>
      </w:pPr>
    </w:p>
    <w:p w14:paraId="6C9449F3">
      <w:pPr>
        <w:spacing w:line="360" w:lineRule="auto"/>
        <w:rPr>
          <w:color w:val="auto"/>
        </w:rPr>
      </w:pPr>
    </w:p>
    <w:p w14:paraId="3AB9016C">
      <w:pPr>
        <w:spacing w:line="360" w:lineRule="auto"/>
        <w:rPr>
          <w:color w:val="auto"/>
        </w:rPr>
      </w:pPr>
    </w:p>
    <w:p w14:paraId="3D842526">
      <w:pPr>
        <w:spacing w:line="360" w:lineRule="auto"/>
        <w:rPr>
          <w:color w:val="auto"/>
        </w:rPr>
      </w:pPr>
    </w:p>
    <w:p w14:paraId="10147EB0">
      <w:pPr>
        <w:spacing w:line="360" w:lineRule="auto"/>
        <w:rPr>
          <w:color w:val="auto"/>
        </w:rPr>
      </w:pPr>
    </w:p>
    <w:p w14:paraId="1A24639B">
      <w:pPr>
        <w:spacing w:line="360" w:lineRule="auto"/>
        <w:rPr>
          <w:rFonts w:hint="eastAsia" w:ascii="仿宋" w:hAnsi="仿宋" w:eastAsia="仿宋" w:cs="仿宋"/>
          <w:color w:val="auto"/>
          <w:sz w:val="32"/>
          <w:szCs w:val="32"/>
        </w:rPr>
      </w:pPr>
    </w:p>
    <w:p w14:paraId="5668A10D">
      <w:pPr>
        <w:spacing w:line="360" w:lineRule="auto"/>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甲方：深圳深港科技创新合作区发展有限公司</w:t>
      </w:r>
    </w:p>
    <w:p w14:paraId="5C69D7FD">
      <w:pPr>
        <w:spacing w:line="360" w:lineRule="auto"/>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乙方：【中标单位名称】</w:t>
      </w:r>
    </w:p>
    <w:p w14:paraId="28B32F5A">
      <w:pPr>
        <w:spacing w:line="360" w:lineRule="auto"/>
        <w:rPr>
          <w:rFonts w:hint="eastAsia" w:ascii="仿宋" w:hAnsi="仿宋" w:eastAsia="仿宋" w:cs="仿宋"/>
          <w:color w:val="auto"/>
          <w:sz w:val="32"/>
          <w:szCs w:val="32"/>
        </w:rPr>
      </w:pPr>
    </w:p>
    <w:p w14:paraId="06684605">
      <w:pPr>
        <w:spacing w:line="360" w:lineRule="auto"/>
        <w:jc w:val="center"/>
        <w:rPr>
          <w:rFonts w:hint="eastAsia" w:ascii="仿宋" w:hAnsi="仿宋" w:eastAsia="仿宋" w:cs="仿宋"/>
          <w:color w:val="auto"/>
          <w:sz w:val="32"/>
          <w:szCs w:val="32"/>
        </w:rPr>
      </w:pPr>
      <w:r>
        <w:rPr>
          <w:rFonts w:hint="eastAsia" w:ascii="仿宋" w:hAnsi="仿宋" w:eastAsia="仿宋" w:cs="仿宋"/>
          <w:b w:val="0"/>
          <w:color w:val="auto"/>
          <w:sz w:val="32"/>
          <w:szCs w:val="32"/>
        </w:rPr>
        <w:t>日期：　　　　年　　月　　日</w:t>
      </w:r>
    </w:p>
    <w:p w14:paraId="1BAB7902">
      <w:pPr>
        <w:rPr>
          <w:color w:val="auto"/>
        </w:rPr>
      </w:pPr>
      <w:r>
        <w:rPr>
          <w:color w:val="auto"/>
        </w:rPr>
        <w:br w:type="page"/>
      </w:r>
    </w:p>
    <w:p w14:paraId="58325DA8">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p>
    <w:p w14:paraId="61CE3269">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w:t>
      </w:r>
      <w:r>
        <w:rPr>
          <w:rFonts w:hint="default" w:ascii="仿宋" w:hAnsi="仿宋" w:eastAsia="仿宋" w:cs="仿宋"/>
          <w:b w:val="0"/>
          <w:color w:val="auto"/>
          <w:sz w:val="32"/>
          <w:szCs w:val="32"/>
          <w:woUserID w:val="1"/>
        </w:rPr>
        <w:t>吴寅骁</w:t>
      </w:r>
    </w:p>
    <w:p w14:paraId="18088CA3">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联系方式：82772373</w:t>
      </w:r>
    </w:p>
    <w:p w14:paraId="5E5CB2A2">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地址：深圳市福田区福保街道桃花路3号国电科技现代物流中心2栋7层</w:t>
      </w:r>
    </w:p>
    <w:p w14:paraId="71C133BD">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p>
    <w:p w14:paraId="7D2F5060">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p>
    <w:p w14:paraId="4A373478">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　　　　】</w:t>
      </w:r>
    </w:p>
    <w:p w14:paraId="276A9D56">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　　　　】</w:t>
      </w:r>
    </w:p>
    <w:p w14:paraId="2137791C">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　　　　】</w:t>
      </w:r>
    </w:p>
    <w:p w14:paraId="01ACEF4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p>
    <w:p w14:paraId="34021A6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河套深港科技创新合作区展示交流中心位于福田保税区长富金茂大厦1号楼44层，面积约2300平方米。作为深港科技创新合作区的重要展示窗口和对外交流平台，承担着政务接待、成果展示、交流合作、贵宾接待等重要功能。</w:t>
      </w:r>
    </w:p>
    <w:p w14:paraId="7BDE937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根据《中华人民共和国民法典》及相关法律法规，就乙方为河套深港科技创新合作区展示交流中心提供保洁服务及绿植租摆养护服务等事宜，经双方协商一致，订立本合同。</w:t>
      </w:r>
    </w:p>
    <w:p w14:paraId="169707CF">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第一条　服务内容</w:t>
      </w:r>
    </w:p>
    <w:p w14:paraId="1AC79984">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乙方按照本合同的约定，为甲方提供以下服务：</w:t>
      </w:r>
    </w:p>
    <w:p w14:paraId="21393847">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一、保洁服务</w:t>
      </w:r>
    </w:p>
    <w:p w14:paraId="1F00600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长富金茂大厦1号楼44层河套深港科技创新合作区展示交流中心日常保洁，保洁面积约2300平方米。</w:t>
      </w:r>
    </w:p>
    <w:p w14:paraId="33A0698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长富金茂大厦1号楼44层河套深港科技创新合作区展示交流中心幕墙玻璃清洗（整层3次/年，四面6次/年）。</w:t>
      </w:r>
    </w:p>
    <w:p w14:paraId="0667BFF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长富金茂大厦1号楼44层河套深港科技创新合作区展示交流中心地毯深度清洁，地毯保洁面积约1900平方米，每年安排2次。</w:t>
      </w:r>
    </w:p>
    <w:p w14:paraId="51959F05">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4. 长富金茂大厦1号楼44层河套深港科技创新合作区展示交流中心四害消杀，每月安排1次。</w:t>
      </w:r>
    </w:p>
    <w:p w14:paraId="3765EA66">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二、绿植租摆养护服务</w:t>
      </w:r>
    </w:p>
    <w:p w14:paraId="71C4886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按照甲方要求及本合同附件《绿植摆放清单》提供绿植花卉租摆服务，摆放于展示交流中心指定位置。</w:t>
      </w:r>
    </w:p>
    <w:p w14:paraId="77265544">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负责绿植的日常养护管理，包括浇水、施肥、修剪、清洁叶面、病虫害防治等。</w:t>
      </w:r>
    </w:p>
    <w:p w14:paraId="40D806C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及时更换枯死、病害或观赏效果不佳的绿植，确保良好的展示效果。</w:t>
      </w:r>
    </w:p>
    <w:p w14:paraId="1686EBE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woUserID w:val="1"/>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39EB9303">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第二条　服务期限</w:t>
      </w:r>
    </w:p>
    <w:p w14:paraId="248879FC">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服务期限</w:t>
      </w:r>
      <w:r>
        <w:rPr>
          <w:rFonts w:hint="eastAsia" w:ascii="仿宋" w:hAnsi="仿宋" w:eastAsia="仿宋" w:cs="仿宋"/>
          <w:b w:val="0"/>
          <w:bCs w:val="0"/>
          <w:color w:val="auto"/>
          <w:sz w:val="32"/>
          <w:szCs w:val="32"/>
          <w:lang w:val="en-US" w:eastAsia="zh-CN"/>
        </w:rPr>
        <w:t>自2026年8月1日起至2027年7月31日止</w:t>
      </w:r>
      <w:r>
        <w:rPr>
          <w:rFonts w:hint="eastAsia" w:ascii="仿宋" w:hAnsi="仿宋" w:eastAsia="仿宋" w:cs="仿宋"/>
          <w:b w:val="0"/>
          <w:color w:val="auto"/>
          <w:sz w:val="32"/>
          <w:szCs w:val="32"/>
        </w:rPr>
        <w:t>，共计1年。合同期满前一个月，由甲方对乙方进行履约评价（详见附件《履约评价表》），评价结果为良好及以上的，在符合甲方采购政策的前提下，双方可协商续签合同，单次延长时间不超过1年。</w:t>
      </w:r>
    </w:p>
    <w:p w14:paraId="050D430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2026年8月8日起。另外，</w:t>
      </w: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0FF078C6">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第三条　服务要求</w:t>
      </w:r>
    </w:p>
    <w:p w14:paraId="750740B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lang w:val="en-US" w:eastAsia="zh-CN"/>
        </w:rPr>
        <w:t>乙方按照本合同的约定，安排配置保洁服务人员（以下简称“服务人员”），根据甲方提出的要求，对本合同约定的服务区域提供达标服务。具体要求如下：</w:t>
      </w:r>
    </w:p>
    <w:p w14:paraId="4BA58C2B">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29C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48ED9A8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w:t>
            </w:r>
          </w:p>
        </w:tc>
        <w:tc>
          <w:tcPr>
            <w:tcW w:w="2767" w:type="dxa"/>
            <w:shd w:val="clear" w:color="auto" w:fill="D9E2F3"/>
          </w:tcPr>
          <w:p w14:paraId="7307EA5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人数</w:t>
            </w:r>
          </w:p>
        </w:tc>
        <w:tc>
          <w:tcPr>
            <w:tcW w:w="2767" w:type="dxa"/>
            <w:shd w:val="clear" w:color="auto" w:fill="D9E2F3"/>
          </w:tcPr>
          <w:p w14:paraId="07AA61B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岗位要求</w:t>
            </w:r>
          </w:p>
        </w:tc>
      </w:tr>
      <w:tr w14:paraId="711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16BF263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保洁员</w:t>
            </w:r>
          </w:p>
        </w:tc>
        <w:tc>
          <w:tcPr>
            <w:tcW w:w="2767" w:type="dxa"/>
          </w:tcPr>
          <w:p w14:paraId="34AC04A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不少于1人</w:t>
            </w:r>
          </w:p>
        </w:tc>
        <w:tc>
          <w:tcPr>
            <w:tcW w:w="2767" w:type="dxa"/>
          </w:tcPr>
          <w:p w14:paraId="5D17487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身体健康，责任心强，熟悉政务场馆保洁标准，服从排班管理。</w:t>
            </w:r>
          </w:p>
        </w:tc>
      </w:tr>
    </w:tbl>
    <w:p w14:paraId="1086E7F8">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0F6B14DF">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二、保洁服务标准</w:t>
      </w:r>
    </w:p>
    <w:p w14:paraId="4E37DDD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每日全面清洁不少于1次，巡回保洁保持环境整洁。垃圾日产日清，卫生间无异味、无污渍。</w:t>
      </w:r>
    </w:p>
    <w:p w14:paraId="0EF90C7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公共区域、展厅、会议室等保持一尘不染，符合政务接待标准。</w:t>
      </w:r>
    </w:p>
    <w:p w14:paraId="16C38BC8">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地毯深度清洁后色泽均匀、无污渍、无异味。</w:t>
      </w:r>
    </w:p>
    <w:p w14:paraId="5E0CDB9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幕墙玻璃清洗后洁净明亮，无污渍水渍。</w:t>
      </w:r>
    </w:p>
    <w:p w14:paraId="6AB1BB4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四害消杀每月不少于1次，使用符合国家标准的环保型消杀药品。</w:t>
      </w:r>
    </w:p>
    <w:p w14:paraId="1F3DABCA">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三、绿植养护标准</w:t>
      </w:r>
    </w:p>
    <w:p w14:paraId="520EBA5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每周不少于2次养护巡检，确保绿植生长健康、无枯黄、无病虫害。</w:t>
      </w:r>
    </w:p>
    <w:p w14:paraId="56033B3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发现枯死、病害或观赏效果不佳的绿植，须在2个工作日内更换。</w:t>
      </w:r>
    </w:p>
    <w:p w14:paraId="413B145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定期修剪、清洁叶面，保持绿植形态美观、叶面洁净。</w:t>
      </w:r>
    </w:p>
    <w:p w14:paraId="760B440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根据季节变化或甲方要求，及时调整绿植品种和摆放方案。</w:t>
      </w:r>
    </w:p>
    <w:p w14:paraId="2178AAB5">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第四条　甲方的权利和义务</w:t>
      </w:r>
    </w:p>
    <w:p w14:paraId="6BC27F4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甲方对乙方提供的各项服务进行监督、检查和具体指导，有权要求乙方调换不合格的服务人员。若乙方提供的服务没有达到本合同约定的要求，甲方有权以口头或书面形式通知乙方进行整改。</w:t>
      </w:r>
    </w:p>
    <w:p w14:paraId="28F33D4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甲方应按合同约定及时向乙方支付费用。</w:t>
      </w:r>
    </w:p>
    <w:p w14:paraId="14F64B9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乙方不能按照甲方要求的保洁、绿植养护标准完成工作的，甲方有权解除本服务合同。</w:t>
      </w:r>
    </w:p>
    <w:p w14:paraId="458DD31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甲方为乙方服务人员工作期间提供服务所必要的水、电等条件。</w:t>
      </w:r>
    </w:p>
    <w:p w14:paraId="00A92B4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7F9EEA17">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第五条　乙方的权利和义务</w:t>
      </w:r>
    </w:p>
    <w:p w14:paraId="0888AAA5">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乙方应确保自身具有提供本合同项下服务的资质与能力；乙方应按照甲方标准指定具有一定资质的服务人员，展示交流中心配备保洁员不少于1人。</w:t>
      </w:r>
    </w:p>
    <w:p w14:paraId="218632D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乙方应按照本合同约定对约定服务区域提供服务，达到本合同约定的服务标准。</w:t>
      </w:r>
    </w:p>
    <w:p w14:paraId="254EE36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乙方负责对服务人员进行培训和其他日常管理，确保其派遣的服务人员具备相应工作岗位的工作能力和工作经验，思想作风正派，经过完整的培训，符合本合同约定的标准。</w:t>
      </w:r>
    </w:p>
    <w:p w14:paraId="1925C0ED">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乙方进场后必须定岗、定编、定人，如有服务人员离职，应提前通知甲方，并及时补充人员。对于甲方确认不符合本合同约定标准、工作中不称职的服务人员，乙方应在5日内给予调换。</w:t>
      </w:r>
    </w:p>
    <w:p w14:paraId="0CD4795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35FD246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乙方的服务人员对甲方或第三人的人身、财产造成损失的，应由乙方承担损害赔偿的责任。</w:t>
      </w:r>
    </w:p>
    <w:p w14:paraId="4B75961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7. 乙方负责提供保洁作业时需要的各类清洁工具、耗材、机器等，按具体作业规格完成作业；负责提供绿植养护所需的花盆、肥料、药剂、工具等。</w:t>
      </w:r>
    </w:p>
    <w:p w14:paraId="3257D71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8. 乙方为提供本合同项下服务指派相关人员进入甲方指定场所或空间的，应严格遵守安全生产相关规定，因乙方原因造成安全事故等的，由乙方承担相关责任。</w:t>
      </w:r>
    </w:p>
    <w:p w14:paraId="5D180D8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9. 乙方应根据甲方的要求制作和提交保洁服务清单、验收单、绿植养护记录等文件，并做好相应台账记录备查；完成相应的服务后，应根据甲方的要求申请验收。</w:t>
      </w:r>
    </w:p>
    <w:p w14:paraId="7B01F48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367C04C3">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第六条　服务费金额及付款方式</w:t>
      </w:r>
    </w:p>
    <w:p w14:paraId="178973FF">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一、常驻月度服务费用</w:t>
      </w:r>
    </w:p>
    <w:tbl>
      <w:tblPr>
        <w:tblStyle w:val="33"/>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209"/>
        <w:gridCol w:w="1383"/>
        <w:gridCol w:w="1383"/>
        <w:gridCol w:w="1383"/>
        <w:gridCol w:w="1738"/>
      </w:tblGrid>
      <w:tr w14:paraId="53C4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shd w:val="clear" w:color="auto" w:fill="D9E2F3"/>
          </w:tcPr>
          <w:p w14:paraId="50902F9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序号</w:t>
            </w:r>
          </w:p>
        </w:tc>
        <w:tc>
          <w:tcPr>
            <w:tcW w:w="2209" w:type="dxa"/>
            <w:shd w:val="clear" w:color="auto" w:fill="D9E2F3"/>
          </w:tcPr>
          <w:p w14:paraId="15C29D7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服务内容</w:t>
            </w:r>
          </w:p>
        </w:tc>
        <w:tc>
          <w:tcPr>
            <w:tcW w:w="1383" w:type="dxa"/>
            <w:shd w:val="clear" w:color="auto" w:fill="D9E2F3"/>
          </w:tcPr>
          <w:p w14:paraId="458E6F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单位</w:t>
            </w:r>
          </w:p>
        </w:tc>
        <w:tc>
          <w:tcPr>
            <w:tcW w:w="1383" w:type="dxa"/>
            <w:shd w:val="clear" w:color="auto" w:fill="D9E2F3"/>
          </w:tcPr>
          <w:p w14:paraId="2CD4E5A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数量</w:t>
            </w:r>
          </w:p>
        </w:tc>
        <w:tc>
          <w:tcPr>
            <w:tcW w:w="1383" w:type="dxa"/>
            <w:shd w:val="clear" w:color="auto" w:fill="D9E2F3"/>
          </w:tcPr>
          <w:p w14:paraId="2CF7E9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单价（元）</w:t>
            </w:r>
          </w:p>
        </w:tc>
        <w:tc>
          <w:tcPr>
            <w:tcW w:w="1738" w:type="dxa"/>
            <w:shd w:val="clear" w:color="auto" w:fill="D9E2F3"/>
          </w:tcPr>
          <w:p w14:paraId="066877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月度费用（元）</w:t>
            </w:r>
          </w:p>
        </w:tc>
      </w:tr>
      <w:tr w14:paraId="3F6B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3CF545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w:t>
            </w:r>
          </w:p>
        </w:tc>
        <w:tc>
          <w:tcPr>
            <w:tcW w:w="2209" w:type="dxa"/>
          </w:tcPr>
          <w:p w14:paraId="689533F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日常保洁</w:t>
            </w:r>
          </w:p>
        </w:tc>
        <w:tc>
          <w:tcPr>
            <w:tcW w:w="1383" w:type="dxa"/>
          </w:tcPr>
          <w:p w14:paraId="19F8E9E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元/人/月</w:t>
            </w:r>
          </w:p>
        </w:tc>
        <w:tc>
          <w:tcPr>
            <w:tcW w:w="1383" w:type="dxa"/>
          </w:tcPr>
          <w:p w14:paraId="06E1729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w:t>
            </w:r>
          </w:p>
        </w:tc>
        <w:tc>
          <w:tcPr>
            <w:tcW w:w="1383" w:type="dxa"/>
          </w:tcPr>
          <w:p w14:paraId="07A7B43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c>
          <w:tcPr>
            <w:tcW w:w="1738" w:type="dxa"/>
          </w:tcPr>
          <w:p w14:paraId="40E660D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r w14:paraId="0B62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1C88981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2</w:t>
            </w:r>
          </w:p>
        </w:tc>
        <w:tc>
          <w:tcPr>
            <w:tcW w:w="2209" w:type="dxa"/>
          </w:tcPr>
          <w:p w14:paraId="1CE1C30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四害消杀</w:t>
            </w:r>
          </w:p>
        </w:tc>
        <w:tc>
          <w:tcPr>
            <w:tcW w:w="1383" w:type="dxa"/>
          </w:tcPr>
          <w:p w14:paraId="1B9353D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元/㎡/次</w:t>
            </w:r>
          </w:p>
        </w:tc>
        <w:tc>
          <w:tcPr>
            <w:tcW w:w="1383" w:type="dxa"/>
          </w:tcPr>
          <w:p w14:paraId="0FCFF4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2,300</w:t>
            </w:r>
          </w:p>
        </w:tc>
        <w:tc>
          <w:tcPr>
            <w:tcW w:w="1383" w:type="dxa"/>
          </w:tcPr>
          <w:p w14:paraId="379A2BB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c>
          <w:tcPr>
            <w:tcW w:w="1738" w:type="dxa"/>
          </w:tcPr>
          <w:p w14:paraId="096088F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r w14:paraId="483D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280295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3</w:t>
            </w:r>
          </w:p>
        </w:tc>
        <w:tc>
          <w:tcPr>
            <w:tcW w:w="2209" w:type="dxa"/>
          </w:tcPr>
          <w:p w14:paraId="0E91142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b w:val="0"/>
                <w:color w:val="auto"/>
                <w:sz w:val="28"/>
                <w:szCs w:val="28"/>
              </w:rPr>
              <w:t>绿植租摆养护</w:t>
            </w:r>
            <w:r>
              <w:rPr>
                <w:rFonts w:hint="eastAsia" w:ascii="仿宋" w:hAnsi="仿宋" w:eastAsia="仿宋" w:cs="仿宋"/>
                <w:b w:val="0"/>
                <w:color w:val="auto"/>
                <w:sz w:val="28"/>
                <w:szCs w:val="28"/>
                <w:lang w:eastAsia="zh-CN"/>
              </w:rPr>
              <w:t>（</w:t>
            </w:r>
            <w:r>
              <w:rPr>
                <w:rFonts w:hint="eastAsia" w:ascii="仿宋" w:hAnsi="仿宋" w:eastAsia="仿宋" w:cs="仿宋"/>
                <w:b w:val="0"/>
                <w:color w:val="auto"/>
                <w:sz w:val="28"/>
                <w:szCs w:val="28"/>
                <w:lang w:val="en-US" w:eastAsia="zh-CN"/>
              </w:rPr>
              <w:t>详见清单</w:t>
            </w:r>
            <w:r>
              <w:rPr>
                <w:rFonts w:hint="eastAsia" w:ascii="仿宋" w:hAnsi="仿宋" w:eastAsia="仿宋" w:cs="仿宋"/>
                <w:b w:val="0"/>
                <w:color w:val="auto"/>
                <w:sz w:val="28"/>
                <w:szCs w:val="28"/>
                <w:lang w:eastAsia="zh-CN"/>
              </w:rPr>
              <w:t>）</w:t>
            </w:r>
          </w:p>
        </w:tc>
        <w:tc>
          <w:tcPr>
            <w:tcW w:w="1383" w:type="dxa"/>
          </w:tcPr>
          <w:p w14:paraId="30CC875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383" w:type="dxa"/>
          </w:tcPr>
          <w:p w14:paraId="4B4A6DD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383" w:type="dxa"/>
          </w:tcPr>
          <w:p w14:paraId="1D8FA03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738" w:type="dxa"/>
          </w:tcPr>
          <w:p w14:paraId="61217BA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bl>
    <w:p w14:paraId="1463FCC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327858B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二、按次专项服务费用（据实结算）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164"/>
        <w:gridCol w:w="976"/>
        <w:gridCol w:w="1034"/>
        <w:gridCol w:w="1180"/>
        <w:gridCol w:w="1180"/>
        <w:gridCol w:w="976"/>
        <w:gridCol w:w="1180"/>
      </w:tblGrid>
      <w:tr w14:paraId="7D35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shd w:val="clear" w:color="auto" w:fill="D9E2F3"/>
          </w:tcPr>
          <w:p w14:paraId="0A9610E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序号</w:t>
            </w:r>
          </w:p>
        </w:tc>
        <w:tc>
          <w:tcPr>
            <w:tcW w:w="1167" w:type="dxa"/>
            <w:shd w:val="clear" w:color="auto" w:fill="D9E2F3"/>
          </w:tcPr>
          <w:p w14:paraId="120A0E0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服务内容</w:t>
            </w:r>
          </w:p>
        </w:tc>
        <w:tc>
          <w:tcPr>
            <w:tcW w:w="979" w:type="dxa"/>
            <w:shd w:val="clear" w:color="auto" w:fill="D9E2F3"/>
          </w:tcPr>
          <w:p w14:paraId="54B6F71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单位</w:t>
            </w:r>
          </w:p>
        </w:tc>
        <w:tc>
          <w:tcPr>
            <w:tcW w:w="1035" w:type="dxa"/>
            <w:shd w:val="clear" w:color="auto" w:fill="D9E2F3"/>
          </w:tcPr>
          <w:p w14:paraId="0D61413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数量</w:t>
            </w:r>
          </w:p>
        </w:tc>
        <w:tc>
          <w:tcPr>
            <w:tcW w:w="1176" w:type="dxa"/>
            <w:shd w:val="clear" w:color="auto" w:fill="D9E2F3"/>
          </w:tcPr>
          <w:p w14:paraId="6B48ECF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单价（元）</w:t>
            </w:r>
          </w:p>
        </w:tc>
        <w:tc>
          <w:tcPr>
            <w:tcW w:w="1176" w:type="dxa"/>
            <w:shd w:val="clear" w:color="auto" w:fill="D9E2F3"/>
          </w:tcPr>
          <w:p w14:paraId="73AF53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单次费用（元）</w:t>
            </w:r>
          </w:p>
        </w:tc>
        <w:tc>
          <w:tcPr>
            <w:tcW w:w="979" w:type="dxa"/>
            <w:shd w:val="clear" w:color="auto" w:fill="D9E2F3"/>
          </w:tcPr>
          <w:p w14:paraId="3420811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年度预估次数</w:t>
            </w:r>
          </w:p>
        </w:tc>
        <w:tc>
          <w:tcPr>
            <w:tcW w:w="1176" w:type="dxa"/>
            <w:shd w:val="clear" w:color="auto" w:fill="D9E2F3"/>
          </w:tcPr>
          <w:p w14:paraId="3C619D1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年度预估费用（元）</w:t>
            </w:r>
          </w:p>
        </w:tc>
      </w:tr>
      <w:tr w14:paraId="5DA9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796D631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67" w:type="dxa"/>
          </w:tcPr>
          <w:p w14:paraId="4089F77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地毯清洗</w:t>
            </w:r>
          </w:p>
        </w:tc>
        <w:tc>
          <w:tcPr>
            <w:tcW w:w="979" w:type="dxa"/>
          </w:tcPr>
          <w:p w14:paraId="6086C54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w:t>
            </w:r>
          </w:p>
        </w:tc>
        <w:tc>
          <w:tcPr>
            <w:tcW w:w="1035" w:type="dxa"/>
          </w:tcPr>
          <w:p w14:paraId="6F33D80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1,900</w:t>
            </w:r>
          </w:p>
        </w:tc>
        <w:tc>
          <w:tcPr>
            <w:tcW w:w="1176" w:type="dxa"/>
          </w:tcPr>
          <w:p w14:paraId="32E6E46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4878DC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0E303A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2次/年</w:t>
            </w:r>
          </w:p>
        </w:tc>
        <w:tc>
          <w:tcPr>
            <w:tcW w:w="1176" w:type="dxa"/>
          </w:tcPr>
          <w:p w14:paraId="065BC2C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r w14:paraId="592D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2709081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2</w:t>
            </w:r>
          </w:p>
        </w:tc>
        <w:tc>
          <w:tcPr>
            <w:tcW w:w="1167" w:type="dxa"/>
          </w:tcPr>
          <w:p w14:paraId="3A39BA6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外墙清洗（整层）</w:t>
            </w:r>
          </w:p>
        </w:tc>
        <w:tc>
          <w:tcPr>
            <w:tcW w:w="979" w:type="dxa"/>
          </w:tcPr>
          <w:p w14:paraId="289B3DF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元/次</w:t>
            </w:r>
          </w:p>
        </w:tc>
        <w:tc>
          <w:tcPr>
            <w:tcW w:w="1035" w:type="dxa"/>
          </w:tcPr>
          <w:p w14:paraId="022A17F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76" w:type="dxa"/>
          </w:tcPr>
          <w:p w14:paraId="26891DB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26280EB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2496683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3次/年</w:t>
            </w:r>
          </w:p>
        </w:tc>
        <w:tc>
          <w:tcPr>
            <w:tcW w:w="1176" w:type="dxa"/>
          </w:tcPr>
          <w:p w14:paraId="214B069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r w14:paraId="2F42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78DF144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3</w:t>
            </w:r>
          </w:p>
        </w:tc>
        <w:tc>
          <w:tcPr>
            <w:tcW w:w="1167" w:type="dxa"/>
          </w:tcPr>
          <w:p w14:paraId="55025BE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外墙清洗（四面）</w:t>
            </w:r>
          </w:p>
        </w:tc>
        <w:tc>
          <w:tcPr>
            <w:tcW w:w="979" w:type="dxa"/>
          </w:tcPr>
          <w:p w14:paraId="6518792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元/次</w:t>
            </w:r>
          </w:p>
        </w:tc>
        <w:tc>
          <w:tcPr>
            <w:tcW w:w="1035" w:type="dxa"/>
          </w:tcPr>
          <w:p w14:paraId="08DEAC1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76" w:type="dxa"/>
          </w:tcPr>
          <w:p w14:paraId="7202C0D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3CC1F7E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7504EE4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6次/年</w:t>
            </w:r>
          </w:p>
        </w:tc>
        <w:tc>
          <w:tcPr>
            <w:tcW w:w="1176" w:type="dxa"/>
          </w:tcPr>
          <w:p w14:paraId="014DC93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bl>
    <w:p w14:paraId="7E1F8223">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056A17B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三、合同总价</w:t>
      </w:r>
    </w:p>
    <w:p w14:paraId="26B9A4C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常驻月度服务年度费用（   元/月×12月）=   元</w:t>
      </w:r>
    </w:p>
    <w:p w14:paraId="51B75EC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专项服务年度预估费用 =   元</w:t>
      </w:r>
    </w:p>
    <w:p w14:paraId="587A121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本合同年度预估总价（含税）：约  元/年（大写：人民币   元整），税率为  %，不含税预估总价约  元/年（大写：人民币   元整）。最终以实际发生服务据实结算。</w:t>
      </w:r>
    </w:p>
    <w:p w14:paraId="65FAF2D8">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F3C02AC">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四、付款方式</w:t>
      </w:r>
    </w:p>
    <w:p w14:paraId="7446F3A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常驻服务费用（日常保洁、四害消杀、绿植租摆）：按季度结算，乙方</w:t>
      </w:r>
      <w:r>
        <w:rPr>
          <w:rFonts w:hint="eastAsia" w:ascii="仿宋" w:hAnsi="仿宋" w:eastAsia="仿宋" w:cs="仿宋"/>
          <w:b w:val="0"/>
          <w:color w:val="auto"/>
          <w:sz w:val="32"/>
          <w:szCs w:val="32"/>
        </w:rPr>
        <w:t>每季度</w:t>
      </w:r>
      <w:r>
        <w:rPr>
          <w:rFonts w:hint="eastAsia" w:ascii="仿宋" w:hAnsi="仿宋" w:eastAsia="仿宋" w:cs="仿宋"/>
          <w:b w:val="0"/>
          <w:color w:val="auto"/>
          <w:sz w:val="32"/>
          <w:szCs w:val="32"/>
          <w:lang w:val="en-US" w:eastAsia="zh-CN"/>
        </w:rPr>
        <w:t>末</w:t>
      </w:r>
      <w:r>
        <w:rPr>
          <w:rFonts w:hint="eastAsia" w:ascii="仿宋" w:hAnsi="仿宋" w:eastAsia="仿宋" w:cs="仿宋"/>
          <w:b w:val="0"/>
          <w:color w:val="auto"/>
          <w:sz w:val="32"/>
          <w:szCs w:val="32"/>
        </w:rPr>
        <w:t>5日</w:t>
      </w:r>
      <w:r>
        <w:rPr>
          <w:rFonts w:hint="eastAsia" w:ascii="仿宋" w:hAnsi="仿宋" w:eastAsia="仿宋" w:cs="仿宋"/>
          <w:b w:val="0"/>
          <w:color w:val="auto"/>
          <w:sz w:val="32"/>
          <w:szCs w:val="32"/>
          <w:lang w:val="en-US" w:eastAsia="zh-CN"/>
        </w:rPr>
        <w:t>内提供合格增值税专用发票及上季度服务明细，甲方于收到发票并确认服务明细后10个工作日内以转账方式支付。其中绿植租摆服务开始时间为</w:t>
      </w:r>
      <w:r>
        <w:rPr>
          <w:rFonts w:hint="eastAsia" w:ascii="仿宋" w:hAnsi="仿宋" w:eastAsia="仿宋" w:cs="仿宋"/>
          <w:b w:val="0"/>
          <w:bCs w:val="0"/>
          <w:color w:val="auto"/>
          <w:sz w:val="32"/>
          <w:szCs w:val="32"/>
          <w:lang w:val="en-US" w:eastAsia="zh-CN"/>
        </w:rPr>
        <w:t>2026年8月8日起，首季度将扣除对应款项据实结算。</w:t>
      </w:r>
    </w:p>
    <w:p w14:paraId="4897286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专项服务费用（地毯清洗、外墙清洗）：按次结算，每次服务完成经甲方验收合格后，甲方收到乙方提供的合格增值税专用发票并确认服务明细后，随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按季度15个工作日内支付。</w:t>
      </w:r>
    </w:p>
    <w:p w14:paraId="4FC1D4A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3.对于经甲乙双方协商后核减的常驻类服务，甲方有权扣除相关费用后据实支付。</w:t>
      </w:r>
    </w:p>
    <w:p w14:paraId="05F5AF6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第四季度根据年度履约评价结果进行结算。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48D1E26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3AA89F4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乙方收款信息：</w:t>
      </w:r>
    </w:p>
    <w:p w14:paraId="58C4D1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开户银行：【　　　　　　　　　　】</w:t>
      </w:r>
    </w:p>
    <w:p w14:paraId="0C6AAA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账户名称：【　　　　　　　　　　】</w:t>
      </w:r>
    </w:p>
    <w:p w14:paraId="5332CF4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银行账号：【　　　　　　　　　　】</w:t>
      </w:r>
    </w:p>
    <w:p w14:paraId="7B1554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p>
    <w:p w14:paraId="12DDBCA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乙方紧急联系人及其联系方式：</w:t>
      </w:r>
    </w:p>
    <w:p w14:paraId="4CE0566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紧急联系人一：【　　　　】　联系方式：【　　　　】</w:t>
      </w:r>
    </w:p>
    <w:p w14:paraId="09670EC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紧急联系人二：【　　　　】　联系方式：【　　　　】</w:t>
      </w:r>
    </w:p>
    <w:p w14:paraId="6C7D6C65">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rPr>
        <w:t>乙方的紧急联系人变更的，应及时书面通知甲方。</w:t>
      </w:r>
    </w:p>
    <w:p w14:paraId="34516BD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乙方知晓甲方付款需履行财政审批程序，并承诺如因审批原因造成迟延付款的，乙方不得因此向甲方主张违约责任，但甲方应及时将情况通知乙方。</w:t>
      </w:r>
    </w:p>
    <w:p w14:paraId="529D61C7">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第七条　合同变更和解除</w:t>
      </w:r>
    </w:p>
    <w:p w14:paraId="39D406A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所有合同条款以打印文本为准，手写、涂改无效。本合同的变更必须由双方协商一致，并另签补充合同。</w:t>
      </w:r>
    </w:p>
    <w:p w14:paraId="263C101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如甲乙双方协商一致且合同履约评价为“良好”及以上，在符合甲方采购政策的前提下，双方可通过另行签订合同或补充合同的形式延长本合同服务期限，单次延长时间不超过12个月。</w:t>
      </w:r>
    </w:p>
    <w:p w14:paraId="424C2B8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甲方有权单方要求提前终止本合同，但需提前三个工作日通知乙方。</w:t>
      </w:r>
    </w:p>
    <w:p w14:paraId="3C58B949">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第八条　违约责任</w:t>
      </w:r>
    </w:p>
    <w:p w14:paraId="3BF8245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一方违反本合同约定，给另一方造成损失的，应根据损失情况及本合同、有关法律法规要求承担赔偿责任。</w:t>
      </w:r>
    </w:p>
    <w:p w14:paraId="546CEE2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4AD9151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发生以下情况，甲方有权单方解除合同，不予支付剩余未付服务费用，且甲方还有权要求乙方支付相当于本合同服务费用总额的20%作为违约金：</w:t>
      </w:r>
    </w:p>
    <w:p w14:paraId="653C053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（1）未经甲方书面同意，乙方将本合同项下部分或全部权利义务转让给第三方、或委托第三方完成本合同项下工作；</w:t>
      </w:r>
    </w:p>
    <w:p w14:paraId="4850D58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（2）乙方以甲方名义从事与本合同约定内容无关的活动；</w:t>
      </w:r>
    </w:p>
    <w:p w14:paraId="45A9630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（3）合同期内乙方违约行为累计超过5次，或者乙方服务累计3次经甲方考核为不合格；</w:t>
      </w:r>
    </w:p>
    <w:p w14:paraId="38B5BB7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（4）乙方工作未达服务要求，甲方提出整改意见而乙方未整改、或整改效果依然未达到甲方要求的；</w:t>
      </w:r>
    </w:p>
    <w:p w14:paraId="647FB81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（5）乙方不配合重大接待参观、考察工作的。</w:t>
      </w:r>
    </w:p>
    <w:p w14:paraId="157ECED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（6）绿植大面积枯黄、死亡或出现严重病虫害，经甲方催告后2个工作日内仍未更换处理完毕的。</w:t>
      </w:r>
    </w:p>
    <w:p w14:paraId="424CAB2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071FC9A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绿植养护违约：乙方提供的绿植出现枯黄、死亡或病虫害未及时处理的，甲方有权要求乙方在2个工作日内更换，每逾期一日支付500元违约金。</w:t>
      </w:r>
    </w:p>
    <w:p w14:paraId="3E33299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1F0B8D8F">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第九条　不可抗力</w:t>
      </w:r>
    </w:p>
    <w:p w14:paraId="1FDA0D1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双方同意如发生不可抗力致使本合同不可能或者没有必要继续履行的，任何一方经提前5个工作日通知对方，可以解除本合同，不承担法律责任。</w:t>
      </w:r>
    </w:p>
    <w:p w14:paraId="2CFADA0F">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甲、乙双方中的任何一方，由于战争、火灾、台风、洪水、地震或其它双方共同认为属于不可抗力因素影响合同执行时，则合同执行要相应延迟，延迟的时间等于不可抗力发生作用的时间。</w:t>
      </w:r>
    </w:p>
    <w:p w14:paraId="57A9E12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如发生不可抗力，受影响的一方应在不可抗力终止或被排除后尽快通过书面形式通知另一方，告之另一方不可抗力已终结或排除。</w:t>
      </w:r>
    </w:p>
    <w:p w14:paraId="6F01B15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424AFA31">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第十条　争议的解决</w:t>
      </w:r>
    </w:p>
    <w:p w14:paraId="148E50A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7AB27A79">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第十一条　其他</w:t>
      </w:r>
    </w:p>
    <w:p w14:paraId="0D31BDD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本合同经双方盖章之日起生效，至本合同履行完毕时止。本合同之附件是本合同不可分割的部分，与合同正文具有同等法律效力。</w:t>
      </w:r>
    </w:p>
    <w:p w14:paraId="1F30194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本合同一式肆份，甲方执贰份，乙方执贰份，均具有同等法律效力。</w:t>
      </w:r>
    </w:p>
    <w:p w14:paraId="4D47343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本合同附件包括：</w:t>
      </w:r>
    </w:p>
    <w:p w14:paraId="6B69720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附件1：履约评价表</w:t>
      </w:r>
    </w:p>
    <w:p w14:paraId="505E726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附件2：报价清单</w:t>
      </w:r>
    </w:p>
    <w:p w14:paraId="335FB75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附件3：安全生产管理协议</w:t>
      </w:r>
    </w:p>
    <w:p w14:paraId="0E111A2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p>
    <w:p w14:paraId="2ADB8B1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71F39F32">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B3F9B13">
      <w:pPr>
        <w:rPr>
          <w:color w:val="auto"/>
          <w:sz w:val="32"/>
          <w:szCs w:val="32"/>
        </w:rPr>
      </w:pPr>
      <w:r>
        <w:rPr>
          <w:color w:val="auto"/>
          <w:sz w:val="32"/>
          <w:szCs w:val="32"/>
        </w:rPr>
        <w:br w:type="page"/>
      </w:r>
    </w:p>
    <w:p w14:paraId="290BD50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val="0"/>
          <w:color w:val="auto"/>
          <w:sz w:val="32"/>
          <w:szCs w:val="32"/>
        </w:rPr>
        <w:t>（本页无正文，为《</w:t>
      </w:r>
      <w:r>
        <w:rPr>
          <w:rFonts w:hint="eastAsia" w:ascii="宋体" w:hAnsi="宋体" w:eastAsia="宋体"/>
          <w:b w:val="0"/>
          <w:color w:val="auto"/>
          <w:sz w:val="32"/>
          <w:szCs w:val="32"/>
        </w:rPr>
        <w:t>2026-2027年展示交流中心保洁、绿植租摆服务合同</w:t>
      </w:r>
      <w:r>
        <w:rPr>
          <w:rFonts w:ascii="宋体" w:hAnsi="宋体" w:eastAsia="宋体"/>
          <w:b w:val="0"/>
          <w:color w:val="auto"/>
          <w:sz w:val="32"/>
          <w:szCs w:val="32"/>
        </w:rPr>
        <w:t>》签订页）</w:t>
      </w:r>
    </w:p>
    <w:p w14:paraId="0F30AA80">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tbl>
      <w:tblPr>
        <w:tblStyle w:val="33"/>
        <w:tblpPr w:leftFromText="180" w:rightFromText="180" w:vertAnchor="text" w:horzAnchor="page" w:tblpX="1857" w:tblpY="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427F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shd w:val="clear" w:color="auto" w:fill="D9E2F3"/>
          </w:tcPr>
          <w:p w14:paraId="494A98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c>
          <w:tcPr>
            <w:tcW w:w="4150" w:type="dxa"/>
            <w:shd w:val="clear" w:color="auto" w:fill="D9E2F3"/>
          </w:tcPr>
          <w:p w14:paraId="722D3A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r>
      <w:tr w14:paraId="0697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tcPr>
          <w:p w14:paraId="31C0351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c>
          <w:tcPr>
            <w:tcW w:w="4150" w:type="dxa"/>
          </w:tcPr>
          <w:p w14:paraId="413D8B5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r>
    </w:tbl>
    <w:p w14:paraId="34C4B05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64FC245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CB7699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68EF0549">
      <w:pPr>
        <w:pStyle w:val="3"/>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附件1：履约评价表</w:t>
      </w:r>
    </w:p>
    <w:tbl>
      <w:tblPr>
        <w:tblStyle w:val="33"/>
        <w:tblW w:w="8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880"/>
        <w:gridCol w:w="780"/>
        <w:gridCol w:w="5460"/>
        <w:gridCol w:w="855"/>
      </w:tblGrid>
      <w:tr w14:paraId="3C4A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shd w:val="clear" w:color="auto" w:fill="D9E2F3"/>
          </w:tcPr>
          <w:p w14:paraId="4A4D459F">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序号</w:t>
            </w:r>
          </w:p>
        </w:tc>
        <w:tc>
          <w:tcPr>
            <w:tcW w:w="880" w:type="dxa"/>
            <w:shd w:val="clear" w:color="auto" w:fill="D9E2F3"/>
          </w:tcPr>
          <w:p w14:paraId="45D1B985">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分项内容</w:t>
            </w:r>
          </w:p>
        </w:tc>
        <w:tc>
          <w:tcPr>
            <w:tcW w:w="780" w:type="dxa"/>
            <w:shd w:val="clear" w:color="auto" w:fill="D9E2F3"/>
          </w:tcPr>
          <w:p w14:paraId="5B4CC4F9">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满分分值</w:t>
            </w:r>
          </w:p>
        </w:tc>
        <w:tc>
          <w:tcPr>
            <w:tcW w:w="5460" w:type="dxa"/>
            <w:shd w:val="clear" w:color="auto" w:fill="D9E2F3"/>
          </w:tcPr>
          <w:p w14:paraId="1A3B59C0">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评价标准</w:t>
            </w:r>
          </w:p>
        </w:tc>
        <w:tc>
          <w:tcPr>
            <w:tcW w:w="855" w:type="dxa"/>
            <w:shd w:val="clear" w:color="auto" w:fill="D9E2F3"/>
          </w:tcPr>
          <w:p w14:paraId="3E00DA95">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得分</w:t>
            </w:r>
          </w:p>
        </w:tc>
      </w:tr>
      <w:tr w14:paraId="5672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B56D6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一</w:t>
            </w:r>
          </w:p>
        </w:tc>
        <w:tc>
          <w:tcPr>
            <w:tcW w:w="880" w:type="dxa"/>
          </w:tcPr>
          <w:p w14:paraId="253A9A9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人员配备</w:t>
            </w:r>
          </w:p>
        </w:tc>
        <w:tc>
          <w:tcPr>
            <w:tcW w:w="780" w:type="dxa"/>
          </w:tcPr>
          <w:p w14:paraId="2938FA7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17B0E39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14B2E9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C3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88B3C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880" w:type="dxa"/>
          </w:tcPr>
          <w:p w14:paraId="544C8E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人员数量要求</w:t>
            </w:r>
          </w:p>
        </w:tc>
        <w:tc>
          <w:tcPr>
            <w:tcW w:w="780" w:type="dxa"/>
          </w:tcPr>
          <w:p w14:paraId="5C47ED8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5460" w:type="dxa"/>
          </w:tcPr>
          <w:p w14:paraId="3C42F18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优秀：配备人员的数量满足合同要求；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不合格：配备人员的数量不满足合同要求。</w:t>
            </w:r>
          </w:p>
        </w:tc>
        <w:tc>
          <w:tcPr>
            <w:tcW w:w="855" w:type="dxa"/>
          </w:tcPr>
          <w:p w14:paraId="35FDBA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5E62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7DAD2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880" w:type="dxa"/>
          </w:tcPr>
          <w:p w14:paraId="083AE0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专业配置要求</w:t>
            </w:r>
          </w:p>
        </w:tc>
        <w:tc>
          <w:tcPr>
            <w:tcW w:w="780" w:type="dxa"/>
          </w:tcPr>
          <w:p w14:paraId="6B4F442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5460" w:type="dxa"/>
          </w:tcPr>
          <w:p w14:paraId="503587C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优秀：配备人员的专业满足合同要求且各专业人员稳定；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不合格：不满足要求或不稳定。</w:t>
            </w:r>
          </w:p>
        </w:tc>
        <w:tc>
          <w:tcPr>
            <w:tcW w:w="855" w:type="dxa"/>
          </w:tcPr>
          <w:p w14:paraId="33C69D4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3AC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0769C3F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880" w:type="dxa"/>
          </w:tcPr>
          <w:p w14:paraId="7271162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项目负责人要求</w:t>
            </w:r>
          </w:p>
        </w:tc>
        <w:tc>
          <w:tcPr>
            <w:tcW w:w="780" w:type="dxa"/>
          </w:tcPr>
          <w:p w14:paraId="4F3A702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71CAC95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优秀：配备固定负责人，具有高度责任心、良好组织协调能力和专业业务水平；</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不合格：不固定或不具备相应能力。</w:t>
            </w:r>
          </w:p>
        </w:tc>
        <w:tc>
          <w:tcPr>
            <w:tcW w:w="855" w:type="dxa"/>
          </w:tcPr>
          <w:p w14:paraId="60CF4C2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402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286CF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二</w:t>
            </w:r>
          </w:p>
        </w:tc>
        <w:tc>
          <w:tcPr>
            <w:tcW w:w="880" w:type="dxa"/>
          </w:tcPr>
          <w:p w14:paraId="517CBE3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履约质量</w:t>
            </w:r>
          </w:p>
        </w:tc>
        <w:tc>
          <w:tcPr>
            <w:tcW w:w="780" w:type="dxa"/>
          </w:tcPr>
          <w:p w14:paraId="0F8F03E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45</w:t>
            </w:r>
          </w:p>
        </w:tc>
        <w:tc>
          <w:tcPr>
            <w:tcW w:w="5460" w:type="dxa"/>
          </w:tcPr>
          <w:p w14:paraId="5E66A4F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5FE2E0C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096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318F14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w:t>
            </w:r>
          </w:p>
        </w:tc>
        <w:tc>
          <w:tcPr>
            <w:tcW w:w="880" w:type="dxa"/>
          </w:tcPr>
          <w:p w14:paraId="47D3863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保洁服务质量</w:t>
            </w:r>
          </w:p>
        </w:tc>
        <w:tc>
          <w:tcPr>
            <w:tcW w:w="780" w:type="dxa"/>
          </w:tcPr>
          <w:p w14:paraId="7350CA1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20</w:t>
            </w:r>
          </w:p>
        </w:tc>
        <w:tc>
          <w:tcPr>
            <w:tcW w:w="5460" w:type="dxa"/>
          </w:tcPr>
          <w:p w14:paraId="34D3F9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优秀：严格按合同开展保洁工作，确保环境质量符合运营要求；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良好：经少量补正后通过验收；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合格：整改后通过验收；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不合格：整改后仍未通过验收。</w:t>
            </w:r>
          </w:p>
        </w:tc>
        <w:tc>
          <w:tcPr>
            <w:tcW w:w="855" w:type="dxa"/>
          </w:tcPr>
          <w:p w14:paraId="1660093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E01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6F6346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880" w:type="dxa"/>
          </w:tcPr>
          <w:p w14:paraId="3001877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绿植养护质量</w:t>
            </w:r>
          </w:p>
        </w:tc>
        <w:tc>
          <w:tcPr>
            <w:tcW w:w="780" w:type="dxa"/>
          </w:tcPr>
          <w:p w14:paraId="3550CBF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15</w:t>
            </w:r>
          </w:p>
        </w:tc>
        <w:tc>
          <w:tcPr>
            <w:tcW w:w="5460" w:type="dxa"/>
          </w:tcPr>
          <w:p w14:paraId="0FB6E46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优秀：绿植生长健康、形态美观，按合同要求养护；</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良好：总体良好；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合格：基本达标；</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不合格：大面积枯黄、病虫害严重。</w:t>
            </w:r>
          </w:p>
        </w:tc>
        <w:tc>
          <w:tcPr>
            <w:tcW w:w="855" w:type="dxa"/>
          </w:tcPr>
          <w:p w14:paraId="2EC3EDE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701D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5A927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6</w:t>
            </w:r>
          </w:p>
        </w:tc>
        <w:tc>
          <w:tcPr>
            <w:tcW w:w="880" w:type="dxa"/>
          </w:tcPr>
          <w:p w14:paraId="5FC2FD3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成果文件</w:t>
            </w:r>
          </w:p>
        </w:tc>
        <w:tc>
          <w:tcPr>
            <w:tcW w:w="780" w:type="dxa"/>
          </w:tcPr>
          <w:p w14:paraId="1CF923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18B6403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优秀：按要求提交服务清单、验收单、台账记录等；</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不合格：未能按要求提交完整文件。</w:t>
            </w:r>
          </w:p>
        </w:tc>
        <w:tc>
          <w:tcPr>
            <w:tcW w:w="855" w:type="dxa"/>
          </w:tcPr>
          <w:p w14:paraId="68BC819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6A2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CBDD1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7</w:t>
            </w:r>
          </w:p>
        </w:tc>
        <w:tc>
          <w:tcPr>
            <w:tcW w:w="880" w:type="dxa"/>
          </w:tcPr>
          <w:p w14:paraId="69C1468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绿植更换及时性</w:t>
            </w:r>
          </w:p>
        </w:tc>
        <w:tc>
          <w:tcPr>
            <w:tcW w:w="780" w:type="dxa"/>
          </w:tcPr>
          <w:p w14:paraId="46A1F13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513DA54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优秀：枯死/病害绿植2个工作日内更换；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良好：3个工作日内更换；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合格：5个工作日内更换；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不合格：超过5个工作日或未更换。</w:t>
            </w:r>
          </w:p>
        </w:tc>
        <w:tc>
          <w:tcPr>
            <w:tcW w:w="855" w:type="dxa"/>
          </w:tcPr>
          <w:p w14:paraId="055CBC0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06B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468940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三</w:t>
            </w:r>
          </w:p>
        </w:tc>
        <w:tc>
          <w:tcPr>
            <w:tcW w:w="880" w:type="dxa"/>
          </w:tcPr>
          <w:p w14:paraId="4118E9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履约时间</w:t>
            </w:r>
          </w:p>
        </w:tc>
        <w:tc>
          <w:tcPr>
            <w:tcW w:w="780" w:type="dxa"/>
          </w:tcPr>
          <w:p w14:paraId="7A3C773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282D704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6F56B2B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241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F4C429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8</w:t>
            </w:r>
          </w:p>
        </w:tc>
        <w:tc>
          <w:tcPr>
            <w:tcW w:w="880" w:type="dxa"/>
          </w:tcPr>
          <w:p w14:paraId="1C12B5D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工作时间</w:t>
            </w:r>
          </w:p>
        </w:tc>
        <w:tc>
          <w:tcPr>
            <w:tcW w:w="780" w:type="dxa"/>
          </w:tcPr>
          <w:p w14:paraId="39C6655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68BE162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优秀：及时完成各项服务；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不合格：不能及时完成。</w:t>
            </w:r>
          </w:p>
        </w:tc>
        <w:tc>
          <w:tcPr>
            <w:tcW w:w="855" w:type="dxa"/>
          </w:tcPr>
          <w:p w14:paraId="29DABFF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4BA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54FD27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四</w:t>
            </w:r>
          </w:p>
        </w:tc>
        <w:tc>
          <w:tcPr>
            <w:tcW w:w="880" w:type="dxa"/>
          </w:tcPr>
          <w:p w14:paraId="795309A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履约配合</w:t>
            </w:r>
          </w:p>
        </w:tc>
        <w:tc>
          <w:tcPr>
            <w:tcW w:w="780" w:type="dxa"/>
          </w:tcPr>
          <w:p w14:paraId="0799B5A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35</w:t>
            </w:r>
          </w:p>
        </w:tc>
        <w:tc>
          <w:tcPr>
            <w:tcW w:w="5460" w:type="dxa"/>
          </w:tcPr>
          <w:p w14:paraId="6F082F5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4423B76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9E3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7372F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9</w:t>
            </w:r>
          </w:p>
        </w:tc>
        <w:tc>
          <w:tcPr>
            <w:tcW w:w="880" w:type="dxa"/>
          </w:tcPr>
          <w:p w14:paraId="3A278C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配合情况</w:t>
            </w:r>
          </w:p>
        </w:tc>
        <w:tc>
          <w:tcPr>
            <w:tcW w:w="780" w:type="dxa"/>
          </w:tcPr>
          <w:p w14:paraId="455B423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25</w:t>
            </w:r>
          </w:p>
        </w:tc>
        <w:tc>
          <w:tcPr>
            <w:tcW w:w="5460" w:type="dxa"/>
          </w:tcPr>
          <w:p w14:paraId="1C56E80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优秀：积极主动配合甲方管理、完成交办工作；</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良好：比较主动；</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合格：基本配合；</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不合格：不能按合同要求配合。</w:t>
            </w:r>
          </w:p>
        </w:tc>
        <w:tc>
          <w:tcPr>
            <w:tcW w:w="855" w:type="dxa"/>
          </w:tcPr>
          <w:p w14:paraId="4BE80EC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19F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3BCE0F2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880" w:type="dxa"/>
          </w:tcPr>
          <w:p w14:paraId="75B3FE9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保密工作</w:t>
            </w:r>
          </w:p>
        </w:tc>
        <w:tc>
          <w:tcPr>
            <w:tcW w:w="780" w:type="dxa"/>
          </w:tcPr>
          <w:p w14:paraId="0FABC46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64A4784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优秀：未对外公开涉及机密的资料；</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不合格：对外公开机密资料并造成后果。</w:t>
            </w:r>
          </w:p>
        </w:tc>
        <w:tc>
          <w:tcPr>
            <w:tcW w:w="855" w:type="dxa"/>
          </w:tcPr>
          <w:p w14:paraId="5A87724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78C0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C0E74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11</w:t>
            </w:r>
          </w:p>
        </w:tc>
        <w:tc>
          <w:tcPr>
            <w:tcW w:w="880" w:type="dxa"/>
          </w:tcPr>
          <w:p w14:paraId="556044D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诚信情况</w:t>
            </w:r>
          </w:p>
        </w:tc>
        <w:tc>
          <w:tcPr>
            <w:tcW w:w="780" w:type="dxa"/>
          </w:tcPr>
          <w:p w14:paraId="4D97B7B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14319D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优秀：无弄虚作假现象；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不合格：有弄虚作假现象。</w:t>
            </w:r>
          </w:p>
        </w:tc>
        <w:tc>
          <w:tcPr>
            <w:tcW w:w="855" w:type="dxa"/>
          </w:tcPr>
          <w:p w14:paraId="0714592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98B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BF9CCC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80" w:type="dxa"/>
          </w:tcPr>
          <w:p w14:paraId="7BF556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合计</w:t>
            </w:r>
          </w:p>
        </w:tc>
        <w:tc>
          <w:tcPr>
            <w:tcW w:w="780" w:type="dxa"/>
          </w:tcPr>
          <w:p w14:paraId="74696C9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100</w:t>
            </w:r>
          </w:p>
        </w:tc>
        <w:tc>
          <w:tcPr>
            <w:tcW w:w="5460" w:type="dxa"/>
          </w:tcPr>
          <w:p w14:paraId="221A438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5235E1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bl>
    <w:p w14:paraId="33BA1A16">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7082390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79ADB8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56B072C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638E4BCD">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37AC5490">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eastAsia="黑体"/>
          <w:color w:val="auto"/>
          <w:sz w:val="32"/>
          <w:szCs w:val="32"/>
          <w:lang w:val="en-US" w:eastAsia="zh-CN"/>
        </w:rPr>
      </w:pPr>
      <w:r>
        <w:rPr>
          <w:rFonts w:ascii="黑体" w:hAnsi="黑体" w:eastAsia="黑体"/>
          <w:color w:val="auto"/>
          <w:sz w:val="32"/>
          <w:szCs w:val="32"/>
        </w:rPr>
        <w:t>附件2：</w:t>
      </w:r>
      <w:r>
        <w:rPr>
          <w:rFonts w:hint="eastAsia" w:ascii="黑体" w:hAnsi="黑体" w:eastAsia="黑体"/>
          <w:color w:val="auto"/>
          <w:sz w:val="32"/>
          <w:szCs w:val="32"/>
          <w:lang w:val="en-US" w:eastAsia="zh-CN"/>
        </w:rPr>
        <w:t>报价清单</w:t>
      </w:r>
    </w:p>
    <w:p w14:paraId="186B3AA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11A69D8">
      <w:pPr>
        <w:rPr>
          <w:color w:val="auto"/>
          <w:sz w:val="32"/>
          <w:szCs w:val="32"/>
        </w:rPr>
      </w:pPr>
      <w:r>
        <w:rPr>
          <w:color w:val="auto"/>
          <w:sz w:val="32"/>
          <w:szCs w:val="32"/>
        </w:rPr>
        <w:br w:type="page"/>
      </w:r>
    </w:p>
    <w:p w14:paraId="3AE4F961">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附件3</w:t>
      </w:r>
    </w:p>
    <w:p w14:paraId="63CBB13A">
      <w:pPr>
        <w:widowControl w:val="0"/>
        <w:spacing w:after="0" w:line="560" w:lineRule="exact"/>
        <w:jc w:val="center"/>
        <w:rPr>
          <w:rFonts w:ascii="仿宋_GB2312" w:hAnsi="Times New Roman" w:eastAsia="仿宋_GB2312" w:cs="Times New Roman"/>
          <w:b/>
          <w:bCs/>
          <w:kern w:val="2"/>
          <w:sz w:val="32"/>
          <w:szCs w:val="32"/>
          <w:lang w:eastAsia="zh-CN"/>
        </w:rPr>
      </w:pPr>
      <w:bookmarkStart w:id="0" w:name="_GoBack"/>
      <w:bookmarkEnd w:id="0"/>
      <w:r>
        <w:rPr>
          <w:rFonts w:hint="eastAsia" w:ascii="仿宋_GB2312" w:hAnsi="Times New Roman" w:eastAsia="仿宋_GB2312" w:cs="Times New Roman"/>
          <w:b/>
          <w:bCs/>
          <w:kern w:val="2"/>
          <w:sz w:val="32"/>
          <w:szCs w:val="32"/>
          <w:lang w:eastAsia="zh-CN"/>
        </w:rPr>
        <w:t>安全生产管理协议</w:t>
      </w:r>
    </w:p>
    <w:p w14:paraId="48B356E1">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61D03720">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00E8468C">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7F1EDEE8">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643C5C60">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5B64A29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6B408EB3">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3A017464">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05E77B8A">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072EBB2D">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736A316B">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22581337">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72229F99">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17AA746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29A93959">
      <w:pPr>
        <w:widowControl w:val="0"/>
        <w:spacing w:after="0" w:line="560" w:lineRule="exact"/>
        <w:jc w:val="both"/>
        <w:rPr>
          <w:rFonts w:hint="eastAsia" w:ascii="仿宋_GB2312" w:hAnsi="Times New Roman" w:eastAsia="仿宋_GB2312" w:cs="Times New Roman"/>
          <w:kern w:val="2"/>
          <w:sz w:val="24"/>
          <w:szCs w:val="24"/>
          <w:lang w:eastAsia="zh-CN"/>
        </w:rPr>
      </w:pPr>
    </w:p>
    <w:p w14:paraId="7C04244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293990-9A26-4A8E-BD81-5ADF1F7EEC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汉仪书宋二KW">
    <w:altName w:val="宋体"/>
    <w:panose1 w:val="00020600040101010101"/>
    <w:charset w:val="86"/>
    <w:family w:val="auto"/>
    <w:pitch w:val="default"/>
    <w:sig w:usb0="00000000" w:usb1="00000000" w:usb2="00000016" w:usb3="00000000" w:csb0="00040000"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35D11F18-3749-4E3C-AE99-818E237DD189}"/>
  </w:font>
  <w:font w:name="仿宋">
    <w:panose1 w:val="02010609060101010101"/>
    <w:charset w:val="86"/>
    <w:family w:val="auto"/>
    <w:pitch w:val="default"/>
    <w:sig w:usb0="800002BF" w:usb1="38CF7CFA" w:usb2="00000016" w:usb3="00000000" w:csb0="00040001" w:csb1="00000000"/>
    <w:embedRegular r:id="rId3" w:fontKey="{2B9477B4-753B-47E0-9C8C-8D9D6D3EE0D7}"/>
  </w:font>
  <w:font w:name="仿宋_GB2312">
    <w:altName w:val="仿宋"/>
    <w:panose1 w:val="02010609030101010101"/>
    <w:charset w:val="86"/>
    <w:family w:val="auto"/>
    <w:pitch w:val="default"/>
    <w:sig w:usb0="00000000" w:usb1="00000000" w:usb2="00000000" w:usb3="00000000" w:csb0="00040000" w:csb1="00000000"/>
    <w:embedRegular r:id="rId4" w:fontKey="{165EDCF6-94BE-4EDB-B703-6D3358D81D01}"/>
  </w:font>
  <w:font w:name="汉仪仿宋KW">
    <w:altName w:val="仿宋"/>
    <w:panose1 w:val="00020600040101010101"/>
    <w:charset w:val="86"/>
    <w:family w:val="auto"/>
    <w:pitch w:val="default"/>
    <w:sig w:usb0="00000000" w:usb1="00000000" w:usb2="00000016" w:usb3="00000000" w:csb0="00040000"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0931CC"/>
    <w:rsid w:val="05F465BF"/>
    <w:rsid w:val="087E1A1F"/>
    <w:rsid w:val="1F3C637F"/>
    <w:rsid w:val="256C6251"/>
    <w:rsid w:val="34DB60CD"/>
    <w:rsid w:val="4C7F2F50"/>
    <w:rsid w:val="4D9746D7"/>
    <w:rsid w:val="665B11CB"/>
    <w:rsid w:val="BF96063A"/>
    <w:rsid w:val="FAE7994F"/>
    <w:rsid w:val="FB7FD5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4011</Words>
  <Characters>4120</Characters>
  <Lines>0</Lines>
  <Paragraphs>0</Paragraphs>
  <TotalTime>5</TotalTime>
  <ScaleCrop>false</ScaleCrop>
  <LinksUpToDate>false</LinksUpToDate>
  <CharactersWithSpaces>4273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茜茜</cp:lastModifiedBy>
  <dcterms:modified xsi:type="dcterms:W3CDTF">2026-06-23T08:05:25Z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2052-12.1.0.26375</vt:lpwstr>
  </property>
  <property fmtid="{D5CDD505-2E9C-101B-9397-08002B2CF9AE}" pid="4" name="ICV">
    <vt:lpwstr>CA50B52FAD9D4A0A81C648D2B9D3A944_12</vt:lpwstr>
  </property>
</Properties>
</file>