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3BC7F">
      <w:pPr>
        <w:spacing w:after="0" w:line="560" w:lineRule="exact"/>
        <w:jc w:val="left"/>
        <w:rPr>
          <w:color w:val="auto"/>
        </w:rPr>
      </w:pPr>
    </w:p>
    <w:p w14:paraId="323B6E40">
      <w:pPr>
        <w:spacing w:line="360" w:lineRule="auto"/>
        <w:jc w:val="right"/>
        <w:rPr>
          <w:color w:val="auto"/>
        </w:rPr>
      </w:pPr>
      <w:r>
        <w:rPr>
          <w:rFonts w:ascii="宋体" w:hAnsi="宋体" w:eastAsia="宋体"/>
          <w:b w:val="0"/>
          <w:color w:val="auto"/>
          <w:sz w:val="28"/>
        </w:rPr>
        <w:t>合同编号：【　　　　　　】</w:t>
      </w:r>
    </w:p>
    <w:p w14:paraId="6D5706AA">
      <w:pPr>
        <w:spacing w:after="0" w:line="560" w:lineRule="exact"/>
        <w:jc w:val="left"/>
        <w:rPr>
          <w:color w:val="auto"/>
        </w:rPr>
      </w:pPr>
    </w:p>
    <w:p w14:paraId="2F7BB285">
      <w:pPr>
        <w:spacing w:after="0" w:line="560" w:lineRule="exact"/>
        <w:jc w:val="center"/>
        <w:rPr>
          <w:color w:val="auto"/>
        </w:rPr>
      </w:pPr>
    </w:p>
    <w:p w14:paraId="78BB521A">
      <w:pPr>
        <w:spacing w:after="0" w:line="560" w:lineRule="exact"/>
        <w:jc w:val="center"/>
        <w:rPr>
          <w:rFonts w:hint="eastAsia" w:ascii="方正公文小标宋" w:hAnsi="方正公文小标宋" w:eastAsia="方正公文小标宋" w:cs="方正公文小标宋"/>
          <w:b/>
          <w:color w:val="auto"/>
          <w:sz w:val="44"/>
          <w:lang w:val="en-US" w:eastAsia="zh-CN"/>
        </w:rPr>
      </w:pPr>
      <w:r>
        <w:rPr>
          <w:rFonts w:hint="eastAsia" w:ascii="方正公文小标宋" w:hAnsi="方正公文小标宋" w:eastAsia="方正公文小标宋" w:cs="方正公文小标宋"/>
          <w:b/>
          <w:color w:val="auto"/>
          <w:sz w:val="44"/>
          <w:lang w:val="en-US" w:eastAsia="zh-CN"/>
        </w:rPr>
        <w:t>2026-2027年e站通保洁、绿植租摆</w:t>
      </w:r>
    </w:p>
    <w:p w14:paraId="4A276FE4">
      <w:pPr>
        <w:spacing w:after="0" w:line="560" w:lineRule="exact"/>
        <w:jc w:val="center"/>
        <w:rPr>
          <w:color w:val="auto"/>
        </w:rPr>
      </w:pPr>
      <w:r>
        <w:rPr>
          <w:rFonts w:hint="eastAsia" w:ascii="方正公文小标宋" w:hAnsi="方正公文小标宋" w:eastAsia="方正公文小标宋" w:cs="方正公文小标宋"/>
          <w:b/>
          <w:color w:val="auto"/>
          <w:sz w:val="44"/>
          <w:lang w:val="en-US" w:eastAsia="zh-CN"/>
        </w:rPr>
        <w:t>服务合同</w:t>
      </w:r>
    </w:p>
    <w:p w14:paraId="48E84659">
      <w:pPr>
        <w:spacing w:after="0" w:line="560" w:lineRule="exact"/>
        <w:jc w:val="left"/>
        <w:rPr>
          <w:color w:val="auto"/>
        </w:rPr>
      </w:pPr>
    </w:p>
    <w:p w14:paraId="2819223D">
      <w:pPr>
        <w:spacing w:after="0" w:line="560" w:lineRule="exact"/>
        <w:jc w:val="left"/>
        <w:rPr>
          <w:color w:val="auto"/>
        </w:rPr>
      </w:pPr>
    </w:p>
    <w:p w14:paraId="334F8C55">
      <w:pPr>
        <w:spacing w:after="0" w:line="560" w:lineRule="exact"/>
        <w:jc w:val="left"/>
        <w:rPr>
          <w:color w:val="auto"/>
        </w:rPr>
      </w:pPr>
    </w:p>
    <w:p w14:paraId="34A8887D">
      <w:pPr>
        <w:spacing w:after="0" w:line="560" w:lineRule="exact"/>
        <w:jc w:val="left"/>
        <w:rPr>
          <w:color w:val="auto"/>
        </w:rPr>
      </w:pPr>
    </w:p>
    <w:p w14:paraId="36DE279D">
      <w:pPr>
        <w:spacing w:after="0" w:line="560" w:lineRule="exact"/>
        <w:jc w:val="left"/>
        <w:rPr>
          <w:color w:val="auto"/>
        </w:rPr>
      </w:pPr>
    </w:p>
    <w:p w14:paraId="31EB4E77">
      <w:pPr>
        <w:spacing w:after="0" w:line="560" w:lineRule="exact"/>
        <w:jc w:val="left"/>
        <w:rPr>
          <w:color w:val="auto"/>
        </w:rPr>
      </w:pPr>
    </w:p>
    <w:p w14:paraId="24431CCC">
      <w:pPr>
        <w:spacing w:after="0" w:line="560" w:lineRule="exact"/>
        <w:jc w:val="left"/>
        <w:rPr>
          <w:color w:val="auto"/>
        </w:rPr>
      </w:pPr>
    </w:p>
    <w:p w14:paraId="14C3675E">
      <w:pPr>
        <w:spacing w:line="560" w:lineRule="exact"/>
        <w:ind w:firstLine="0"/>
        <w:jc w:val="left"/>
        <w:rPr>
          <w:color w:val="auto"/>
        </w:rPr>
      </w:pPr>
      <w:r>
        <w:rPr>
          <w:rFonts w:ascii="仿宋" w:hAnsi="仿宋" w:eastAsia="仿宋"/>
          <w:b w:val="0"/>
          <w:color w:val="auto"/>
          <w:sz w:val="32"/>
        </w:rPr>
        <w:t>甲方：深圳深港科技创新合作区发展有限公司</w:t>
      </w:r>
    </w:p>
    <w:p w14:paraId="26A746F4">
      <w:pPr>
        <w:spacing w:line="560" w:lineRule="exact"/>
        <w:ind w:firstLine="0"/>
        <w:jc w:val="left"/>
        <w:rPr>
          <w:color w:val="auto"/>
        </w:rPr>
      </w:pPr>
      <w:r>
        <w:rPr>
          <w:rFonts w:ascii="仿宋" w:hAnsi="仿宋" w:eastAsia="仿宋"/>
          <w:b w:val="0"/>
          <w:color w:val="auto"/>
          <w:sz w:val="32"/>
        </w:rPr>
        <w:t>乙方：【中标单位名称】</w:t>
      </w:r>
    </w:p>
    <w:p w14:paraId="12D0E1BA">
      <w:pPr>
        <w:spacing w:after="0" w:line="560" w:lineRule="exact"/>
        <w:jc w:val="left"/>
        <w:rPr>
          <w:color w:val="auto"/>
        </w:rPr>
      </w:pPr>
    </w:p>
    <w:p w14:paraId="65ACC3B5">
      <w:pPr>
        <w:spacing w:line="560" w:lineRule="exact"/>
        <w:ind w:firstLine="0"/>
        <w:jc w:val="center"/>
        <w:rPr>
          <w:color w:val="auto"/>
        </w:rPr>
      </w:pPr>
      <w:r>
        <w:rPr>
          <w:rFonts w:ascii="仿宋" w:hAnsi="仿宋" w:eastAsia="仿宋"/>
          <w:b w:val="0"/>
          <w:color w:val="auto"/>
          <w:sz w:val="32"/>
        </w:rPr>
        <w:t>日期：　　　　年　　月　　日</w:t>
      </w:r>
    </w:p>
    <w:p w14:paraId="1BC98603">
      <w:pPr>
        <w:spacing w:after="0" w:line="560" w:lineRule="exact"/>
        <w:ind w:firstLine="0"/>
        <w:jc w:val="left"/>
        <w:rPr>
          <w:color w:val="auto"/>
        </w:rPr>
      </w:pPr>
      <w:r>
        <w:rPr>
          <w:color w:val="auto"/>
        </w:rPr>
        <w:br w:type="page"/>
      </w:r>
    </w:p>
    <w:p w14:paraId="5A68311C">
      <w:pPr>
        <w:spacing w:after="0" w:line="560" w:lineRule="exact"/>
        <w:ind w:firstLine="0"/>
        <w:jc w:val="left"/>
        <w:rPr>
          <w:color w:val="auto"/>
        </w:rPr>
      </w:pPr>
      <w:r>
        <w:rPr>
          <w:rFonts w:ascii="仿宋" w:hAnsi="仿宋" w:eastAsia="仿宋"/>
          <w:b/>
          <w:color w:val="auto"/>
          <w:sz w:val="32"/>
        </w:rPr>
        <w:t>甲方：深圳深港科技创新合作区发展有限公司</w:t>
      </w:r>
    </w:p>
    <w:p w14:paraId="5A21EFAD">
      <w:pPr>
        <w:spacing w:after="0" w:line="560" w:lineRule="exact"/>
        <w:ind w:firstLine="0"/>
        <w:jc w:val="left"/>
        <w:rPr>
          <w:rFonts w:hint="default" w:eastAsia="仿宋"/>
          <w:color w:val="auto"/>
          <w:lang w:val="en-US" w:eastAsia="zh-CN"/>
        </w:rPr>
      </w:pPr>
      <w:r>
        <w:rPr>
          <w:rFonts w:ascii="仿宋" w:hAnsi="仿宋" w:eastAsia="仿宋"/>
          <w:b w:val="0"/>
          <w:color w:val="auto"/>
          <w:sz w:val="32"/>
        </w:rPr>
        <w:t>法定代表人：</w:t>
      </w:r>
      <w:r>
        <w:rPr>
          <w:rFonts w:hint="eastAsia" w:ascii="仿宋" w:hAnsi="仿宋" w:eastAsia="仿宋"/>
          <w:b w:val="0"/>
          <w:color w:val="auto"/>
          <w:sz w:val="32"/>
          <w:lang w:val="en-US" w:eastAsia="zh-CN"/>
        </w:rPr>
        <w:t>吴寅骁</w:t>
      </w:r>
    </w:p>
    <w:p w14:paraId="0C9095DB">
      <w:pPr>
        <w:spacing w:after="0" w:line="560" w:lineRule="exact"/>
        <w:ind w:firstLine="0"/>
        <w:jc w:val="left"/>
        <w:rPr>
          <w:color w:val="auto"/>
        </w:rPr>
      </w:pPr>
      <w:r>
        <w:rPr>
          <w:rFonts w:ascii="仿宋" w:hAnsi="仿宋" w:eastAsia="仿宋"/>
          <w:b w:val="0"/>
          <w:color w:val="auto"/>
          <w:sz w:val="32"/>
        </w:rPr>
        <w:t>联系方式：82772373</w:t>
      </w:r>
    </w:p>
    <w:p w14:paraId="3B73C555">
      <w:pPr>
        <w:spacing w:after="0" w:line="560" w:lineRule="exact"/>
        <w:ind w:firstLine="0"/>
        <w:jc w:val="left"/>
        <w:rPr>
          <w:color w:val="auto"/>
        </w:rPr>
      </w:pPr>
      <w:r>
        <w:rPr>
          <w:rFonts w:ascii="仿宋" w:hAnsi="仿宋" w:eastAsia="仿宋"/>
          <w:b w:val="0"/>
          <w:color w:val="auto"/>
          <w:sz w:val="32"/>
        </w:rPr>
        <w:t>地址：深圳市福田区福保街道桃花路3号国电科技现代物流中心2栋7层</w:t>
      </w:r>
    </w:p>
    <w:p w14:paraId="6673188C">
      <w:pPr>
        <w:spacing w:after="0" w:line="560" w:lineRule="exact"/>
        <w:ind w:firstLine="0"/>
        <w:jc w:val="left"/>
        <w:rPr>
          <w:color w:val="auto"/>
        </w:rPr>
      </w:pPr>
    </w:p>
    <w:p w14:paraId="14AF7123">
      <w:pPr>
        <w:spacing w:after="0" w:line="560" w:lineRule="exact"/>
        <w:ind w:firstLine="0"/>
        <w:jc w:val="left"/>
        <w:rPr>
          <w:color w:val="auto"/>
        </w:rPr>
      </w:pPr>
      <w:r>
        <w:rPr>
          <w:rFonts w:ascii="仿宋" w:hAnsi="仿宋" w:eastAsia="仿宋"/>
          <w:b/>
          <w:color w:val="auto"/>
          <w:sz w:val="32"/>
        </w:rPr>
        <w:t>乙方：【中标单位名称】</w:t>
      </w:r>
    </w:p>
    <w:p w14:paraId="6CA19764">
      <w:pPr>
        <w:spacing w:after="0" w:line="560" w:lineRule="exact"/>
        <w:ind w:firstLine="0"/>
        <w:jc w:val="left"/>
        <w:rPr>
          <w:color w:val="auto"/>
        </w:rPr>
      </w:pPr>
      <w:r>
        <w:rPr>
          <w:rFonts w:ascii="仿宋" w:hAnsi="仿宋" w:eastAsia="仿宋"/>
          <w:b w:val="0"/>
          <w:color w:val="auto"/>
          <w:sz w:val="32"/>
        </w:rPr>
        <w:t>法定代表人：【　　　　】</w:t>
      </w:r>
    </w:p>
    <w:p w14:paraId="3689E393">
      <w:pPr>
        <w:spacing w:after="0" w:line="560" w:lineRule="exact"/>
        <w:ind w:firstLine="0"/>
        <w:jc w:val="left"/>
        <w:rPr>
          <w:color w:val="auto"/>
        </w:rPr>
      </w:pPr>
      <w:r>
        <w:rPr>
          <w:rFonts w:ascii="仿宋" w:hAnsi="仿宋" w:eastAsia="仿宋"/>
          <w:b w:val="0"/>
          <w:color w:val="auto"/>
          <w:sz w:val="32"/>
        </w:rPr>
        <w:t>联系方式：【　　　　】</w:t>
      </w:r>
    </w:p>
    <w:p w14:paraId="116FF0AE">
      <w:pPr>
        <w:spacing w:after="0" w:line="560" w:lineRule="exact"/>
        <w:ind w:firstLine="0"/>
        <w:jc w:val="left"/>
        <w:rPr>
          <w:color w:val="auto"/>
        </w:rPr>
      </w:pPr>
      <w:r>
        <w:rPr>
          <w:rFonts w:ascii="仿宋" w:hAnsi="仿宋" w:eastAsia="仿宋"/>
          <w:b w:val="0"/>
          <w:color w:val="auto"/>
          <w:sz w:val="32"/>
        </w:rPr>
        <w:t>地址：【　　　　】</w:t>
      </w:r>
    </w:p>
    <w:p w14:paraId="0F50654D">
      <w:pPr>
        <w:spacing w:after="0" w:line="560" w:lineRule="exact"/>
        <w:ind w:firstLine="0"/>
        <w:jc w:val="left"/>
        <w:rPr>
          <w:color w:val="auto"/>
        </w:rPr>
      </w:pPr>
    </w:p>
    <w:p w14:paraId="6D642DC1">
      <w:pPr>
        <w:spacing w:after="0" w:line="560" w:lineRule="exact"/>
        <w:ind w:firstLine="640"/>
        <w:jc w:val="left"/>
        <w:rPr>
          <w:color w:val="auto"/>
        </w:rPr>
      </w:pPr>
      <w:r>
        <w:rPr>
          <w:rFonts w:ascii="仿宋" w:hAnsi="仿宋" w:eastAsia="仿宋"/>
          <w:b w:val="0"/>
          <w:color w:val="auto"/>
          <w:sz w:val="32"/>
        </w:rPr>
        <w:t>河套深港科技创新合作区e站通综合服务中心位于福田保税区创凌通国际金融中心（市花路1号），面积约2000平方米，共两层。作为河套合作区的一站式综合服务平台，承担着政务服务、企业服务、人才服务等重要功能。</w:t>
      </w:r>
    </w:p>
    <w:p w14:paraId="6050E339">
      <w:pPr>
        <w:spacing w:after="0" w:line="560" w:lineRule="exact"/>
        <w:ind w:firstLine="640"/>
        <w:jc w:val="left"/>
        <w:rPr>
          <w:color w:val="auto"/>
        </w:rPr>
      </w:pPr>
      <w:r>
        <w:rPr>
          <w:rFonts w:ascii="仿宋" w:hAnsi="仿宋" w:eastAsia="仿宋"/>
          <w:b w:val="0"/>
          <w:color w:val="auto"/>
          <w:sz w:val="32"/>
        </w:rPr>
        <w:t>根据《中华人民共和国民法典》及相关法律法规，就乙方为河套深港科技创新合作区e站通综合服务中心提供保洁服务及绿植租摆养护服务等事宜，经双方协商一致，订立本合同。</w:t>
      </w:r>
    </w:p>
    <w:p w14:paraId="10A4E77C">
      <w:pPr>
        <w:pStyle w:val="4"/>
        <w:spacing w:before="0" w:after="0" w:line="560" w:lineRule="exact"/>
        <w:ind w:firstLine="643"/>
        <w:jc w:val="left"/>
        <w:rPr>
          <w:color w:val="auto"/>
        </w:rPr>
      </w:pPr>
      <w:r>
        <w:rPr>
          <w:rFonts w:ascii="黑体" w:hAnsi="黑体" w:eastAsia="黑体"/>
          <w:color w:val="auto"/>
          <w:sz w:val="32"/>
        </w:rPr>
        <w:t>第一条　服务内容</w:t>
      </w:r>
    </w:p>
    <w:p w14:paraId="58860280">
      <w:pPr>
        <w:spacing w:after="0" w:line="560" w:lineRule="exact"/>
        <w:ind w:firstLine="640"/>
        <w:jc w:val="left"/>
        <w:rPr>
          <w:color w:val="auto"/>
        </w:rPr>
      </w:pPr>
      <w:r>
        <w:rPr>
          <w:rFonts w:ascii="仿宋" w:hAnsi="仿宋" w:eastAsia="仿宋"/>
          <w:b w:val="0"/>
          <w:color w:val="auto"/>
          <w:sz w:val="32"/>
        </w:rPr>
        <w:t>乙方按照本合同的约定，为甲方提供以下服务：</w:t>
      </w:r>
    </w:p>
    <w:p w14:paraId="33EE1623">
      <w:pPr>
        <w:spacing w:after="0" w:line="560" w:lineRule="exact"/>
        <w:ind w:firstLine="640"/>
        <w:jc w:val="left"/>
        <w:rPr>
          <w:color w:val="auto"/>
        </w:rPr>
      </w:pPr>
      <w:r>
        <w:rPr>
          <w:rFonts w:ascii="仿宋" w:hAnsi="仿宋" w:eastAsia="仿宋"/>
          <w:b/>
          <w:color w:val="auto"/>
          <w:sz w:val="32"/>
        </w:rPr>
        <w:t>一、保洁服务</w:t>
      </w:r>
    </w:p>
    <w:p w14:paraId="6F3CAC15">
      <w:pPr>
        <w:spacing w:after="0" w:line="560" w:lineRule="exact"/>
        <w:ind w:firstLine="640"/>
        <w:jc w:val="left"/>
        <w:rPr>
          <w:color w:val="auto"/>
        </w:rPr>
      </w:pPr>
      <w:r>
        <w:rPr>
          <w:rFonts w:ascii="仿宋" w:hAnsi="仿宋" w:eastAsia="仿宋"/>
          <w:b w:val="0"/>
          <w:color w:val="auto"/>
          <w:sz w:val="32"/>
        </w:rPr>
        <w:t>1. 河套深港科技创新合作区e站通综合服务中心日常保洁，保洁面积约2000平方米。</w:t>
      </w:r>
    </w:p>
    <w:p w14:paraId="02C70A4E">
      <w:pPr>
        <w:spacing w:after="0" w:line="560" w:lineRule="exact"/>
        <w:ind w:firstLine="640"/>
        <w:jc w:val="left"/>
        <w:rPr>
          <w:color w:val="auto"/>
        </w:rPr>
      </w:pPr>
      <w:r>
        <w:rPr>
          <w:rFonts w:ascii="仿宋" w:hAnsi="仿宋" w:eastAsia="仿宋"/>
          <w:b w:val="0"/>
          <w:color w:val="auto"/>
          <w:sz w:val="32"/>
        </w:rPr>
        <w:t>2. 河套深港科技创新合作区e站通综合服务中心地毯深度清洁，地毯保洁面积约500平方米，每年安排2次。</w:t>
      </w:r>
    </w:p>
    <w:p w14:paraId="27EC8BE3">
      <w:pPr>
        <w:spacing w:after="0" w:line="560" w:lineRule="exact"/>
        <w:ind w:firstLine="640"/>
        <w:jc w:val="left"/>
        <w:rPr>
          <w:color w:val="auto"/>
        </w:rPr>
      </w:pPr>
      <w:r>
        <w:rPr>
          <w:rFonts w:ascii="仿宋" w:hAnsi="仿宋" w:eastAsia="仿宋"/>
          <w:b w:val="0"/>
          <w:color w:val="auto"/>
          <w:sz w:val="32"/>
        </w:rPr>
        <w:t>3. 河套深港科技创新合作区e站通综合服务中心四害消杀，每月安排1次。</w:t>
      </w:r>
    </w:p>
    <w:p w14:paraId="08065E8D">
      <w:pPr>
        <w:spacing w:after="0" w:line="560" w:lineRule="exact"/>
        <w:ind w:firstLine="640"/>
        <w:jc w:val="left"/>
        <w:rPr>
          <w:color w:val="auto"/>
        </w:rPr>
      </w:pPr>
      <w:r>
        <w:rPr>
          <w:rFonts w:ascii="仿宋" w:hAnsi="仿宋" w:eastAsia="仿宋"/>
          <w:b w:val="0"/>
          <w:color w:val="auto"/>
          <w:sz w:val="32"/>
        </w:rPr>
        <w:t>4. 河套深港科技创新合作区e站通综合服务中心石材晶面养护，面积约500平方米，每年安排2次。</w:t>
      </w:r>
    </w:p>
    <w:p w14:paraId="547D2499">
      <w:pPr>
        <w:spacing w:after="0" w:line="560" w:lineRule="exact"/>
        <w:ind w:firstLine="640"/>
        <w:jc w:val="left"/>
        <w:rPr>
          <w:color w:val="auto"/>
        </w:rPr>
      </w:pPr>
      <w:r>
        <w:rPr>
          <w:rFonts w:ascii="仿宋" w:hAnsi="仿宋" w:eastAsia="仿宋"/>
          <w:b w:val="0"/>
          <w:color w:val="auto"/>
          <w:sz w:val="32"/>
        </w:rPr>
        <w:t>5. 河套深港科技创新合作区e站通综合服务中心木地板打蜡，面积约400平方米，每年安排2次。</w:t>
      </w:r>
    </w:p>
    <w:p w14:paraId="2FE7D2F6">
      <w:pPr>
        <w:spacing w:after="0" w:line="560" w:lineRule="exact"/>
        <w:ind w:firstLine="640"/>
        <w:jc w:val="left"/>
        <w:rPr>
          <w:color w:val="auto"/>
        </w:rPr>
      </w:pPr>
      <w:r>
        <w:rPr>
          <w:rFonts w:ascii="仿宋" w:hAnsi="仿宋" w:eastAsia="仿宋"/>
          <w:b w:val="0"/>
          <w:color w:val="auto"/>
          <w:sz w:val="32"/>
        </w:rPr>
        <w:t>6. 河套深港科技创新合作区e站通综合服务中心洗手间深度清洁，每月安排4次。</w:t>
      </w:r>
    </w:p>
    <w:p w14:paraId="22E0DD88">
      <w:pPr>
        <w:spacing w:after="0" w:line="560" w:lineRule="exact"/>
        <w:ind w:firstLine="640"/>
        <w:jc w:val="left"/>
        <w:rPr>
          <w:color w:val="auto"/>
        </w:rPr>
      </w:pPr>
      <w:r>
        <w:rPr>
          <w:rFonts w:ascii="仿宋" w:hAnsi="仿宋" w:eastAsia="仿宋"/>
          <w:b/>
          <w:color w:val="auto"/>
          <w:sz w:val="32"/>
        </w:rPr>
        <w:t>二、绿植租摆养护服务</w:t>
      </w:r>
    </w:p>
    <w:p w14:paraId="0DFD4721">
      <w:pPr>
        <w:spacing w:after="0" w:line="560" w:lineRule="exact"/>
        <w:ind w:firstLine="640"/>
        <w:jc w:val="left"/>
        <w:rPr>
          <w:color w:val="auto"/>
        </w:rPr>
      </w:pPr>
      <w:r>
        <w:rPr>
          <w:rFonts w:ascii="仿宋" w:hAnsi="仿宋" w:eastAsia="仿宋"/>
          <w:b w:val="0"/>
          <w:color w:val="auto"/>
          <w:sz w:val="32"/>
        </w:rPr>
        <w:t>1. 按照甲方要求及本合同附件《绿植摆放清单》提供绿植花卉租摆服务，摆放于e站通指定位置。</w:t>
      </w:r>
    </w:p>
    <w:p w14:paraId="516772C2">
      <w:pPr>
        <w:spacing w:after="0" w:line="560" w:lineRule="exact"/>
        <w:ind w:firstLine="640"/>
        <w:jc w:val="left"/>
        <w:rPr>
          <w:color w:val="auto"/>
        </w:rPr>
      </w:pPr>
      <w:r>
        <w:rPr>
          <w:rFonts w:ascii="仿宋" w:hAnsi="仿宋" w:eastAsia="仿宋"/>
          <w:b w:val="0"/>
          <w:color w:val="auto"/>
          <w:sz w:val="32"/>
        </w:rPr>
        <w:t>2. 负责绿植的日常养护管理，包括浇水、施肥、修剪、清洁叶面、病虫害防治等。</w:t>
      </w:r>
    </w:p>
    <w:p w14:paraId="4C0BACE3">
      <w:pPr>
        <w:spacing w:after="0" w:line="560" w:lineRule="exact"/>
        <w:ind w:firstLine="640"/>
        <w:jc w:val="left"/>
        <w:rPr>
          <w:rFonts w:ascii="仿宋" w:hAnsi="仿宋" w:eastAsia="仿宋"/>
          <w:b w:val="0"/>
          <w:color w:val="auto"/>
          <w:sz w:val="32"/>
        </w:rPr>
      </w:pPr>
      <w:r>
        <w:rPr>
          <w:rFonts w:ascii="仿宋" w:hAnsi="仿宋" w:eastAsia="仿宋"/>
          <w:b w:val="0"/>
          <w:color w:val="auto"/>
          <w:sz w:val="32"/>
        </w:rPr>
        <w:t>3. 及时更换枯死、病害或观赏效果不佳的绿植，确保良好的展示效果。</w:t>
      </w:r>
    </w:p>
    <w:p w14:paraId="22EF2087">
      <w:pPr>
        <w:spacing w:after="0" w:line="560" w:lineRule="exact"/>
        <w:ind w:firstLine="640"/>
        <w:jc w:val="left"/>
        <w:rPr>
          <w:rFonts w:ascii="仿宋" w:hAnsi="仿宋" w:eastAsia="仿宋"/>
          <w:b w:val="0"/>
          <w:color w:val="auto"/>
          <w:sz w:val="32"/>
        </w:rPr>
      </w:pPr>
      <w:r>
        <w:rPr>
          <w:rFonts w:hint="default" w:ascii="仿宋" w:hAnsi="仿宋" w:eastAsia="仿宋" w:cs="仿宋"/>
          <w:b w:val="0"/>
          <w:color w:val="auto"/>
          <w:sz w:val="32"/>
          <w:szCs w:val="32"/>
          <w:woUserID w:val="1"/>
        </w:rPr>
        <w:t>4.甲方有权要求根据现场实际情况更换同等价位不同品种的绿植，乙方不得要求额外增加服务费用。</w:t>
      </w:r>
    </w:p>
    <w:p w14:paraId="2233F41A">
      <w:pPr>
        <w:pStyle w:val="4"/>
        <w:spacing w:before="0" w:after="0" w:line="560" w:lineRule="exact"/>
        <w:ind w:firstLine="643"/>
        <w:jc w:val="left"/>
        <w:rPr>
          <w:color w:val="auto"/>
        </w:rPr>
      </w:pPr>
      <w:r>
        <w:rPr>
          <w:rFonts w:ascii="黑体" w:hAnsi="黑体" w:eastAsia="黑体"/>
          <w:color w:val="auto"/>
          <w:sz w:val="32"/>
        </w:rPr>
        <w:t>第二条　服务期限</w:t>
      </w:r>
    </w:p>
    <w:p w14:paraId="3AA505FB">
      <w:pPr>
        <w:spacing w:after="0" w:line="560" w:lineRule="exact"/>
        <w:ind w:firstLine="640"/>
        <w:jc w:val="left"/>
        <w:rPr>
          <w:color w:val="auto"/>
        </w:rPr>
      </w:pPr>
      <w:r>
        <w:rPr>
          <w:rFonts w:ascii="仿宋" w:hAnsi="仿宋" w:eastAsia="仿宋"/>
          <w:b w:val="0"/>
          <w:color w:val="auto"/>
          <w:sz w:val="32"/>
        </w:rPr>
        <w:t>服务期限自</w:t>
      </w:r>
      <w:r>
        <w:rPr>
          <w:rFonts w:hint="eastAsia" w:ascii="仿宋" w:hAnsi="仿宋" w:eastAsia="仿宋" w:cs="仿宋"/>
          <w:b w:val="0"/>
          <w:bCs w:val="0"/>
          <w:color w:val="auto"/>
          <w:sz w:val="32"/>
          <w:szCs w:val="32"/>
          <w:lang w:val="en-US" w:eastAsia="zh-CN"/>
        </w:rPr>
        <w:t>2026年8月1日起至2027年7月31日止</w:t>
      </w:r>
      <w:r>
        <w:rPr>
          <w:rFonts w:ascii="仿宋" w:hAnsi="仿宋" w:eastAsia="仿宋"/>
          <w:b w:val="0"/>
          <w:color w:val="auto"/>
          <w:sz w:val="32"/>
        </w:rPr>
        <w:t>，共计1年。</w:t>
      </w:r>
    </w:p>
    <w:p w14:paraId="0345E030">
      <w:pPr>
        <w:spacing w:after="0" w:line="560" w:lineRule="exact"/>
        <w:ind w:firstLine="640"/>
        <w:jc w:val="left"/>
        <w:rPr>
          <w:rFonts w:ascii="仿宋" w:hAnsi="仿宋" w:eastAsia="仿宋"/>
          <w:b w:val="0"/>
          <w:color w:val="auto"/>
          <w:sz w:val="32"/>
        </w:rPr>
      </w:pPr>
      <w:r>
        <w:rPr>
          <w:rFonts w:ascii="仿宋" w:hAnsi="仿宋" w:eastAsia="仿宋"/>
          <w:b w:val="0"/>
          <w:color w:val="auto"/>
          <w:sz w:val="32"/>
        </w:rPr>
        <w:t>合同期满前一个月，由甲方对乙方进行履约评价（详见附件《履约评价表》），评价结果为良好及以上的，在符合甲方采购政策的前提下，双方可通过签订补充合同的形式延长本合同服务期限，单次延长时间不超过1年。</w:t>
      </w:r>
    </w:p>
    <w:p w14:paraId="69A39139">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ascii="仿宋" w:hAnsi="仿宋" w:eastAsia="仿宋"/>
          <w:b w:val="0"/>
          <w:color w:val="auto"/>
          <w:sz w:val="32"/>
        </w:rPr>
      </w:pPr>
      <w:r>
        <w:rPr>
          <w:rFonts w:hint="eastAsia" w:ascii="仿宋" w:hAnsi="仿宋" w:eastAsia="仿宋" w:cs="仿宋"/>
          <w:b w:val="0"/>
          <w:color w:val="auto"/>
          <w:sz w:val="32"/>
          <w:szCs w:val="32"/>
          <w:lang w:val="en-US" w:eastAsia="zh-CN"/>
        </w:rPr>
        <w:t>其中，绿植租摆服务开始时间为</w:t>
      </w:r>
      <w:r>
        <w:rPr>
          <w:rFonts w:hint="eastAsia" w:ascii="仿宋" w:hAnsi="仿宋" w:eastAsia="仿宋" w:cs="仿宋"/>
          <w:b w:val="0"/>
          <w:bCs w:val="0"/>
          <w:color w:val="auto"/>
          <w:sz w:val="32"/>
          <w:szCs w:val="32"/>
          <w:lang w:val="en-US" w:eastAsia="zh-CN"/>
        </w:rPr>
        <w:t>2026年8月8日起。另外，</w:t>
      </w:r>
      <w:r>
        <w:rPr>
          <w:rFonts w:hint="eastAsia" w:ascii="仿宋" w:hAnsi="仿宋" w:eastAsia="仿宋" w:cs="仿宋"/>
          <w:b w:val="0"/>
          <w:color w:val="auto"/>
          <w:sz w:val="32"/>
          <w:szCs w:val="32"/>
          <w:lang w:val="en-US" w:eastAsia="zh-CN"/>
        </w:rPr>
        <w:t>甲方有权视业务实际需求单方面提前终止本合同，此行为不视为甲方违约。甲方行使前述权利的，应提前3个工作日通知乙方。本合同提前终止的，双方应根据乙方提供服务天数占原应服务天数之比例，据实结算费用</w:t>
      </w:r>
    </w:p>
    <w:p w14:paraId="10461571">
      <w:pPr>
        <w:pStyle w:val="4"/>
        <w:spacing w:before="0" w:after="0" w:line="560" w:lineRule="exact"/>
        <w:ind w:firstLine="643"/>
        <w:jc w:val="left"/>
        <w:rPr>
          <w:color w:val="auto"/>
        </w:rPr>
      </w:pPr>
      <w:r>
        <w:rPr>
          <w:rFonts w:ascii="黑体" w:hAnsi="黑体" w:eastAsia="黑体"/>
          <w:color w:val="auto"/>
          <w:sz w:val="32"/>
        </w:rPr>
        <w:t>第三条　服务要求</w:t>
      </w:r>
    </w:p>
    <w:p w14:paraId="3F953D05">
      <w:pPr>
        <w:spacing w:after="0" w:line="560" w:lineRule="exact"/>
        <w:ind w:firstLine="640"/>
        <w:jc w:val="left"/>
        <w:rPr>
          <w:color w:val="auto"/>
        </w:rPr>
      </w:pPr>
      <w:r>
        <w:rPr>
          <w:rFonts w:ascii="仿宋" w:hAnsi="仿宋" w:eastAsia="仿宋"/>
          <w:b w:val="0"/>
          <w:color w:val="auto"/>
          <w:sz w:val="32"/>
        </w:rPr>
        <w:t>乙方按照本合同的约定，安排配置保洁服务人员（以下简称“服务人员”），根据甲方提出的要求，对本合同约定的服务区域提供达标服务。具体要求如下：</w:t>
      </w:r>
    </w:p>
    <w:p w14:paraId="4C92FBB5">
      <w:pPr>
        <w:spacing w:after="0" w:line="560" w:lineRule="exact"/>
        <w:ind w:firstLine="640"/>
        <w:jc w:val="left"/>
        <w:rPr>
          <w:color w:val="auto"/>
        </w:rPr>
      </w:pPr>
      <w:r>
        <w:rPr>
          <w:rFonts w:ascii="仿宋" w:hAnsi="仿宋" w:eastAsia="仿宋"/>
          <w:b/>
          <w:color w:val="auto"/>
          <w:sz w:val="32"/>
        </w:rPr>
        <w:t>一、人员配置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7"/>
        <w:gridCol w:w="2767"/>
      </w:tblGrid>
      <w:tr w14:paraId="544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shd w:val="clear" w:color="auto" w:fill="D9E2F3"/>
          </w:tcPr>
          <w:p w14:paraId="208760D2">
            <w:pPr>
              <w:spacing w:before="40" w:after="40"/>
              <w:jc w:val="center"/>
              <w:rPr>
                <w:color w:val="auto"/>
              </w:rPr>
            </w:pPr>
            <w:r>
              <w:rPr>
                <w:rFonts w:ascii="仿宋" w:hAnsi="仿宋" w:eastAsia="仿宋"/>
                <w:b/>
                <w:color w:val="auto"/>
                <w:sz w:val="32"/>
              </w:rPr>
              <w:t>岗位</w:t>
            </w:r>
          </w:p>
        </w:tc>
        <w:tc>
          <w:tcPr>
            <w:tcW w:w="2767" w:type="dxa"/>
            <w:shd w:val="clear" w:color="auto" w:fill="D9E2F3"/>
          </w:tcPr>
          <w:p w14:paraId="3D87F673">
            <w:pPr>
              <w:spacing w:before="40" w:after="40"/>
              <w:jc w:val="center"/>
              <w:rPr>
                <w:color w:val="auto"/>
              </w:rPr>
            </w:pPr>
            <w:r>
              <w:rPr>
                <w:rFonts w:ascii="仿宋" w:hAnsi="仿宋" w:eastAsia="仿宋"/>
                <w:b/>
                <w:color w:val="auto"/>
                <w:sz w:val="32"/>
              </w:rPr>
              <w:t>人数</w:t>
            </w:r>
          </w:p>
        </w:tc>
        <w:tc>
          <w:tcPr>
            <w:tcW w:w="2767" w:type="dxa"/>
            <w:shd w:val="clear" w:color="auto" w:fill="D9E2F3"/>
          </w:tcPr>
          <w:p w14:paraId="57F46132">
            <w:pPr>
              <w:spacing w:before="40" w:after="40"/>
              <w:jc w:val="center"/>
              <w:rPr>
                <w:color w:val="auto"/>
              </w:rPr>
            </w:pPr>
            <w:r>
              <w:rPr>
                <w:rFonts w:ascii="仿宋" w:hAnsi="仿宋" w:eastAsia="仿宋"/>
                <w:b/>
                <w:color w:val="auto"/>
                <w:sz w:val="32"/>
              </w:rPr>
              <w:t>岗位要求</w:t>
            </w:r>
          </w:p>
        </w:tc>
      </w:tr>
      <w:tr w14:paraId="203E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tcPr>
          <w:p w14:paraId="65C0DEAD">
            <w:pPr>
              <w:spacing w:before="40" w:after="40"/>
              <w:jc w:val="center"/>
              <w:rPr>
                <w:color w:val="auto"/>
              </w:rPr>
            </w:pPr>
            <w:r>
              <w:rPr>
                <w:rFonts w:ascii="仿宋" w:hAnsi="仿宋" w:eastAsia="仿宋"/>
                <w:b w:val="0"/>
                <w:color w:val="auto"/>
                <w:sz w:val="32"/>
              </w:rPr>
              <w:t>保洁员</w:t>
            </w:r>
          </w:p>
        </w:tc>
        <w:tc>
          <w:tcPr>
            <w:tcW w:w="2767" w:type="dxa"/>
          </w:tcPr>
          <w:p w14:paraId="1263325B">
            <w:pPr>
              <w:spacing w:before="40" w:after="40"/>
              <w:jc w:val="center"/>
              <w:rPr>
                <w:color w:val="auto"/>
              </w:rPr>
            </w:pPr>
            <w:r>
              <w:rPr>
                <w:rFonts w:ascii="仿宋" w:hAnsi="仿宋" w:eastAsia="仿宋"/>
                <w:b w:val="0"/>
                <w:color w:val="auto"/>
                <w:sz w:val="32"/>
              </w:rPr>
              <w:t>不少于2人</w:t>
            </w:r>
          </w:p>
        </w:tc>
        <w:tc>
          <w:tcPr>
            <w:tcW w:w="2767" w:type="dxa"/>
          </w:tcPr>
          <w:p w14:paraId="5AD91AA4">
            <w:pPr>
              <w:spacing w:before="40" w:after="40"/>
              <w:jc w:val="center"/>
              <w:rPr>
                <w:color w:val="auto"/>
              </w:rPr>
            </w:pPr>
            <w:r>
              <w:rPr>
                <w:rFonts w:ascii="仿宋" w:hAnsi="仿宋" w:eastAsia="仿宋"/>
                <w:b w:val="0"/>
                <w:color w:val="auto"/>
                <w:sz w:val="32"/>
              </w:rPr>
              <w:t>身体健康，责任心强，熟悉政务场馆保洁标准，服从排班管理。</w:t>
            </w:r>
          </w:p>
        </w:tc>
      </w:tr>
    </w:tbl>
    <w:p w14:paraId="709EDE73">
      <w:pPr>
        <w:spacing w:after="0" w:line="560" w:lineRule="exact"/>
        <w:jc w:val="left"/>
        <w:rPr>
          <w:color w:val="auto"/>
        </w:rPr>
      </w:pPr>
    </w:p>
    <w:p w14:paraId="20F60566">
      <w:pPr>
        <w:spacing w:after="0" w:line="560" w:lineRule="exact"/>
        <w:ind w:firstLine="640"/>
        <w:jc w:val="left"/>
        <w:rPr>
          <w:color w:val="auto"/>
        </w:rPr>
      </w:pPr>
      <w:r>
        <w:rPr>
          <w:rFonts w:ascii="仿宋" w:hAnsi="仿宋" w:eastAsia="仿宋"/>
          <w:b/>
          <w:color w:val="auto"/>
          <w:sz w:val="32"/>
        </w:rPr>
        <w:t>二、保洁服务标准</w:t>
      </w:r>
    </w:p>
    <w:p w14:paraId="5D720C53">
      <w:pPr>
        <w:spacing w:after="0" w:line="560" w:lineRule="exact"/>
        <w:ind w:firstLine="640"/>
        <w:jc w:val="left"/>
        <w:rPr>
          <w:color w:val="auto"/>
        </w:rPr>
      </w:pPr>
      <w:r>
        <w:rPr>
          <w:rFonts w:ascii="仿宋" w:hAnsi="仿宋" w:eastAsia="仿宋"/>
          <w:b w:val="0"/>
          <w:color w:val="auto"/>
          <w:sz w:val="32"/>
        </w:rPr>
        <w:t>1. 每日全面清洁不少于1次（两层），巡回保洁保持环境整洁。垃圾日产日清，卫生间无异味、无污渍。</w:t>
      </w:r>
    </w:p>
    <w:p w14:paraId="22356537">
      <w:pPr>
        <w:spacing w:after="0" w:line="560" w:lineRule="exact"/>
        <w:ind w:firstLine="640"/>
        <w:jc w:val="left"/>
        <w:rPr>
          <w:color w:val="auto"/>
        </w:rPr>
      </w:pPr>
      <w:r>
        <w:rPr>
          <w:rFonts w:ascii="仿宋" w:hAnsi="仿宋" w:eastAsia="仿宋"/>
          <w:b w:val="0"/>
          <w:color w:val="auto"/>
          <w:sz w:val="32"/>
        </w:rPr>
        <w:t>2. 公共区域、服务大厅、会议室等保持一尘不染，符合政务接待标准。</w:t>
      </w:r>
    </w:p>
    <w:p w14:paraId="77E6CD4E">
      <w:pPr>
        <w:spacing w:after="0" w:line="560" w:lineRule="exact"/>
        <w:ind w:firstLine="640"/>
        <w:jc w:val="left"/>
        <w:rPr>
          <w:color w:val="auto"/>
        </w:rPr>
      </w:pPr>
      <w:r>
        <w:rPr>
          <w:rFonts w:ascii="仿宋" w:hAnsi="仿宋" w:eastAsia="仿宋"/>
          <w:b w:val="0"/>
          <w:color w:val="auto"/>
          <w:sz w:val="32"/>
        </w:rPr>
        <w:t>3. 地毯深度清洁后色泽均匀、无污渍、无异味。</w:t>
      </w:r>
    </w:p>
    <w:p w14:paraId="4E0D0F5B">
      <w:pPr>
        <w:spacing w:after="0" w:line="560" w:lineRule="exact"/>
        <w:ind w:firstLine="640"/>
        <w:jc w:val="left"/>
        <w:rPr>
          <w:color w:val="auto"/>
        </w:rPr>
      </w:pPr>
      <w:r>
        <w:rPr>
          <w:rFonts w:ascii="仿宋" w:hAnsi="仿宋" w:eastAsia="仿宋"/>
          <w:b w:val="0"/>
          <w:color w:val="auto"/>
          <w:sz w:val="32"/>
        </w:rPr>
        <w:t>4. 石材晶面养护后表面光洁、无划痕。</w:t>
      </w:r>
    </w:p>
    <w:p w14:paraId="30CA430B">
      <w:pPr>
        <w:spacing w:after="0" w:line="560" w:lineRule="exact"/>
        <w:ind w:firstLine="640"/>
        <w:jc w:val="left"/>
        <w:rPr>
          <w:color w:val="auto"/>
        </w:rPr>
      </w:pPr>
      <w:r>
        <w:rPr>
          <w:rFonts w:ascii="仿宋" w:hAnsi="仿宋" w:eastAsia="仿宋"/>
          <w:b w:val="0"/>
          <w:color w:val="auto"/>
          <w:sz w:val="32"/>
        </w:rPr>
        <w:t>5. 木地板打蜡后光亮、防滑。</w:t>
      </w:r>
    </w:p>
    <w:p w14:paraId="110E1042">
      <w:pPr>
        <w:spacing w:after="0" w:line="560" w:lineRule="exact"/>
        <w:ind w:firstLine="640"/>
        <w:jc w:val="left"/>
        <w:rPr>
          <w:color w:val="auto"/>
        </w:rPr>
      </w:pPr>
      <w:r>
        <w:rPr>
          <w:rFonts w:ascii="仿宋" w:hAnsi="仿宋" w:eastAsia="仿宋"/>
          <w:b w:val="0"/>
          <w:color w:val="auto"/>
          <w:sz w:val="32"/>
        </w:rPr>
        <w:t>6. 洗手间深度清洁须确保卫生死角彻底清理，洁具光亮无垢。</w:t>
      </w:r>
    </w:p>
    <w:p w14:paraId="0CFFE95B">
      <w:pPr>
        <w:spacing w:after="0" w:line="560" w:lineRule="exact"/>
        <w:ind w:firstLine="640"/>
        <w:jc w:val="left"/>
        <w:rPr>
          <w:color w:val="auto"/>
        </w:rPr>
      </w:pPr>
      <w:r>
        <w:rPr>
          <w:rFonts w:ascii="仿宋" w:hAnsi="仿宋" w:eastAsia="仿宋"/>
          <w:b w:val="0"/>
          <w:color w:val="auto"/>
          <w:sz w:val="32"/>
        </w:rPr>
        <w:t>7. 四害消杀每月不少于1次，使用符合国家标准的环保型消杀药品。</w:t>
      </w:r>
    </w:p>
    <w:p w14:paraId="797A04BC">
      <w:pPr>
        <w:spacing w:after="0" w:line="560" w:lineRule="exact"/>
        <w:ind w:firstLine="640"/>
        <w:jc w:val="left"/>
        <w:rPr>
          <w:color w:val="auto"/>
        </w:rPr>
      </w:pPr>
      <w:r>
        <w:rPr>
          <w:rFonts w:ascii="仿宋" w:hAnsi="仿宋" w:eastAsia="仿宋"/>
          <w:b/>
          <w:color w:val="auto"/>
          <w:sz w:val="32"/>
        </w:rPr>
        <w:t>三、绿植养护标准</w:t>
      </w:r>
    </w:p>
    <w:p w14:paraId="5843199F">
      <w:pPr>
        <w:spacing w:after="0" w:line="560" w:lineRule="exact"/>
        <w:ind w:firstLine="640"/>
        <w:jc w:val="left"/>
        <w:rPr>
          <w:color w:val="auto"/>
        </w:rPr>
      </w:pPr>
      <w:r>
        <w:rPr>
          <w:rFonts w:ascii="仿宋" w:hAnsi="仿宋" w:eastAsia="仿宋"/>
          <w:b w:val="0"/>
          <w:color w:val="auto"/>
          <w:sz w:val="32"/>
        </w:rPr>
        <w:t>1. 每周不少于2次养护巡检，确保绿植生长健康、无枯黄、无病虫害。</w:t>
      </w:r>
    </w:p>
    <w:p w14:paraId="02C277FD">
      <w:pPr>
        <w:spacing w:after="0" w:line="560" w:lineRule="exact"/>
        <w:ind w:firstLine="640"/>
        <w:jc w:val="left"/>
        <w:rPr>
          <w:color w:val="auto"/>
        </w:rPr>
      </w:pPr>
      <w:r>
        <w:rPr>
          <w:rFonts w:ascii="仿宋" w:hAnsi="仿宋" w:eastAsia="仿宋"/>
          <w:b w:val="0"/>
          <w:color w:val="auto"/>
          <w:sz w:val="32"/>
        </w:rPr>
        <w:t>2. 发现枯死、病害或观赏效果不佳的绿植，须在2个工作日内更换。</w:t>
      </w:r>
    </w:p>
    <w:p w14:paraId="011476B4">
      <w:pPr>
        <w:spacing w:after="0" w:line="560" w:lineRule="exact"/>
        <w:ind w:firstLine="640"/>
        <w:jc w:val="left"/>
        <w:rPr>
          <w:color w:val="auto"/>
        </w:rPr>
      </w:pPr>
      <w:r>
        <w:rPr>
          <w:rFonts w:ascii="仿宋" w:hAnsi="仿宋" w:eastAsia="仿宋"/>
          <w:b w:val="0"/>
          <w:color w:val="auto"/>
          <w:sz w:val="32"/>
        </w:rPr>
        <w:t>3. 定期修剪、清洁叶面，保持绿植形态美观、叶面洁净。</w:t>
      </w:r>
    </w:p>
    <w:p w14:paraId="0003696A">
      <w:pPr>
        <w:spacing w:after="0" w:line="560" w:lineRule="exact"/>
        <w:ind w:firstLine="640"/>
        <w:jc w:val="left"/>
        <w:rPr>
          <w:color w:val="auto"/>
        </w:rPr>
      </w:pPr>
      <w:r>
        <w:rPr>
          <w:rFonts w:ascii="仿宋" w:hAnsi="仿宋" w:eastAsia="仿宋"/>
          <w:b w:val="0"/>
          <w:color w:val="auto"/>
          <w:sz w:val="32"/>
        </w:rPr>
        <w:t>4. 根据季节变化或甲方要求，及时调整绿植品种和摆放方案。</w:t>
      </w:r>
    </w:p>
    <w:p w14:paraId="24CE617B">
      <w:pPr>
        <w:pStyle w:val="4"/>
        <w:spacing w:before="0" w:after="0" w:line="560" w:lineRule="exact"/>
        <w:ind w:firstLine="643"/>
        <w:jc w:val="left"/>
        <w:rPr>
          <w:color w:val="auto"/>
        </w:rPr>
      </w:pPr>
      <w:r>
        <w:rPr>
          <w:rFonts w:ascii="黑体" w:hAnsi="黑体" w:eastAsia="黑体"/>
          <w:color w:val="auto"/>
          <w:sz w:val="32"/>
        </w:rPr>
        <w:t>第四条　甲方的权利和义务</w:t>
      </w:r>
    </w:p>
    <w:p w14:paraId="1F85A1F8">
      <w:pPr>
        <w:spacing w:after="0" w:line="560" w:lineRule="exact"/>
        <w:ind w:firstLine="640"/>
        <w:jc w:val="left"/>
        <w:rPr>
          <w:color w:val="auto"/>
        </w:rPr>
      </w:pPr>
      <w:r>
        <w:rPr>
          <w:rFonts w:ascii="仿宋" w:hAnsi="仿宋" w:eastAsia="仿宋"/>
          <w:b w:val="0"/>
          <w:color w:val="auto"/>
          <w:sz w:val="32"/>
        </w:rPr>
        <w:t>1. 甲方对乙方提供的各项服务进行监督、检查和具体指导，有权要求乙方调换不合格的服务人员。若乙方提供的服务没有达到本合同约定的要求，甲方有权以口头或书面形式通知乙方进行整改。</w:t>
      </w:r>
    </w:p>
    <w:p w14:paraId="74519748">
      <w:pPr>
        <w:spacing w:after="0" w:line="560" w:lineRule="exact"/>
        <w:ind w:firstLine="640"/>
        <w:jc w:val="left"/>
        <w:rPr>
          <w:color w:val="auto"/>
        </w:rPr>
      </w:pPr>
      <w:r>
        <w:rPr>
          <w:rFonts w:ascii="仿宋" w:hAnsi="仿宋" w:eastAsia="仿宋"/>
          <w:b w:val="0"/>
          <w:color w:val="auto"/>
          <w:sz w:val="32"/>
        </w:rPr>
        <w:t>2. 甲方应按合同约定及时向乙方支付费用。</w:t>
      </w:r>
    </w:p>
    <w:p w14:paraId="3DCBDAFD">
      <w:pPr>
        <w:spacing w:after="0" w:line="560" w:lineRule="exact"/>
        <w:ind w:firstLine="640"/>
        <w:jc w:val="left"/>
        <w:rPr>
          <w:color w:val="auto"/>
        </w:rPr>
      </w:pPr>
      <w:r>
        <w:rPr>
          <w:rFonts w:ascii="仿宋" w:hAnsi="仿宋" w:eastAsia="仿宋"/>
          <w:b w:val="0"/>
          <w:color w:val="auto"/>
          <w:sz w:val="32"/>
        </w:rPr>
        <w:t>3. 乙方不能按照甲方要求的保洁、绿植养护标准完成工作的，甲方有权解除本服务合同。</w:t>
      </w:r>
    </w:p>
    <w:p w14:paraId="0A93C9D6">
      <w:pPr>
        <w:spacing w:after="0" w:line="560" w:lineRule="exact"/>
        <w:ind w:firstLine="640"/>
        <w:jc w:val="left"/>
        <w:rPr>
          <w:color w:val="auto"/>
        </w:rPr>
      </w:pPr>
      <w:r>
        <w:rPr>
          <w:rFonts w:ascii="仿宋" w:hAnsi="仿宋" w:eastAsia="仿宋"/>
          <w:b w:val="0"/>
          <w:color w:val="auto"/>
          <w:sz w:val="32"/>
        </w:rPr>
        <w:t>4. 甲方为乙方服务人员工作期间提供服务所必要的水、电等条件。</w:t>
      </w:r>
    </w:p>
    <w:p w14:paraId="160A2315">
      <w:pPr>
        <w:spacing w:after="0" w:line="560" w:lineRule="exact"/>
        <w:ind w:firstLine="640"/>
        <w:jc w:val="left"/>
        <w:rPr>
          <w:color w:val="auto"/>
        </w:rPr>
      </w:pPr>
      <w:r>
        <w:rPr>
          <w:rFonts w:ascii="仿宋" w:hAnsi="仿宋" w:eastAsia="仿宋"/>
          <w:b w:val="0"/>
          <w:color w:val="auto"/>
          <w:sz w:val="32"/>
        </w:rPr>
        <w:t>5. 甲方有权定期对乙方的服务进行履约评价（履约评价表见附件1，且甲方有权不时合理调整评价要求），并根据履约评价结果对乙方进行考核。乙方提供的服务不符合本合同约定的，甲方有权根据考核结果扣减服务费用。</w:t>
      </w:r>
    </w:p>
    <w:p w14:paraId="24975A84">
      <w:pPr>
        <w:pStyle w:val="4"/>
        <w:spacing w:before="0" w:after="0" w:line="560" w:lineRule="exact"/>
        <w:ind w:firstLine="643"/>
        <w:jc w:val="left"/>
        <w:rPr>
          <w:color w:val="auto"/>
        </w:rPr>
      </w:pPr>
      <w:r>
        <w:rPr>
          <w:rFonts w:ascii="黑体" w:hAnsi="黑体" w:eastAsia="黑体"/>
          <w:color w:val="auto"/>
          <w:sz w:val="32"/>
        </w:rPr>
        <w:t>第五条　乙方的权利和义务</w:t>
      </w:r>
    </w:p>
    <w:p w14:paraId="0534070D">
      <w:pPr>
        <w:spacing w:after="0" w:line="560" w:lineRule="exact"/>
        <w:ind w:firstLine="640"/>
        <w:jc w:val="left"/>
        <w:rPr>
          <w:color w:val="auto"/>
        </w:rPr>
      </w:pPr>
      <w:r>
        <w:rPr>
          <w:rFonts w:ascii="仿宋" w:hAnsi="仿宋" w:eastAsia="仿宋"/>
          <w:b w:val="0"/>
          <w:color w:val="auto"/>
          <w:sz w:val="32"/>
        </w:rPr>
        <w:t>1. 乙方应确保自身具有提供本合同项下服务的资质与能力；乙方应按照甲方标准指定具有一定资质的服务人员，e站通配备保洁员不少于2人。</w:t>
      </w:r>
    </w:p>
    <w:p w14:paraId="44BDAEAD">
      <w:pPr>
        <w:spacing w:after="0" w:line="560" w:lineRule="exact"/>
        <w:ind w:firstLine="640"/>
        <w:jc w:val="left"/>
        <w:rPr>
          <w:color w:val="auto"/>
        </w:rPr>
      </w:pPr>
      <w:r>
        <w:rPr>
          <w:rFonts w:ascii="仿宋" w:hAnsi="仿宋" w:eastAsia="仿宋"/>
          <w:b w:val="0"/>
          <w:color w:val="auto"/>
          <w:sz w:val="32"/>
        </w:rPr>
        <w:t>2. 乙方应按照本合同约定对约定服务区域提供服务，达到本合同约定的服务标准。</w:t>
      </w:r>
    </w:p>
    <w:p w14:paraId="7938C6A3">
      <w:pPr>
        <w:spacing w:after="0" w:line="560" w:lineRule="exact"/>
        <w:ind w:firstLine="640"/>
        <w:jc w:val="left"/>
        <w:rPr>
          <w:color w:val="auto"/>
        </w:rPr>
      </w:pPr>
      <w:r>
        <w:rPr>
          <w:rFonts w:ascii="仿宋" w:hAnsi="仿宋" w:eastAsia="仿宋"/>
          <w:b w:val="0"/>
          <w:color w:val="auto"/>
          <w:sz w:val="32"/>
        </w:rPr>
        <w:t>3. 乙方负责对服务人员进行培训和其他日常管理，确保其派遣的服务人员具备相应工作岗位的工作能力和工作经验，思想作风正派，经过完整的培训，符合本合同约定的标准。</w:t>
      </w:r>
    </w:p>
    <w:p w14:paraId="5B2D4C3F">
      <w:pPr>
        <w:spacing w:after="0" w:line="560" w:lineRule="exact"/>
        <w:ind w:firstLine="640"/>
        <w:jc w:val="left"/>
        <w:rPr>
          <w:color w:val="auto"/>
        </w:rPr>
      </w:pPr>
      <w:r>
        <w:rPr>
          <w:rFonts w:ascii="仿宋" w:hAnsi="仿宋" w:eastAsia="仿宋"/>
          <w:b w:val="0"/>
          <w:color w:val="auto"/>
          <w:sz w:val="32"/>
        </w:rPr>
        <w:t>4. 乙方进场后必须定岗、定编、定人，如有服务人员离职，应提前通知甲方，并及时补充人员。对于甲方确认不符合本合同约定标准、工作中不称职的服务人员，乙方应在5日内给予调换。</w:t>
      </w:r>
    </w:p>
    <w:p w14:paraId="00D4BFAC">
      <w:pPr>
        <w:spacing w:after="0" w:line="560" w:lineRule="exact"/>
        <w:ind w:firstLine="640"/>
        <w:jc w:val="left"/>
        <w:rPr>
          <w:color w:val="auto"/>
        </w:rPr>
      </w:pPr>
      <w:r>
        <w:rPr>
          <w:rFonts w:ascii="仿宋" w:hAnsi="仿宋" w:eastAsia="仿宋"/>
          <w:b w:val="0"/>
          <w:color w:val="auto"/>
          <w:sz w:val="32"/>
        </w:rPr>
        <w:t>5. 乙方必须合法用工，承诺与服务人员签订劳动合同并承担国家法律、法规规定的用人单位义务，乙方负责服务人员的工资、社会保险、意外伤害险、财产损害险等。如与乙方服务人员发生劳动或劳务纠纷，由乙方负责处理，与甲方无关。</w:t>
      </w:r>
    </w:p>
    <w:p w14:paraId="07211E9F">
      <w:pPr>
        <w:spacing w:after="0" w:line="560" w:lineRule="exact"/>
        <w:ind w:firstLine="640"/>
        <w:jc w:val="left"/>
        <w:rPr>
          <w:color w:val="auto"/>
        </w:rPr>
      </w:pPr>
      <w:r>
        <w:rPr>
          <w:rFonts w:ascii="仿宋" w:hAnsi="仿宋" w:eastAsia="仿宋"/>
          <w:b w:val="0"/>
          <w:color w:val="auto"/>
          <w:sz w:val="32"/>
        </w:rPr>
        <w:t>6. 乙方的服务人员对甲方或第三人的人身、财产造成损失的，应由乙方承担损害赔偿的责任。</w:t>
      </w:r>
    </w:p>
    <w:p w14:paraId="78CC2EA3">
      <w:pPr>
        <w:spacing w:after="0" w:line="560" w:lineRule="exact"/>
        <w:ind w:firstLine="640"/>
        <w:jc w:val="left"/>
        <w:rPr>
          <w:color w:val="auto"/>
        </w:rPr>
      </w:pPr>
      <w:r>
        <w:rPr>
          <w:rFonts w:ascii="仿宋" w:hAnsi="仿宋" w:eastAsia="仿宋"/>
          <w:b w:val="0"/>
          <w:color w:val="auto"/>
          <w:sz w:val="32"/>
        </w:rPr>
        <w:t>7. 乙方负责提供保洁作业时需要的各类清洁工具、耗材、机器等，按具体作业规格完成作业；负责提供绿植养护所需的花盆、肥料、药剂、工具等。</w:t>
      </w:r>
    </w:p>
    <w:p w14:paraId="09491715">
      <w:pPr>
        <w:spacing w:after="0" w:line="560" w:lineRule="exact"/>
        <w:ind w:firstLine="640"/>
        <w:jc w:val="left"/>
        <w:rPr>
          <w:color w:val="auto"/>
        </w:rPr>
      </w:pPr>
      <w:r>
        <w:rPr>
          <w:rFonts w:ascii="仿宋" w:hAnsi="仿宋" w:eastAsia="仿宋"/>
          <w:b w:val="0"/>
          <w:color w:val="auto"/>
          <w:sz w:val="32"/>
        </w:rPr>
        <w:t>8. 乙方为提供本合同项下服务指派相关人员进入甲方指定场所或空间的，应严格遵守安全生产相关规定，因乙方原因造成安全事故等的，由乙方承担相关责任。</w:t>
      </w:r>
    </w:p>
    <w:p w14:paraId="72142054">
      <w:pPr>
        <w:spacing w:after="0" w:line="560" w:lineRule="exact"/>
        <w:ind w:firstLine="640"/>
        <w:jc w:val="left"/>
        <w:rPr>
          <w:color w:val="auto"/>
        </w:rPr>
      </w:pPr>
      <w:r>
        <w:rPr>
          <w:rFonts w:ascii="仿宋" w:hAnsi="仿宋" w:eastAsia="仿宋"/>
          <w:b w:val="0"/>
          <w:color w:val="auto"/>
          <w:sz w:val="32"/>
        </w:rPr>
        <w:t>9. 乙方应根据甲方的要求制作和提交保洁服务清单、验收单、绿植养护记录等文件，并做好相应台账记录备查；完成相应的服务后，应根据甲方的要求申请验收。</w:t>
      </w:r>
    </w:p>
    <w:p w14:paraId="7A433D7C">
      <w:pPr>
        <w:spacing w:after="0" w:line="560" w:lineRule="exact"/>
        <w:ind w:firstLine="640"/>
        <w:jc w:val="left"/>
        <w:rPr>
          <w:color w:val="auto"/>
        </w:rPr>
      </w:pPr>
      <w:r>
        <w:rPr>
          <w:rFonts w:ascii="仿宋" w:hAnsi="仿宋" w:eastAsia="仿宋"/>
          <w:b w:val="0"/>
          <w:color w:val="auto"/>
          <w:sz w:val="32"/>
        </w:rPr>
        <w:t>10. 乙方及乙方的服务人员应对本合同的内容、因履行本合同或在本合同期间获得的或收到的甲方的信息、资料（无论是否标明“保密”字样）承担保密义务，未经甲方事先书面同意，不得向第三方披露或用于本合同之外的目的。</w:t>
      </w:r>
    </w:p>
    <w:p w14:paraId="35CD3706">
      <w:pPr>
        <w:pStyle w:val="4"/>
        <w:spacing w:before="0" w:after="0" w:line="560" w:lineRule="exact"/>
        <w:ind w:firstLine="643"/>
        <w:jc w:val="left"/>
        <w:rPr>
          <w:color w:val="auto"/>
        </w:rPr>
      </w:pPr>
      <w:r>
        <w:rPr>
          <w:rFonts w:ascii="黑体" w:hAnsi="黑体" w:eastAsia="黑体"/>
          <w:color w:val="auto"/>
          <w:sz w:val="32"/>
        </w:rPr>
        <w:t>第六条　服务费金额及付款方式</w:t>
      </w:r>
    </w:p>
    <w:p w14:paraId="7830B028">
      <w:pPr>
        <w:spacing w:after="0" w:line="560" w:lineRule="exact"/>
        <w:ind w:firstLine="640"/>
        <w:jc w:val="left"/>
        <w:rPr>
          <w:color w:val="auto"/>
        </w:rPr>
      </w:pPr>
      <w:r>
        <w:rPr>
          <w:rFonts w:ascii="仿宋" w:hAnsi="仿宋" w:eastAsia="仿宋"/>
          <w:b/>
          <w:color w:val="auto"/>
          <w:sz w:val="32"/>
        </w:rPr>
        <w:t>一、常驻月度服务费用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2227"/>
        <w:gridCol w:w="1383"/>
        <w:gridCol w:w="1383"/>
        <w:gridCol w:w="1383"/>
        <w:gridCol w:w="1383"/>
      </w:tblGrid>
      <w:tr w14:paraId="3E9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9" w:type="dxa"/>
            <w:shd w:val="clear" w:color="auto" w:fill="D9E2F3"/>
          </w:tcPr>
          <w:p w14:paraId="6EF9D698">
            <w:pPr>
              <w:spacing w:before="40" w:after="40"/>
              <w:jc w:val="center"/>
              <w:rPr>
                <w:color w:val="auto"/>
              </w:rPr>
            </w:pPr>
            <w:r>
              <w:rPr>
                <w:rFonts w:ascii="仿宋" w:hAnsi="仿宋" w:eastAsia="仿宋"/>
                <w:b/>
                <w:color w:val="auto"/>
                <w:sz w:val="32"/>
              </w:rPr>
              <w:t>序号</w:t>
            </w:r>
          </w:p>
        </w:tc>
        <w:tc>
          <w:tcPr>
            <w:tcW w:w="2227" w:type="dxa"/>
            <w:shd w:val="clear" w:color="auto" w:fill="D9E2F3"/>
          </w:tcPr>
          <w:p w14:paraId="22E28CEE">
            <w:pPr>
              <w:spacing w:before="40" w:after="40"/>
              <w:jc w:val="center"/>
              <w:rPr>
                <w:color w:val="auto"/>
              </w:rPr>
            </w:pPr>
            <w:r>
              <w:rPr>
                <w:rFonts w:ascii="仿宋" w:hAnsi="仿宋" w:eastAsia="仿宋"/>
                <w:b/>
                <w:color w:val="auto"/>
                <w:sz w:val="32"/>
              </w:rPr>
              <w:t>服务内容</w:t>
            </w:r>
          </w:p>
        </w:tc>
        <w:tc>
          <w:tcPr>
            <w:tcW w:w="1383" w:type="dxa"/>
            <w:shd w:val="clear" w:color="auto" w:fill="D9E2F3"/>
          </w:tcPr>
          <w:p w14:paraId="218870F2">
            <w:pPr>
              <w:spacing w:before="40" w:after="40"/>
              <w:jc w:val="center"/>
              <w:rPr>
                <w:color w:val="auto"/>
              </w:rPr>
            </w:pPr>
            <w:r>
              <w:rPr>
                <w:rFonts w:ascii="仿宋" w:hAnsi="仿宋" w:eastAsia="仿宋"/>
                <w:b/>
                <w:color w:val="auto"/>
                <w:sz w:val="32"/>
              </w:rPr>
              <w:t>单位</w:t>
            </w:r>
          </w:p>
        </w:tc>
        <w:tc>
          <w:tcPr>
            <w:tcW w:w="1383" w:type="dxa"/>
            <w:shd w:val="clear" w:color="auto" w:fill="D9E2F3"/>
          </w:tcPr>
          <w:p w14:paraId="31E626BA">
            <w:pPr>
              <w:spacing w:before="40" w:after="40"/>
              <w:jc w:val="center"/>
              <w:rPr>
                <w:color w:val="auto"/>
              </w:rPr>
            </w:pPr>
            <w:r>
              <w:rPr>
                <w:rFonts w:ascii="仿宋" w:hAnsi="仿宋" w:eastAsia="仿宋"/>
                <w:b/>
                <w:color w:val="auto"/>
                <w:sz w:val="32"/>
              </w:rPr>
              <w:t>数量</w:t>
            </w:r>
          </w:p>
        </w:tc>
        <w:tc>
          <w:tcPr>
            <w:tcW w:w="1383" w:type="dxa"/>
            <w:shd w:val="clear" w:color="auto" w:fill="D9E2F3"/>
          </w:tcPr>
          <w:p w14:paraId="61DD751E">
            <w:pPr>
              <w:spacing w:before="40" w:after="40"/>
              <w:jc w:val="center"/>
              <w:rPr>
                <w:color w:val="auto"/>
              </w:rPr>
            </w:pPr>
            <w:r>
              <w:rPr>
                <w:rFonts w:ascii="仿宋" w:hAnsi="仿宋" w:eastAsia="仿宋"/>
                <w:b/>
                <w:color w:val="auto"/>
                <w:sz w:val="32"/>
              </w:rPr>
              <w:t>单价（元）</w:t>
            </w:r>
          </w:p>
        </w:tc>
        <w:tc>
          <w:tcPr>
            <w:tcW w:w="1383" w:type="dxa"/>
            <w:shd w:val="clear" w:color="auto" w:fill="D9E2F3"/>
          </w:tcPr>
          <w:p w14:paraId="398DF7D9">
            <w:pPr>
              <w:spacing w:before="40" w:after="40"/>
              <w:jc w:val="center"/>
              <w:rPr>
                <w:color w:val="auto"/>
              </w:rPr>
            </w:pPr>
            <w:r>
              <w:rPr>
                <w:rFonts w:ascii="仿宋" w:hAnsi="仿宋" w:eastAsia="仿宋"/>
                <w:b/>
                <w:color w:val="auto"/>
                <w:sz w:val="32"/>
              </w:rPr>
              <w:t>月度费用（元）</w:t>
            </w:r>
          </w:p>
        </w:tc>
      </w:tr>
      <w:tr w14:paraId="49CF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03E8665F">
            <w:pPr>
              <w:spacing w:before="40" w:after="40"/>
              <w:jc w:val="center"/>
              <w:rPr>
                <w:color w:val="auto"/>
                <w:sz w:val="22"/>
                <w:szCs w:val="21"/>
              </w:rPr>
            </w:pPr>
            <w:r>
              <w:rPr>
                <w:rFonts w:ascii="仿宋" w:hAnsi="仿宋" w:eastAsia="仿宋"/>
                <w:b w:val="0"/>
                <w:color w:val="auto"/>
                <w:sz w:val="28"/>
                <w:szCs w:val="21"/>
              </w:rPr>
              <w:t>1</w:t>
            </w:r>
          </w:p>
        </w:tc>
        <w:tc>
          <w:tcPr>
            <w:tcW w:w="2227" w:type="dxa"/>
          </w:tcPr>
          <w:p w14:paraId="08D7DE45">
            <w:pPr>
              <w:spacing w:before="40" w:after="40"/>
              <w:jc w:val="center"/>
              <w:rPr>
                <w:color w:val="auto"/>
                <w:sz w:val="22"/>
                <w:szCs w:val="21"/>
              </w:rPr>
            </w:pPr>
            <w:r>
              <w:rPr>
                <w:rFonts w:ascii="仿宋" w:hAnsi="仿宋" w:eastAsia="仿宋"/>
                <w:b w:val="0"/>
                <w:color w:val="auto"/>
                <w:sz w:val="28"/>
                <w:szCs w:val="21"/>
              </w:rPr>
              <w:t>日常保洁</w:t>
            </w:r>
          </w:p>
        </w:tc>
        <w:tc>
          <w:tcPr>
            <w:tcW w:w="1383" w:type="dxa"/>
          </w:tcPr>
          <w:p w14:paraId="2FE6FFDB">
            <w:pPr>
              <w:spacing w:before="40" w:after="40"/>
              <w:jc w:val="center"/>
              <w:rPr>
                <w:color w:val="auto"/>
                <w:sz w:val="22"/>
                <w:szCs w:val="21"/>
              </w:rPr>
            </w:pPr>
            <w:r>
              <w:rPr>
                <w:rFonts w:ascii="仿宋" w:hAnsi="仿宋" w:eastAsia="仿宋"/>
                <w:b w:val="0"/>
                <w:color w:val="auto"/>
                <w:sz w:val="28"/>
                <w:szCs w:val="21"/>
              </w:rPr>
              <w:t>元/人/月</w:t>
            </w:r>
          </w:p>
        </w:tc>
        <w:tc>
          <w:tcPr>
            <w:tcW w:w="1383" w:type="dxa"/>
          </w:tcPr>
          <w:p w14:paraId="26980F77">
            <w:pPr>
              <w:spacing w:before="40" w:after="40"/>
              <w:jc w:val="center"/>
              <w:rPr>
                <w:color w:val="auto"/>
                <w:sz w:val="22"/>
                <w:szCs w:val="21"/>
              </w:rPr>
            </w:pPr>
            <w:r>
              <w:rPr>
                <w:rFonts w:ascii="仿宋" w:hAnsi="仿宋" w:eastAsia="仿宋"/>
                <w:b w:val="0"/>
                <w:color w:val="auto"/>
                <w:sz w:val="28"/>
                <w:szCs w:val="21"/>
              </w:rPr>
              <w:t>2</w:t>
            </w:r>
          </w:p>
        </w:tc>
        <w:tc>
          <w:tcPr>
            <w:tcW w:w="1383" w:type="dxa"/>
          </w:tcPr>
          <w:p w14:paraId="1EFF58AC">
            <w:pPr>
              <w:spacing w:before="40" w:after="40"/>
              <w:jc w:val="center"/>
              <w:rPr>
                <w:color w:val="auto"/>
                <w:sz w:val="22"/>
                <w:szCs w:val="21"/>
              </w:rPr>
            </w:pPr>
          </w:p>
        </w:tc>
        <w:tc>
          <w:tcPr>
            <w:tcW w:w="1383" w:type="dxa"/>
          </w:tcPr>
          <w:p w14:paraId="16E3C2A3">
            <w:pPr>
              <w:spacing w:before="40" w:after="40"/>
              <w:jc w:val="center"/>
              <w:rPr>
                <w:color w:val="auto"/>
                <w:sz w:val="22"/>
                <w:szCs w:val="21"/>
              </w:rPr>
            </w:pPr>
          </w:p>
        </w:tc>
      </w:tr>
      <w:tr w14:paraId="4CDF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23B1949D">
            <w:pPr>
              <w:spacing w:before="40" w:after="40"/>
              <w:jc w:val="center"/>
              <w:rPr>
                <w:color w:val="auto"/>
                <w:sz w:val="22"/>
                <w:szCs w:val="21"/>
              </w:rPr>
            </w:pPr>
            <w:r>
              <w:rPr>
                <w:rFonts w:ascii="仿宋" w:hAnsi="仿宋" w:eastAsia="仿宋"/>
                <w:b w:val="0"/>
                <w:color w:val="auto"/>
                <w:sz w:val="28"/>
                <w:szCs w:val="21"/>
              </w:rPr>
              <w:t>2</w:t>
            </w:r>
          </w:p>
        </w:tc>
        <w:tc>
          <w:tcPr>
            <w:tcW w:w="2227" w:type="dxa"/>
          </w:tcPr>
          <w:p w14:paraId="205A3B8D">
            <w:pPr>
              <w:spacing w:before="40" w:after="40"/>
              <w:jc w:val="center"/>
              <w:rPr>
                <w:color w:val="auto"/>
                <w:sz w:val="22"/>
                <w:szCs w:val="21"/>
              </w:rPr>
            </w:pPr>
            <w:r>
              <w:rPr>
                <w:rFonts w:ascii="仿宋" w:hAnsi="仿宋" w:eastAsia="仿宋"/>
                <w:b w:val="0"/>
                <w:color w:val="auto"/>
                <w:sz w:val="28"/>
                <w:szCs w:val="21"/>
              </w:rPr>
              <w:t>四害消杀</w:t>
            </w:r>
          </w:p>
        </w:tc>
        <w:tc>
          <w:tcPr>
            <w:tcW w:w="1383" w:type="dxa"/>
          </w:tcPr>
          <w:p w14:paraId="35797F4F">
            <w:pPr>
              <w:spacing w:before="40" w:after="40"/>
              <w:jc w:val="center"/>
              <w:rPr>
                <w:color w:val="auto"/>
                <w:sz w:val="22"/>
                <w:szCs w:val="21"/>
              </w:rPr>
            </w:pPr>
            <w:r>
              <w:rPr>
                <w:rFonts w:ascii="仿宋" w:hAnsi="仿宋" w:eastAsia="仿宋"/>
                <w:b w:val="0"/>
                <w:color w:val="auto"/>
                <w:sz w:val="28"/>
                <w:szCs w:val="21"/>
              </w:rPr>
              <w:t>元/㎡/次</w:t>
            </w:r>
          </w:p>
        </w:tc>
        <w:tc>
          <w:tcPr>
            <w:tcW w:w="1383" w:type="dxa"/>
          </w:tcPr>
          <w:p w14:paraId="29A4B8C1">
            <w:pPr>
              <w:spacing w:before="40" w:after="40"/>
              <w:jc w:val="center"/>
              <w:rPr>
                <w:color w:val="auto"/>
                <w:sz w:val="22"/>
                <w:szCs w:val="21"/>
              </w:rPr>
            </w:pPr>
            <w:r>
              <w:rPr>
                <w:rFonts w:ascii="仿宋" w:hAnsi="仿宋" w:eastAsia="仿宋"/>
                <w:b w:val="0"/>
                <w:color w:val="auto"/>
                <w:sz w:val="28"/>
                <w:szCs w:val="21"/>
              </w:rPr>
              <w:t>2000</w:t>
            </w:r>
          </w:p>
        </w:tc>
        <w:tc>
          <w:tcPr>
            <w:tcW w:w="1383" w:type="dxa"/>
          </w:tcPr>
          <w:p w14:paraId="65F43D19">
            <w:pPr>
              <w:spacing w:before="40" w:after="40"/>
              <w:jc w:val="center"/>
              <w:rPr>
                <w:color w:val="auto"/>
                <w:sz w:val="22"/>
                <w:szCs w:val="21"/>
              </w:rPr>
            </w:pPr>
          </w:p>
        </w:tc>
        <w:tc>
          <w:tcPr>
            <w:tcW w:w="1383" w:type="dxa"/>
          </w:tcPr>
          <w:p w14:paraId="0B4E847C">
            <w:pPr>
              <w:spacing w:before="40" w:after="40"/>
              <w:jc w:val="center"/>
              <w:rPr>
                <w:color w:val="auto"/>
                <w:sz w:val="22"/>
                <w:szCs w:val="21"/>
              </w:rPr>
            </w:pPr>
          </w:p>
        </w:tc>
      </w:tr>
      <w:tr w14:paraId="6046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2D4BBAA4">
            <w:pPr>
              <w:spacing w:before="40" w:after="40"/>
              <w:jc w:val="center"/>
              <w:rPr>
                <w:color w:val="auto"/>
                <w:sz w:val="22"/>
                <w:szCs w:val="21"/>
              </w:rPr>
            </w:pPr>
            <w:r>
              <w:rPr>
                <w:rFonts w:ascii="仿宋" w:hAnsi="仿宋" w:eastAsia="仿宋"/>
                <w:b w:val="0"/>
                <w:color w:val="auto"/>
                <w:sz w:val="28"/>
                <w:szCs w:val="21"/>
              </w:rPr>
              <w:t>3</w:t>
            </w:r>
          </w:p>
        </w:tc>
        <w:tc>
          <w:tcPr>
            <w:tcW w:w="2227" w:type="dxa"/>
          </w:tcPr>
          <w:p w14:paraId="2B131103">
            <w:pPr>
              <w:spacing w:before="40" w:after="40"/>
              <w:jc w:val="center"/>
              <w:rPr>
                <w:color w:val="auto"/>
                <w:sz w:val="22"/>
                <w:szCs w:val="21"/>
              </w:rPr>
            </w:pPr>
            <w:r>
              <w:rPr>
                <w:rFonts w:ascii="仿宋" w:hAnsi="仿宋" w:eastAsia="仿宋"/>
                <w:b w:val="0"/>
                <w:color w:val="auto"/>
                <w:sz w:val="28"/>
                <w:szCs w:val="21"/>
              </w:rPr>
              <w:t>绿植租摆养护</w:t>
            </w:r>
          </w:p>
        </w:tc>
        <w:tc>
          <w:tcPr>
            <w:tcW w:w="1383" w:type="dxa"/>
          </w:tcPr>
          <w:p w14:paraId="73278E09">
            <w:pPr>
              <w:spacing w:before="40" w:after="40"/>
              <w:jc w:val="center"/>
              <w:rPr>
                <w:color w:val="auto"/>
                <w:sz w:val="22"/>
                <w:szCs w:val="21"/>
              </w:rPr>
            </w:pPr>
            <w:r>
              <w:rPr>
                <w:rFonts w:ascii="仿宋" w:hAnsi="仿宋" w:eastAsia="仿宋"/>
                <w:b w:val="0"/>
                <w:color w:val="auto"/>
                <w:sz w:val="28"/>
                <w:szCs w:val="21"/>
              </w:rPr>
              <w:t>-</w:t>
            </w:r>
          </w:p>
        </w:tc>
        <w:tc>
          <w:tcPr>
            <w:tcW w:w="1383" w:type="dxa"/>
          </w:tcPr>
          <w:p w14:paraId="7ACF7B3B">
            <w:pPr>
              <w:spacing w:before="40" w:after="40"/>
              <w:jc w:val="center"/>
              <w:rPr>
                <w:color w:val="auto"/>
                <w:sz w:val="22"/>
                <w:szCs w:val="21"/>
              </w:rPr>
            </w:pPr>
            <w:r>
              <w:rPr>
                <w:rFonts w:ascii="仿宋" w:hAnsi="仿宋" w:eastAsia="仿宋"/>
                <w:b w:val="0"/>
                <w:color w:val="auto"/>
                <w:sz w:val="28"/>
                <w:szCs w:val="21"/>
              </w:rPr>
              <w:t>-</w:t>
            </w:r>
          </w:p>
        </w:tc>
        <w:tc>
          <w:tcPr>
            <w:tcW w:w="1383" w:type="dxa"/>
          </w:tcPr>
          <w:p w14:paraId="3F1C79DF">
            <w:pPr>
              <w:spacing w:before="40" w:after="40"/>
              <w:jc w:val="center"/>
              <w:rPr>
                <w:color w:val="auto"/>
                <w:sz w:val="22"/>
                <w:szCs w:val="21"/>
              </w:rPr>
            </w:pPr>
            <w:r>
              <w:rPr>
                <w:rFonts w:ascii="仿宋" w:hAnsi="仿宋" w:eastAsia="仿宋"/>
                <w:b w:val="0"/>
                <w:color w:val="auto"/>
                <w:sz w:val="28"/>
                <w:szCs w:val="21"/>
              </w:rPr>
              <w:t>-</w:t>
            </w:r>
          </w:p>
        </w:tc>
        <w:tc>
          <w:tcPr>
            <w:tcW w:w="1383" w:type="dxa"/>
          </w:tcPr>
          <w:p w14:paraId="159C5CBB">
            <w:pPr>
              <w:spacing w:before="40" w:after="40"/>
              <w:jc w:val="center"/>
              <w:rPr>
                <w:color w:val="auto"/>
                <w:sz w:val="22"/>
                <w:szCs w:val="21"/>
              </w:rPr>
            </w:pPr>
          </w:p>
        </w:tc>
      </w:tr>
      <w:tr w14:paraId="203C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200E48DB">
            <w:pPr>
              <w:spacing w:before="40" w:after="40"/>
              <w:jc w:val="center"/>
              <w:rPr>
                <w:color w:val="auto"/>
                <w:sz w:val="22"/>
                <w:szCs w:val="21"/>
              </w:rPr>
            </w:pPr>
            <w:r>
              <w:rPr>
                <w:rFonts w:ascii="仿宋" w:hAnsi="仿宋" w:eastAsia="仿宋"/>
                <w:b w:val="0"/>
                <w:color w:val="auto"/>
                <w:sz w:val="28"/>
                <w:szCs w:val="21"/>
              </w:rPr>
              <w:t>4</w:t>
            </w:r>
          </w:p>
        </w:tc>
        <w:tc>
          <w:tcPr>
            <w:tcW w:w="2227" w:type="dxa"/>
          </w:tcPr>
          <w:p w14:paraId="3F3FDF56">
            <w:pPr>
              <w:spacing w:before="40" w:after="40"/>
              <w:jc w:val="center"/>
              <w:rPr>
                <w:color w:val="auto"/>
                <w:sz w:val="22"/>
                <w:szCs w:val="21"/>
              </w:rPr>
            </w:pPr>
            <w:r>
              <w:rPr>
                <w:rFonts w:ascii="仿宋" w:hAnsi="仿宋" w:eastAsia="仿宋"/>
                <w:b w:val="0"/>
                <w:color w:val="auto"/>
                <w:sz w:val="28"/>
                <w:szCs w:val="21"/>
              </w:rPr>
              <w:t>洗手间深度清洁</w:t>
            </w:r>
          </w:p>
        </w:tc>
        <w:tc>
          <w:tcPr>
            <w:tcW w:w="1383" w:type="dxa"/>
          </w:tcPr>
          <w:p w14:paraId="14DECCA5">
            <w:pPr>
              <w:spacing w:before="40" w:after="40"/>
              <w:jc w:val="center"/>
              <w:rPr>
                <w:color w:val="auto"/>
                <w:sz w:val="22"/>
                <w:szCs w:val="21"/>
              </w:rPr>
            </w:pPr>
            <w:r>
              <w:rPr>
                <w:rFonts w:ascii="仿宋" w:hAnsi="仿宋" w:eastAsia="仿宋"/>
                <w:b w:val="0"/>
                <w:color w:val="auto"/>
                <w:sz w:val="28"/>
                <w:szCs w:val="21"/>
              </w:rPr>
              <w:t>元/次</w:t>
            </w:r>
          </w:p>
        </w:tc>
        <w:tc>
          <w:tcPr>
            <w:tcW w:w="1383" w:type="dxa"/>
          </w:tcPr>
          <w:p w14:paraId="33A9EEC0">
            <w:pPr>
              <w:spacing w:before="40" w:after="40"/>
              <w:jc w:val="center"/>
              <w:rPr>
                <w:color w:val="auto"/>
                <w:sz w:val="22"/>
                <w:szCs w:val="21"/>
              </w:rPr>
            </w:pPr>
            <w:r>
              <w:rPr>
                <w:rFonts w:ascii="仿宋" w:hAnsi="仿宋" w:eastAsia="仿宋"/>
                <w:b w:val="0"/>
                <w:color w:val="auto"/>
                <w:sz w:val="28"/>
                <w:szCs w:val="21"/>
              </w:rPr>
              <w:t>16</w:t>
            </w:r>
          </w:p>
        </w:tc>
        <w:tc>
          <w:tcPr>
            <w:tcW w:w="1383" w:type="dxa"/>
          </w:tcPr>
          <w:p w14:paraId="12746645">
            <w:pPr>
              <w:spacing w:before="40" w:after="40"/>
              <w:jc w:val="center"/>
              <w:rPr>
                <w:color w:val="auto"/>
                <w:sz w:val="22"/>
                <w:szCs w:val="21"/>
              </w:rPr>
            </w:pPr>
          </w:p>
        </w:tc>
        <w:tc>
          <w:tcPr>
            <w:tcW w:w="1383" w:type="dxa"/>
          </w:tcPr>
          <w:p w14:paraId="2521CBA7">
            <w:pPr>
              <w:spacing w:before="40" w:after="40"/>
              <w:jc w:val="center"/>
              <w:rPr>
                <w:color w:val="auto"/>
                <w:sz w:val="22"/>
                <w:szCs w:val="21"/>
              </w:rPr>
            </w:pPr>
          </w:p>
        </w:tc>
      </w:tr>
    </w:tbl>
    <w:p w14:paraId="141C33DB">
      <w:pPr>
        <w:pageBreakBefore w:val="0"/>
        <w:widowControl/>
        <w:kinsoku/>
        <w:wordWrap/>
        <w:overflowPunct/>
        <w:topLinePunct w:val="0"/>
        <w:autoSpaceDE/>
        <w:autoSpaceDN/>
        <w:bidi w:val="0"/>
        <w:adjustRightInd/>
        <w:snapToGrid/>
        <w:spacing w:after="0" w:line="560" w:lineRule="exact"/>
        <w:jc w:val="left"/>
        <w:textAlignment w:val="auto"/>
        <w:rPr>
          <w:color w:val="auto"/>
        </w:rPr>
      </w:pPr>
      <w:r>
        <w:rPr>
          <w:rFonts w:hint="eastAsia" w:ascii="仿宋" w:hAnsi="仿宋" w:eastAsia="仿宋" w:cs="仿宋"/>
          <w:b w:val="0"/>
          <w:color w:val="auto"/>
          <w:sz w:val="32"/>
          <w:szCs w:val="32"/>
          <w:lang w:val="en-US" w:eastAsia="zh-CN"/>
        </w:rPr>
        <w:t>常驻月度服务费用合计（含税）：</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元/月，合计</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元/年，税率</w:t>
      </w:r>
      <w:r>
        <w:rPr>
          <w:rFonts w:ascii="宋体" w:hAnsi="宋体" w:eastAsia="宋体"/>
          <w:b w:val="0"/>
          <w:color w:val="auto"/>
          <w:sz w:val="32"/>
          <w:szCs w:val="32"/>
        </w:rPr>
        <w:t>【　】%</w:t>
      </w:r>
      <w:r>
        <w:rPr>
          <w:rFonts w:hint="eastAsia"/>
          <w:b w:val="0"/>
          <w:color w:val="auto"/>
          <w:sz w:val="32"/>
          <w:szCs w:val="32"/>
          <w:lang w:eastAsia="zh-CN"/>
        </w:rPr>
        <w:t>，</w:t>
      </w:r>
      <w:r>
        <w:rPr>
          <w:rFonts w:hint="eastAsia" w:ascii="仿宋" w:hAnsi="仿宋" w:eastAsia="仿宋" w:cs="仿宋"/>
          <w:b w:val="0"/>
          <w:color w:val="auto"/>
          <w:sz w:val="32"/>
          <w:szCs w:val="32"/>
          <w:lang w:val="en-US" w:eastAsia="zh-CN"/>
        </w:rPr>
        <w:t>不含税价格为【　】元/年。</w:t>
      </w:r>
    </w:p>
    <w:p w14:paraId="1F1E8D92">
      <w:pPr>
        <w:spacing w:after="0" w:line="560" w:lineRule="exact"/>
        <w:ind w:firstLine="640"/>
        <w:jc w:val="left"/>
        <w:rPr>
          <w:color w:val="auto"/>
        </w:rPr>
      </w:pPr>
      <w:r>
        <w:rPr>
          <w:rFonts w:ascii="仿宋" w:hAnsi="仿宋" w:eastAsia="仿宋"/>
          <w:b/>
          <w:color w:val="auto"/>
          <w:sz w:val="32"/>
        </w:rPr>
        <w:t>二、按次专项服务费用（据实结算）</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418"/>
        <w:gridCol w:w="993"/>
        <w:gridCol w:w="1002"/>
        <w:gridCol w:w="1180"/>
        <w:gridCol w:w="1180"/>
        <w:gridCol w:w="994"/>
        <w:gridCol w:w="1181"/>
      </w:tblGrid>
      <w:tr w14:paraId="204D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shd w:val="clear" w:color="auto" w:fill="D9E2F3"/>
          </w:tcPr>
          <w:p w14:paraId="2B05D845">
            <w:pPr>
              <w:spacing w:before="40" w:after="40"/>
              <w:jc w:val="center"/>
              <w:rPr>
                <w:color w:val="auto"/>
              </w:rPr>
            </w:pPr>
            <w:r>
              <w:rPr>
                <w:rFonts w:ascii="仿宋" w:hAnsi="仿宋" w:eastAsia="仿宋"/>
                <w:b/>
                <w:color w:val="auto"/>
                <w:sz w:val="32"/>
              </w:rPr>
              <w:t>序号</w:t>
            </w:r>
          </w:p>
        </w:tc>
        <w:tc>
          <w:tcPr>
            <w:tcW w:w="1418" w:type="dxa"/>
            <w:shd w:val="clear" w:color="auto" w:fill="D9E2F3"/>
          </w:tcPr>
          <w:p w14:paraId="7E7FE021">
            <w:pPr>
              <w:spacing w:before="40" w:after="40"/>
              <w:jc w:val="center"/>
              <w:rPr>
                <w:color w:val="auto"/>
              </w:rPr>
            </w:pPr>
            <w:r>
              <w:rPr>
                <w:rFonts w:ascii="仿宋" w:hAnsi="仿宋" w:eastAsia="仿宋"/>
                <w:b/>
                <w:color w:val="auto"/>
                <w:sz w:val="32"/>
              </w:rPr>
              <w:t>服务内容</w:t>
            </w:r>
          </w:p>
        </w:tc>
        <w:tc>
          <w:tcPr>
            <w:tcW w:w="993" w:type="dxa"/>
            <w:shd w:val="clear" w:color="auto" w:fill="D9E2F3"/>
          </w:tcPr>
          <w:p w14:paraId="255A1869">
            <w:pPr>
              <w:spacing w:before="40" w:after="40"/>
              <w:jc w:val="center"/>
              <w:rPr>
                <w:color w:val="auto"/>
              </w:rPr>
            </w:pPr>
            <w:r>
              <w:rPr>
                <w:rFonts w:ascii="仿宋" w:hAnsi="仿宋" w:eastAsia="仿宋"/>
                <w:b/>
                <w:color w:val="auto"/>
                <w:sz w:val="32"/>
              </w:rPr>
              <w:t>单位</w:t>
            </w:r>
          </w:p>
        </w:tc>
        <w:tc>
          <w:tcPr>
            <w:tcW w:w="1002" w:type="dxa"/>
            <w:shd w:val="clear" w:color="auto" w:fill="D9E2F3"/>
          </w:tcPr>
          <w:p w14:paraId="6BED5445">
            <w:pPr>
              <w:spacing w:before="40" w:after="40"/>
              <w:jc w:val="center"/>
              <w:rPr>
                <w:color w:val="auto"/>
              </w:rPr>
            </w:pPr>
            <w:r>
              <w:rPr>
                <w:rFonts w:ascii="仿宋" w:hAnsi="仿宋" w:eastAsia="仿宋"/>
                <w:b/>
                <w:color w:val="auto"/>
                <w:sz w:val="32"/>
              </w:rPr>
              <w:t>数量</w:t>
            </w:r>
          </w:p>
        </w:tc>
        <w:tc>
          <w:tcPr>
            <w:tcW w:w="1180" w:type="dxa"/>
            <w:shd w:val="clear" w:color="auto" w:fill="D9E2F3"/>
          </w:tcPr>
          <w:p w14:paraId="3618241D">
            <w:pPr>
              <w:spacing w:before="40" w:after="40"/>
              <w:jc w:val="center"/>
              <w:rPr>
                <w:color w:val="auto"/>
              </w:rPr>
            </w:pPr>
            <w:r>
              <w:rPr>
                <w:rFonts w:ascii="仿宋" w:hAnsi="仿宋" w:eastAsia="仿宋"/>
                <w:b/>
                <w:color w:val="auto"/>
                <w:sz w:val="32"/>
              </w:rPr>
              <w:t>单价（元）</w:t>
            </w:r>
          </w:p>
        </w:tc>
        <w:tc>
          <w:tcPr>
            <w:tcW w:w="1180" w:type="dxa"/>
            <w:shd w:val="clear" w:color="auto" w:fill="D9E2F3"/>
          </w:tcPr>
          <w:p w14:paraId="2F146B38">
            <w:pPr>
              <w:spacing w:before="40" w:after="40"/>
              <w:jc w:val="center"/>
              <w:rPr>
                <w:color w:val="auto"/>
              </w:rPr>
            </w:pPr>
            <w:r>
              <w:rPr>
                <w:rFonts w:ascii="仿宋" w:hAnsi="仿宋" w:eastAsia="仿宋"/>
                <w:b/>
                <w:color w:val="auto"/>
                <w:sz w:val="32"/>
              </w:rPr>
              <w:t>单次费用（元）</w:t>
            </w:r>
          </w:p>
        </w:tc>
        <w:tc>
          <w:tcPr>
            <w:tcW w:w="994" w:type="dxa"/>
            <w:shd w:val="clear" w:color="auto" w:fill="D9E2F3"/>
          </w:tcPr>
          <w:p w14:paraId="46C22AA1">
            <w:pPr>
              <w:spacing w:before="40" w:after="40"/>
              <w:jc w:val="center"/>
              <w:rPr>
                <w:color w:val="auto"/>
              </w:rPr>
            </w:pPr>
            <w:r>
              <w:rPr>
                <w:rFonts w:ascii="仿宋" w:hAnsi="仿宋" w:eastAsia="仿宋"/>
                <w:b/>
                <w:color w:val="auto"/>
                <w:sz w:val="32"/>
              </w:rPr>
              <w:t>年度预估次数</w:t>
            </w:r>
          </w:p>
        </w:tc>
        <w:tc>
          <w:tcPr>
            <w:tcW w:w="1181" w:type="dxa"/>
            <w:shd w:val="clear" w:color="auto" w:fill="D9E2F3"/>
          </w:tcPr>
          <w:p w14:paraId="03B53FBB">
            <w:pPr>
              <w:spacing w:before="40" w:after="40"/>
              <w:jc w:val="center"/>
              <w:rPr>
                <w:color w:val="auto"/>
              </w:rPr>
            </w:pPr>
            <w:r>
              <w:rPr>
                <w:rFonts w:ascii="仿宋" w:hAnsi="仿宋" w:eastAsia="仿宋"/>
                <w:b/>
                <w:color w:val="auto"/>
                <w:sz w:val="32"/>
              </w:rPr>
              <w:t>年度预估费用（元）</w:t>
            </w:r>
          </w:p>
        </w:tc>
      </w:tr>
      <w:tr w14:paraId="3FF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Pr>
          <w:p w14:paraId="4ED3BF36">
            <w:pPr>
              <w:spacing w:before="40" w:after="40"/>
              <w:jc w:val="center"/>
              <w:rPr>
                <w:color w:val="auto"/>
                <w:sz w:val="22"/>
                <w:szCs w:val="21"/>
              </w:rPr>
            </w:pPr>
            <w:r>
              <w:rPr>
                <w:rFonts w:ascii="仿宋" w:hAnsi="仿宋" w:eastAsia="仿宋"/>
                <w:b w:val="0"/>
                <w:color w:val="auto"/>
                <w:sz w:val="28"/>
                <w:szCs w:val="21"/>
              </w:rPr>
              <w:t>1</w:t>
            </w:r>
          </w:p>
        </w:tc>
        <w:tc>
          <w:tcPr>
            <w:tcW w:w="1418" w:type="dxa"/>
          </w:tcPr>
          <w:p w14:paraId="4EEB73DE">
            <w:pPr>
              <w:spacing w:before="40" w:after="40"/>
              <w:jc w:val="center"/>
              <w:rPr>
                <w:color w:val="auto"/>
                <w:sz w:val="22"/>
                <w:szCs w:val="21"/>
              </w:rPr>
            </w:pPr>
            <w:r>
              <w:rPr>
                <w:rFonts w:ascii="仿宋" w:hAnsi="仿宋" w:eastAsia="仿宋"/>
                <w:b w:val="0"/>
                <w:color w:val="auto"/>
                <w:sz w:val="28"/>
                <w:szCs w:val="21"/>
              </w:rPr>
              <w:t>地毯清洗</w:t>
            </w:r>
          </w:p>
        </w:tc>
        <w:tc>
          <w:tcPr>
            <w:tcW w:w="993" w:type="dxa"/>
          </w:tcPr>
          <w:p w14:paraId="6DAE48F5">
            <w:pPr>
              <w:spacing w:before="40" w:after="40"/>
              <w:jc w:val="center"/>
              <w:rPr>
                <w:color w:val="auto"/>
                <w:sz w:val="22"/>
                <w:szCs w:val="21"/>
              </w:rPr>
            </w:pPr>
            <w:r>
              <w:rPr>
                <w:rFonts w:ascii="仿宋" w:hAnsi="仿宋" w:eastAsia="仿宋"/>
                <w:b w:val="0"/>
                <w:color w:val="auto"/>
                <w:sz w:val="28"/>
                <w:szCs w:val="21"/>
              </w:rPr>
              <w:t>元/㎡</w:t>
            </w:r>
          </w:p>
        </w:tc>
        <w:tc>
          <w:tcPr>
            <w:tcW w:w="1002" w:type="dxa"/>
          </w:tcPr>
          <w:p w14:paraId="423A9A76">
            <w:pPr>
              <w:spacing w:before="40" w:after="40"/>
              <w:jc w:val="center"/>
              <w:rPr>
                <w:color w:val="auto"/>
                <w:sz w:val="22"/>
                <w:szCs w:val="21"/>
              </w:rPr>
            </w:pPr>
            <w:r>
              <w:rPr>
                <w:rFonts w:ascii="仿宋" w:hAnsi="仿宋" w:eastAsia="仿宋"/>
                <w:b w:val="0"/>
                <w:color w:val="auto"/>
                <w:sz w:val="28"/>
                <w:szCs w:val="21"/>
              </w:rPr>
              <w:t>500</w:t>
            </w:r>
          </w:p>
        </w:tc>
        <w:tc>
          <w:tcPr>
            <w:tcW w:w="1180" w:type="dxa"/>
          </w:tcPr>
          <w:p w14:paraId="0C11B2FF">
            <w:pPr>
              <w:spacing w:before="40" w:after="40"/>
              <w:jc w:val="center"/>
              <w:rPr>
                <w:color w:val="auto"/>
                <w:sz w:val="22"/>
                <w:szCs w:val="21"/>
              </w:rPr>
            </w:pPr>
          </w:p>
        </w:tc>
        <w:tc>
          <w:tcPr>
            <w:tcW w:w="1180" w:type="dxa"/>
          </w:tcPr>
          <w:p w14:paraId="0D60CD75">
            <w:pPr>
              <w:spacing w:before="40" w:after="40"/>
              <w:jc w:val="center"/>
              <w:rPr>
                <w:color w:val="auto"/>
                <w:sz w:val="22"/>
                <w:szCs w:val="21"/>
              </w:rPr>
            </w:pPr>
          </w:p>
        </w:tc>
        <w:tc>
          <w:tcPr>
            <w:tcW w:w="994" w:type="dxa"/>
          </w:tcPr>
          <w:p w14:paraId="0BB39D57">
            <w:pPr>
              <w:spacing w:before="40" w:after="40"/>
              <w:jc w:val="center"/>
              <w:rPr>
                <w:color w:val="auto"/>
                <w:sz w:val="22"/>
                <w:szCs w:val="21"/>
              </w:rPr>
            </w:pPr>
            <w:r>
              <w:rPr>
                <w:rFonts w:ascii="仿宋" w:hAnsi="仿宋" w:eastAsia="仿宋"/>
                <w:b w:val="0"/>
                <w:color w:val="auto"/>
                <w:sz w:val="28"/>
                <w:szCs w:val="21"/>
              </w:rPr>
              <w:t>2次/年</w:t>
            </w:r>
          </w:p>
        </w:tc>
        <w:tc>
          <w:tcPr>
            <w:tcW w:w="1181" w:type="dxa"/>
          </w:tcPr>
          <w:p w14:paraId="16828ADC">
            <w:pPr>
              <w:spacing w:before="40" w:after="40"/>
              <w:jc w:val="center"/>
              <w:rPr>
                <w:color w:val="auto"/>
                <w:sz w:val="22"/>
                <w:szCs w:val="21"/>
              </w:rPr>
            </w:pPr>
          </w:p>
        </w:tc>
      </w:tr>
      <w:tr w14:paraId="5B5F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Pr>
          <w:p w14:paraId="4D0A7916">
            <w:pPr>
              <w:spacing w:before="40" w:after="40"/>
              <w:jc w:val="center"/>
              <w:rPr>
                <w:color w:val="auto"/>
                <w:sz w:val="22"/>
                <w:szCs w:val="21"/>
              </w:rPr>
            </w:pPr>
            <w:r>
              <w:rPr>
                <w:rFonts w:ascii="仿宋" w:hAnsi="仿宋" w:eastAsia="仿宋"/>
                <w:b w:val="0"/>
                <w:color w:val="auto"/>
                <w:sz w:val="28"/>
                <w:szCs w:val="21"/>
              </w:rPr>
              <w:t>2</w:t>
            </w:r>
          </w:p>
        </w:tc>
        <w:tc>
          <w:tcPr>
            <w:tcW w:w="1418" w:type="dxa"/>
          </w:tcPr>
          <w:p w14:paraId="690F7628">
            <w:pPr>
              <w:spacing w:before="40" w:after="40"/>
              <w:jc w:val="center"/>
              <w:rPr>
                <w:color w:val="auto"/>
                <w:sz w:val="22"/>
                <w:szCs w:val="21"/>
              </w:rPr>
            </w:pPr>
            <w:r>
              <w:rPr>
                <w:rFonts w:ascii="仿宋" w:hAnsi="仿宋" w:eastAsia="仿宋"/>
                <w:b w:val="0"/>
                <w:color w:val="auto"/>
                <w:sz w:val="28"/>
                <w:szCs w:val="21"/>
              </w:rPr>
              <w:t>石材晶面养护</w:t>
            </w:r>
          </w:p>
        </w:tc>
        <w:tc>
          <w:tcPr>
            <w:tcW w:w="993" w:type="dxa"/>
          </w:tcPr>
          <w:p w14:paraId="39CB7904">
            <w:pPr>
              <w:spacing w:before="40" w:after="40"/>
              <w:jc w:val="center"/>
              <w:rPr>
                <w:color w:val="auto"/>
                <w:sz w:val="22"/>
                <w:szCs w:val="21"/>
              </w:rPr>
            </w:pPr>
            <w:r>
              <w:rPr>
                <w:rFonts w:ascii="仿宋" w:hAnsi="仿宋" w:eastAsia="仿宋"/>
                <w:b w:val="0"/>
                <w:color w:val="auto"/>
                <w:sz w:val="28"/>
                <w:szCs w:val="21"/>
              </w:rPr>
              <w:t>元/㎡/次</w:t>
            </w:r>
          </w:p>
        </w:tc>
        <w:tc>
          <w:tcPr>
            <w:tcW w:w="1002" w:type="dxa"/>
          </w:tcPr>
          <w:p w14:paraId="24F58B49">
            <w:pPr>
              <w:spacing w:before="40" w:after="40"/>
              <w:jc w:val="center"/>
              <w:rPr>
                <w:color w:val="auto"/>
                <w:sz w:val="22"/>
                <w:szCs w:val="21"/>
              </w:rPr>
            </w:pPr>
            <w:r>
              <w:rPr>
                <w:rFonts w:ascii="仿宋" w:hAnsi="仿宋" w:eastAsia="仿宋"/>
                <w:b w:val="0"/>
                <w:color w:val="auto"/>
                <w:sz w:val="28"/>
                <w:szCs w:val="21"/>
              </w:rPr>
              <w:t>500</w:t>
            </w:r>
          </w:p>
        </w:tc>
        <w:tc>
          <w:tcPr>
            <w:tcW w:w="1180" w:type="dxa"/>
          </w:tcPr>
          <w:p w14:paraId="193A19D5">
            <w:pPr>
              <w:spacing w:before="40" w:after="40"/>
              <w:jc w:val="center"/>
              <w:rPr>
                <w:color w:val="auto"/>
                <w:sz w:val="22"/>
                <w:szCs w:val="21"/>
              </w:rPr>
            </w:pPr>
          </w:p>
        </w:tc>
        <w:tc>
          <w:tcPr>
            <w:tcW w:w="1180" w:type="dxa"/>
          </w:tcPr>
          <w:p w14:paraId="6EEBF822">
            <w:pPr>
              <w:spacing w:before="40" w:after="40"/>
              <w:jc w:val="center"/>
              <w:rPr>
                <w:color w:val="auto"/>
                <w:sz w:val="22"/>
                <w:szCs w:val="21"/>
              </w:rPr>
            </w:pPr>
          </w:p>
        </w:tc>
        <w:tc>
          <w:tcPr>
            <w:tcW w:w="994" w:type="dxa"/>
          </w:tcPr>
          <w:p w14:paraId="646610CB">
            <w:pPr>
              <w:spacing w:before="40" w:after="40"/>
              <w:jc w:val="center"/>
              <w:rPr>
                <w:color w:val="auto"/>
                <w:sz w:val="22"/>
                <w:szCs w:val="21"/>
              </w:rPr>
            </w:pPr>
            <w:r>
              <w:rPr>
                <w:rFonts w:ascii="仿宋" w:hAnsi="仿宋" w:eastAsia="仿宋"/>
                <w:b w:val="0"/>
                <w:color w:val="auto"/>
                <w:sz w:val="28"/>
                <w:szCs w:val="21"/>
              </w:rPr>
              <w:t>2次/年</w:t>
            </w:r>
          </w:p>
        </w:tc>
        <w:tc>
          <w:tcPr>
            <w:tcW w:w="1181" w:type="dxa"/>
          </w:tcPr>
          <w:p w14:paraId="4B8A204D">
            <w:pPr>
              <w:spacing w:before="40" w:after="40"/>
              <w:jc w:val="center"/>
              <w:rPr>
                <w:color w:val="auto"/>
                <w:sz w:val="22"/>
                <w:szCs w:val="21"/>
              </w:rPr>
            </w:pPr>
          </w:p>
        </w:tc>
      </w:tr>
      <w:tr w14:paraId="3E40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Pr>
          <w:p w14:paraId="4A342A36">
            <w:pPr>
              <w:spacing w:before="40" w:after="40"/>
              <w:jc w:val="center"/>
              <w:rPr>
                <w:color w:val="auto"/>
                <w:sz w:val="22"/>
                <w:szCs w:val="21"/>
              </w:rPr>
            </w:pPr>
            <w:r>
              <w:rPr>
                <w:rFonts w:ascii="仿宋" w:hAnsi="仿宋" w:eastAsia="仿宋"/>
                <w:b w:val="0"/>
                <w:color w:val="auto"/>
                <w:sz w:val="28"/>
                <w:szCs w:val="21"/>
              </w:rPr>
              <w:t>3</w:t>
            </w:r>
          </w:p>
        </w:tc>
        <w:tc>
          <w:tcPr>
            <w:tcW w:w="1418" w:type="dxa"/>
          </w:tcPr>
          <w:p w14:paraId="77AE5420">
            <w:pPr>
              <w:spacing w:before="40" w:after="40"/>
              <w:jc w:val="center"/>
              <w:rPr>
                <w:color w:val="auto"/>
                <w:sz w:val="22"/>
                <w:szCs w:val="21"/>
              </w:rPr>
            </w:pPr>
            <w:r>
              <w:rPr>
                <w:rFonts w:ascii="仿宋" w:hAnsi="仿宋" w:eastAsia="仿宋"/>
                <w:b w:val="0"/>
                <w:color w:val="auto"/>
                <w:sz w:val="28"/>
                <w:szCs w:val="21"/>
              </w:rPr>
              <w:t>木地板打蜡</w:t>
            </w:r>
          </w:p>
        </w:tc>
        <w:tc>
          <w:tcPr>
            <w:tcW w:w="993" w:type="dxa"/>
          </w:tcPr>
          <w:p w14:paraId="1FD0A66B">
            <w:pPr>
              <w:spacing w:before="40" w:after="40"/>
              <w:jc w:val="center"/>
              <w:rPr>
                <w:color w:val="auto"/>
                <w:sz w:val="22"/>
                <w:szCs w:val="21"/>
              </w:rPr>
            </w:pPr>
            <w:r>
              <w:rPr>
                <w:rFonts w:ascii="仿宋" w:hAnsi="仿宋" w:eastAsia="仿宋"/>
                <w:b w:val="0"/>
                <w:color w:val="auto"/>
                <w:sz w:val="28"/>
                <w:szCs w:val="21"/>
              </w:rPr>
              <w:t>元/㎡/次</w:t>
            </w:r>
          </w:p>
        </w:tc>
        <w:tc>
          <w:tcPr>
            <w:tcW w:w="1002" w:type="dxa"/>
          </w:tcPr>
          <w:p w14:paraId="031EB21D">
            <w:pPr>
              <w:spacing w:before="40" w:after="40"/>
              <w:jc w:val="center"/>
              <w:rPr>
                <w:color w:val="auto"/>
                <w:sz w:val="22"/>
                <w:szCs w:val="21"/>
              </w:rPr>
            </w:pPr>
            <w:r>
              <w:rPr>
                <w:rFonts w:ascii="仿宋" w:hAnsi="仿宋" w:eastAsia="仿宋"/>
                <w:b w:val="0"/>
                <w:color w:val="auto"/>
                <w:sz w:val="28"/>
                <w:szCs w:val="21"/>
              </w:rPr>
              <w:t>400</w:t>
            </w:r>
          </w:p>
        </w:tc>
        <w:tc>
          <w:tcPr>
            <w:tcW w:w="1180" w:type="dxa"/>
          </w:tcPr>
          <w:p w14:paraId="016A9874">
            <w:pPr>
              <w:spacing w:before="40" w:after="40"/>
              <w:jc w:val="center"/>
              <w:rPr>
                <w:color w:val="auto"/>
                <w:sz w:val="22"/>
                <w:szCs w:val="21"/>
              </w:rPr>
            </w:pPr>
          </w:p>
        </w:tc>
        <w:tc>
          <w:tcPr>
            <w:tcW w:w="1180" w:type="dxa"/>
          </w:tcPr>
          <w:p w14:paraId="30EC1E7B">
            <w:pPr>
              <w:spacing w:before="40" w:after="40"/>
              <w:jc w:val="center"/>
              <w:rPr>
                <w:color w:val="auto"/>
                <w:sz w:val="22"/>
                <w:szCs w:val="21"/>
              </w:rPr>
            </w:pPr>
          </w:p>
        </w:tc>
        <w:tc>
          <w:tcPr>
            <w:tcW w:w="994" w:type="dxa"/>
          </w:tcPr>
          <w:p w14:paraId="129F792C">
            <w:pPr>
              <w:spacing w:before="40" w:after="40"/>
              <w:jc w:val="center"/>
              <w:rPr>
                <w:color w:val="auto"/>
                <w:sz w:val="22"/>
                <w:szCs w:val="21"/>
              </w:rPr>
            </w:pPr>
            <w:r>
              <w:rPr>
                <w:rFonts w:ascii="仿宋" w:hAnsi="仿宋" w:eastAsia="仿宋"/>
                <w:b w:val="0"/>
                <w:color w:val="auto"/>
                <w:sz w:val="28"/>
                <w:szCs w:val="21"/>
              </w:rPr>
              <w:t>2次/年</w:t>
            </w:r>
          </w:p>
        </w:tc>
        <w:tc>
          <w:tcPr>
            <w:tcW w:w="1181" w:type="dxa"/>
          </w:tcPr>
          <w:p w14:paraId="225A9754">
            <w:pPr>
              <w:spacing w:before="40" w:after="40"/>
              <w:jc w:val="center"/>
              <w:rPr>
                <w:color w:val="auto"/>
                <w:sz w:val="22"/>
                <w:szCs w:val="21"/>
              </w:rPr>
            </w:pPr>
          </w:p>
        </w:tc>
      </w:tr>
    </w:tbl>
    <w:p w14:paraId="48972776">
      <w:pPr>
        <w:pageBreakBefore w:val="0"/>
        <w:widowControl/>
        <w:kinsoku/>
        <w:wordWrap/>
        <w:overflowPunct/>
        <w:topLinePunct w:val="0"/>
        <w:autoSpaceDE/>
        <w:autoSpaceDN/>
        <w:bidi w:val="0"/>
        <w:adjustRightInd/>
        <w:snapToGrid/>
        <w:spacing w:after="0" w:line="560" w:lineRule="exact"/>
        <w:jc w:val="left"/>
        <w:textAlignment w:val="auto"/>
        <w:rPr>
          <w:color w:val="auto"/>
        </w:rPr>
      </w:pPr>
      <w:r>
        <w:rPr>
          <w:rFonts w:hint="eastAsia" w:ascii="仿宋" w:hAnsi="仿宋" w:eastAsia="仿宋" w:cs="仿宋"/>
          <w:b w:val="0"/>
          <w:color w:val="auto"/>
          <w:sz w:val="32"/>
          <w:szCs w:val="32"/>
          <w:lang w:val="en-US" w:eastAsia="zh-CN"/>
        </w:rPr>
        <w:t>专项服务年度预估费用合计（含税）：【　】元/年，按次据实结算。税率【　】%，不含税价格为【　】元/年。</w:t>
      </w:r>
    </w:p>
    <w:p w14:paraId="341AAFD1">
      <w:pPr>
        <w:spacing w:after="0" w:line="560" w:lineRule="exact"/>
        <w:ind w:firstLine="640"/>
        <w:jc w:val="left"/>
        <w:rPr>
          <w:color w:val="auto"/>
        </w:rPr>
      </w:pPr>
      <w:r>
        <w:rPr>
          <w:rFonts w:ascii="仿宋" w:hAnsi="仿宋" w:eastAsia="仿宋"/>
          <w:b/>
          <w:color w:val="auto"/>
          <w:sz w:val="32"/>
        </w:rPr>
        <w:t>三、合同总价</w:t>
      </w:r>
    </w:p>
    <w:p w14:paraId="3E3B3E20">
      <w:pPr>
        <w:spacing w:after="0" w:line="560" w:lineRule="exact"/>
        <w:ind w:firstLine="640"/>
        <w:jc w:val="left"/>
        <w:rPr>
          <w:color w:val="auto"/>
        </w:rPr>
      </w:pPr>
      <w:r>
        <w:rPr>
          <w:rFonts w:ascii="仿宋" w:hAnsi="仿宋" w:eastAsia="仿宋"/>
          <w:b w:val="0"/>
          <w:color w:val="auto"/>
          <w:sz w:val="32"/>
        </w:rPr>
        <w:t>常驻月度服务年度费用（【　　　　】元/月×12月）=【　　　　】元</w:t>
      </w:r>
    </w:p>
    <w:p w14:paraId="4596BB2A">
      <w:pPr>
        <w:spacing w:after="0" w:line="560" w:lineRule="exact"/>
        <w:ind w:firstLine="640"/>
        <w:jc w:val="left"/>
        <w:rPr>
          <w:color w:val="auto"/>
        </w:rPr>
      </w:pPr>
      <w:r>
        <w:rPr>
          <w:rFonts w:ascii="仿宋" w:hAnsi="仿宋" w:eastAsia="仿宋"/>
          <w:b w:val="0"/>
          <w:color w:val="auto"/>
          <w:sz w:val="32"/>
        </w:rPr>
        <w:t>专项服务年度预估费用 =【　　　　】元</w:t>
      </w:r>
    </w:p>
    <w:p w14:paraId="69A1E301">
      <w:pPr>
        <w:spacing w:after="0" w:line="560" w:lineRule="exact"/>
        <w:ind w:firstLine="640"/>
        <w:jc w:val="left"/>
        <w:rPr>
          <w:color w:val="auto"/>
        </w:rPr>
      </w:pPr>
      <w:r>
        <w:rPr>
          <w:rFonts w:ascii="仿宋" w:hAnsi="仿宋" w:eastAsia="仿宋"/>
          <w:b w:val="0"/>
          <w:color w:val="auto"/>
          <w:sz w:val="32"/>
        </w:rPr>
        <w:t>本合同年度预估总价（含税）：约【　　　　】元/年（大写：人民币【　　　　】元整），最终以实际发生服务据实结算。</w:t>
      </w:r>
    </w:p>
    <w:p w14:paraId="441DD9A4">
      <w:pPr>
        <w:spacing w:after="0" w:line="560" w:lineRule="exact"/>
        <w:jc w:val="left"/>
        <w:rPr>
          <w:color w:val="auto"/>
        </w:rPr>
      </w:pPr>
    </w:p>
    <w:p w14:paraId="1399B9FA">
      <w:pPr>
        <w:spacing w:after="0" w:line="560" w:lineRule="exact"/>
        <w:ind w:firstLine="640"/>
        <w:jc w:val="left"/>
        <w:rPr>
          <w:color w:val="auto"/>
        </w:rPr>
      </w:pPr>
      <w:r>
        <w:rPr>
          <w:rFonts w:ascii="仿宋" w:hAnsi="仿宋" w:eastAsia="仿宋"/>
          <w:b/>
          <w:color w:val="auto"/>
          <w:sz w:val="32"/>
        </w:rPr>
        <w:t>四、付款方式</w:t>
      </w:r>
    </w:p>
    <w:p w14:paraId="52AA1A82">
      <w:pPr>
        <w:spacing w:after="0" w:line="560" w:lineRule="exact"/>
        <w:ind w:firstLine="640"/>
        <w:jc w:val="left"/>
        <w:rPr>
          <w:color w:val="auto"/>
        </w:rPr>
      </w:pPr>
      <w:r>
        <w:rPr>
          <w:rFonts w:ascii="仿宋" w:hAnsi="仿宋" w:eastAsia="仿宋"/>
          <w:b w:val="0"/>
          <w:color w:val="auto"/>
          <w:sz w:val="32"/>
        </w:rPr>
        <w:t>1. 常驻服务费用（日常保洁、四害消杀、绿植租摆、洗手间深度清洁）：按季度结算，乙方每季度首月5日前提供合格增值税专用发票及上季度服务明细，甲方于收到发票并确认服务明细后10个工作日内以转账方式支付。</w:t>
      </w:r>
      <w:r>
        <w:rPr>
          <w:rFonts w:hint="eastAsia" w:ascii="仿宋" w:hAnsi="仿宋" w:eastAsia="仿宋" w:cs="仿宋"/>
          <w:b w:val="0"/>
          <w:color w:val="auto"/>
          <w:sz w:val="32"/>
          <w:szCs w:val="32"/>
          <w:lang w:val="en-US" w:eastAsia="zh-CN"/>
        </w:rPr>
        <w:t>其中绿植租摆服务开始时间为</w:t>
      </w:r>
      <w:r>
        <w:rPr>
          <w:rFonts w:hint="eastAsia" w:ascii="仿宋" w:hAnsi="仿宋" w:eastAsia="仿宋" w:cs="仿宋"/>
          <w:b w:val="0"/>
          <w:bCs w:val="0"/>
          <w:color w:val="auto"/>
          <w:sz w:val="32"/>
          <w:szCs w:val="32"/>
          <w:lang w:val="en-US" w:eastAsia="zh-CN"/>
        </w:rPr>
        <w:t>2026年8月8日起，首季度将扣除对应款项据实结算。</w:t>
      </w:r>
    </w:p>
    <w:p w14:paraId="62DAE085">
      <w:pPr>
        <w:spacing w:after="0" w:line="560" w:lineRule="exact"/>
        <w:ind w:firstLine="640"/>
        <w:jc w:val="left"/>
        <w:rPr>
          <w:rFonts w:ascii="仿宋" w:hAnsi="仿宋" w:eastAsia="仿宋"/>
          <w:b w:val="0"/>
          <w:color w:val="auto"/>
          <w:sz w:val="32"/>
        </w:rPr>
      </w:pPr>
      <w:r>
        <w:rPr>
          <w:rFonts w:ascii="仿宋" w:hAnsi="仿宋" w:eastAsia="仿宋"/>
          <w:b w:val="0"/>
          <w:color w:val="auto"/>
          <w:sz w:val="32"/>
        </w:rPr>
        <w:t>2. 专项服务费用（地毯清洗、石材晶面养护、木地板打蜡）：按次结算，每次服务完成经甲方验收合格后，甲方收到乙方提供的合格增值税专用发票并确认服务明细后</w:t>
      </w:r>
      <w:r>
        <w:rPr>
          <w:rFonts w:hint="eastAsia" w:ascii="仿宋" w:hAnsi="仿宋" w:eastAsia="仿宋"/>
          <w:b w:val="0"/>
          <w:color w:val="auto"/>
          <w:sz w:val="32"/>
          <w:lang w:eastAsia="zh-CN"/>
        </w:rPr>
        <w:t>，</w:t>
      </w:r>
      <w:r>
        <w:rPr>
          <w:rFonts w:hint="eastAsia" w:ascii="仿宋" w:hAnsi="仿宋" w:eastAsia="仿宋" w:cs="仿宋"/>
          <w:b w:val="0"/>
          <w:color w:val="auto"/>
          <w:sz w:val="32"/>
          <w:szCs w:val="32"/>
          <w:lang w:val="en-US" w:eastAsia="zh-CN"/>
        </w:rPr>
        <w:t>随</w:t>
      </w:r>
      <w:r>
        <w:rPr>
          <w:rFonts w:hint="eastAsia" w:ascii="仿宋" w:hAnsi="仿宋" w:eastAsia="仿宋" w:cs="仿宋"/>
          <w:b w:val="0"/>
          <w:color w:val="auto"/>
          <w:sz w:val="32"/>
          <w:szCs w:val="32"/>
        </w:rPr>
        <w:t>常驻服务费用</w:t>
      </w:r>
      <w:r>
        <w:rPr>
          <w:rFonts w:hint="eastAsia" w:ascii="仿宋" w:hAnsi="仿宋" w:eastAsia="仿宋" w:cs="仿宋"/>
          <w:b w:val="0"/>
          <w:color w:val="auto"/>
          <w:sz w:val="32"/>
          <w:szCs w:val="32"/>
          <w:lang w:val="en-US" w:eastAsia="zh-CN"/>
        </w:rPr>
        <w:t>按季度</w:t>
      </w:r>
      <w:r>
        <w:rPr>
          <w:rFonts w:ascii="仿宋" w:hAnsi="仿宋" w:eastAsia="仿宋"/>
          <w:b w:val="0"/>
          <w:color w:val="auto"/>
          <w:sz w:val="32"/>
        </w:rPr>
        <w:t>15个工作日内支付。</w:t>
      </w:r>
    </w:p>
    <w:p w14:paraId="79442855">
      <w:pPr>
        <w:spacing w:after="0" w:line="560" w:lineRule="exact"/>
        <w:ind w:firstLine="640"/>
        <w:jc w:val="left"/>
        <w:rPr>
          <w:rFonts w:hint="default" w:ascii="仿宋" w:hAnsi="仿宋" w:eastAsia="仿宋"/>
          <w:b w:val="0"/>
          <w:color w:val="auto"/>
          <w:sz w:val="32"/>
          <w:lang w:val="en-US" w:eastAsia="zh-CN"/>
        </w:rPr>
      </w:pPr>
      <w:r>
        <w:rPr>
          <w:rFonts w:hint="eastAsia" w:ascii="仿宋" w:hAnsi="仿宋" w:eastAsia="仿宋"/>
          <w:b w:val="0"/>
          <w:color w:val="auto"/>
          <w:sz w:val="32"/>
          <w:lang w:val="en-US" w:eastAsia="zh-CN"/>
        </w:rPr>
        <w:t>3.</w:t>
      </w:r>
      <w:r>
        <w:rPr>
          <w:rFonts w:hint="eastAsia" w:ascii="仿宋" w:hAnsi="仿宋" w:eastAsia="仿宋" w:cs="仿宋"/>
          <w:b w:val="0"/>
          <w:color w:val="auto"/>
          <w:sz w:val="32"/>
          <w:szCs w:val="32"/>
          <w:lang w:val="en-US" w:eastAsia="zh-CN"/>
        </w:rPr>
        <w:t>对于经甲乙双方协商后核减的常驻类服务，甲方有权扣除相关费用后据实支付。</w:t>
      </w:r>
    </w:p>
    <w:p w14:paraId="6C996E6E">
      <w:pPr>
        <w:spacing w:after="0" w:line="560" w:lineRule="exact"/>
        <w:ind w:firstLine="640"/>
        <w:jc w:val="left"/>
        <w:rPr>
          <w:rFonts w:hint="eastAsia" w:ascii="仿宋" w:hAnsi="仿宋" w:eastAsia="仿宋"/>
          <w:b w:val="0"/>
          <w:color w:val="auto"/>
          <w:sz w:val="32"/>
          <w:lang w:val="en-US" w:eastAsia="zh-CN"/>
        </w:rPr>
      </w:pPr>
      <w:r>
        <w:rPr>
          <w:rFonts w:hint="eastAsia" w:ascii="仿宋" w:hAnsi="仿宋" w:eastAsia="仿宋"/>
          <w:b w:val="0"/>
          <w:color w:val="auto"/>
          <w:sz w:val="32"/>
          <w:lang w:val="en-US" w:eastAsia="zh-CN"/>
        </w:rPr>
        <w:t>4</w:t>
      </w:r>
      <w:r>
        <w:rPr>
          <w:rFonts w:ascii="仿宋" w:hAnsi="仿宋" w:eastAsia="仿宋"/>
          <w:b w:val="0"/>
          <w:color w:val="auto"/>
          <w:sz w:val="32"/>
        </w:rPr>
        <w:t>. 第四季度根据年度履约评价结果进行结算</w:t>
      </w:r>
      <w:r>
        <w:rPr>
          <w:rFonts w:hint="eastAsia" w:ascii="仿宋" w:hAnsi="仿宋" w:eastAsia="仿宋"/>
          <w:b w:val="0"/>
          <w:color w:val="auto"/>
          <w:sz w:val="32"/>
          <w:lang w:eastAsia="zh-CN"/>
        </w:rPr>
        <w:t>。</w:t>
      </w:r>
      <w:r>
        <w:rPr>
          <w:rFonts w:hint="eastAsia" w:ascii="仿宋" w:hAnsi="仿宋" w:eastAsia="仿宋"/>
          <w:b w:val="0"/>
          <w:color w:val="auto"/>
          <w:sz w:val="32"/>
          <w:lang w:val="en-US" w:eastAsia="zh-CN"/>
        </w:rPr>
        <w:t>合同结束前一个月，甲方对乙方进行考核，考核结果为良好及以上的，甲方按季度全额支付。考核结果为合格的，甲方按季度费用的80%支付。考核结果为不合格的，甲方有权要求整改并扣减相应费用，情节严重的甲方有权单方解除合同。</w:t>
      </w:r>
    </w:p>
    <w:p w14:paraId="277A552F">
      <w:pPr>
        <w:spacing w:after="0" w:line="560" w:lineRule="exact"/>
        <w:ind w:firstLine="640"/>
        <w:jc w:val="left"/>
        <w:rPr>
          <w:rFonts w:hint="default" w:ascii="仿宋" w:hAnsi="仿宋" w:eastAsia="仿宋"/>
          <w:b w:val="0"/>
          <w:color w:val="auto"/>
          <w:sz w:val="32"/>
          <w:lang w:val="en-US" w:eastAsia="zh-CN"/>
        </w:rPr>
      </w:pPr>
    </w:p>
    <w:p w14:paraId="256724BA">
      <w:pPr>
        <w:spacing w:after="0" w:line="560" w:lineRule="exact"/>
        <w:jc w:val="left"/>
        <w:rPr>
          <w:color w:val="auto"/>
        </w:rPr>
      </w:pPr>
    </w:p>
    <w:p w14:paraId="025E1ABA">
      <w:pPr>
        <w:spacing w:after="0" w:line="560" w:lineRule="exact"/>
        <w:ind w:firstLine="640"/>
        <w:jc w:val="left"/>
        <w:rPr>
          <w:color w:val="auto"/>
        </w:rPr>
      </w:pPr>
      <w:r>
        <w:rPr>
          <w:rFonts w:ascii="仿宋" w:hAnsi="仿宋" w:eastAsia="仿宋"/>
          <w:b/>
          <w:color w:val="auto"/>
          <w:sz w:val="32"/>
        </w:rPr>
        <w:t>乙方收款信息：</w:t>
      </w:r>
    </w:p>
    <w:p w14:paraId="0682FF97">
      <w:pPr>
        <w:spacing w:after="0" w:line="560" w:lineRule="exact"/>
        <w:ind w:firstLine="640"/>
        <w:jc w:val="left"/>
        <w:rPr>
          <w:color w:val="auto"/>
        </w:rPr>
      </w:pPr>
      <w:r>
        <w:rPr>
          <w:rFonts w:ascii="仿宋" w:hAnsi="仿宋" w:eastAsia="仿宋"/>
          <w:b w:val="0"/>
          <w:color w:val="auto"/>
          <w:sz w:val="32"/>
        </w:rPr>
        <w:t>开户银行：【　　　　　　　　　　】</w:t>
      </w:r>
    </w:p>
    <w:p w14:paraId="34144F54">
      <w:pPr>
        <w:spacing w:after="0" w:line="560" w:lineRule="exact"/>
        <w:ind w:firstLine="640"/>
        <w:jc w:val="left"/>
        <w:rPr>
          <w:color w:val="auto"/>
        </w:rPr>
      </w:pPr>
      <w:r>
        <w:rPr>
          <w:rFonts w:ascii="仿宋" w:hAnsi="仿宋" w:eastAsia="仿宋"/>
          <w:b w:val="0"/>
          <w:color w:val="auto"/>
          <w:sz w:val="32"/>
        </w:rPr>
        <w:t>账户名称：【　　　　　　　　　　】</w:t>
      </w:r>
    </w:p>
    <w:p w14:paraId="6DA9F2CC">
      <w:pPr>
        <w:spacing w:after="0" w:line="560" w:lineRule="exact"/>
        <w:ind w:firstLine="640"/>
        <w:jc w:val="left"/>
        <w:rPr>
          <w:color w:val="auto"/>
        </w:rPr>
      </w:pPr>
      <w:r>
        <w:rPr>
          <w:rFonts w:ascii="仿宋" w:hAnsi="仿宋" w:eastAsia="仿宋"/>
          <w:b w:val="0"/>
          <w:color w:val="auto"/>
          <w:sz w:val="32"/>
        </w:rPr>
        <w:t>银行账号：【　　　　　　　　　　】</w:t>
      </w:r>
    </w:p>
    <w:p w14:paraId="14C62D6D">
      <w:pPr>
        <w:spacing w:after="0" w:line="560" w:lineRule="exact"/>
        <w:jc w:val="left"/>
        <w:rPr>
          <w:color w:val="auto"/>
        </w:rPr>
      </w:pPr>
    </w:p>
    <w:p w14:paraId="202F1E39">
      <w:pPr>
        <w:spacing w:after="0" w:line="560" w:lineRule="exact"/>
        <w:ind w:firstLine="640"/>
        <w:jc w:val="left"/>
        <w:rPr>
          <w:color w:val="auto"/>
        </w:rPr>
      </w:pPr>
      <w:r>
        <w:rPr>
          <w:rFonts w:ascii="仿宋" w:hAnsi="仿宋" w:eastAsia="仿宋"/>
          <w:b/>
          <w:color w:val="auto"/>
          <w:sz w:val="32"/>
        </w:rPr>
        <w:t>乙方紧急联系人及其联系方式：</w:t>
      </w:r>
    </w:p>
    <w:p w14:paraId="53DC3A05">
      <w:pPr>
        <w:spacing w:after="0" w:line="560" w:lineRule="exact"/>
        <w:ind w:firstLine="640"/>
        <w:jc w:val="left"/>
        <w:rPr>
          <w:color w:val="auto"/>
        </w:rPr>
      </w:pPr>
      <w:r>
        <w:rPr>
          <w:rFonts w:ascii="仿宋" w:hAnsi="仿宋" w:eastAsia="仿宋"/>
          <w:b w:val="0"/>
          <w:color w:val="auto"/>
          <w:sz w:val="32"/>
        </w:rPr>
        <w:t>紧急联系人一：【　　　　】　联系方式：【　　　　】</w:t>
      </w:r>
    </w:p>
    <w:p w14:paraId="57E2956B">
      <w:pPr>
        <w:spacing w:after="0" w:line="560" w:lineRule="exact"/>
        <w:ind w:firstLine="640"/>
        <w:jc w:val="left"/>
        <w:rPr>
          <w:color w:val="auto"/>
        </w:rPr>
      </w:pPr>
      <w:r>
        <w:rPr>
          <w:rFonts w:ascii="仿宋" w:hAnsi="仿宋" w:eastAsia="仿宋"/>
          <w:b w:val="0"/>
          <w:color w:val="auto"/>
          <w:sz w:val="32"/>
        </w:rPr>
        <w:t>紧急联系人二：【　　　　】　联系方式：【　　　　】</w:t>
      </w:r>
    </w:p>
    <w:p w14:paraId="38712767">
      <w:pPr>
        <w:spacing w:after="0" w:line="560" w:lineRule="exact"/>
        <w:ind w:firstLine="640"/>
        <w:jc w:val="left"/>
        <w:rPr>
          <w:color w:val="auto"/>
        </w:rPr>
      </w:pPr>
      <w:r>
        <w:rPr>
          <w:rFonts w:ascii="仿宋" w:hAnsi="仿宋" w:eastAsia="仿宋"/>
          <w:b w:val="0"/>
          <w:color w:val="auto"/>
          <w:sz w:val="32"/>
        </w:rPr>
        <w:t>乙方的紧急联系人变更的，应及时书面通知甲方。</w:t>
      </w:r>
    </w:p>
    <w:p w14:paraId="7377040B">
      <w:pPr>
        <w:spacing w:after="0" w:line="560" w:lineRule="exact"/>
        <w:ind w:firstLine="640"/>
        <w:jc w:val="left"/>
        <w:rPr>
          <w:color w:val="auto"/>
        </w:rPr>
      </w:pPr>
      <w:r>
        <w:rPr>
          <w:rFonts w:ascii="仿宋" w:hAnsi="仿宋" w:eastAsia="仿宋"/>
          <w:b w:val="0"/>
          <w:color w:val="auto"/>
          <w:sz w:val="32"/>
        </w:rPr>
        <w:t>4. 乙方知晓甲方付款需履行财政审批程序，并承诺如因审批原因造成迟延付款的，乙方不得因此向甲方主张违约责任，但甲方应及时将情况通知乙方。</w:t>
      </w:r>
    </w:p>
    <w:p w14:paraId="4554EE99">
      <w:pPr>
        <w:pStyle w:val="4"/>
        <w:spacing w:before="0" w:after="0" w:line="560" w:lineRule="exact"/>
        <w:ind w:firstLine="643"/>
        <w:jc w:val="left"/>
        <w:rPr>
          <w:color w:val="auto"/>
        </w:rPr>
      </w:pPr>
      <w:r>
        <w:rPr>
          <w:rFonts w:ascii="黑体" w:hAnsi="黑体" w:eastAsia="黑体"/>
          <w:color w:val="auto"/>
          <w:sz w:val="32"/>
        </w:rPr>
        <w:t>第七条　合同变更和解除</w:t>
      </w:r>
    </w:p>
    <w:p w14:paraId="56E8D649">
      <w:pPr>
        <w:spacing w:after="0" w:line="560" w:lineRule="exact"/>
        <w:ind w:firstLine="640"/>
        <w:jc w:val="left"/>
        <w:rPr>
          <w:color w:val="auto"/>
        </w:rPr>
      </w:pPr>
      <w:r>
        <w:rPr>
          <w:rFonts w:ascii="仿宋" w:hAnsi="仿宋" w:eastAsia="仿宋"/>
          <w:b w:val="0"/>
          <w:color w:val="auto"/>
          <w:sz w:val="32"/>
        </w:rPr>
        <w:t>1. 所有合同条款以打印文本为准，手写、涂改无效。本合同的变更必须由双方协商一致，并另签补充合同。</w:t>
      </w:r>
    </w:p>
    <w:p w14:paraId="0D5CB209">
      <w:pPr>
        <w:spacing w:after="0" w:line="560" w:lineRule="exact"/>
        <w:ind w:firstLine="640"/>
        <w:jc w:val="left"/>
        <w:rPr>
          <w:color w:val="auto"/>
        </w:rPr>
      </w:pPr>
      <w:r>
        <w:rPr>
          <w:rFonts w:ascii="仿宋" w:hAnsi="仿宋" w:eastAsia="仿宋"/>
          <w:b w:val="0"/>
          <w:color w:val="auto"/>
          <w:sz w:val="32"/>
        </w:rPr>
        <w:t>2. 如甲乙双方协商一致且合同履约评价为“良好”及以上，在符合甲方采购政策的前提下，双方可通过另行签订合同或补充合同的形式延长本合同服务期限，单次延长时间不超过12个月。</w:t>
      </w:r>
    </w:p>
    <w:p w14:paraId="02B8676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rPr>
      </w:pPr>
      <w:r>
        <w:rPr>
          <w:rFonts w:ascii="仿宋" w:hAnsi="仿宋" w:eastAsia="仿宋"/>
          <w:b w:val="0"/>
          <w:color w:val="auto"/>
          <w:sz w:val="32"/>
        </w:rPr>
        <w:t>3. 甲方有权单方要求提前终止本合同，</w:t>
      </w:r>
      <w:r>
        <w:rPr>
          <w:rFonts w:hint="eastAsia" w:ascii="仿宋" w:hAnsi="仿宋" w:eastAsia="仿宋" w:cs="仿宋"/>
          <w:b w:val="0"/>
          <w:color w:val="auto"/>
          <w:sz w:val="32"/>
          <w:szCs w:val="32"/>
          <w:lang w:val="en-US" w:eastAsia="zh-CN"/>
        </w:rPr>
        <w:t>但需提前三个工作日通知乙方。</w:t>
      </w:r>
    </w:p>
    <w:p w14:paraId="3AC3BDA2">
      <w:pPr>
        <w:pStyle w:val="4"/>
        <w:spacing w:before="0" w:after="0" w:line="560" w:lineRule="exact"/>
        <w:ind w:firstLine="643"/>
        <w:jc w:val="left"/>
        <w:rPr>
          <w:color w:val="auto"/>
        </w:rPr>
      </w:pPr>
      <w:r>
        <w:rPr>
          <w:rFonts w:ascii="黑体" w:hAnsi="黑体" w:eastAsia="黑体"/>
          <w:color w:val="auto"/>
          <w:sz w:val="32"/>
        </w:rPr>
        <w:t>第八条　违约责任</w:t>
      </w:r>
    </w:p>
    <w:p w14:paraId="22C62238">
      <w:pPr>
        <w:spacing w:after="0" w:line="560" w:lineRule="exact"/>
        <w:ind w:firstLine="640"/>
        <w:jc w:val="left"/>
        <w:rPr>
          <w:color w:val="auto"/>
        </w:rPr>
      </w:pPr>
      <w:r>
        <w:rPr>
          <w:rFonts w:ascii="仿宋" w:hAnsi="仿宋" w:eastAsia="仿宋"/>
          <w:b w:val="0"/>
          <w:color w:val="auto"/>
          <w:sz w:val="32"/>
        </w:rPr>
        <w:t>1. 一方违反本合同约定，给另一方造成损失的，应根据损失情况及本合同、有关法律法规要求承担赔偿责任。</w:t>
      </w:r>
    </w:p>
    <w:p w14:paraId="6E7D70E6">
      <w:pPr>
        <w:spacing w:after="0" w:line="560" w:lineRule="exact"/>
        <w:ind w:firstLine="640"/>
        <w:jc w:val="left"/>
        <w:rPr>
          <w:color w:val="auto"/>
        </w:rPr>
      </w:pPr>
      <w:r>
        <w:rPr>
          <w:rFonts w:ascii="仿宋" w:hAnsi="仿宋" w:eastAsia="仿宋"/>
          <w:b w:val="0"/>
          <w:color w:val="auto"/>
          <w:sz w:val="32"/>
        </w:rPr>
        <w:t>2. 除非法律规定或本合同另有约定，乙方不得单方解除本合同，否则，甲方有权不予支付剩余未付服务费用并有权要求乙方返还甲方已支付的全部服务费用（应在甲方要求后7日内返还），且甲方还有权要求乙方支付相当于本合同服务费用总额的20%作为违约金。</w:t>
      </w:r>
    </w:p>
    <w:p w14:paraId="5501B238">
      <w:pPr>
        <w:spacing w:after="0" w:line="560" w:lineRule="exact"/>
        <w:ind w:firstLine="640"/>
        <w:jc w:val="left"/>
        <w:rPr>
          <w:color w:val="auto"/>
        </w:rPr>
      </w:pPr>
      <w:r>
        <w:rPr>
          <w:rFonts w:ascii="仿宋" w:hAnsi="仿宋" w:eastAsia="仿宋"/>
          <w:b w:val="0"/>
          <w:color w:val="auto"/>
          <w:sz w:val="32"/>
        </w:rPr>
        <w:t>3. 发生以下情况，甲方有权单方解除合同，不予支付剩余未付服务费用，且甲方还有权要求乙方支付相当于本合同服务费用总额的20%作为违约金：</w:t>
      </w:r>
    </w:p>
    <w:p w14:paraId="7FD3EC93">
      <w:pPr>
        <w:spacing w:after="0" w:line="560" w:lineRule="exact"/>
        <w:ind w:firstLine="640"/>
        <w:jc w:val="left"/>
        <w:rPr>
          <w:color w:val="auto"/>
        </w:rPr>
      </w:pPr>
      <w:r>
        <w:rPr>
          <w:rFonts w:ascii="仿宋" w:hAnsi="仿宋" w:eastAsia="仿宋"/>
          <w:b w:val="0"/>
          <w:color w:val="auto"/>
          <w:sz w:val="32"/>
        </w:rPr>
        <w:t>（1）未经甲方书面同意，乙方将本合同项下部分或全部权利义务转让给第三方、或委托第三方完成本合同项下工作；</w:t>
      </w:r>
    </w:p>
    <w:p w14:paraId="314F8C08">
      <w:pPr>
        <w:spacing w:after="0" w:line="560" w:lineRule="exact"/>
        <w:ind w:firstLine="640"/>
        <w:jc w:val="left"/>
        <w:rPr>
          <w:color w:val="auto"/>
        </w:rPr>
      </w:pPr>
      <w:r>
        <w:rPr>
          <w:rFonts w:ascii="仿宋" w:hAnsi="仿宋" w:eastAsia="仿宋"/>
          <w:b w:val="0"/>
          <w:color w:val="auto"/>
          <w:sz w:val="32"/>
        </w:rPr>
        <w:t>（2）乙方以甲方名义从事与本合同约定内容无关的活动；</w:t>
      </w:r>
    </w:p>
    <w:p w14:paraId="48A5B908">
      <w:pPr>
        <w:spacing w:after="0" w:line="560" w:lineRule="exact"/>
        <w:ind w:firstLine="640"/>
        <w:jc w:val="left"/>
        <w:rPr>
          <w:color w:val="auto"/>
        </w:rPr>
      </w:pPr>
      <w:r>
        <w:rPr>
          <w:rFonts w:ascii="仿宋" w:hAnsi="仿宋" w:eastAsia="仿宋"/>
          <w:b w:val="0"/>
          <w:color w:val="auto"/>
          <w:sz w:val="32"/>
        </w:rPr>
        <w:t>（3）合同期内乙方违约行为累计超过5次，或者乙方服务累计3次经甲方考核为不合格；</w:t>
      </w:r>
    </w:p>
    <w:p w14:paraId="59BB7E9F">
      <w:pPr>
        <w:spacing w:after="0" w:line="560" w:lineRule="exact"/>
        <w:ind w:firstLine="640"/>
        <w:jc w:val="left"/>
        <w:rPr>
          <w:color w:val="auto"/>
        </w:rPr>
      </w:pPr>
      <w:r>
        <w:rPr>
          <w:rFonts w:ascii="仿宋" w:hAnsi="仿宋" w:eastAsia="仿宋"/>
          <w:b w:val="0"/>
          <w:color w:val="auto"/>
          <w:sz w:val="32"/>
        </w:rPr>
        <w:t>（4）乙方工作未达服务要求，甲方提出整改意见而乙方未整改、或整改效果依然未达到甲方要求的；</w:t>
      </w:r>
    </w:p>
    <w:p w14:paraId="5E4FA2D8">
      <w:pPr>
        <w:spacing w:after="0" w:line="560" w:lineRule="exact"/>
        <w:ind w:firstLine="640"/>
        <w:jc w:val="left"/>
        <w:rPr>
          <w:color w:val="auto"/>
        </w:rPr>
      </w:pPr>
      <w:r>
        <w:rPr>
          <w:rFonts w:ascii="仿宋" w:hAnsi="仿宋" w:eastAsia="仿宋"/>
          <w:b w:val="0"/>
          <w:color w:val="auto"/>
          <w:sz w:val="32"/>
        </w:rPr>
        <w:t>（5）乙方不配合重大接待参观、考察工作的。</w:t>
      </w:r>
    </w:p>
    <w:p w14:paraId="3F488940">
      <w:pPr>
        <w:spacing w:after="0" w:line="560" w:lineRule="exact"/>
        <w:ind w:firstLine="640"/>
        <w:jc w:val="left"/>
        <w:rPr>
          <w:color w:val="auto"/>
        </w:rPr>
      </w:pPr>
      <w:r>
        <w:rPr>
          <w:rFonts w:ascii="仿宋" w:hAnsi="仿宋" w:eastAsia="仿宋"/>
          <w:b w:val="0"/>
          <w:color w:val="auto"/>
          <w:sz w:val="32"/>
        </w:rPr>
        <w:t>（6）绿植大面积枯黄、死亡或出现严重病虫害，经甲方催告后2个工作日内仍未更换处理完毕的。</w:t>
      </w:r>
    </w:p>
    <w:p w14:paraId="3A44D8EA">
      <w:pPr>
        <w:spacing w:after="0" w:line="560" w:lineRule="exact"/>
        <w:ind w:firstLine="640"/>
        <w:jc w:val="left"/>
        <w:rPr>
          <w:color w:val="auto"/>
        </w:rPr>
      </w:pPr>
      <w:r>
        <w:rPr>
          <w:rFonts w:ascii="仿宋" w:hAnsi="仿宋" w:eastAsia="仿宋"/>
          <w:b w:val="0"/>
          <w:color w:val="auto"/>
          <w:sz w:val="32"/>
        </w:rPr>
        <w:t>4. 服务质量违约：乙方提供的服务未能达到合同约定标准的，甲方有权书面通知乙方在合理期限内整改。乙方逾期未能完成整改的，自整改期限届满之次日起，甲方有权要求乙方每日支付人民币3,000元违约金。</w:t>
      </w:r>
    </w:p>
    <w:p w14:paraId="19D3E0C6">
      <w:pPr>
        <w:spacing w:after="0" w:line="560" w:lineRule="exact"/>
        <w:jc w:val="left"/>
        <w:rPr>
          <w:color w:val="auto"/>
        </w:rPr>
      </w:pPr>
    </w:p>
    <w:p w14:paraId="703D35B7">
      <w:pPr>
        <w:spacing w:after="0" w:line="560" w:lineRule="exact"/>
        <w:ind w:firstLine="640"/>
        <w:jc w:val="left"/>
        <w:rPr>
          <w:color w:val="auto"/>
        </w:rPr>
      </w:pPr>
      <w:r>
        <w:rPr>
          <w:rFonts w:ascii="仿宋" w:hAnsi="仿宋" w:eastAsia="仿宋"/>
          <w:b w:val="0"/>
          <w:color w:val="auto"/>
          <w:sz w:val="32"/>
        </w:rPr>
        <w:t>5. 绿植养护违约：乙方提供的绿植出现枯黄、死亡或病虫害未及时处理的，甲方有权要求乙方在2个工作日内更换，每逾期一日支付500元违约金。</w:t>
      </w:r>
    </w:p>
    <w:p w14:paraId="19BBEDFF">
      <w:pPr>
        <w:spacing w:after="0" w:line="560" w:lineRule="exact"/>
        <w:ind w:firstLine="640"/>
        <w:jc w:val="left"/>
        <w:rPr>
          <w:color w:val="auto"/>
        </w:rPr>
      </w:pPr>
      <w:r>
        <w:rPr>
          <w:rFonts w:ascii="仿宋" w:hAnsi="仿宋" w:eastAsia="仿宋"/>
          <w:b w:val="0"/>
          <w:color w:val="auto"/>
          <w:sz w:val="32"/>
        </w:rPr>
        <w:t>6. 本合同终止或解除时，除双方另以书面形式认可外，乙方所派驻的人员应立即无条件迁出，并与甲方及新的服务单位办妥现场内各项工作之交接手续，否则，应向甲方支付合同总服务费20%的违约金，并赔偿因此给甲方造成的损失。</w:t>
      </w:r>
    </w:p>
    <w:p w14:paraId="06B83390">
      <w:pPr>
        <w:pStyle w:val="4"/>
        <w:spacing w:before="0" w:after="0" w:line="560" w:lineRule="exact"/>
        <w:ind w:firstLine="643"/>
        <w:jc w:val="left"/>
        <w:rPr>
          <w:color w:val="auto"/>
        </w:rPr>
      </w:pPr>
      <w:r>
        <w:rPr>
          <w:rFonts w:ascii="黑体" w:hAnsi="黑体" w:eastAsia="黑体"/>
          <w:color w:val="auto"/>
          <w:sz w:val="32"/>
        </w:rPr>
        <w:t>第九条　不可抗力</w:t>
      </w:r>
    </w:p>
    <w:p w14:paraId="5FC725C8">
      <w:pPr>
        <w:spacing w:after="0" w:line="560" w:lineRule="exact"/>
        <w:ind w:firstLine="640"/>
        <w:jc w:val="left"/>
        <w:rPr>
          <w:color w:val="auto"/>
        </w:rPr>
      </w:pPr>
      <w:r>
        <w:rPr>
          <w:rFonts w:ascii="仿宋" w:hAnsi="仿宋" w:eastAsia="仿宋"/>
          <w:b w:val="0"/>
          <w:color w:val="auto"/>
          <w:sz w:val="32"/>
        </w:rPr>
        <w:t>1. 双方同意如发生不可抗力致使本合同不可能或者没有必要继续履行的，任何一方经提前5个工作日通知对方，可以解除本合同，不承担法律责任。</w:t>
      </w:r>
    </w:p>
    <w:p w14:paraId="61CA548A">
      <w:pPr>
        <w:spacing w:after="0" w:line="560" w:lineRule="exact"/>
        <w:ind w:firstLine="640"/>
        <w:jc w:val="left"/>
        <w:rPr>
          <w:color w:val="auto"/>
        </w:rPr>
      </w:pPr>
      <w:r>
        <w:rPr>
          <w:rFonts w:ascii="仿宋" w:hAnsi="仿宋" w:eastAsia="仿宋"/>
          <w:b w:val="0"/>
          <w:color w:val="auto"/>
          <w:sz w:val="32"/>
        </w:rPr>
        <w:t>2. 甲、乙双方中的任何一方，由于战争、火灾、台风、洪水、地震或其它双方共同认为属于不可抗力因素影响合同执行时，则合同执行要相应延迟，延迟的时间等于不可抗力发生作用的时间。</w:t>
      </w:r>
    </w:p>
    <w:p w14:paraId="111479EF">
      <w:pPr>
        <w:spacing w:after="0" w:line="560" w:lineRule="exact"/>
        <w:ind w:firstLine="640"/>
        <w:jc w:val="left"/>
        <w:rPr>
          <w:color w:val="auto"/>
        </w:rPr>
      </w:pPr>
      <w:r>
        <w:rPr>
          <w:rFonts w:ascii="仿宋" w:hAnsi="仿宋" w:eastAsia="仿宋"/>
          <w:b w:val="0"/>
          <w:color w:val="auto"/>
          <w:sz w:val="32"/>
        </w:rPr>
        <w:t>3. 如发生不可抗力，受影响的一方应在不可抗力终止或被排除后尽快通过书面形式通知另一方，告之另一方不可抗力已终结或排除。</w:t>
      </w:r>
    </w:p>
    <w:p w14:paraId="0CAEB54A">
      <w:pPr>
        <w:spacing w:after="0" w:line="560" w:lineRule="exact"/>
        <w:ind w:firstLine="640"/>
        <w:jc w:val="left"/>
        <w:rPr>
          <w:color w:val="auto"/>
        </w:rPr>
      </w:pPr>
      <w:r>
        <w:rPr>
          <w:rFonts w:ascii="仿宋" w:hAnsi="仿宋" w:eastAsia="仿宋"/>
          <w:b w:val="0"/>
          <w:color w:val="auto"/>
          <w:sz w:val="32"/>
        </w:rPr>
        <w:t>4. 如果不可抗力的影响超过二个月，一方应与对方取得联系，以便解决履行本合同的问题。如果不可抗力的影响持续超过三个月，任何一方都有权终止全部或部分合同，乙方需向甲方返还未能履行本合同的款项（应在合同终止后7日内返还）。</w:t>
      </w:r>
    </w:p>
    <w:p w14:paraId="18B0BBBF">
      <w:pPr>
        <w:pStyle w:val="4"/>
        <w:spacing w:before="0" w:after="0" w:line="560" w:lineRule="exact"/>
        <w:ind w:firstLine="643"/>
        <w:jc w:val="left"/>
        <w:rPr>
          <w:color w:val="auto"/>
        </w:rPr>
      </w:pPr>
      <w:r>
        <w:rPr>
          <w:rFonts w:ascii="黑体" w:hAnsi="黑体" w:eastAsia="黑体"/>
          <w:color w:val="auto"/>
          <w:sz w:val="32"/>
        </w:rPr>
        <w:t>第十条　争议的解决</w:t>
      </w:r>
    </w:p>
    <w:p w14:paraId="63766CE2">
      <w:pPr>
        <w:spacing w:after="0" w:line="560" w:lineRule="exact"/>
        <w:ind w:firstLine="640"/>
        <w:jc w:val="left"/>
        <w:rPr>
          <w:color w:val="auto"/>
        </w:rPr>
      </w:pPr>
      <w:r>
        <w:rPr>
          <w:rFonts w:ascii="仿宋" w:hAnsi="仿宋" w:eastAsia="仿宋"/>
          <w:b w:val="0"/>
          <w:color w:val="auto"/>
          <w:sz w:val="32"/>
        </w:rPr>
        <w:t>因本合同引起的或与本合同有关的任何争议，由双方友好协商解决；协商不成的，双方均同意提交深圳国际仲裁院（深圳仲裁委员会）仲裁，并同意按照该院届时有效的仲裁规则仲裁。仲裁裁决是终局的，对各方均有约束力。</w:t>
      </w:r>
    </w:p>
    <w:p w14:paraId="7A74F43A">
      <w:pPr>
        <w:pStyle w:val="4"/>
        <w:spacing w:before="0" w:after="0" w:line="560" w:lineRule="exact"/>
        <w:ind w:firstLine="643"/>
        <w:jc w:val="left"/>
        <w:rPr>
          <w:color w:val="auto"/>
        </w:rPr>
      </w:pPr>
      <w:r>
        <w:rPr>
          <w:rFonts w:ascii="黑体" w:hAnsi="黑体" w:eastAsia="黑体"/>
          <w:color w:val="auto"/>
          <w:sz w:val="32"/>
        </w:rPr>
        <w:t>第十一条　其他</w:t>
      </w:r>
    </w:p>
    <w:p w14:paraId="5BC0864A">
      <w:pPr>
        <w:spacing w:after="0" w:line="560" w:lineRule="exact"/>
        <w:ind w:firstLine="640"/>
        <w:jc w:val="left"/>
        <w:rPr>
          <w:color w:val="auto"/>
        </w:rPr>
      </w:pPr>
      <w:r>
        <w:rPr>
          <w:rFonts w:ascii="仿宋" w:hAnsi="仿宋" w:eastAsia="仿宋"/>
          <w:b w:val="0"/>
          <w:color w:val="auto"/>
          <w:sz w:val="32"/>
        </w:rPr>
        <w:t>1. 本合同经双方盖章之日起生效，至本合同履行完毕时止。本合同之附件是本合同不可分割的部分，与合同正文具有同等法律效力。</w:t>
      </w:r>
    </w:p>
    <w:p w14:paraId="552D9026">
      <w:pPr>
        <w:spacing w:after="0" w:line="560" w:lineRule="exact"/>
        <w:ind w:firstLine="640"/>
        <w:jc w:val="left"/>
        <w:rPr>
          <w:color w:val="auto"/>
        </w:rPr>
      </w:pPr>
      <w:r>
        <w:rPr>
          <w:rFonts w:ascii="仿宋" w:hAnsi="仿宋" w:eastAsia="仿宋"/>
          <w:b w:val="0"/>
          <w:color w:val="auto"/>
          <w:sz w:val="32"/>
        </w:rPr>
        <w:t>2. 本合同一式肆份，甲方执贰份，乙方执贰份，均具有同等法律效力。</w:t>
      </w:r>
    </w:p>
    <w:p w14:paraId="2EE5B0F2">
      <w:pPr>
        <w:spacing w:after="0" w:line="560" w:lineRule="exact"/>
        <w:ind w:firstLine="640"/>
        <w:jc w:val="left"/>
        <w:rPr>
          <w:color w:val="auto"/>
        </w:rPr>
      </w:pPr>
      <w:r>
        <w:rPr>
          <w:rFonts w:ascii="仿宋" w:hAnsi="仿宋" w:eastAsia="仿宋"/>
          <w:b w:val="0"/>
          <w:color w:val="auto"/>
          <w:sz w:val="32"/>
        </w:rPr>
        <w:t>3. 本合同附件包括：</w:t>
      </w:r>
    </w:p>
    <w:p w14:paraId="00977498">
      <w:pPr>
        <w:spacing w:after="0" w:line="560" w:lineRule="exact"/>
        <w:ind w:firstLine="640"/>
        <w:jc w:val="left"/>
        <w:rPr>
          <w:color w:val="auto"/>
        </w:rPr>
      </w:pPr>
      <w:r>
        <w:rPr>
          <w:rFonts w:ascii="仿宋" w:hAnsi="仿宋" w:eastAsia="仿宋"/>
          <w:b w:val="0"/>
          <w:color w:val="auto"/>
          <w:sz w:val="32"/>
        </w:rPr>
        <w:t>附件1：履约评价表</w:t>
      </w:r>
    </w:p>
    <w:p w14:paraId="254A50AA">
      <w:pPr>
        <w:spacing w:after="0" w:line="560" w:lineRule="exact"/>
        <w:ind w:firstLine="640"/>
        <w:jc w:val="left"/>
        <w:rPr>
          <w:rFonts w:hint="default" w:eastAsia="仿宋"/>
          <w:color w:val="auto"/>
          <w:lang w:val="en-US" w:eastAsia="zh-CN"/>
        </w:rPr>
      </w:pPr>
      <w:r>
        <w:rPr>
          <w:rFonts w:ascii="仿宋" w:hAnsi="仿宋" w:eastAsia="仿宋"/>
          <w:b w:val="0"/>
          <w:color w:val="auto"/>
          <w:sz w:val="32"/>
        </w:rPr>
        <w:t>附件2：</w:t>
      </w:r>
      <w:r>
        <w:rPr>
          <w:rFonts w:hint="eastAsia" w:ascii="仿宋" w:hAnsi="仿宋" w:eastAsia="仿宋"/>
          <w:b w:val="0"/>
          <w:color w:val="auto"/>
          <w:sz w:val="32"/>
          <w:lang w:val="en-US" w:eastAsia="zh-CN"/>
        </w:rPr>
        <w:t>报价清单</w:t>
      </w:r>
    </w:p>
    <w:p w14:paraId="6811961D">
      <w:pPr>
        <w:spacing w:after="0" w:line="560" w:lineRule="exact"/>
        <w:ind w:firstLine="640"/>
        <w:jc w:val="left"/>
        <w:rPr>
          <w:rFonts w:ascii="仿宋" w:hAnsi="仿宋" w:eastAsia="仿宋"/>
          <w:b w:val="0"/>
          <w:color w:val="auto"/>
          <w:sz w:val="32"/>
          <w:lang w:eastAsia="zh-CN"/>
        </w:rPr>
      </w:pPr>
      <w:r>
        <w:rPr>
          <w:rFonts w:hint="eastAsia" w:ascii="仿宋" w:hAnsi="仿宋" w:eastAsia="仿宋"/>
          <w:b w:val="0"/>
          <w:color w:val="auto"/>
          <w:sz w:val="32"/>
          <w:lang w:val="en-US" w:eastAsia="zh-CN"/>
        </w:rPr>
        <w:t>附件3：</w:t>
      </w:r>
      <w:r>
        <w:rPr>
          <w:rFonts w:hint="eastAsia" w:ascii="仿宋" w:hAnsi="仿宋" w:eastAsia="仿宋"/>
          <w:b w:val="0"/>
          <w:color w:val="auto"/>
          <w:sz w:val="32"/>
          <w:lang w:eastAsia="zh-CN"/>
        </w:rPr>
        <w:t>安全生产管理协议</w:t>
      </w:r>
    </w:p>
    <w:p w14:paraId="6D0C7D17">
      <w:pPr>
        <w:spacing w:after="0" w:line="560" w:lineRule="exact"/>
        <w:ind w:firstLine="640"/>
        <w:jc w:val="left"/>
        <w:rPr>
          <w:rFonts w:ascii="仿宋" w:hAnsi="仿宋" w:eastAsia="仿宋"/>
          <w:b w:val="0"/>
          <w:color w:val="auto"/>
          <w:sz w:val="32"/>
        </w:rPr>
      </w:pPr>
    </w:p>
    <w:p w14:paraId="5FFB2E1F">
      <w:pPr>
        <w:spacing w:after="0" w:line="560" w:lineRule="exact"/>
        <w:jc w:val="left"/>
        <w:rPr>
          <w:color w:val="auto"/>
        </w:rPr>
      </w:pPr>
    </w:p>
    <w:p w14:paraId="5F79A9C6">
      <w:pPr>
        <w:rPr>
          <w:color w:val="auto"/>
        </w:rPr>
      </w:pPr>
      <w:r>
        <w:rPr>
          <w:color w:val="auto"/>
        </w:rPr>
        <w:br w:type="page"/>
      </w:r>
    </w:p>
    <w:p w14:paraId="1A3B2FBE">
      <w:pPr>
        <w:spacing w:line="560" w:lineRule="exact"/>
        <w:ind w:firstLine="0"/>
        <w:jc w:val="both"/>
        <w:rPr>
          <w:color w:val="auto"/>
        </w:rPr>
      </w:pPr>
      <w:r>
        <w:rPr>
          <w:rFonts w:ascii="仿宋" w:hAnsi="仿宋" w:eastAsia="仿宋"/>
          <w:b w:val="0"/>
          <w:color w:val="auto"/>
          <w:sz w:val="32"/>
        </w:rPr>
        <w:t>（本页无正文，为《</w:t>
      </w:r>
      <w:r>
        <w:rPr>
          <w:rFonts w:hint="eastAsia" w:ascii="仿宋" w:hAnsi="仿宋" w:eastAsia="仿宋"/>
          <w:b w:val="0"/>
          <w:color w:val="auto"/>
          <w:sz w:val="32"/>
        </w:rPr>
        <w:t>2026-2027年e站通保洁、绿植租摆服务合同</w:t>
      </w:r>
      <w:r>
        <w:rPr>
          <w:rFonts w:ascii="仿宋" w:hAnsi="仿宋" w:eastAsia="仿宋"/>
          <w:b w:val="0"/>
          <w:color w:val="auto"/>
          <w:sz w:val="32"/>
        </w:rPr>
        <w:t>》签订页）</w:t>
      </w:r>
    </w:p>
    <w:p w14:paraId="605202A6">
      <w:pPr>
        <w:spacing w:after="0" w:line="560" w:lineRule="exact"/>
        <w:jc w:val="left"/>
        <w:rPr>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50"/>
      </w:tblGrid>
      <w:tr w14:paraId="0198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50" w:type="dxa"/>
            <w:shd w:val="clear" w:color="auto" w:fill="D9E2F3"/>
          </w:tcPr>
          <w:p w14:paraId="5F8C2E66">
            <w:pPr>
              <w:spacing w:before="40" w:after="40"/>
              <w:jc w:val="left"/>
              <w:rPr>
                <w:color w:val="auto"/>
              </w:rPr>
            </w:pPr>
            <w:r>
              <w:rPr>
                <w:rFonts w:ascii="仿宋" w:hAnsi="仿宋" w:eastAsia="仿宋"/>
                <w:b/>
                <w:color w:val="auto"/>
                <w:sz w:val="32"/>
              </w:rPr>
              <w:t>甲方：深圳深港科技创新合作区发展有限公司</w:t>
            </w:r>
            <w:r>
              <w:rPr>
                <w:rFonts w:ascii="仿宋" w:hAnsi="仿宋" w:eastAsia="仿宋"/>
                <w:b/>
                <w:color w:val="auto"/>
                <w:sz w:val="32"/>
              </w:rPr>
              <w:br w:type="textWrapping"/>
            </w:r>
            <w:r>
              <w:rPr>
                <w:rFonts w:ascii="仿宋" w:hAnsi="仿宋" w:eastAsia="仿宋"/>
                <w:b/>
                <w:color w:val="auto"/>
                <w:sz w:val="32"/>
              </w:rPr>
              <w:t>（盖章）</w:t>
            </w:r>
          </w:p>
        </w:tc>
        <w:tc>
          <w:tcPr>
            <w:tcW w:w="4150" w:type="dxa"/>
            <w:shd w:val="clear" w:color="auto" w:fill="D9E2F3"/>
          </w:tcPr>
          <w:p w14:paraId="61B1E0C2">
            <w:pPr>
              <w:spacing w:before="40" w:after="40"/>
              <w:jc w:val="left"/>
              <w:rPr>
                <w:color w:val="auto"/>
              </w:rPr>
            </w:pPr>
            <w:r>
              <w:rPr>
                <w:rFonts w:ascii="仿宋" w:hAnsi="仿宋" w:eastAsia="仿宋"/>
                <w:b/>
                <w:color w:val="auto"/>
                <w:sz w:val="32"/>
              </w:rPr>
              <w:t>乙方：【中标单位名称】</w:t>
            </w:r>
            <w:r>
              <w:rPr>
                <w:rFonts w:ascii="仿宋" w:hAnsi="仿宋" w:eastAsia="仿宋"/>
                <w:b/>
                <w:color w:val="auto"/>
                <w:sz w:val="32"/>
              </w:rPr>
              <w:br w:type="textWrapping"/>
            </w:r>
            <w:r>
              <w:rPr>
                <w:rFonts w:ascii="仿宋" w:hAnsi="仿宋" w:eastAsia="仿宋"/>
                <w:b/>
                <w:color w:val="auto"/>
                <w:sz w:val="32"/>
              </w:rPr>
              <w:t>（盖章）</w:t>
            </w:r>
          </w:p>
        </w:tc>
      </w:tr>
      <w:tr w14:paraId="342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tcPr>
          <w:p w14:paraId="7F5C5F9D">
            <w:pPr>
              <w:spacing w:before="40" w:after="40"/>
              <w:jc w:val="left"/>
              <w:rPr>
                <w:color w:val="auto"/>
              </w:rPr>
            </w:pPr>
            <w:r>
              <w:rPr>
                <w:rFonts w:ascii="仿宋" w:hAnsi="仿宋" w:eastAsia="仿宋"/>
                <w:b w:val="0"/>
                <w:color w:val="auto"/>
                <w:sz w:val="32"/>
              </w:rPr>
              <w:t>授权代表：</w:t>
            </w:r>
            <w:r>
              <w:rPr>
                <w:rFonts w:ascii="仿宋" w:hAnsi="仿宋" w:eastAsia="仿宋"/>
                <w:b w:val="0"/>
                <w:color w:val="auto"/>
                <w:sz w:val="32"/>
              </w:rPr>
              <w:br w:type="textWrapping"/>
            </w:r>
            <w:r>
              <w:rPr>
                <w:rFonts w:ascii="仿宋" w:hAnsi="仿宋" w:eastAsia="仿宋"/>
                <w:b w:val="0"/>
                <w:color w:val="auto"/>
                <w:sz w:val="32"/>
              </w:rPr>
              <w:t>（签字）</w:t>
            </w:r>
            <w:r>
              <w:rPr>
                <w:rFonts w:ascii="仿宋" w:hAnsi="仿宋" w:eastAsia="仿宋"/>
                <w:b w:val="0"/>
                <w:color w:val="auto"/>
                <w:sz w:val="32"/>
              </w:rPr>
              <w:br w:type="textWrapping"/>
            </w:r>
            <w:r>
              <w:rPr>
                <w:rFonts w:ascii="仿宋" w:hAnsi="仿宋" w:eastAsia="仿宋"/>
                <w:b w:val="0"/>
                <w:color w:val="auto"/>
                <w:sz w:val="32"/>
              </w:rPr>
              <w:br w:type="textWrapping"/>
            </w:r>
            <w:r>
              <w:rPr>
                <w:rFonts w:ascii="仿宋" w:hAnsi="仿宋" w:eastAsia="仿宋"/>
                <w:b w:val="0"/>
                <w:color w:val="auto"/>
                <w:sz w:val="32"/>
              </w:rPr>
              <w:t>日期：　　年　　月　　日</w:t>
            </w:r>
          </w:p>
        </w:tc>
        <w:tc>
          <w:tcPr>
            <w:tcW w:w="4150" w:type="dxa"/>
          </w:tcPr>
          <w:p w14:paraId="7DF77DE2">
            <w:pPr>
              <w:spacing w:before="40" w:after="40"/>
              <w:jc w:val="left"/>
              <w:rPr>
                <w:color w:val="auto"/>
              </w:rPr>
            </w:pPr>
            <w:r>
              <w:rPr>
                <w:rFonts w:ascii="仿宋" w:hAnsi="仿宋" w:eastAsia="仿宋"/>
                <w:b w:val="0"/>
                <w:color w:val="auto"/>
                <w:sz w:val="32"/>
              </w:rPr>
              <w:t>授权代表：</w:t>
            </w:r>
            <w:r>
              <w:rPr>
                <w:rFonts w:ascii="仿宋" w:hAnsi="仿宋" w:eastAsia="仿宋"/>
                <w:b w:val="0"/>
                <w:color w:val="auto"/>
                <w:sz w:val="32"/>
              </w:rPr>
              <w:br w:type="textWrapping"/>
            </w:r>
            <w:r>
              <w:rPr>
                <w:rFonts w:ascii="仿宋" w:hAnsi="仿宋" w:eastAsia="仿宋"/>
                <w:b w:val="0"/>
                <w:color w:val="auto"/>
                <w:sz w:val="32"/>
              </w:rPr>
              <w:t>（签字）</w:t>
            </w:r>
            <w:r>
              <w:rPr>
                <w:rFonts w:ascii="仿宋" w:hAnsi="仿宋" w:eastAsia="仿宋"/>
                <w:b w:val="0"/>
                <w:color w:val="auto"/>
                <w:sz w:val="32"/>
              </w:rPr>
              <w:br w:type="textWrapping"/>
            </w:r>
            <w:r>
              <w:rPr>
                <w:rFonts w:ascii="仿宋" w:hAnsi="仿宋" w:eastAsia="仿宋"/>
                <w:b w:val="0"/>
                <w:color w:val="auto"/>
                <w:sz w:val="32"/>
              </w:rPr>
              <w:br w:type="textWrapping"/>
            </w:r>
            <w:r>
              <w:rPr>
                <w:rFonts w:ascii="仿宋" w:hAnsi="仿宋" w:eastAsia="仿宋"/>
                <w:b w:val="0"/>
                <w:color w:val="auto"/>
                <w:sz w:val="32"/>
              </w:rPr>
              <w:t>日期：　　年　　月　　日</w:t>
            </w:r>
          </w:p>
        </w:tc>
      </w:tr>
    </w:tbl>
    <w:p w14:paraId="15E51492">
      <w:pPr>
        <w:spacing w:after="0" w:line="560" w:lineRule="exact"/>
        <w:jc w:val="left"/>
        <w:rPr>
          <w:color w:val="auto"/>
        </w:rPr>
      </w:pPr>
    </w:p>
    <w:p w14:paraId="5B791BEC">
      <w:pPr>
        <w:spacing w:after="0" w:line="560" w:lineRule="exact"/>
        <w:jc w:val="left"/>
        <w:rPr>
          <w:color w:val="auto"/>
        </w:rPr>
      </w:pPr>
      <w:r>
        <w:rPr>
          <w:color w:val="auto"/>
        </w:rPr>
        <w:br w:type="page"/>
      </w:r>
    </w:p>
    <w:p w14:paraId="3CCF30FC">
      <w:pPr>
        <w:pStyle w:val="3"/>
        <w:spacing w:before="0" w:after="0" w:line="560" w:lineRule="exact"/>
        <w:jc w:val="left"/>
        <w:rPr>
          <w:color w:val="auto"/>
        </w:rPr>
      </w:pPr>
      <w:r>
        <w:rPr>
          <w:rFonts w:ascii="黑体" w:hAnsi="黑体" w:eastAsia="黑体"/>
          <w:color w:val="auto"/>
          <w:sz w:val="38"/>
        </w:rPr>
        <w:t>附件1：履约评价表</w:t>
      </w:r>
    </w:p>
    <w:p w14:paraId="68CE51E6">
      <w:pPr>
        <w:spacing w:after="0" w:line="560" w:lineRule="exact"/>
        <w:jc w:val="left"/>
        <w:rPr>
          <w:color w:val="auto"/>
        </w:rPr>
      </w:pPr>
    </w:p>
    <w:tbl>
      <w:tblPr>
        <w:tblStyle w:val="33"/>
        <w:tblW w:w="9250"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70"/>
        <w:gridCol w:w="1440"/>
        <w:gridCol w:w="4560"/>
        <w:gridCol w:w="800"/>
      </w:tblGrid>
      <w:tr w14:paraId="29A3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D9E2F3"/>
          </w:tcPr>
          <w:p w14:paraId="47116AA6">
            <w:pPr>
              <w:spacing w:before="40" w:after="40"/>
              <w:jc w:val="center"/>
              <w:rPr>
                <w:color w:val="auto"/>
                <w:sz w:val="22"/>
                <w:szCs w:val="21"/>
              </w:rPr>
            </w:pPr>
            <w:r>
              <w:rPr>
                <w:rFonts w:ascii="仿宋" w:hAnsi="仿宋" w:eastAsia="仿宋"/>
                <w:b/>
                <w:color w:val="auto"/>
                <w:sz w:val="28"/>
                <w:szCs w:val="21"/>
              </w:rPr>
              <w:t>序号</w:t>
            </w:r>
          </w:p>
        </w:tc>
        <w:tc>
          <w:tcPr>
            <w:tcW w:w="1670" w:type="dxa"/>
            <w:shd w:val="clear" w:color="auto" w:fill="D9E2F3"/>
          </w:tcPr>
          <w:p w14:paraId="760BA5AA">
            <w:pPr>
              <w:spacing w:before="40" w:after="40"/>
              <w:jc w:val="center"/>
              <w:rPr>
                <w:color w:val="auto"/>
                <w:sz w:val="22"/>
                <w:szCs w:val="21"/>
              </w:rPr>
            </w:pPr>
            <w:r>
              <w:rPr>
                <w:rFonts w:ascii="仿宋" w:hAnsi="仿宋" w:eastAsia="仿宋"/>
                <w:b/>
                <w:color w:val="auto"/>
                <w:sz w:val="28"/>
                <w:szCs w:val="21"/>
              </w:rPr>
              <w:t>分项内容</w:t>
            </w:r>
          </w:p>
        </w:tc>
        <w:tc>
          <w:tcPr>
            <w:tcW w:w="1440" w:type="dxa"/>
            <w:shd w:val="clear" w:color="auto" w:fill="D9E2F3"/>
          </w:tcPr>
          <w:p w14:paraId="3A6A6162">
            <w:pPr>
              <w:spacing w:before="40" w:after="40"/>
              <w:jc w:val="center"/>
              <w:rPr>
                <w:color w:val="auto"/>
                <w:sz w:val="22"/>
                <w:szCs w:val="21"/>
              </w:rPr>
            </w:pPr>
            <w:r>
              <w:rPr>
                <w:rFonts w:ascii="仿宋" w:hAnsi="仿宋" w:eastAsia="仿宋"/>
                <w:b/>
                <w:color w:val="auto"/>
                <w:sz w:val="28"/>
                <w:szCs w:val="21"/>
              </w:rPr>
              <w:t>满分分值</w:t>
            </w:r>
          </w:p>
        </w:tc>
        <w:tc>
          <w:tcPr>
            <w:tcW w:w="4560" w:type="dxa"/>
            <w:shd w:val="clear" w:color="auto" w:fill="D9E2F3"/>
          </w:tcPr>
          <w:p w14:paraId="5C89AE2E">
            <w:pPr>
              <w:spacing w:before="40" w:after="40"/>
              <w:jc w:val="center"/>
              <w:rPr>
                <w:color w:val="auto"/>
                <w:sz w:val="22"/>
                <w:szCs w:val="21"/>
              </w:rPr>
            </w:pPr>
            <w:r>
              <w:rPr>
                <w:rFonts w:ascii="仿宋" w:hAnsi="仿宋" w:eastAsia="仿宋"/>
                <w:b/>
                <w:color w:val="auto"/>
                <w:sz w:val="28"/>
                <w:szCs w:val="21"/>
              </w:rPr>
              <w:t>评价标准</w:t>
            </w:r>
          </w:p>
        </w:tc>
        <w:tc>
          <w:tcPr>
            <w:tcW w:w="800" w:type="dxa"/>
            <w:shd w:val="clear" w:color="auto" w:fill="D9E2F3"/>
          </w:tcPr>
          <w:p w14:paraId="02DBC83E">
            <w:pPr>
              <w:spacing w:before="40" w:after="40"/>
              <w:jc w:val="center"/>
              <w:rPr>
                <w:color w:val="auto"/>
                <w:sz w:val="22"/>
                <w:szCs w:val="21"/>
              </w:rPr>
            </w:pPr>
            <w:r>
              <w:rPr>
                <w:rFonts w:ascii="仿宋" w:hAnsi="仿宋" w:eastAsia="仿宋"/>
                <w:b/>
                <w:color w:val="auto"/>
                <w:sz w:val="28"/>
                <w:szCs w:val="21"/>
              </w:rPr>
              <w:t>得分</w:t>
            </w:r>
          </w:p>
        </w:tc>
      </w:tr>
      <w:tr w14:paraId="7688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6AFDCC6">
            <w:pPr>
              <w:spacing w:before="40" w:after="40"/>
              <w:jc w:val="left"/>
              <w:rPr>
                <w:color w:val="auto"/>
                <w:sz w:val="21"/>
                <w:szCs w:val="20"/>
              </w:rPr>
            </w:pPr>
            <w:r>
              <w:rPr>
                <w:rFonts w:ascii="仿宋" w:hAnsi="仿宋" w:eastAsia="仿宋"/>
                <w:b w:val="0"/>
                <w:color w:val="auto"/>
                <w:sz w:val="24"/>
                <w:szCs w:val="20"/>
              </w:rPr>
              <w:t>一</w:t>
            </w:r>
          </w:p>
        </w:tc>
        <w:tc>
          <w:tcPr>
            <w:tcW w:w="1670" w:type="dxa"/>
          </w:tcPr>
          <w:p w14:paraId="19755D40">
            <w:pPr>
              <w:spacing w:before="40" w:after="40"/>
              <w:jc w:val="left"/>
              <w:rPr>
                <w:color w:val="auto"/>
                <w:sz w:val="21"/>
                <w:szCs w:val="20"/>
              </w:rPr>
            </w:pPr>
            <w:r>
              <w:rPr>
                <w:rFonts w:ascii="仿宋" w:hAnsi="仿宋" w:eastAsia="仿宋"/>
                <w:b w:val="0"/>
                <w:color w:val="auto"/>
                <w:sz w:val="24"/>
                <w:szCs w:val="20"/>
              </w:rPr>
              <w:t>人员配备</w:t>
            </w:r>
          </w:p>
        </w:tc>
        <w:tc>
          <w:tcPr>
            <w:tcW w:w="1440" w:type="dxa"/>
          </w:tcPr>
          <w:p w14:paraId="05DF9D4D">
            <w:pPr>
              <w:spacing w:before="40" w:after="40"/>
              <w:jc w:val="left"/>
              <w:rPr>
                <w:color w:val="auto"/>
                <w:sz w:val="21"/>
                <w:szCs w:val="20"/>
              </w:rPr>
            </w:pPr>
            <w:r>
              <w:rPr>
                <w:rFonts w:ascii="仿宋" w:hAnsi="仿宋" w:eastAsia="仿宋"/>
                <w:b w:val="0"/>
                <w:color w:val="auto"/>
                <w:sz w:val="24"/>
                <w:szCs w:val="20"/>
              </w:rPr>
              <w:t>10</w:t>
            </w:r>
          </w:p>
        </w:tc>
        <w:tc>
          <w:tcPr>
            <w:tcW w:w="4560" w:type="dxa"/>
          </w:tcPr>
          <w:p w14:paraId="7CA1C6EB">
            <w:pPr>
              <w:spacing w:before="40" w:after="40"/>
              <w:jc w:val="left"/>
              <w:rPr>
                <w:color w:val="auto"/>
                <w:sz w:val="21"/>
                <w:szCs w:val="20"/>
              </w:rPr>
            </w:pPr>
          </w:p>
        </w:tc>
        <w:tc>
          <w:tcPr>
            <w:tcW w:w="800" w:type="dxa"/>
          </w:tcPr>
          <w:p w14:paraId="401743DA">
            <w:pPr>
              <w:spacing w:before="40" w:after="40"/>
              <w:jc w:val="center"/>
              <w:rPr>
                <w:color w:val="auto"/>
                <w:sz w:val="22"/>
                <w:szCs w:val="21"/>
              </w:rPr>
            </w:pPr>
          </w:p>
        </w:tc>
      </w:tr>
      <w:tr w14:paraId="3385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1A26CEE7">
            <w:pPr>
              <w:spacing w:before="40" w:after="40"/>
              <w:jc w:val="left"/>
              <w:rPr>
                <w:color w:val="auto"/>
                <w:sz w:val="21"/>
                <w:szCs w:val="20"/>
              </w:rPr>
            </w:pPr>
            <w:r>
              <w:rPr>
                <w:rFonts w:ascii="仿宋" w:hAnsi="仿宋" w:eastAsia="仿宋"/>
                <w:b w:val="0"/>
                <w:color w:val="auto"/>
                <w:sz w:val="24"/>
                <w:szCs w:val="20"/>
              </w:rPr>
              <w:t>1</w:t>
            </w:r>
          </w:p>
        </w:tc>
        <w:tc>
          <w:tcPr>
            <w:tcW w:w="1670" w:type="dxa"/>
          </w:tcPr>
          <w:p w14:paraId="78FF8C75">
            <w:pPr>
              <w:spacing w:before="40" w:after="40"/>
              <w:jc w:val="left"/>
              <w:rPr>
                <w:color w:val="auto"/>
                <w:sz w:val="21"/>
                <w:szCs w:val="20"/>
              </w:rPr>
            </w:pPr>
            <w:r>
              <w:rPr>
                <w:rFonts w:ascii="仿宋" w:hAnsi="仿宋" w:eastAsia="仿宋"/>
                <w:b w:val="0"/>
                <w:color w:val="auto"/>
                <w:sz w:val="24"/>
                <w:szCs w:val="20"/>
              </w:rPr>
              <w:t>人员数量要求</w:t>
            </w:r>
          </w:p>
        </w:tc>
        <w:tc>
          <w:tcPr>
            <w:tcW w:w="1440" w:type="dxa"/>
          </w:tcPr>
          <w:p w14:paraId="198A45E8">
            <w:pPr>
              <w:spacing w:before="40" w:after="40"/>
              <w:jc w:val="left"/>
              <w:rPr>
                <w:color w:val="auto"/>
                <w:sz w:val="21"/>
                <w:szCs w:val="20"/>
              </w:rPr>
            </w:pPr>
            <w:r>
              <w:rPr>
                <w:rFonts w:ascii="仿宋" w:hAnsi="仿宋" w:eastAsia="仿宋"/>
                <w:b w:val="0"/>
                <w:color w:val="auto"/>
                <w:sz w:val="24"/>
                <w:szCs w:val="20"/>
              </w:rPr>
              <w:t>2</w:t>
            </w:r>
          </w:p>
        </w:tc>
        <w:tc>
          <w:tcPr>
            <w:tcW w:w="4560" w:type="dxa"/>
          </w:tcPr>
          <w:p w14:paraId="06D47383">
            <w:pPr>
              <w:spacing w:before="40" w:after="40"/>
              <w:jc w:val="left"/>
              <w:rPr>
                <w:color w:val="auto"/>
                <w:sz w:val="21"/>
                <w:szCs w:val="20"/>
              </w:rPr>
            </w:pPr>
            <w:r>
              <w:rPr>
                <w:rFonts w:ascii="仿宋" w:hAnsi="仿宋" w:eastAsia="仿宋"/>
                <w:b w:val="0"/>
                <w:color w:val="auto"/>
                <w:sz w:val="24"/>
                <w:szCs w:val="20"/>
              </w:rPr>
              <w:t>优秀：配备人员的数量满足合同要求；</w:t>
            </w:r>
            <w:r>
              <w:rPr>
                <w:rFonts w:ascii="仿宋" w:hAnsi="仿宋" w:eastAsia="仿宋"/>
                <w:b w:val="0"/>
                <w:color w:val="auto"/>
                <w:sz w:val="24"/>
                <w:szCs w:val="20"/>
              </w:rPr>
              <w:br w:type="textWrapping"/>
            </w:r>
            <w:r>
              <w:rPr>
                <w:rFonts w:ascii="仿宋" w:hAnsi="仿宋" w:eastAsia="仿宋"/>
                <w:b w:val="0"/>
                <w:color w:val="auto"/>
                <w:sz w:val="24"/>
                <w:szCs w:val="20"/>
              </w:rPr>
              <w:t>不合格：配备人员的数量不满足合同要求。</w:t>
            </w:r>
          </w:p>
        </w:tc>
        <w:tc>
          <w:tcPr>
            <w:tcW w:w="800" w:type="dxa"/>
          </w:tcPr>
          <w:p w14:paraId="703FEE25">
            <w:pPr>
              <w:spacing w:before="40" w:after="40"/>
              <w:jc w:val="center"/>
              <w:rPr>
                <w:color w:val="auto"/>
                <w:sz w:val="22"/>
                <w:szCs w:val="21"/>
              </w:rPr>
            </w:pPr>
          </w:p>
        </w:tc>
      </w:tr>
      <w:tr w14:paraId="0A07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693DC1A">
            <w:pPr>
              <w:spacing w:before="40" w:after="40"/>
              <w:jc w:val="left"/>
              <w:rPr>
                <w:color w:val="auto"/>
                <w:sz w:val="21"/>
                <w:szCs w:val="20"/>
              </w:rPr>
            </w:pPr>
            <w:r>
              <w:rPr>
                <w:rFonts w:ascii="仿宋" w:hAnsi="仿宋" w:eastAsia="仿宋"/>
                <w:b w:val="0"/>
                <w:color w:val="auto"/>
                <w:sz w:val="24"/>
                <w:szCs w:val="20"/>
              </w:rPr>
              <w:t>2</w:t>
            </w:r>
          </w:p>
        </w:tc>
        <w:tc>
          <w:tcPr>
            <w:tcW w:w="1670" w:type="dxa"/>
          </w:tcPr>
          <w:p w14:paraId="40555C75">
            <w:pPr>
              <w:spacing w:before="40" w:after="40"/>
              <w:jc w:val="left"/>
              <w:rPr>
                <w:color w:val="auto"/>
                <w:sz w:val="21"/>
                <w:szCs w:val="20"/>
              </w:rPr>
            </w:pPr>
            <w:r>
              <w:rPr>
                <w:rFonts w:ascii="仿宋" w:hAnsi="仿宋" w:eastAsia="仿宋"/>
                <w:b w:val="0"/>
                <w:color w:val="auto"/>
                <w:sz w:val="24"/>
                <w:szCs w:val="20"/>
              </w:rPr>
              <w:t>专业配置要求</w:t>
            </w:r>
          </w:p>
        </w:tc>
        <w:tc>
          <w:tcPr>
            <w:tcW w:w="1440" w:type="dxa"/>
          </w:tcPr>
          <w:p w14:paraId="25C3E645">
            <w:pPr>
              <w:spacing w:before="40" w:after="40"/>
              <w:jc w:val="left"/>
              <w:rPr>
                <w:color w:val="auto"/>
                <w:sz w:val="21"/>
                <w:szCs w:val="20"/>
              </w:rPr>
            </w:pPr>
            <w:r>
              <w:rPr>
                <w:rFonts w:ascii="仿宋" w:hAnsi="仿宋" w:eastAsia="仿宋"/>
                <w:b w:val="0"/>
                <w:color w:val="auto"/>
                <w:sz w:val="24"/>
                <w:szCs w:val="20"/>
              </w:rPr>
              <w:t>3</w:t>
            </w:r>
          </w:p>
        </w:tc>
        <w:tc>
          <w:tcPr>
            <w:tcW w:w="4560" w:type="dxa"/>
          </w:tcPr>
          <w:p w14:paraId="59E3FF8C">
            <w:pPr>
              <w:spacing w:before="40" w:after="40"/>
              <w:jc w:val="left"/>
              <w:rPr>
                <w:color w:val="auto"/>
                <w:sz w:val="21"/>
                <w:szCs w:val="20"/>
              </w:rPr>
            </w:pPr>
            <w:r>
              <w:rPr>
                <w:rFonts w:ascii="仿宋" w:hAnsi="仿宋" w:eastAsia="仿宋"/>
                <w:b w:val="0"/>
                <w:color w:val="auto"/>
                <w:sz w:val="24"/>
                <w:szCs w:val="20"/>
              </w:rPr>
              <w:t>优秀：配备人员的专业满足合同要求且各专业人员稳定；</w:t>
            </w:r>
            <w:r>
              <w:rPr>
                <w:rFonts w:ascii="仿宋" w:hAnsi="仿宋" w:eastAsia="仿宋"/>
                <w:b w:val="0"/>
                <w:color w:val="auto"/>
                <w:sz w:val="24"/>
                <w:szCs w:val="20"/>
              </w:rPr>
              <w:br w:type="textWrapping"/>
            </w:r>
            <w:r>
              <w:rPr>
                <w:rFonts w:ascii="仿宋" w:hAnsi="仿宋" w:eastAsia="仿宋"/>
                <w:b w:val="0"/>
                <w:color w:val="auto"/>
                <w:sz w:val="24"/>
                <w:szCs w:val="20"/>
              </w:rPr>
              <w:t>良好：比较稳定；</w:t>
            </w:r>
            <w:r>
              <w:rPr>
                <w:rFonts w:ascii="仿宋" w:hAnsi="仿宋" w:eastAsia="仿宋"/>
                <w:b w:val="0"/>
                <w:color w:val="auto"/>
                <w:sz w:val="24"/>
                <w:szCs w:val="20"/>
              </w:rPr>
              <w:br w:type="textWrapping"/>
            </w:r>
            <w:r>
              <w:rPr>
                <w:rFonts w:ascii="仿宋" w:hAnsi="仿宋" w:eastAsia="仿宋"/>
                <w:b w:val="0"/>
                <w:color w:val="auto"/>
                <w:sz w:val="24"/>
                <w:szCs w:val="20"/>
              </w:rPr>
              <w:t>合格：基本稳定；</w:t>
            </w:r>
            <w:r>
              <w:rPr>
                <w:rFonts w:ascii="仿宋" w:hAnsi="仿宋" w:eastAsia="仿宋"/>
                <w:b w:val="0"/>
                <w:color w:val="auto"/>
                <w:sz w:val="24"/>
                <w:szCs w:val="20"/>
              </w:rPr>
              <w:br w:type="textWrapping"/>
            </w:r>
            <w:r>
              <w:rPr>
                <w:rFonts w:ascii="仿宋" w:hAnsi="仿宋" w:eastAsia="仿宋"/>
                <w:b w:val="0"/>
                <w:color w:val="auto"/>
                <w:sz w:val="24"/>
                <w:szCs w:val="20"/>
              </w:rPr>
              <w:t>不合格：不满足要求或不稳定。</w:t>
            </w:r>
          </w:p>
        </w:tc>
        <w:tc>
          <w:tcPr>
            <w:tcW w:w="800" w:type="dxa"/>
          </w:tcPr>
          <w:p w14:paraId="74F11764">
            <w:pPr>
              <w:spacing w:before="40" w:after="40"/>
              <w:jc w:val="center"/>
              <w:rPr>
                <w:color w:val="auto"/>
                <w:sz w:val="22"/>
                <w:szCs w:val="21"/>
              </w:rPr>
            </w:pPr>
          </w:p>
        </w:tc>
      </w:tr>
      <w:tr w14:paraId="2A80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CF589CC">
            <w:pPr>
              <w:spacing w:before="40" w:after="40"/>
              <w:jc w:val="left"/>
              <w:rPr>
                <w:color w:val="auto"/>
                <w:sz w:val="21"/>
                <w:szCs w:val="20"/>
              </w:rPr>
            </w:pPr>
            <w:r>
              <w:rPr>
                <w:rFonts w:ascii="仿宋" w:hAnsi="仿宋" w:eastAsia="仿宋"/>
                <w:b w:val="0"/>
                <w:color w:val="auto"/>
                <w:sz w:val="24"/>
                <w:szCs w:val="20"/>
              </w:rPr>
              <w:t>3</w:t>
            </w:r>
          </w:p>
        </w:tc>
        <w:tc>
          <w:tcPr>
            <w:tcW w:w="1670" w:type="dxa"/>
          </w:tcPr>
          <w:p w14:paraId="64362F57">
            <w:pPr>
              <w:spacing w:before="40" w:after="40"/>
              <w:jc w:val="left"/>
              <w:rPr>
                <w:color w:val="auto"/>
                <w:sz w:val="21"/>
                <w:szCs w:val="20"/>
              </w:rPr>
            </w:pPr>
            <w:r>
              <w:rPr>
                <w:rFonts w:ascii="仿宋" w:hAnsi="仿宋" w:eastAsia="仿宋"/>
                <w:b w:val="0"/>
                <w:color w:val="auto"/>
                <w:sz w:val="24"/>
                <w:szCs w:val="20"/>
              </w:rPr>
              <w:t>项目负责人要求</w:t>
            </w:r>
          </w:p>
        </w:tc>
        <w:tc>
          <w:tcPr>
            <w:tcW w:w="1440" w:type="dxa"/>
          </w:tcPr>
          <w:p w14:paraId="5D188577">
            <w:pPr>
              <w:spacing w:before="40" w:after="40"/>
              <w:jc w:val="left"/>
              <w:rPr>
                <w:color w:val="auto"/>
                <w:sz w:val="21"/>
                <w:szCs w:val="20"/>
              </w:rPr>
            </w:pPr>
            <w:r>
              <w:rPr>
                <w:rFonts w:ascii="仿宋" w:hAnsi="仿宋" w:eastAsia="仿宋"/>
                <w:b w:val="0"/>
                <w:color w:val="auto"/>
                <w:sz w:val="24"/>
                <w:szCs w:val="20"/>
              </w:rPr>
              <w:t>5</w:t>
            </w:r>
          </w:p>
        </w:tc>
        <w:tc>
          <w:tcPr>
            <w:tcW w:w="4560" w:type="dxa"/>
          </w:tcPr>
          <w:p w14:paraId="687EDECD">
            <w:pPr>
              <w:spacing w:before="40" w:after="40"/>
              <w:jc w:val="left"/>
              <w:rPr>
                <w:color w:val="auto"/>
                <w:sz w:val="21"/>
                <w:szCs w:val="20"/>
              </w:rPr>
            </w:pPr>
            <w:r>
              <w:rPr>
                <w:rFonts w:ascii="仿宋" w:hAnsi="仿宋" w:eastAsia="仿宋"/>
                <w:b w:val="0"/>
                <w:color w:val="auto"/>
                <w:sz w:val="24"/>
                <w:szCs w:val="20"/>
              </w:rPr>
              <w:t>优秀：配备固定负责人，具有高度责任心、良好组织协调能力和专业业务水平；</w:t>
            </w:r>
            <w:r>
              <w:rPr>
                <w:rFonts w:ascii="仿宋" w:hAnsi="仿宋" w:eastAsia="仿宋"/>
                <w:b w:val="0"/>
                <w:color w:val="auto"/>
                <w:sz w:val="24"/>
                <w:szCs w:val="20"/>
              </w:rPr>
              <w:br w:type="textWrapping"/>
            </w:r>
            <w:r>
              <w:rPr>
                <w:rFonts w:ascii="仿宋" w:hAnsi="仿宋" w:eastAsia="仿宋"/>
                <w:b w:val="0"/>
                <w:color w:val="auto"/>
                <w:sz w:val="24"/>
                <w:szCs w:val="20"/>
              </w:rPr>
              <w:t>良好：比较良好；</w:t>
            </w:r>
            <w:r>
              <w:rPr>
                <w:rFonts w:ascii="仿宋" w:hAnsi="仿宋" w:eastAsia="仿宋"/>
                <w:b w:val="0"/>
                <w:color w:val="auto"/>
                <w:sz w:val="24"/>
                <w:szCs w:val="20"/>
              </w:rPr>
              <w:br w:type="textWrapping"/>
            </w:r>
            <w:r>
              <w:rPr>
                <w:rFonts w:ascii="仿宋" w:hAnsi="仿宋" w:eastAsia="仿宋"/>
                <w:b w:val="0"/>
                <w:color w:val="auto"/>
                <w:sz w:val="24"/>
                <w:szCs w:val="20"/>
              </w:rPr>
              <w:t>合格：基本良好；</w:t>
            </w:r>
            <w:r>
              <w:rPr>
                <w:rFonts w:ascii="仿宋" w:hAnsi="仿宋" w:eastAsia="仿宋"/>
                <w:b w:val="0"/>
                <w:color w:val="auto"/>
                <w:sz w:val="24"/>
                <w:szCs w:val="20"/>
              </w:rPr>
              <w:br w:type="textWrapping"/>
            </w:r>
            <w:r>
              <w:rPr>
                <w:rFonts w:ascii="仿宋" w:hAnsi="仿宋" w:eastAsia="仿宋"/>
                <w:b w:val="0"/>
                <w:color w:val="auto"/>
                <w:sz w:val="24"/>
                <w:szCs w:val="20"/>
              </w:rPr>
              <w:t>不合格：不固定或不具备相应能力。</w:t>
            </w:r>
          </w:p>
        </w:tc>
        <w:tc>
          <w:tcPr>
            <w:tcW w:w="800" w:type="dxa"/>
          </w:tcPr>
          <w:p w14:paraId="2B24CEDD">
            <w:pPr>
              <w:spacing w:before="40" w:after="40"/>
              <w:jc w:val="center"/>
              <w:rPr>
                <w:color w:val="auto"/>
                <w:sz w:val="22"/>
                <w:szCs w:val="21"/>
              </w:rPr>
            </w:pPr>
          </w:p>
        </w:tc>
      </w:tr>
      <w:tr w14:paraId="6E98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3112D2B">
            <w:pPr>
              <w:spacing w:before="40" w:after="40"/>
              <w:jc w:val="left"/>
              <w:rPr>
                <w:color w:val="auto"/>
                <w:sz w:val="21"/>
                <w:szCs w:val="20"/>
              </w:rPr>
            </w:pPr>
            <w:r>
              <w:rPr>
                <w:rFonts w:ascii="仿宋" w:hAnsi="仿宋" w:eastAsia="仿宋"/>
                <w:b w:val="0"/>
                <w:color w:val="auto"/>
                <w:sz w:val="24"/>
                <w:szCs w:val="20"/>
              </w:rPr>
              <w:t>二</w:t>
            </w:r>
          </w:p>
        </w:tc>
        <w:tc>
          <w:tcPr>
            <w:tcW w:w="1670" w:type="dxa"/>
          </w:tcPr>
          <w:p w14:paraId="35911E4E">
            <w:pPr>
              <w:spacing w:before="40" w:after="40"/>
              <w:jc w:val="left"/>
              <w:rPr>
                <w:color w:val="auto"/>
                <w:sz w:val="21"/>
                <w:szCs w:val="20"/>
              </w:rPr>
            </w:pPr>
            <w:r>
              <w:rPr>
                <w:rFonts w:ascii="仿宋" w:hAnsi="仿宋" w:eastAsia="仿宋"/>
                <w:b w:val="0"/>
                <w:color w:val="auto"/>
                <w:sz w:val="24"/>
                <w:szCs w:val="20"/>
              </w:rPr>
              <w:t>履约质量</w:t>
            </w:r>
          </w:p>
        </w:tc>
        <w:tc>
          <w:tcPr>
            <w:tcW w:w="1440" w:type="dxa"/>
          </w:tcPr>
          <w:p w14:paraId="48185A66">
            <w:pPr>
              <w:spacing w:before="40" w:after="40"/>
              <w:jc w:val="left"/>
              <w:rPr>
                <w:color w:val="auto"/>
                <w:sz w:val="21"/>
                <w:szCs w:val="20"/>
              </w:rPr>
            </w:pPr>
            <w:r>
              <w:rPr>
                <w:rFonts w:ascii="仿宋" w:hAnsi="仿宋" w:eastAsia="仿宋"/>
                <w:b w:val="0"/>
                <w:color w:val="auto"/>
                <w:sz w:val="24"/>
                <w:szCs w:val="20"/>
              </w:rPr>
              <w:t>45</w:t>
            </w:r>
          </w:p>
        </w:tc>
        <w:tc>
          <w:tcPr>
            <w:tcW w:w="4560" w:type="dxa"/>
          </w:tcPr>
          <w:p w14:paraId="6E75DDD3">
            <w:pPr>
              <w:spacing w:before="40" w:after="40"/>
              <w:jc w:val="left"/>
              <w:rPr>
                <w:color w:val="auto"/>
                <w:sz w:val="21"/>
                <w:szCs w:val="20"/>
              </w:rPr>
            </w:pPr>
          </w:p>
        </w:tc>
        <w:tc>
          <w:tcPr>
            <w:tcW w:w="800" w:type="dxa"/>
          </w:tcPr>
          <w:p w14:paraId="4C4EA691">
            <w:pPr>
              <w:spacing w:before="40" w:after="40"/>
              <w:jc w:val="center"/>
              <w:rPr>
                <w:color w:val="auto"/>
                <w:sz w:val="22"/>
                <w:szCs w:val="21"/>
              </w:rPr>
            </w:pPr>
          </w:p>
        </w:tc>
      </w:tr>
      <w:tr w14:paraId="11CA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962EDED">
            <w:pPr>
              <w:spacing w:before="40" w:after="40"/>
              <w:jc w:val="left"/>
              <w:rPr>
                <w:color w:val="auto"/>
                <w:sz w:val="21"/>
                <w:szCs w:val="20"/>
              </w:rPr>
            </w:pPr>
            <w:r>
              <w:rPr>
                <w:rFonts w:ascii="仿宋" w:hAnsi="仿宋" w:eastAsia="仿宋"/>
                <w:b w:val="0"/>
                <w:color w:val="auto"/>
                <w:sz w:val="24"/>
                <w:szCs w:val="20"/>
              </w:rPr>
              <w:t>4</w:t>
            </w:r>
          </w:p>
        </w:tc>
        <w:tc>
          <w:tcPr>
            <w:tcW w:w="1670" w:type="dxa"/>
          </w:tcPr>
          <w:p w14:paraId="4378D97A">
            <w:pPr>
              <w:spacing w:before="40" w:after="40"/>
              <w:jc w:val="left"/>
              <w:rPr>
                <w:color w:val="auto"/>
                <w:sz w:val="21"/>
                <w:szCs w:val="20"/>
              </w:rPr>
            </w:pPr>
            <w:r>
              <w:rPr>
                <w:rFonts w:ascii="仿宋" w:hAnsi="仿宋" w:eastAsia="仿宋"/>
                <w:b w:val="0"/>
                <w:color w:val="auto"/>
                <w:sz w:val="24"/>
                <w:szCs w:val="20"/>
              </w:rPr>
              <w:t>保洁服务质量</w:t>
            </w:r>
          </w:p>
        </w:tc>
        <w:tc>
          <w:tcPr>
            <w:tcW w:w="1440" w:type="dxa"/>
          </w:tcPr>
          <w:p w14:paraId="070B50D9">
            <w:pPr>
              <w:spacing w:before="40" w:after="40"/>
              <w:jc w:val="left"/>
              <w:rPr>
                <w:color w:val="auto"/>
                <w:sz w:val="21"/>
                <w:szCs w:val="20"/>
              </w:rPr>
            </w:pPr>
            <w:r>
              <w:rPr>
                <w:rFonts w:ascii="仿宋" w:hAnsi="仿宋" w:eastAsia="仿宋"/>
                <w:b w:val="0"/>
                <w:color w:val="auto"/>
                <w:sz w:val="24"/>
                <w:szCs w:val="20"/>
              </w:rPr>
              <w:t>20</w:t>
            </w:r>
          </w:p>
        </w:tc>
        <w:tc>
          <w:tcPr>
            <w:tcW w:w="4560" w:type="dxa"/>
          </w:tcPr>
          <w:p w14:paraId="4673579F">
            <w:pPr>
              <w:spacing w:before="40" w:after="40"/>
              <w:jc w:val="left"/>
              <w:rPr>
                <w:color w:val="auto"/>
                <w:sz w:val="21"/>
                <w:szCs w:val="20"/>
              </w:rPr>
            </w:pPr>
            <w:r>
              <w:rPr>
                <w:rFonts w:ascii="仿宋" w:hAnsi="仿宋" w:eastAsia="仿宋"/>
                <w:b w:val="0"/>
                <w:color w:val="auto"/>
                <w:sz w:val="24"/>
                <w:szCs w:val="20"/>
              </w:rPr>
              <w:t>优秀：严格按合同开展保洁工作，确保环境质量符合运营要求；</w:t>
            </w:r>
            <w:r>
              <w:rPr>
                <w:rFonts w:ascii="仿宋" w:hAnsi="仿宋" w:eastAsia="仿宋"/>
                <w:b w:val="0"/>
                <w:color w:val="auto"/>
                <w:sz w:val="24"/>
                <w:szCs w:val="20"/>
              </w:rPr>
              <w:br w:type="textWrapping"/>
            </w:r>
            <w:r>
              <w:rPr>
                <w:rFonts w:ascii="仿宋" w:hAnsi="仿宋" w:eastAsia="仿宋"/>
                <w:b w:val="0"/>
                <w:color w:val="auto"/>
                <w:sz w:val="24"/>
                <w:szCs w:val="20"/>
              </w:rPr>
              <w:t>良好：经少量补正后通过验收；</w:t>
            </w:r>
            <w:r>
              <w:rPr>
                <w:rFonts w:ascii="仿宋" w:hAnsi="仿宋" w:eastAsia="仿宋"/>
                <w:b w:val="0"/>
                <w:color w:val="auto"/>
                <w:sz w:val="24"/>
                <w:szCs w:val="20"/>
              </w:rPr>
              <w:br w:type="textWrapping"/>
            </w:r>
            <w:r>
              <w:rPr>
                <w:rFonts w:ascii="仿宋" w:hAnsi="仿宋" w:eastAsia="仿宋"/>
                <w:b w:val="0"/>
                <w:color w:val="auto"/>
                <w:sz w:val="24"/>
                <w:szCs w:val="20"/>
              </w:rPr>
              <w:t>合格：整改后通过验收；</w:t>
            </w:r>
            <w:r>
              <w:rPr>
                <w:rFonts w:ascii="仿宋" w:hAnsi="仿宋" w:eastAsia="仿宋"/>
                <w:b w:val="0"/>
                <w:color w:val="auto"/>
                <w:sz w:val="24"/>
                <w:szCs w:val="20"/>
              </w:rPr>
              <w:br w:type="textWrapping"/>
            </w:r>
            <w:r>
              <w:rPr>
                <w:rFonts w:ascii="仿宋" w:hAnsi="仿宋" w:eastAsia="仿宋"/>
                <w:b w:val="0"/>
                <w:color w:val="auto"/>
                <w:sz w:val="24"/>
                <w:szCs w:val="20"/>
              </w:rPr>
              <w:t>不合格：整改后仍未通过验收。</w:t>
            </w:r>
          </w:p>
        </w:tc>
        <w:tc>
          <w:tcPr>
            <w:tcW w:w="800" w:type="dxa"/>
          </w:tcPr>
          <w:p w14:paraId="33011906">
            <w:pPr>
              <w:spacing w:before="40" w:after="40"/>
              <w:jc w:val="center"/>
              <w:rPr>
                <w:color w:val="auto"/>
                <w:sz w:val="22"/>
                <w:szCs w:val="21"/>
              </w:rPr>
            </w:pPr>
          </w:p>
        </w:tc>
      </w:tr>
      <w:tr w14:paraId="0E6F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25036C5">
            <w:pPr>
              <w:spacing w:before="40" w:after="40"/>
              <w:jc w:val="left"/>
              <w:rPr>
                <w:color w:val="auto"/>
                <w:sz w:val="21"/>
                <w:szCs w:val="20"/>
              </w:rPr>
            </w:pPr>
            <w:r>
              <w:rPr>
                <w:rFonts w:ascii="仿宋" w:hAnsi="仿宋" w:eastAsia="仿宋"/>
                <w:b w:val="0"/>
                <w:color w:val="auto"/>
                <w:sz w:val="24"/>
                <w:szCs w:val="20"/>
              </w:rPr>
              <w:t>5</w:t>
            </w:r>
          </w:p>
        </w:tc>
        <w:tc>
          <w:tcPr>
            <w:tcW w:w="1670" w:type="dxa"/>
          </w:tcPr>
          <w:p w14:paraId="4C70409D">
            <w:pPr>
              <w:spacing w:before="40" w:after="40"/>
              <w:jc w:val="left"/>
              <w:rPr>
                <w:color w:val="auto"/>
                <w:sz w:val="21"/>
                <w:szCs w:val="20"/>
              </w:rPr>
            </w:pPr>
            <w:r>
              <w:rPr>
                <w:rFonts w:ascii="仿宋" w:hAnsi="仿宋" w:eastAsia="仿宋"/>
                <w:b w:val="0"/>
                <w:color w:val="auto"/>
                <w:sz w:val="24"/>
                <w:szCs w:val="20"/>
              </w:rPr>
              <w:t>绿植养护质量</w:t>
            </w:r>
          </w:p>
        </w:tc>
        <w:tc>
          <w:tcPr>
            <w:tcW w:w="1440" w:type="dxa"/>
          </w:tcPr>
          <w:p w14:paraId="2AB5A03F">
            <w:pPr>
              <w:spacing w:before="40" w:after="40"/>
              <w:jc w:val="left"/>
              <w:rPr>
                <w:color w:val="auto"/>
                <w:sz w:val="21"/>
                <w:szCs w:val="20"/>
              </w:rPr>
            </w:pPr>
            <w:r>
              <w:rPr>
                <w:rFonts w:ascii="仿宋" w:hAnsi="仿宋" w:eastAsia="仿宋"/>
                <w:b w:val="0"/>
                <w:color w:val="auto"/>
                <w:sz w:val="24"/>
                <w:szCs w:val="20"/>
              </w:rPr>
              <w:t>15</w:t>
            </w:r>
          </w:p>
        </w:tc>
        <w:tc>
          <w:tcPr>
            <w:tcW w:w="4560" w:type="dxa"/>
          </w:tcPr>
          <w:p w14:paraId="4DEFA5B6">
            <w:pPr>
              <w:spacing w:before="40" w:after="40"/>
              <w:jc w:val="left"/>
              <w:rPr>
                <w:color w:val="auto"/>
                <w:sz w:val="21"/>
                <w:szCs w:val="20"/>
              </w:rPr>
            </w:pPr>
            <w:r>
              <w:rPr>
                <w:rFonts w:ascii="仿宋" w:hAnsi="仿宋" w:eastAsia="仿宋"/>
                <w:b w:val="0"/>
                <w:color w:val="auto"/>
                <w:sz w:val="24"/>
                <w:szCs w:val="20"/>
              </w:rPr>
              <w:t>优秀：绿植生长健康、形态美观，按合同要求养护；</w:t>
            </w:r>
            <w:r>
              <w:rPr>
                <w:rFonts w:ascii="仿宋" w:hAnsi="仿宋" w:eastAsia="仿宋"/>
                <w:b w:val="0"/>
                <w:color w:val="auto"/>
                <w:sz w:val="24"/>
                <w:szCs w:val="20"/>
              </w:rPr>
              <w:br w:type="textWrapping"/>
            </w:r>
            <w:r>
              <w:rPr>
                <w:rFonts w:ascii="仿宋" w:hAnsi="仿宋" w:eastAsia="仿宋"/>
                <w:b w:val="0"/>
                <w:color w:val="auto"/>
                <w:sz w:val="24"/>
                <w:szCs w:val="20"/>
              </w:rPr>
              <w:t>良好：总体良好；</w:t>
            </w:r>
            <w:r>
              <w:rPr>
                <w:rFonts w:ascii="仿宋" w:hAnsi="仿宋" w:eastAsia="仿宋"/>
                <w:b w:val="0"/>
                <w:color w:val="auto"/>
                <w:sz w:val="24"/>
                <w:szCs w:val="20"/>
              </w:rPr>
              <w:br w:type="textWrapping"/>
            </w:r>
            <w:r>
              <w:rPr>
                <w:rFonts w:ascii="仿宋" w:hAnsi="仿宋" w:eastAsia="仿宋"/>
                <w:b w:val="0"/>
                <w:color w:val="auto"/>
                <w:sz w:val="24"/>
                <w:szCs w:val="20"/>
              </w:rPr>
              <w:t>合格：基本达标；</w:t>
            </w:r>
            <w:r>
              <w:rPr>
                <w:rFonts w:ascii="仿宋" w:hAnsi="仿宋" w:eastAsia="仿宋"/>
                <w:b w:val="0"/>
                <w:color w:val="auto"/>
                <w:sz w:val="24"/>
                <w:szCs w:val="20"/>
              </w:rPr>
              <w:br w:type="textWrapping"/>
            </w:r>
            <w:r>
              <w:rPr>
                <w:rFonts w:ascii="仿宋" w:hAnsi="仿宋" w:eastAsia="仿宋"/>
                <w:b w:val="0"/>
                <w:color w:val="auto"/>
                <w:sz w:val="24"/>
                <w:szCs w:val="20"/>
              </w:rPr>
              <w:t>不合格：大面积枯黄、病虫害严重。</w:t>
            </w:r>
          </w:p>
        </w:tc>
        <w:tc>
          <w:tcPr>
            <w:tcW w:w="800" w:type="dxa"/>
          </w:tcPr>
          <w:p w14:paraId="5BD09CEA">
            <w:pPr>
              <w:spacing w:before="40" w:after="40"/>
              <w:jc w:val="center"/>
              <w:rPr>
                <w:color w:val="auto"/>
                <w:sz w:val="22"/>
                <w:szCs w:val="21"/>
              </w:rPr>
            </w:pPr>
          </w:p>
        </w:tc>
      </w:tr>
      <w:tr w14:paraId="55E2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D80BB0F">
            <w:pPr>
              <w:spacing w:before="40" w:after="40"/>
              <w:jc w:val="left"/>
              <w:rPr>
                <w:color w:val="auto"/>
                <w:sz w:val="21"/>
                <w:szCs w:val="20"/>
              </w:rPr>
            </w:pPr>
            <w:r>
              <w:rPr>
                <w:rFonts w:ascii="仿宋" w:hAnsi="仿宋" w:eastAsia="仿宋"/>
                <w:b w:val="0"/>
                <w:color w:val="auto"/>
                <w:sz w:val="24"/>
                <w:szCs w:val="20"/>
              </w:rPr>
              <w:t>6</w:t>
            </w:r>
          </w:p>
        </w:tc>
        <w:tc>
          <w:tcPr>
            <w:tcW w:w="1670" w:type="dxa"/>
          </w:tcPr>
          <w:p w14:paraId="315896E7">
            <w:pPr>
              <w:spacing w:before="40" w:after="40"/>
              <w:jc w:val="left"/>
              <w:rPr>
                <w:color w:val="auto"/>
                <w:sz w:val="21"/>
                <w:szCs w:val="20"/>
              </w:rPr>
            </w:pPr>
            <w:r>
              <w:rPr>
                <w:rFonts w:ascii="仿宋" w:hAnsi="仿宋" w:eastAsia="仿宋"/>
                <w:b w:val="0"/>
                <w:color w:val="auto"/>
                <w:sz w:val="24"/>
                <w:szCs w:val="20"/>
              </w:rPr>
              <w:t>成果文件</w:t>
            </w:r>
          </w:p>
        </w:tc>
        <w:tc>
          <w:tcPr>
            <w:tcW w:w="1440" w:type="dxa"/>
          </w:tcPr>
          <w:p w14:paraId="144E0E79">
            <w:pPr>
              <w:spacing w:before="40" w:after="40"/>
              <w:jc w:val="left"/>
              <w:rPr>
                <w:color w:val="auto"/>
                <w:sz w:val="21"/>
                <w:szCs w:val="20"/>
              </w:rPr>
            </w:pPr>
            <w:r>
              <w:rPr>
                <w:rFonts w:ascii="仿宋" w:hAnsi="仿宋" w:eastAsia="仿宋"/>
                <w:b w:val="0"/>
                <w:color w:val="auto"/>
                <w:sz w:val="24"/>
                <w:szCs w:val="20"/>
              </w:rPr>
              <w:t>5</w:t>
            </w:r>
          </w:p>
        </w:tc>
        <w:tc>
          <w:tcPr>
            <w:tcW w:w="4560" w:type="dxa"/>
          </w:tcPr>
          <w:p w14:paraId="06B256D1">
            <w:pPr>
              <w:spacing w:before="40" w:after="40"/>
              <w:jc w:val="left"/>
              <w:rPr>
                <w:color w:val="auto"/>
                <w:sz w:val="21"/>
                <w:szCs w:val="20"/>
              </w:rPr>
            </w:pPr>
            <w:r>
              <w:rPr>
                <w:rFonts w:ascii="仿宋" w:hAnsi="仿宋" w:eastAsia="仿宋"/>
                <w:b w:val="0"/>
                <w:color w:val="auto"/>
                <w:sz w:val="24"/>
                <w:szCs w:val="20"/>
              </w:rPr>
              <w:t>优秀：按要求提交服务清单、验收单、台账记录等；</w:t>
            </w:r>
            <w:r>
              <w:rPr>
                <w:rFonts w:ascii="仿宋" w:hAnsi="仿宋" w:eastAsia="仿宋"/>
                <w:b w:val="0"/>
                <w:color w:val="auto"/>
                <w:sz w:val="24"/>
                <w:szCs w:val="20"/>
              </w:rPr>
              <w:br w:type="textWrapping"/>
            </w:r>
            <w:r>
              <w:rPr>
                <w:rFonts w:ascii="仿宋" w:hAnsi="仿宋" w:eastAsia="仿宋"/>
                <w:b w:val="0"/>
                <w:color w:val="auto"/>
                <w:sz w:val="24"/>
                <w:szCs w:val="20"/>
              </w:rPr>
              <w:t>不合格：未能按要求提交完整文件。</w:t>
            </w:r>
          </w:p>
        </w:tc>
        <w:tc>
          <w:tcPr>
            <w:tcW w:w="800" w:type="dxa"/>
          </w:tcPr>
          <w:p w14:paraId="7088A151">
            <w:pPr>
              <w:spacing w:before="40" w:after="40"/>
              <w:jc w:val="center"/>
              <w:rPr>
                <w:color w:val="auto"/>
                <w:sz w:val="22"/>
                <w:szCs w:val="21"/>
              </w:rPr>
            </w:pPr>
          </w:p>
        </w:tc>
      </w:tr>
      <w:tr w14:paraId="0CBF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32B46C9">
            <w:pPr>
              <w:spacing w:before="40" w:after="40"/>
              <w:jc w:val="left"/>
              <w:rPr>
                <w:color w:val="auto"/>
                <w:sz w:val="21"/>
                <w:szCs w:val="20"/>
              </w:rPr>
            </w:pPr>
            <w:r>
              <w:rPr>
                <w:rFonts w:ascii="仿宋" w:hAnsi="仿宋" w:eastAsia="仿宋"/>
                <w:b w:val="0"/>
                <w:color w:val="auto"/>
                <w:sz w:val="24"/>
                <w:szCs w:val="20"/>
              </w:rPr>
              <w:t>7</w:t>
            </w:r>
          </w:p>
        </w:tc>
        <w:tc>
          <w:tcPr>
            <w:tcW w:w="1670" w:type="dxa"/>
          </w:tcPr>
          <w:p w14:paraId="5A015BA8">
            <w:pPr>
              <w:spacing w:before="40" w:after="40"/>
              <w:jc w:val="left"/>
              <w:rPr>
                <w:color w:val="auto"/>
                <w:sz w:val="21"/>
                <w:szCs w:val="20"/>
              </w:rPr>
            </w:pPr>
            <w:r>
              <w:rPr>
                <w:rFonts w:ascii="仿宋" w:hAnsi="仿宋" w:eastAsia="仿宋"/>
                <w:b w:val="0"/>
                <w:color w:val="auto"/>
                <w:sz w:val="24"/>
                <w:szCs w:val="20"/>
              </w:rPr>
              <w:t>绿植更换及时性</w:t>
            </w:r>
          </w:p>
        </w:tc>
        <w:tc>
          <w:tcPr>
            <w:tcW w:w="1440" w:type="dxa"/>
          </w:tcPr>
          <w:p w14:paraId="1EA0174B">
            <w:pPr>
              <w:spacing w:before="40" w:after="40"/>
              <w:jc w:val="left"/>
              <w:rPr>
                <w:color w:val="auto"/>
                <w:sz w:val="21"/>
                <w:szCs w:val="20"/>
              </w:rPr>
            </w:pPr>
            <w:r>
              <w:rPr>
                <w:rFonts w:ascii="仿宋" w:hAnsi="仿宋" w:eastAsia="仿宋"/>
                <w:b w:val="0"/>
                <w:color w:val="auto"/>
                <w:sz w:val="24"/>
                <w:szCs w:val="20"/>
              </w:rPr>
              <w:t>5</w:t>
            </w:r>
          </w:p>
        </w:tc>
        <w:tc>
          <w:tcPr>
            <w:tcW w:w="4560" w:type="dxa"/>
          </w:tcPr>
          <w:p w14:paraId="05FEC493">
            <w:pPr>
              <w:spacing w:before="40" w:after="40"/>
              <w:jc w:val="left"/>
              <w:rPr>
                <w:color w:val="auto"/>
                <w:sz w:val="21"/>
                <w:szCs w:val="20"/>
              </w:rPr>
            </w:pPr>
            <w:r>
              <w:rPr>
                <w:rFonts w:ascii="仿宋" w:hAnsi="仿宋" w:eastAsia="仿宋"/>
                <w:b w:val="0"/>
                <w:color w:val="auto"/>
                <w:sz w:val="24"/>
                <w:szCs w:val="20"/>
              </w:rPr>
              <w:t>优秀：枯死/病害绿植2个工作日内更换；</w:t>
            </w:r>
            <w:r>
              <w:rPr>
                <w:rFonts w:ascii="仿宋" w:hAnsi="仿宋" w:eastAsia="仿宋"/>
                <w:b w:val="0"/>
                <w:color w:val="auto"/>
                <w:sz w:val="24"/>
                <w:szCs w:val="20"/>
              </w:rPr>
              <w:br w:type="textWrapping"/>
            </w:r>
            <w:r>
              <w:rPr>
                <w:rFonts w:ascii="仿宋" w:hAnsi="仿宋" w:eastAsia="仿宋"/>
                <w:b w:val="0"/>
                <w:color w:val="auto"/>
                <w:sz w:val="24"/>
                <w:szCs w:val="20"/>
              </w:rPr>
              <w:t>良好：3个工作日内更换；</w:t>
            </w:r>
            <w:r>
              <w:rPr>
                <w:rFonts w:ascii="仿宋" w:hAnsi="仿宋" w:eastAsia="仿宋"/>
                <w:b w:val="0"/>
                <w:color w:val="auto"/>
                <w:sz w:val="24"/>
                <w:szCs w:val="20"/>
              </w:rPr>
              <w:br w:type="textWrapping"/>
            </w:r>
            <w:r>
              <w:rPr>
                <w:rFonts w:ascii="仿宋" w:hAnsi="仿宋" w:eastAsia="仿宋"/>
                <w:b w:val="0"/>
                <w:color w:val="auto"/>
                <w:sz w:val="24"/>
                <w:szCs w:val="20"/>
              </w:rPr>
              <w:t>合格：5个工作日内更换；</w:t>
            </w:r>
            <w:r>
              <w:rPr>
                <w:rFonts w:ascii="仿宋" w:hAnsi="仿宋" w:eastAsia="仿宋"/>
                <w:b w:val="0"/>
                <w:color w:val="auto"/>
                <w:sz w:val="24"/>
                <w:szCs w:val="20"/>
              </w:rPr>
              <w:br w:type="textWrapping"/>
            </w:r>
            <w:r>
              <w:rPr>
                <w:rFonts w:ascii="仿宋" w:hAnsi="仿宋" w:eastAsia="仿宋"/>
                <w:b w:val="0"/>
                <w:color w:val="auto"/>
                <w:sz w:val="24"/>
                <w:szCs w:val="20"/>
              </w:rPr>
              <w:t>不合格：超过5个工作日或未更换。</w:t>
            </w:r>
          </w:p>
        </w:tc>
        <w:tc>
          <w:tcPr>
            <w:tcW w:w="800" w:type="dxa"/>
          </w:tcPr>
          <w:p w14:paraId="04E35ECF">
            <w:pPr>
              <w:spacing w:before="40" w:after="40"/>
              <w:jc w:val="center"/>
              <w:rPr>
                <w:color w:val="auto"/>
                <w:sz w:val="22"/>
                <w:szCs w:val="21"/>
              </w:rPr>
            </w:pPr>
          </w:p>
        </w:tc>
      </w:tr>
      <w:tr w14:paraId="7386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2A10726">
            <w:pPr>
              <w:spacing w:before="40" w:after="40"/>
              <w:jc w:val="left"/>
              <w:rPr>
                <w:color w:val="auto"/>
                <w:sz w:val="21"/>
                <w:szCs w:val="20"/>
              </w:rPr>
            </w:pPr>
            <w:r>
              <w:rPr>
                <w:rFonts w:ascii="仿宋" w:hAnsi="仿宋" w:eastAsia="仿宋"/>
                <w:b w:val="0"/>
                <w:color w:val="auto"/>
                <w:sz w:val="24"/>
                <w:szCs w:val="20"/>
              </w:rPr>
              <w:t>三</w:t>
            </w:r>
          </w:p>
        </w:tc>
        <w:tc>
          <w:tcPr>
            <w:tcW w:w="1670" w:type="dxa"/>
          </w:tcPr>
          <w:p w14:paraId="43C683B3">
            <w:pPr>
              <w:spacing w:before="40" w:after="40"/>
              <w:jc w:val="left"/>
              <w:rPr>
                <w:color w:val="auto"/>
                <w:sz w:val="21"/>
                <w:szCs w:val="20"/>
              </w:rPr>
            </w:pPr>
            <w:r>
              <w:rPr>
                <w:rFonts w:ascii="仿宋" w:hAnsi="仿宋" w:eastAsia="仿宋"/>
                <w:b w:val="0"/>
                <w:color w:val="auto"/>
                <w:sz w:val="24"/>
                <w:szCs w:val="20"/>
              </w:rPr>
              <w:t>履约时间</w:t>
            </w:r>
          </w:p>
        </w:tc>
        <w:tc>
          <w:tcPr>
            <w:tcW w:w="1440" w:type="dxa"/>
          </w:tcPr>
          <w:p w14:paraId="4224BA9A">
            <w:pPr>
              <w:spacing w:before="40" w:after="40"/>
              <w:jc w:val="left"/>
              <w:rPr>
                <w:color w:val="auto"/>
                <w:sz w:val="21"/>
                <w:szCs w:val="20"/>
              </w:rPr>
            </w:pPr>
            <w:r>
              <w:rPr>
                <w:rFonts w:ascii="仿宋" w:hAnsi="仿宋" w:eastAsia="仿宋"/>
                <w:b w:val="0"/>
                <w:color w:val="auto"/>
                <w:sz w:val="24"/>
                <w:szCs w:val="20"/>
              </w:rPr>
              <w:t>10</w:t>
            </w:r>
          </w:p>
        </w:tc>
        <w:tc>
          <w:tcPr>
            <w:tcW w:w="4560" w:type="dxa"/>
          </w:tcPr>
          <w:p w14:paraId="052E002C">
            <w:pPr>
              <w:spacing w:before="40" w:after="40"/>
              <w:jc w:val="left"/>
              <w:rPr>
                <w:color w:val="auto"/>
                <w:sz w:val="21"/>
                <w:szCs w:val="20"/>
              </w:rPr>
            </w:pPr>
          </w:p>
        </w:tc>
        <w:tc>
          <w:tcPr>
            <w:tcW w:w="800" w:type="dxa"/>
          </w:tcPr>
          <w:p w14:paraId="1DF6C939">
            <w:pPr>
              <w:spacing w:before="40" w:after="40"/>
              <w:jc w:val="center"/>
              <w:rPr>
                <w:color w:val="auto"/>
                <w:sz w:val="22"/>
                <w:szCs w:val="21"/>
              </w:rPr>
            </w:pPr>
          </w:p>
        </w:tc>
      </w:tr>
      <w:tr w14:paraId="6C1D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7DAE291">
            <w:pPr>
              <w:spacing w:before="40" w:after="40"/>
              <w:jc w:val="left"/>
              <w:rPr>
                <w:color w:val="auto"/>
                <w:sz w:val="21"/>
                <w:szCs w:val="20"/>
              </w:rPr>
            </w:pPr>
            <w:r>
              <w:rPr>
                <w:rFonts w:ascii="仿宋" w:hAnsi="仿宋" w:eastAsia="仿宋"/>
                <w:b w:val="0"/>
                <w:color w:val="auto"/>
                <w:sz w:val="24"/>
                <w:szCs w:val="20"/>
              </w:rPr>
              <w:t>8</w:t>
            </w:r>
          </w:p>
        </w:tc>
        <w:tc>
          <w:tcPr>
            <w:tcW w:w="1670" w:type="dxa"/>
          </w:tcPr>
          <w:p w14:paraId="6231F393">
            <w:pPr>
              <w:spacing w:before="40" w:after="40"/>
              <w:jc w:val="left"/>
              <w:rPr>
                <w:color w:val="auto"/>
                <w:sz w:val="21"/>
                <w:szCs w:val="20"/>
              </w:rPr>
            </w:pPr>
            <w:r>
              <w:rPr>
                <w:rFonts w:ascii="仿宋" w:hAnsi="仿宋" w:eastAsia="仿宋"/>
                <w:b w:val="0"/>
                <w:color w:val="auto"/>
                <w:sz w:val="24"/>
                <w:szCs w:val="20"/>
              </w:rPr>
              <w:t>工作时间</w:t>
            </w:r>
          </w:p>
        </w:tc>
        <w:tc>
          <w:tcPr>
            <w:tcW w:w="1440" w:type="dxa"/>
          </w:tcPr>
          <w:p w14:paraId="31B7A912">
            <w:pPr>
              <w:spacing w:before="40" w:after="40"/>
              <w:jc w:val="left"/>
              <w:rPr>
                <w:color w:val="auto"/>
                <w:sz w:val="21"/>
                <w:szCs w:val="20"/>
              </w:rPr>
            </w:pPr>
            <w:r>
              <w:rPr>
                <w:rFonts w:ascii="仿宋" w:hAnsi="仿宋" w:eastAsia="仿宋"/>
                <w:b w:val="0"/>
                <w:color w:val="auto"/>
                <w:sz w:val="24"/>
                <w:szCs w:val="20"/>
              </w:rPr>
              <w:t>10</w:t>
            </w:r>
          </w:p>
        </w:tc>
        <w:tc>
          <w:tcPr>
            <w:tcW w:w="4560" w:type="dxa"/>
          </w:tcPr>
          <w:p w14:paraId="39165E75">
            <w:pPr>
              <w:spacing w:before="40" w:after="40"/>
              <w:jc w:val="left"/>
              <w:rPr>
                <w:color w:val="auto"/>
                <w:sz w:val="21"/>
                <w:szCs w:val="20"/>
              </w:rPr>
            </w:pPr>
            <w:r>
              <w:rPr>
                <w:rFonts w:ascii="仿宋" w:hAnsi="仿宋" w:eastAsia="仿宋"/>
                <w:b w:val="0"/>
                <w:color w:val="auto"/>
                <w:sz w:val="24"/>
                <w:szCs w:val="20"/>
              </w:rPr>
              <w:t>优秀：及时完成各项服务；</w:t>
            </w:r>
            <w:r>
              <w:rPr>
                <w:rFonts w:ascii="仿宋" w:hAnsi="仿宋" w:eastAsia="仿宋"/>
                <w:b w:val="0"/>
                <w:color w:val="auto"/>
                <w:sz w:val="24"/>
                <w:szCs w:val="20"/>
              </w:rPr>
              <w:br w:type="textWrapping"/>
            </w:r>
            <w:r>
              <w:rPr>
                <w:rFonts w:ascii="仿宋" w:hAnsi="仿宋" w:eastAsia="仿宋"/>
                <w:b w:val="0"/>
                <w:color w:val="auto"/>
                <w:sz w:val="24"/>
                <w:szCs w:val="20"/>
              </w:rPr>
              <w:t>良好：比较及时；</w:t>
            </w:r>
            <w:r>
              <w:rPr>
                <w:rFonts w:ascii="仿宋" w:hAnsi="仿宋" w:eastAsia="仿宋"/>
                <w:b w:val="0"/>
                <w:color w:val="auto"/>
                <w:sz w:val="24"/>
                <w:szCs w:val="20"/>
              </w:rPr>
              <w:br w:type="textWrapping"/>
            </w:r>
            <w:r>
              <w:rPr>
                <w:rFonts w:ascii="仿宋" w:hAnsi="仿宋" w:eastAsia="仿宋"/>
                <w:b w:val="0"/>
                <w:color w:val="auto"/>
                <w:sz w:val="24"/>
                <w:szCs w:val="20"/>
              </w:rPr>
              <w:t>合格：基本及时；</w:t>
            </w:r>
            <w:r>
              <w:rPr>
                <w:rFonts w:ascii="仿宋" w:hAnsi="仿宋" w:eastAsia="仿宋"/>
                <w:b w:val="0"/>
                <w:color w:val="auto"/>
                <w:sz w:val="24"/>
                <w:szCs w:val="20"/>
              </w:rPr>
              <w:br w:type="textWrapping"/>
            </w:r>
            <w:r>
              <w:rPr>
                <w:rFonts w:ascii="仿宋" w:hAnsi="仿宋" w:eastAsia="仿宋"/>
                <w:b w:val="0"/>
                <w:color w:val="auto"/>
                <w:sz w:val="24"/>
                <w:szCs w:val="20"/>
              </w:rPr>
              <w:t>不合格：不能及时完成。</w:t>
            </w:r>
          </w:p>
        </w:tc>
        <w:tc>
          <w:tcPr>
            <w:tcW w:w="800" w:type="dxa"/>
          </w:tcPr>
          <w:p w14:paraId="6922DAAA">
            <w:pPr>
              <w:spacing w:before="40" w:after="40"/>
              <w:jc w:val="center"/>
              <w:rPr>
                <w:color w:val="auto"/>
                <w:sz w:val="22"/>
                <w:szCs w:val="21"/>
              </w:rPr>
            </w:pPr>
          </w:p>
        </w:tc>
      </w:tr>
      <w:tr w14:paraId="667E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0CC2FEF">
            <w:pPr>
              <w:spacing w:before="40" w:after="40"/>
              <w:jc w:val="left"/>
              <w:rPr>
                <w:color w:val="auto"/>
                <w:sz w:val="21"/>
                <w:szCs w:val="20"/>
              </w:rPr>
            </w:pPr>
            <w:r>
              <w:rPr>
                <w:rFonts w:ascii="仿宋" w:hAnsi="仿宋" w:eastAsia="仿宋"/>
                <w:b w:val="0"/>
                <w:color w:val="auto"/>
                <w:sz w:val="24"/>
                <w:szCs w:val="20"/>
              </w:rPr>
              <w:t>四</w:t>
            </w:r>
          </w:p>
        </w:tc>
        <w:tc>
          <w:tcPr>
            <w:tcW w:w="1670" w:type="dxa"/>
          </w:tcPr>
          <w:p w14:paraId="4D47A747">
            <w:pPr>
              <w:spacing w:before="40" w:after="40"/>
              <w:jc w:val="left"/>
              <w:rPr>
                <w:color w:val="auto"/>
                <w:sz w:val="21"/>
                <w:szCs w:val="20"/>
              </w:rPr>
            </w:pPr>
            <w:r>
              <w:rPr>
                <w:rFonts w:ascii="仿宋" w:hAnsi="仿宋" w:eastAsia="仿宋"/>
                <w:b w:val="0"/>
                <w:color w:val="auto"/>
                <w:sz w:val="24"/>
                <w:szCs w:val="20"/>
              </w:rPr>
              <w:t>履约配合</w:t>
            </w:r>
          </w:p>
        </w:tc>
        <w:tc>
          <w:tcPr>
            <w:tcW w:w="1440" w:type="dxa"/>
          </w:tcPr>
          <w:p w14:paraId="08778B06">
            <w:pPr>
              <w:spacing w:before="40" w:after="40"/>
              <w:jc w:val="left"/>
              <w:rPr>
                <w:color w:val="auto"/>
                <w:sz w:val="21"/>
                <w:szCs w:val="20"/>
              </w:rPr>
            </w:pPr>
            <w:r>
              <w:rPr>
                <w:rFonts w:ascii="仿宋" w:hAnsi="仿宋" w:eastAsia="仿宋"/>
                <w:b w:val="0"/>
                <w:color w:val="auto"/>
                <w:sz w:val="24"/>
                <w:szCs w:val="20"/>
              </w:rPr>
              <w:t>35</w:t>
            </w:r>
          </w:p>
        </w:tc>
        <w:tc>
          <w:tcPr>
            <w:tcW w:w="4560" w:type="dxa"/>
          </w:tcPr>
          <w:p w14:paraId="4DC7C694">
            <w:pPr>
              <w:spacing w:before="40" w:after="40"/>
              <w:jc w:val="left"/>
              <w:rPr>
                <w:color w:val="auto"/>
                <w:sz w:val="21"/>
                <w:szCs w:val="20"/>
              </w:rPr>
            </w:pPr>
          </w:p>
        </w:tc>
        <w:tc>
          <w:tcPr>
            <w:tcW w:w="800" w:type="dxa"/>
          </w:tcPr>
          <w:p w14:paraId="20DE14F2">
            <w:pPr>
              <w:spacing w:before="40" w:after="40"/>
              <w:jc w:val="center"/>
              <w:rPr>
                <w:color w:val="auto"/>
                <w:sz w:val="22"/>
                <w:szCs w:val="21"/>
              </w:rPr>
            </w:pPr>
          </w:p>
        </w:tc>
      </w:tr>
      <w:tr w14:paraId="233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F9B47E7">
            <w:pPr>
              <w:spacing w:before="40" w:after="40"/>
              <w:jc w:val="left"/>
              <w:rPr>
                <w:color w:val="auto"/>
                <w:sz w:val="21"/>
                <w:szCs w:val="20"/>
              </w:rPr>
            </w:pPr>
            <w:r>
              <w:rPr>
                <w:rFonts w:ascii="仿宋" w:hAnsi="仿宋" w:eastAsia="仿宋"/>
                <w:b w:val="0"/>
                <w:color w:val="auto"/>
                <w:sz w:val="24"/>
                <w:szCs w:val="20"/>
              </w:rPr>
              <w:t>9</w:t>
            </w:r>
          </w:p>
        </w:tc>
        <w:tc>
          <w:tcPr>
            <w:tcW w:w="1670" w:type="dxa"/>
          </w:tcPr>
          <w:p w14:paraId="6E9F235E">
            <w:pPr>
              <w:spacing w:before="40" w:after="40"/>
              <w:jc w:val="left"/>
              <w:rPr>
                <w:color w:val="auto"/>
                <w:sz w:val="21"/>
                <w:szCs w:val="20"/>
              </w:rPr>
            </w:pPr>
            <w:r>
              <w:rPr>
                <w:rFonts w:ascii="仿宋" w:hAnsi="仿宋" w:eastAsia="仿宋"/>
                <w:b w:val="0"/>
                <w:color w:val="auto"/>
                <w:sz w:val="24"/>
                <w:szCs w:val="20"/>
              </w:rPr>
              <w:t>配合情况</w:t>
            </w:r>
          </w:p>
        </w:tc>
        <w:tc>
          <w:tcPr>
            <w:tcW w:w="1440" w:type="dxa"/>
          </w:tcPr>
          <w:p w14:paraId="4155AD1B">
            <w:pPr>
              <w:spacing w:before="40" w:after="40"/>
              <w:jc w:val="left"/>
              <w:rPr>
                <w:color w:val="auto"/>
                <w:sz w:val="21"/>
                <w:szCs w:val="20"/>
              </w:rPr>
            </w:pPr>
            <w:r>
              <w:rPr>
                <w:rFonts w:ascii="仿宋" w:hAnsi="仿宋" w:eastAsia="仿宋"/>
                <w:b w:val="0"/>
                <w:color w:val="auto"/>
                <w:sz w:val="24"/>
                <w:szCs w:val="20"/>
              </w:rPr>
              <w:t>25</w:t>
            </w:r>
          </w:p>
        </w:tc>
        <w:tc>
          <w:tcPr>
            <w:tcW w:w="4560" w:type="dxa"/>
          </w:tcPr>
          <w:p w14:paraId="38AE148C">
            <w:pPr>
              <w:spacing w:before="40" w:after="40"/>
              <w:jc w:val="left"/>
              <w:rPr>
                <w:color w:val="auto"/>
                <w:sz w:val="21"/>
                <w:szCs w:val="20"/>
              </w:rPr>
            </w:pPr>
            <w:r>
              <w:rPr>
                <w:rFonts w:ascii="仿宋" w:hAnsi="仿宋" w:eastAsia="仿宋"/>
                <w:b w:val="0"/>
                <w:color w:val="auto"/>
                <w:sz w:val="24"/>
                <w:szCs w:val="20"/>
              </w:rPr>
              <w:t>优秀：积极主动配合甲方管理、完成交办工作；</w:t>
            </w:r>
            <w:r>
              <w:rPr>
                <w:rFonts w:ascii="仿宋" w:hAnsi="仿宋" w:eastAsia="仿宋"/>
                <w:b w:val="0"/>
                <w:color w:val="auto"/>
                <w:sz w:val="24"/>
                <w:szCs w:val="20"/>
              </w:rPr>
              <w:br w:type="textWrapping"/>
            </w:r>
            <w:r>
              <w:rPr>
                <w:rFonts w:ascii="仿宋" w:hAnsi="仿宋" w:eastAsia="仿宋"/>
                <w:b w:val="0"/>
                <w:color w:val="auto"/>
                <w:sz w:val="24"/>
                <w:szCs w:val="20"/>
              </w:rPr>
              <w:t>良好：比较主动；</w:t>
            </w:r>
            <w:r>
              <w:rPr>
                <w:rFonts w:ascii="仿宋" w:hAnsi="仿宋" w:eastAsia="仿宋"/>
                <w:b w:val="0"/>
                <w:color w:val="auto"/>
                <w:sz w:val="24"/>
                <w:szCs w:val="20"/>
              </w:rPr>
              <w:br w:type="textWrapping"/>
            </w:r>
            <w:r>
              <w:rPr>
                <w:rFonts w:ascii="仿宋" w:hAnsi="仿宋" w:eastAsia="仿宋"/>
                <w:b w:val="0"/>
                <w:color w:val="auto"/>
                <w:sz w:val="24"/>
                <w:szCs w:val="20"/>
              </w:rPr>
              <w:t>合格：基本配合；</w:t>
            </w:r>
            <w:r>
              <w:rPr>
                <w:rFonts w:ascii="仿宋" w:hAnsi="仿宋" w:eastAsia="仿宋"/>
                <w:b w:val="0"/>
                <w:color w:val="auto"/>
                <w:sz w:val="24"/>
                <w:szCs w:val="20"/>
              </w:rPr>
              <w:br w:type="textWrapping"/>
            </w:r>
            <w:r>
              <w:rPr>
                <w:rFonts w:ascii="仿宋" w:hAnsi="仿宋" w:eastAsia="仿宋"/>
                <w:b w:val="0"/>
                <w:color w:val="auto"/>
                <w:sz w:val="24"/>
                <w:szCs w:val="20"/>
              </w:rPr>
              <w:t>不合格：不能按合同要求配合。</w:t>
            </w:r>
          </w:p>
        </w:tc>
        <w:tc>
          <w:tcPr>
            <w:tcW w:w="800" w:type="dxa"/>
          </w:tcPr>
          <w:p w14:paraId="3CDECB23">
            <w:pPr>
              <w:spacing w:before="40" w:after="40"/>
              <w:jc w:val="center"/>
              <w:rPr>
                <w:color w:val="auto"/>
                <w:sz w:val="22"/>
                <w:szCs w:val="21"/>
              </w:rPr>
            </w:pPr>
          </w:p>
        </w:tc>
      </w:tr>
      <w:tr w14:paraId="3470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1906F7D7">
            <w:pPr>
              <w:spacing w:before="40" w:after="40"/>
              <w:jc w:val="left"/>
              <w:rPr>
                <w:color w:val="auto"/>
                <w:sz w:val="21"/>
                <w:szCs w:val="20"/>
              </w:rPr>
            </w:pPr>
            <w:r>
              <w:rPr>
                <w:rFonts w:ascii="仿宋" w:hAnsi="仿宋" w:eastAsia="仿宋"/>
                <w:b w:val="0"/>
                <w:color w:val="auto"/>
                <w:sz w:val="24"/>
                <w:szCs w:val="20"/>
              </w:rPr>
              <w:t>10</w:t>
            </w:r>
          </w:p>
        </w:tc>
        <w:tc>
          <w:tcPr>
            <w:tcW w:w="1670" w:type="dxa"/>
          </w:tcPr>
          <w:p w14:paraId="2E8BF62B">
            <w:pPr>
              <w:spacing w:before="40" w:after="40"/>
              <w:jc w:val="left"/>
              <w:rPr>
                <w:color w:val="auto"/>
                <w:sz w:val="21"/>
                <w:szCs w:val="20"/>
              </w:rPr>
            </w:pPr>
            <w:r>
              <w:rPr>
                <w:rFonts w:ascii="仿宋" w:hAnsi="仿宋" w:eastAsia="仿宋"/>
                <w:b w:val="0"/>
                <w:color w:val="auto"/>
                <w:sz w:val="24"/>
                <w:szCs w:val="20"/>
              </w:rPr>
              <w:t>保密工作</w:t>
            </w:r>
          </w:p>
        </w:tc>
        <w:tc>
          <w:tcPr>
            <w:tcW w:w="1440" w:type="dxa"/>
          </w:tcPr>
          <w:p w14:paraId="2032A7C5">
            <w:pPr>
              <w:spacing w:before="40" w:after="40"/>
              <w:jc w:val="left"/>
              <w:rPr>
                <w:color w:val="auto"/>
                <w:sz w:val="21"/>
                <w:szCs w:val="20"/>
              </w:rPr>
            </w:pPr>
            <w:r>
              <w:rPr>
                <w:rFonts w:ascii="仿宋" w:hAnsi="仿宋" w:eastAsia="仿宋"/>
                <w:b w:val="0"/>
                <w:color w:val="auto"/>
                <w:sz w:val="24"/>
                <w:szCs w:val="20"/>
              </w:rPr>
              <w:t>5</w:t>
            </w:r>
          </w:p>
        </w:tc>
        <w:tc>
          <w:tcPr>
            <w:tcW w:w="4560" w:type="dxa"/>
          </w:tcPr>
          <w:p w14:paraId="04DF3FEF">
            <w:pPr>
              <w:spacing w:before="40" w:after="40"/>
              <w:jc w:val="left"/>
              <w:rPr>
                <w:color w:val="auto"/>
                <w:sz w:val="21"/>
                <w:szCs w:val="20"/>
              </w:rPr>
            </w:pPr>
            <w:r>
              <w:rPr>
                <w:rFonts w:ascii="仿宋" w:hAnsi="仿宋" w:eastAsia="仿宋"/>
                <w:b w:val="0"/>
                <w:color w:val="auto"/>
                <w:sz w:val="24"/>
                <w:szCs w:val="20"/>
              </w:rPr>
              <w:t>优秀：未对外公开涉及机密的资料；</w:t>
            </w:r>
            <w:r>
              <w:rPr>
                <w:rFonts w:ascii="仿宋" w:hAnsi="仿宋" w:eastAsia="仿宋"/>
                <w:b w:val="0"/>
                <w:color w:val="auto"/>
                <w:sz w:val="24"/>
                <w:szCs w:val="20"/>
              </w:rPr>
              <w:br w:type="textWrapping"/>
            </w:r>
            <w:r>
              <w:rPr>
                <w:rFonts w:ascii="仿宋" w:hAnsi="仿宋" w:eastAsia="仿宋"/>
                <w:b w:val="0"/>
                <w:color w:val="auto"/>
                <w:sz w:val="24"/>
                <w:szCs w:val="20"/>
              </w:rPr>
              <w:t>不合格：对外公开机密资料并造成后果。</w:t>
            </w:r>
          </w:p>
        </w:tc>
        <w:tc>
          <w:tcPr>
            <w:tcW w:w="800" w:type="dxa"/>
          </w:tcPr>
          <w:p w14:paraId="0E5A50EA">
            <w:pPr>
              <w:spacing w:before="40" w:after="40"/>
              <w:jc w:val="center"/>
              <w:rPr>
                <w:color w:val="auto"/>
                <w:sz w:val="22"/>
                <w:szCs w:val="21"/>
              </w:rPr>
            </w:pPr>
          </w:p>
        </w:tc>
      </w:tr>
      <w:tr w14:paraId="2481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F119B05">
            <w:pPr>
              <w:spacing w:before="40" w:after="40"/>
              <w:jc w:val="left"/>
              <w:rPr>
                <w:color w:val="auto"/>
                <w:sz w:val="21"/>
                <w:szCs w:val="20"/>
              </w:rPr>
            </w:pPr>
            <w:r>
              <w:rPr>
                <w:rFonts w:ascii="仿宋" w:hAnsi="仿宋" w:eastAsia="仿宋"/>
                <w:b w:val="0"/>
                <w:color w:val="auto"/>
                <w:sz w:val="24"/>
                <w:szCs w:val="20"/>
              </w:rPr>
              <w:t>11</w:t>
            </w:r>
          </w:p>
        </w:tc>
        <w:tc>
          <w:tcPr>
            <w:tcW w:w="1670" w:type="dxa"/>
          </w:tcPr>
          <w:p w14:paraId="791EECF6">
            <w:pPr>
              <w:spacing w:before="40" w:after="40"/>
              <w:jc w:val="left"/>
              <w:rPr>
                <w:color w:val="auto"/>
                <w:sz w:val="21"/>
                <w:szCs w:val="20"/>
              </w:rPr>
            </w:pPr>
            <w:r>
              <w:rPr>
                <w:rFonts w:ascii="仿宋" w:hAnsi="仿宋" w:eastAsia="仿宋"/>
                <w:b w:val="0"/>
                <w:color w:val="auto"/>
                <w:sz w:val="24"/>
                <w:szCs w:val="20"/>
              </w:rPr>
              <w:t>诚信情况</w:t>
            </w:r>
          </w:p>
        </w:tc>
        <w:tc>
          <w:tcPr>
            <w:tcW w:w="1440" w:type="dxa"/>
          </w:tcPr>
          <w:p w14:paraId="18A12FC4">
            <w:pPr>
              <w:spacing w:before="40" w:after="40"/>
              <w:jc w:val="left"/>
              <w:rPr>
                <w:color w:val="auto"/>
                <w:sz w:val="21"/>
                <w:szCs w:val="20"/>
              </w:rPr>
            </w:pPr>
            <w:r>
              <w:rPr>
                <w:rFonts w:ascii="仿宋" w:hAnsi="仿宋" w:eastAsia="仿宋"/>
                <w:b w:val="0"/>
                <w:color w:val="auto"/>
                <w:sz w:val="24"/>
                <w:szCs w:val="20"/>
              </w:rPr>
              <w:t>5</w:t>
            </w:r>
          </w:p>
        </w:tc>
        <w:tc>
          <w:tcPr>
            <w:tcW w:w="4560" w:type="dxa"/>
          </w:tcPr>
          <w:p w14:paraId="6FF5BEEE">
            <w:pPr>
              <w:spacing w:before="40" w:after="40"/>
              <w:jc w:val="left"/>
              <w:rPr>
                <w:color w:val="auto"/>
                <w:sz w:val="21"/>
                <w:szCs w:val="20"/>
              </w:rPr>
            </w:pPr>
            <w:r>
              <w:rPr>
                <w:rFonts w:ascii="仿宋" w:hAnsi="仿宋" w:eastAsia="仿宋"/>
                <w:b w:val="0"/>
                <w:color w:val="auto"/>
                <w:sz w:val="24"/>
                <w:szCs w:val="20"/>
              </w:rPr>
              <w:t>优秀：无弄虚作假现象；</w:t>
            </w:r>
            <w:r>
              <w:rPr>
                <w:rFonts w:ascii="仿宋" w:hAnsi="仿宋" w:eastAsia="仿宋"/>
                <w:b w:val="0"/>
                <w:color w:val="auto"/>
                <w:sz w:val="24"/>
                <w:szCs w:val="20"/>
              </w:rPr>
              <w:br w:type="textWrapping"/>
            </w:r>
            <w:r>
              <w:rPr>
                <w:rFonts w:ascii="仿宋" w:hAnsi="仿宋" w:eastAsia="仿宋"/>
                <w:b w:val="0"/>
                <w:color w:val="auto"/>
                <w:sz w:val="24"/>
                <w:szCs w:val="20"/>
              </w:rPr>
              <w:t>不合格：有弄虚作假现象。</w:t>
            </w:r>
          </w:p>
        </w:tc>
        <w:tc>
          <w:tcPr>
            <w:tcW w:w="800" w:type="dxa"/>
          </w:tcPr>
          <w:p w14:paraId="4EBBA584">
            <w:pPr>
              <w:spacing w:before="40" w:after="40"/>
              <w:jc w:val="center"/>
              <w:rPr>
                <w:color w:val="auto"/>
                <w:sz w:val="22"/>
                <w:szCs w:val="21"/>
              </w:rPr>
            </w:pPr>
          </w:p>
        </w:tc>
      </w:tr>
      <w:tr w14:paraId="03C0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0BF619B">
            <w:pPr>
              <w:spacing w:before="40" w:after="40"/>
              <w:jc w:val="left"/>
              <w:rPr>
                <w:color w:val="auto"/>
                <w:sz w:val="21"/>
                <w:szCs w:val="20"/>
              </w:rPr>
            </w:pPr>
          </w:p>
        </w:tc>
        <w:tc>
          <w:tcPr>
            <w:tcW w:w="1670" w:type="dxa"/>
          </w:tcPr>
          <w:p w14:paraId="244F7A68">
            <w:pPr>
              <w:spacing w:before="40" w:after="40"/>
              <w:jc w:val="left"/>
              <w:rPr>
                <w:color w:val="auto"/>
                <w:sz w:val="21"/>
                <w:szCs w:val="20"/>
              </w:rPr>
            </w:pPr>
            <w:r>
              <w:rPr>
                <w:rFonts w:ascii="仿宋" w:hAnsi="仿宋" w:eastAsia="仿宋"/>
                <w:b w:val="0"/>
                <w:color w:val="auto"/>
                <w:sz w:val="24"/>
                <w:szCs w:val="20"/>
              </w:rPr>
              <w:t>合计</w:t>
            </w:r>
          </w:p>
        </w:tc>
        <w:tc>
          <w:tcPr>
            <w:tcW w:w="1440" w:type="dxa"/>
          </w:tcPr>
          <w:p w14:paraId="0399A4E9">
            <w:pPr>
              <w:spacing w:before="40" w:after="40"/>
              <w:jc w:val="left"/>
              <w:rPr>
                <w:color w:val="auto"/>
                <w:sz w:val="21"/>
                <w:szCs w:val="20"/>
              </w:rPr>
            </w:pPr>
            <w:r>
              <w:rPr>
                <w:rFonts w:ascii="仿宋" w:hAnsi="仿宋" w:eastAsia="仿宋"/>
                <w:b w:val="0"/>
                <w:color w:val="auto"/>
                <w:sz w:val="24"/>
                <w:szCs w:val="20"/>
              </w:rPr>
              <w:t>100</w:t>
            </w:r>
          </w:p>
        </w:tc>
        <w:tc>
          <w:tcPr>
            <w:tcW w:w="4560" w:type="dxa"/>
          </w:tcPr>
          <w:p w14:paraId="6FDDDBB4">
            <w:pPr>
              <w:spacing w:before="40" w:after="40"/>
              <w:jc w:val="left"/>
              <w:rPr>
                <w:color w:val="auto"/>
                <w:sz w:val="21"/>
                <w:szCs w:val="20"/>
              </w:rPr>
            </w:pPr>
          </w:p>
        </w:tc>
        <w:tc>
          <w:tcPr>
            <w:tcW w:w="800" w:type="dxa"/>
          </w:tcPr>
          <w:p w14:paraId="4DB06AF5">
            <w:pPr>
              <w:spacing w:before="40" w:after="40"/>
              <w:jc w:val="center"/>
              <w:rPr>
                <w:color w:val="auto"/>
                <w:sz w:val="22"/>
                <w:szCs w:val="21"/>
              </w:rPr>
            </w:pPr>
          </w:p>
        </w:tc>
      </w:tr>
    </w:tbl>
    <w:p w14:paraId="7B6CC07C">
      <w:pPr>
        <w:spacing w:after="0" w:line="560" w:lineRule="exact"/>
        <w:jc w:val="left"/>
        <w:rPr>
          <w:color w:val="auto"/>
        </w:rPr>
      </w:pPr>
    </w:p>
    <w:p w14:paraId="2AA58108">
      <w:pPr>
        <w:spacing w:after="0" w:line="560" w:lineRule="exact"/>
        <w:ind w:firstLine="640"/>
        <w:jc w:val="left"/>
        <w:rPr>
          <w:rFonts w:ascii="仿宋" w:hAnsi="仿宋" w:eastAsia="仿宋"/>
          <w:b/>
          <w:color w:val="auto"/>
          <w:sz w:val="32"/>
        </w:rPr>
      </w:pPr>
    </w:p>
    <w:p w14:paraId="6C369C7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说明：</w:t>
      </w:r>
    </w:p>
    <w:p w14:paraId="7015AF1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 分数采用百分制，90-100为优；80-90（不含）为良；60-80（不含）为合格；少于60为不合格。</w:t>
      </w:r>
    </w:p>
    <w:p w14:paraId="331086D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val="en-US" w:eastAsia="zh-CN"/>
        </w:rPr>
        <w:t>2</w:t>
      </w:r>
      <w:r>
        <w:rPr>
          <w:rFonts w:hint="eastAsia" w:ascii="仿宋" w:hAnsi="仿宋" w:eastAsia="仿宋" w:cs="仿宋"/>
          <w:b w:val="0"/>
          <w:color w:val="auto"/>
          <w:sz w:val="28"/>
          <w:szCs w:val="28"/>
        </w:rPr>
        <w:t>. 本表为参考用表，履约评价实施单位可以根据合同约定调整评分项目和权重分值。</w:t>
      </w:r>
    </w:p>
    <w:p w14:paraId="5539A77A">
      <w:pPr>
        <w:spacing w:after="0" w:line="560" w:lineRule="exact"/>
        <w:jc w:val="left"/>
        <w:rPr>
          <w:color w:val="auto"/>
        </w:rPr>
      </w:pPr>
      <w:r>
        <w:rPr>
          <w:color w:val="auto"/>
        </w:rPr>
        <w:br w:type="page"/>
      </w:r>
    </w:p>
    <w:p w14:paraId="21BAC3B7">
      <w:pPr>
        <w:pStyle w:val="3"/>
        <w:spacing w:before="0" w:after="0" w:line="560" w:lineRule="exact"/>
        <w:jc w:val="left"/>
        <w:rPr>
          <w:rFonts w:hint="default" w:eastAsia="黑体"/>
          <w:color w:val="auto"/>
          <w:lang w:val="en-US" w:eastAsia="zh-CN"/>
        </w:rPr>
      </w:pPr>
      <w:r>
        <w:rPr>
          <w:rFonts w:ascii="黑体" w:hAnsi="黑体" w:eastAsia="黑体"/>
          <w:color w:val="auto"/>
          <w:sz w:val="38"/>
        </w:rPr>
        <w:t>附件2：</w:t>
      </w:r>
      <w:r>
        <w:rPr>
          <w:rFonts w:hint="eastAsia" w:ascii="黑体" w:hAnsi="黑体" w:eastAsia="黑体"/>
          <w:color w:val="auto"/>
          <w:sz w:val="38"/>
          <w:lang w:val="en-US" w:eastAsia="zh-CN"/>
        </w:rPr>
        <w:t>报价清单</w:t>
      </w:r>
    </w:p>
    <w:p w14:paraId="292B5FB4">
      <w:pPr>
        <w:rPr>
          <w:color w:val="auto"/>
        </w:rPr>
      </w:pPr>
      <w:r>
        <w:rPr>
          <w:color w:val="auto"/>
        </w:rPr>
        <w:br w:type="page"/>
      </w:r>
    </w:p>
    <w:p w14:paraId="2A6647B4">
      <w:pPr>
        <w:widowControl w:val="0"/>
        <w:spacing w:after="0" w:line="560" w:lineRule="exact"/>
        <w:jc w:val="left"/>
        <w:rPr>
          <w:rFonts w:hint="eastAsia" w:ascii="仿宋_GB2312" w:hAnsi="Times New Roman" w:eastAsia="黑体" w:cs="Times New Roman"/>
          <w:b/>
          <w:bCs/>
          <w:kern w:val="2"/>
          <w:sz w:val="32"/>
          <w:szCs w:val="32"/>
          <w:lang w:eastAsia="zh-CN"/>
        </w:rPr>
      </w:pPr>
      <w:r>
        <w:rPr>
          <w:rFonts w:ascii="黑体" w:hAnsi="黑体" w:eastAsia="黑体"/>
          <w:color w:val="auto"/>
          <w:sz w:val="38"/>
        </w:rPr>
        <w:t>附件</w:t>
      </w:r>
      <w:r>
        <w:rPr>
          <w:rFonts w:hint="eastAsia" w:ascii="黑体" w:hAnsi="黑体" w:eastAsia="黑体"/>
          <w:color w:val="auto"/>
          <w:sz w:val="38"/>
          <w:lang w:val="en-US" w:eastAsia="zh-CN"/>
        </w:rPr>
        <w:t>3</w:t>
      </w:r>
      <w:bookmarkStart w:id="0" w:name="_GoBack"/>
      <w:bookmarkEnd w:id="0"/>
    </w:p>
    <w:p w14:paraId="767FD8B3">
      <w:pPr>
        <w:widowControl w:val="0"/>
        <w:spacing w:after="0" w:line="560" w:lineRule="exact"/>
        <w:jc w:val="center"/>
        <w:rPr>
          <w:rFonts w:ascii="仿宋_GB2312" w:hAnsi="Times New Roman" w:eastAsia="仿宋_GB2312" w:cs="Times New Roman"/>
          <w:b/>
          <w:bCs/>
          <w:kern w:val="2"/>
          <w:sz w:val="32"/>
          <w:szCs w:val="32"/>
          <w:lang w:eastAsia="zh-CN"/>
        </w:rPr>
      </w:pPr>
      <w:r>
        <w:rPr>
          <w:rFonts w:hint="eastAsia" w:ascii="仿宋_GB2312" w:hAnsi="Times New Roman" w:eastAsia="仿宋_GB2312" w:cs="Times New Roman"/>
          <w:b/>
          <w:bCs/>
          <w:kern w:val="2"/>
          <w:sz w:val="32"/>
          <w:szCs w:val="32"/>
          <w:lang w:eastAsia="zh-CN"/>
        </w:rPr>
        <w:t>安全生产管理协议</w:t>
      </w:r>
    </w:p>
    <w:p w14:paraId="298D581D">
      <w:pPr>
        <w:widowControl w:val="0"/>
        <w:spacing w:after="0" w:line="560" w:lineRule="exact"/>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甲方：</w:t>
      </w:r>
      <w:r>
        <w:rPr>
          <w:rFonts w:hint="eastAsia" w:ascii="仿宋_GB2312" w:hAnsi="Times New Roman" w:eastAsia="仿宋_GB2312" w:cs="Times New Roman"/>
          <w:kern w:val="2"/>
          <w:sz w:val="24"/>
          <w:szCs w:val="24"/>
          <w:u w:val="single"/>
          <w:lang w:eastAsia="zh-CN"/>
        </w:rPr>
        <w:t>深圳深港科技创新合作区发展有限公司</w:t>
      </w:r>
    </w:p>
    <w:p w14:paraId="229592A6">
      <w:pPr>
        <w:widowControl w:val="0"/>
        <w:spacing w:after="0"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p>
    <w:p w14:paraId="06D7BC0E">
      <w:pPr>
        <w:widowControl w:val="0"/>
        <w:spacing w:after="0" w:line="560" w:lineRule="exact"/>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根据甲乙双方签订的《</w:t>
      </w:r>
      <w:r>
        <w:rPr>
          <w:rFonts w:hint="eastAsia" w:ascii="仿宋_GB2312" w:hAnsi="Times New Roman" w:eastAsia="仿宋_GB2312" w:cs="Times New Roman"/>
          <w:kern w:val="2"/>
          <w:sz w:val="24"/>
          <w:szCs w:val="24"/>
          <w:highlight w:val="yellow"/>
          <w:lang w:eastAsia="zh-CN"/>
        </w:rPr>
        <w:t>【 】</w:t>
      </w:r>
      <w:r>
        <w:rPr>
          <w:rFonts w:hint="eastAsia" w:ascii="仿宋_GB2312" w:hAnsi="Times New Roman" w:eastAsia="仿宋_GB2312" w:cs="Times New Roman"/>
          <w:kern w:val="2"/>
          <w:sz w:val="24"/>
          <w:szCs w:val="24"/>
          <w:lang w:eastAsia="zh-CN"/>
        </w:rPr>
        <w:t>合同》（下称“</w:t>
      </w:r>
      <w:r>
        <w:rPr>
          <w:rFonts w:hint="eastAsia" w:ascii="仿宋_GB2312" w:hAnsi="Times New Roman" w:eastAsia="仿宋_GB2312" w:cs="Times New Roman"/>
          <w:b/>
          <w:bCs/>
          <w:kern w:val="2"/>
          <w:sz w:val="24"/>
          <w:szCs w:val="24"/>
          <w:lang w:eastAsia="zh-CN"/>
        </w:rPr>
        <w:t>主合同</w:t>
      </w:r>
      <w:r>
        <w:rPr>
          <w:rFonts w:hint="eastAsia" w:ascii="仿宋_GB2312" w:hAnsi="Times New Roman" w:eastAsia="仿宋_GB2312" w:cs="Times New Roman"/>
          <w:kern w:val="2"/>
          <w:sz w:val="24"/>
          <w:szCs w:val="24"/>
          <w:lang w:eastAsia="zh-CN"/>
        </w:rPr>
        <w:t>”），【乙方为</w:t>
      </w:r>
      <w:r>
        <w:rPr>
          <w:rFonts w:hint="default" w:ascii="仿宋_GB2312" w:hAnsi="Times New Roman" w:eastAsia="仿宋_GB2312" w:cs="Times New Roman"/>
          <w:kern w:val="2"/>
          <w:sz w:val="24"/>
          <w:szCs w:val="24"/>
          <w:lang w:eastAsia="zh-CN"/>
        </w:rPr>
        <w:t>履行</w:t>
      </w:r>
      <w:r>
        <w:rPr>
          <w:rFonts w:hint="eastAsia" w:ascii="仿宋_GB2312" w:hAnsi="Times New Roman" w:eastAsia="仿宋_GB2312" w:cs="Times New Roman"/>
          <w:kern w:val="2"/>
          <w:sz w:val="24"/>
          <w:szCs w:val="24"/>
          <w:lang w:eastAsia="zh-CN"/>
        </w:rPr>
        <w:t>主合同项下约定</w:t>
      </w:r>
      <w:r>
        <w:rPr>
          <w:rFonts w:hint="default" w:ascii="仿宋_GB2312" w:hAnsi="Times New Roman" w:eastAsia="仿宋_GB2312" w:cs="Times New Roman"/>
          <w:kern w:val="2"/>
          <w:sz w:val="24"/>
          <w:szCs w:val="24"/>
          <w:lang w:eastAsia="zh-CN"/>
        </w:rPr>
        <w:t>义务</w:t>
      </w:r>
      <w:r>
        <w:rPr>
          <w:rFonts w:hint="eastAsia" w:ascii="仿宋_GB2312" w:hAnsi="Times New Roman" w:eastAsia="仿宋_GB2312" w:cs="Times New Roman"/>
          <w:kern w:val="2"/>
          <w:sz w:val="24"/>
          <w:szCs w:val="24"/>
          <w:lang w:eastAsia="zh-CN"/>
        </w:rPr>
        <w:t>，需要进入甲方办公场所及项目（含甲方关联公司开发的项目，下同）施工场地】，甲乙双方特就乙方服务人员（不论是否实际为乙方员工）进入甲方办公场所及项目施工场地的安全管理事宜，达成如下协议：</w:t>
      </w:r>
    </w:p>
    <w:p w14:paraId="10A97BF2">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乙方应当严格遵守且促使其服务人员严格遵守国家、深圳市、行业和甲方及现场相关单位的安全管理法律、规章、制度，服从甲方及现场相关单位的管理。</w:t>
      </w:r>
    </w:p>
    <w:p w14:paraId="5954F29A">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乙方服务人员应秉持专业态度，在甲方办公场所及项目施工场地等区域审慎行动，杜绝与提供主合同项下服务无关的行为。</w:t>
      </w:r>
    </w:p>
    <w:p w14:paraId="7F0765E3">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乙方服务人员在提供服务过程中应严格听从现场人员指挥，正确佩戴和使用劳动防护用品，不违规、盲目作业，不抱侥幸心理。</w:t>
      </w:r>
    </w:p>
    <w:p w14:paraId="0978CB75">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乙方服务人员在接受甲方及相关单位的安全交底和技术交底前绝不擅自作业，严格执行安全交底和技术交底要求的各种安全措施。</w:t>
      </w:r>
    </w:p>
    <w:p w14:paraId="7CBE235B">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乙方在发现其服务人员的不安全行为时，应第一时间制止。发现事故隐患或者其他不安全因素的，应立即向现场安全生产管理人员或者甲方现场负责人报告。</w:t>
      </w:r>
    </w:p>
    <w:p w14:paraId="2B32B7B6">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在提供主合同项下服务期间，乙方应积极参加各种安全培训和安全学习、安全活动、事故应急演练，掌握作业所需的安全生产知识，提高安全生产技能，增强事故预防和应急处理能力。</w:t>
      </w:r>
    </w:p>
    <w:p w14:paraId="7D21557A">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乙方服务人员遵守消防管理的各项法律、规章、制度、规定，积极学习灭火与火场逃生知识，熟悉各种灭火器材的使用方法和逃生线路。</w:t>
      </w:r>
    </w:p>
    <w:p w14:paraId="55266D4C">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乙方及其服务人员的安全责任后果均由乙方负责，乙方对乙方服务人员的行为负责并承担相应责任与后果。</w:t>
      </w:r>
    </w:p>
    <w:p w14:paraId="40837175">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ascii="仿宋_GB2312" w:hAnsi="Times New Roman" w:eastAsia="仿宋_GB2312" w:cs="Times New Roman"/>
          <w:kern w:val="2"/>
          <w:sz w:val="24"/>
          <w:szCs w:val="24"/>
          <w:lang w:eastAsia="zh-CN"/>
        </w:rPr>
        <w:t>未充分履行</w:t>
      </w:r>
      <w:r>
        <w:rPr>
          <w:rFonts w:hint="eastAsia" w:ascii="仿宋_GB2312" w:hAnsi="Times New Roman" w:eastAsia="仿宋_GB2312" w:cs="Times New Roman"/>
          <w:kern w:val="2"/>
          <w:sz w:val="24"/>
          <w:szCs w:val="24"/>
          <w:lang w:eastAsia="zh-CN"/>
        </w:rPr>
        <w:t>本协议约定引起安全事故</w:t>
      </w:r>
      <w:r>
        <w:rPr>
          <w:rFonts w:ascii="仿宋_GB2312" w:hAnsi="Times New Roman" w:eastAsia="仿宋_GB2312" w:cs="Times New Roman"/>
          <w:kern w:val="2"/>
          <w:sz w:val="24"/>
          <w:szCs w:val="24"/>
          <w:lang w:eastAsia="zh-CN"/>
        </w:rPr>
        <w:t>，或造成事故损失扩大的，</w:t>
      </w:r>
      <w:r>
        <w:rPr>
          <w:rFonts w:hint="eastAsia" w:ascii="仿宋_GB2312" w:hAnsi="Times New Roman" w:eastAsia="仿宋_GB2312" w:cs="Times New Roman"/>
          <w:kern w:val="2"/>
          <w:sz w:val="24"/>
          <w:szCs w:val="24"/>
          <w:lang w:eastAsia="zh-CN"/>
        </w:rPr>
        <w:t>责任由乙方予以承担；给甲方或第三方造成损失（含诉讼费、律师费及其他合理费用）的，乙方应承担赔偿责任。</w:t>
      </w:r>
    </w:p>
    <w:p w14:paraId="5A0DA6F5">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本协议签署后，对于因本协议的履行产生的争议，争议发生之日起3</w:t>
      </w:r>
      <w:r>
        <w:rPr>
          <w:rFonts w:ascii="仿宋_GB2312" w:hAnsi="Times New Roman" w:eastAsia="仿宋_GB2312" w:cs="Times New Roman"/>
          <w:kern w:val="2"/>
          <w:sz w:val="24"/>
          <w:szCs w:val="24"/>
          <w:lang w:eastAsia="zh-CN"/>
        </w:rPr>
        <w:t>0</w:t>
      </w:r>
      <w:r>
        <w:rPr>
          <w:rFonts w:hint="eastAsia" w:ascii="仿宋_GB2312" w:hAnsi="Times New Roman" w:eastAsia="仿宋_GB2312" w:cs="Times New Roman"/>
          <w:kern w:val="2"/>
          <w:sz w:val="24"/>
          <w:szCs w:val="24"/>
          <w:lang w:eastAsia="zh-CN"/>
        </w:rPr>
        <w:t>日内协商不成或一方拒绝协商的，任何一方均有权向甲方所在地人民法院提起诉讼解决。</w:t>
      </w:r>
    </w:p>
    <w:p w14:paraId="283875D5">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本协议一式两份，协议双方各持一份，自</w:t>
      </w:r>
      <w:r>
        <w:rPr>
          <w:rFonts w:hint="default" w:ascii="仿宋_GB2312" w:hAnsi="Times New Roman" w:eastAsia="仿宋_GB2312" w:cs="Times New Roman"/>
          <w:kern w:val="2"/>
          <w:sz w:val="24"/>
          <w:szCs w:val="24"/>
          <w:lang w:eastAsia="zh-CN"/>
        </w:rPr>
        <w:t>主合同</w:t>
      </w:r>
      <w:r>
        <w:rPr>
          <w:rFonts w:hint="eastAsia" w:ascii="仿宋_GB2312" w:hAnsi="Times New Roman" w:eastAsia="仿宋_GB2312" w:cs="Times New Roman"/>
          <w:kern w:val="2"/>
          <w:sz w:val="24"/>
          <w:szCs w:val="24"/>
          <w:lang w:eastAsia="zh-CN"/>
        </w:rPr>
        <w:t>生效</w:t>
      </w:r>
      <w:r>
        <w:rPr>
          <w:rFonts w:hint="default" w:ascii="仿宋_GB2312" w:hAnsi="Times New Roman" w:eastAsia="仿宋_GB2312" w:cs="Times New Roman"/>
          <w:kern w:val="2"/>
          <w:sz w:val="24"/>
          <w:szCs w:val="24"/>
          <w:lang w:eastAsia="zh-CN"/>
        </w:rPr>
        <w:t>之日起生效</w:t>
      </w:r>
      <w:r>
        <w:rPr>
          <w:rFonts w:hint="eastAsia" w:ascii="仿宋_GB2312" w:hAnsi="Times New Roman" w:eastAsia="仿宋_GB2312" w:cs="Times New Roman"/>
          <w:kern w:val="2"/>
          <w:sz w:val="24"/>
          <w:szCs w:val="24"/>
          <w:lang w:eastAsia="zh-CN"/>
        </w:rPr>
        <w:t>。</w:t>
      </w:r>
    </w:p>
    <w:p w14:paraId="5DE277FF">
      <w:pPr>
        <w:widowControl w:val="0"/>
        <w:spacing w:after="0" w:line="560" w:lineRule="exact"/>
        <w:jc w:val="both"/>
        <w:rPr>
          <w:rFonts w:hint="eastAsia" w:ascii="仿宋_GB2312" w:hAnsi="Times New Roman" w:eastAsia="仿宋_GB2312" w:cs="Times New Roman"/>
          <w:kern w:val="2"/>
          <w:sz w:val="24"/>
          <w:szCs w:val="24"/>
          <w:lang w:eastAsia="zh-CN"/>
        </w:rPr>
      </w:pPr>
    </w:p>
    <w:p w14:paraId="7B6651D0">
      <w:pPr>
        <w:rPr>
          <w:color w:val="auto"/>
        </w:rPr>
      </w:pPr>
    </w:p>
    <w:sectPr>
      <w:pgSz w:w="11906" w:h="16838"/>
      <w:pgMar w:top="1440" w:right="1803" w:bottom="1440" w:left="180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ED21DD-4606-434D-B5BB-803651C51A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C787E850-2DE0-4651-B16F-9969412C2528}"/>
  </w:font>
  <w:font w:name="仿宋">
    <w:panose1 w:val="02010609060101010101"/>
    <w:charset w:val="86"/>
    <w:family w:val="auto"/>
    <w:pitch w:val="default"/>
    <w:sig w:usb0="800002BF" w:usb1="38CF7CFA" w:usb2="00000016" w:usb3="00000000" w:csb0="00040001" w:csb1="00000000"/>
    <w:embedRegular r:id="rId3" w:fontKey="{D305DE2C-2CB6-48F5-BEE0-D78B9B762E0A}"/>
  </w:font>
  <w:font w:name="仿宋_GB2312">
    <w:altName w:val="仿宋"/>
    <w:panose1 w:val="02010609030101010101"/>
    <w:charset w:val="86"/>
    <w:family w:val="modern"/>
    <w:pitch w:val="default"/>
    <w:sig w:usb0="00000000" w:usb1="00000000" w:usb2="00000000" w:usb3="00000000" w:csb0="00040000" w:csb1="00000000"/>
    <w:embedRegular r:id="rId4" w:fontKey="{EF68CD98-BAB9-4E7E-B927-5942D739109A}"/>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26315F18"/>
    <w:multiLevelType w:val="multilevel"/>
    <w:tmpl w:val="26315F18"/>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24338E6"/>
    <w:rsid w:val="18FB68F6"/>
    <w:rsid w:val="2AC00A49"/>
    <w:rsid w:val="38B60778"/>
    <w:rsid w:val="47F64668"/>
    <w:rsid w:val="4B066B21"/>
    <w:rsid w:val="4B5E3932"/>
    <w:rsid w:val="59DF672E"/>
    <w:rsid w:val="64CC6F37"/>
    <w:rsid w:val="6BE67BA8"/>
    <w:rsid w:val="7E6720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360"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page number"/>
    <w:qFormat/>
    <w:uiPriority w:val="0"/>
  </w:style>
  <w:style w:type="character" w:styleId="135">
    <w:name w:val="Emphasis"/>
    <w:basedOn w:val="132"/>
    <w:qFormat/>
    <w:uiPriority w:val="20"/>
    <w:rPr>
      <w:i/>
      <w:iCs/>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20</Pages>
  <Words>2664</Words>
  <Characters>2744</Characters>
  <Lines>0</Lines>
  <Paragraphs>0</Paragraphs>
  <TotalTime>0</TotalTime>
  <ScaleCrop>false</ScaleCrop>
  <LinksUpToDate>false</LinksUpToDate>
  <CharactersWithSpaces>2815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茜茜</cp:lastModifiedBy>
  <dcterms:modified xsi:type="dcterms:W3CDTF">2026-06-23T08:06:20Z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eyJoZGlkIjoiZmUyZDg3MDQzZDZhMDQyM2ZlOTQ2MGE3NTU2MmQ2MjgiLCJ1c2VySWQiOiIzMjQ4NDI5NjcifQ==</vt:lpwstr>
  </property>
  <property fmtid="{D5CDD505-2E9C-101B-9397-08002B2CF9AE}" pid="3" name="KSOProductBuildVer">
    <vt:lpwstr>2052-12.1.0.26375</vt:lpwstr>
  </property>
  <property fmtid="{D5CDD505-2E9C-101B-9397-08002B2CF9AE}" pid="4" name="ICV">
    <vt:lpwstr>507ED44FAEE84FF6AC25FF8EF3174D9C_12</vt:lpwstr>
  </property>
</Properties>
</file>