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442000-2026-01046</w:t>
      </w:r>
    </w:p>
    <w:p>
      <w:pPr>
        <w:pStyle w:val="null3"/>
        <w:jc w:val="center"/>
        <w:outlineLvl w:val="3"/>
      </w:pPr>
      <w:r>
        <w:rPr>
          <w:sz w:val="24"/>
          <w:b/>
        </w:rPr>
        <w:t>采购项目编号：</w:t>
      </w:r>
      <w:r>
        <w:rPr>
          <w:sz w:val="24"/>
          <w:b/>
        </w:rPr>
        <w:t>26CCA39C00367</w:t>
      </w:r>
    </w:p>
    <w:p>
      <w:pPr>
        <w:pStyle w:val="null3"/>
        <w:jc w:val="center"/>
        <w:outlineLvl w:val="3"/>
      </w:pPr>
      <w:r>
        <w:rPr>
          <w:sz w:val="24"/>
          <w:b/>
        </w:rPr>
        <w:t>项目名称：</w:t>
      </w:r>
      <w:r>
        <w:rPr>
          <w:sz w:val="24"/>
          <w:b/>
        </w:rPr>
        <w:t>2026-2028年度中山市巨灾保险采购项目</w:t>
      </w:r>
    </w:p>
    <w:p>
      <w:pPr>
        <w:pStyle w:val="null3"/>
        <w:jc w:val="center"/>
        <w:outlineLvl w:val="3"/>
      </w:pPr>
      <w:r>
        <w:rPr>
          <w:sz w:val="24"/>
          <w:b/>
        </w:rPr>
        <w:t>采购人：</w:t>
      </w:r>
      <w:r>
        <w:rPr>
          <w:sz w:val="24"/>
          <w:b/>
        </w:rPr>
        <w:t>中山市财政局</w:t>
      </w:r>
    </w:p>
    <w:p>
      <w:pPr>
        <w:pStyle w:val="null3"/>
        <w:jc w:val="center"/>
        <w:outlineLvl w:val="3"/>
      </w:pPr>
      <w:r>
        <w:rPr>
          <w:sz w:val="24"/>
          <w:b/>
        </w:rPr>
        <w:t>采购代理机构：</w:t>
      </w:r>
      <w:r>
        <w:rPr>
          <w:sz w:val="24"/>
          <w:b/>
        </w:rPr>
        <w:t>深圳交易咨询集团有限公司中山分公司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深圳交易咨询集团有限公司中山分公司</w:t>
      </w:r>
      <w:r>
        <w:rPr/>
        <w:t>受</w:t>
      </w:r>
      <w:r>
        <w:rPr/>
        <w:t>中山市财政局</w:t>
      </w:r>
      <w:r>
        <w:rPr/>
        <w:t>的委托，采用</w:t>
      </w:r>
      <w:r>
        <w:rPr/>
        <w:t>公开招标</w:t>
      </w:r>
      <w:r>
        <w:rPr/>
        <w:t>方式组织采购</w:t>
      </w:r>
      <w:r>
        <w:rPr/>
        <w:t>2026-2028年度中山市巨灾保险采购项目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2026-2028年度中山市巨灾保险采购项目</w:t>
      </w:r>
    </w:p>
    <w:p>
      <w:pPr>
        <w:pStyle w:val="null3"/>
        <w:ind w:firstLine="480"/>
      </w:pPr>
      <w:r>
        <w:rPr/>
        <w:t>采购计划编号：</w:t>
      </w:r>
      <w:r>
        <w:rPr/>
        <w:t>442000-2026-01046</w:t>
      </w:r>
    </w:p>
    <w:p>
      <w:pPr>
        <w:pStyle w:val="null3"/>
        <w:ind w:firstLine="480"/>
      </w:pPr>
      <w:r>
        <w:rPr/>
        <w:t>采购项目编号：</w:t>
      </w:r>
      <w:r>
        <w:rPr/>
        <w:t>26CCA39C00367</w:t>
      </w:r>
    </w:p>
    <w:p>
      <w:pPr>
        <w:pStyle w:val="null3"/>
        <w:ind w:firstLine="480"/>
      </w:pPr>
      <w:r>
        <w:rPr/>
        <w:t>采购方式：</w:t>
      </w:r>
      <w:r>
        <w:rPr/>
        <w:t>公开招标</w:t>
      </w:r>
    </w:p>
    <w:p>
      <w:pPr>
        <w:pStyle w:val="null3"/>
        <w:ind w:firstLine="480"/>
      </w:pPr>
      <w:r>
        <w:rPr/>
        <w:t>预算金额：</w:t>
      </w:r>
      <w:r>
        <w:rPr/>
        <w:t>45,000,000.00</w:t>
      </w:r>
      <w:r>
        <w:rPr/>
        <w:t>元</w:t>
      </w:r>
    </w:p>
    <w:p>
      <w:pPr>
        <w:pStyle w:val="null3"/>
        <w:outlineLvl w:val="3"/>
      </w:pPr>
      <w:r>
        <w:rPr>
          <w:sz w:val="24"/>
          <w:b/>
        </w:rPr>
        <w:t>2.项目内容及需求情况（采购项目技术规格、参数及要求）</w:t>
      </w:r>
    </w:p>
    <w:p>
      <w:pPr>
        <w:pStyle w:val="null3"/>
      </w:pPr>
      <w:r>
        <w:rPr/>
        <w:t>采购包1(2026-2028年度中山市巨灾保险采购项目):</w:t>
      </w:r>
    </w:p>
    <w:p>
      <w:pPr>
        <w:pStyle w:val="null3"/>
      </w:pPr>
      <w:r>
        <w:rPr/>
        <w:t>采购包预算金额：45,000,000.00元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其他保险服务</w:t>
            </w:r>
          </w:p>
        </w:tc>
        <w:tc>
          <w:tcPr>
            <w:tcW w:type="dxa" w:w="2136"/>
          </w:tcPr>
          <w:p>
            <w:pPr>
              <w:pStyle w:val="null3"/>
            </w:pPr>
            <w:r>
              <w:rPr/>
              <w:t>巨灾保险</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合同履行期限：自采购合同（即保险合同）生效之日起三年。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提供有效的营业执照（或事业单位法人证书或执业许可证或个体工商户营业执照或自然人身份证明等主体资格证明）复印件或扫描件（如为分公司或支公司等分支机构参与投标，还须提供具有独立法人资格的总公司出具的授权书以及营业执照复印件或扫描件；授权书格式自拟，允许多级授权）。</w:t>
      </w:r>
    </w:p>
    <w:p>
      <w:pPr>
        <w:pStyle w:val="null3"/>
      </w:pPr>
      <w:r>
        <w:rPr/>
        <w:t>2）具有良好的商业信誉和健全的财务会计制度：提供以下任意一项即可：①承诺函，提供《政府采购供应商资格信用承诺函》（格式详见采购公告附件）；②证明材料，提供投标人2024年至今任意一个年度的财务报告（或2025年6月至今任意一个月的财务报表）关键页复印件或扫描件，或提供由基本开户银行出具的资信证明（基户行须提供开户证明文件）复印件或扫描件；注：如同时提供承诺函和证明材料的，资格审查时以证明材料为准。</w:t>
      </w:r>
    </w:p>
    <w:p>
      <w:pPr>
        <w:pStyle w:val="null3"/>
      </w:pPr>
      <w:r>
        <w:rPr/>
        <w:t>3）履行合同所必需的设备和专业技术能力：提供“具有履行合同所必需的设备和专业技术能力”的声明，或提供“具有设备和专业技术能力（人员）”的相关证明，或提供《设备和专业技术能力情况表》（格式自拟）。</w:t>
      </w:r>
    </w:p>
    <w:p>
      <w:pPr>
        <w:pStyle w:val="null3"/>
      </w:pPr>
      <w:r>
        <w:rPr/>
        <w:t>4）有依法缴纳税收和社会保障资金的良好记录：提供以下任意一项即可：①承诺函，提供《政府采购供应商资格信用承诺函》（格式详见采购公告附件）；②证明材料，提供投标人2025年6月至今任意一个月的依法缴纳税收和社会保障资金的相关证明材料复印件或扫描件（依法免税或不需要缴纳社会保障资金，应提供相应证明材料）；注：如同时提供承诺函和证明材料的，资格审查时以证明材料为准。</w:t>
      </w:r>
    </w:p>
    <w:p>
      <w:pPr>
        <w:pStyle w:val="null3"/>
      </w:pPr>
      <w:r>
        <w:rPr/>
        <w:t>5）参加采购活动前3年内，在经营活动中没有重大违法记录：提供《政府采购供应商资格信用承诺函》（格式详见采购公告附件）或参照“投标文件格式与要求”的《投标函》提供声明。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采购包1（2026-2028年度中山市巨灾保险采购项目）：</w:t>
      </w:r>
      <w:r>
        <w:rPr/>
        <w:t>本采购包非专门面向中小企业采购。</w:t>
      </w:r>
    </w:p>
    <w:p>
      <w:pPr>
        <w:pStyle w:val="null3"/>
        <w:outlineLvl w:val="3"/>
      </w:pPr>
      <w:r>
        <w:rPr>
          <w:sz w:val="24"/>
          <w:b/>
        </w:rPr>
        <w:t>3.本项目特定的资格要求：</w:t>
      </w:r>
    </w:p>
    <w:p>
      <w:pPr>
        <w:pStyle w:val="null3"/>
      </w:pPr>
      <w:r>
        <w:rPr/>
        <w:t>采购包1（2026-2028年度中山市巨灾保险采购项目）：</w:t>
      </w:r>
    </w:p>
    <w:p>
      <w:pPr>
        <w:pStyle w:val="null3"/>
      </w:pPr>
      <w:r>
        <w:rPr/>
        <w:t>1)采购人或采购代理机构将通过“信用中国”网站（www.creditchina.gov.cn）及中国政府采购网（www.ccgp.gov.cn）查询投标人信用记录（查询截止时点：开标当天），将查询的信用记录提供给评审现场，并做好信用信息查询记录和证据留存，信用信息查询记录及相关证据应当与其他文件一并保存。对于被列入“信用中国”网站“失信被执行人”或“重大税收违法案件当事人名单”以及处于中国政府采购网“政府采购严重违法失信行为信息记录”中禁止参加政府采购活动期间的投标人，将拒绝其参与政府采购活动（不能通过资格性审查）。如相关失信记录已失效，投标人需提供相关证明资料。</w:t>
      </w:r>
    </w:p>
    <w:p>
      <w:pPr>
        <w:pStyle w:val="null3"/>
      </w:pPr>
      <w:r>
        <w:rPr/>
        <w:t>2)单位负责人为同一人或者存在直接控股、管理关系的不同投标人，不得同时参加本采购项目（或采购包）投标。为本项目提供整体设计、规范编制或者项目管理、监理、检测等服务的投标人，不得再参与本项目投标。参照“投标文件格式与要求”的《投标函》提供声明。</w:t>
      </w:r>
    </w:p>
    <w:p>
      <w:pPr>
        <w:pStyle w:val="null3"/>
      </w:pPr>
      <w:r>
        <w:rPr/>
        <w:t>3)投标人必须为经国家保险监督管理机构批准在中华人民共和国境内设立和营业的保险机构，具有合法有效的《中华人民共和国保险许可证》（提供证书复印件或扫描件）；如国家另有规定，则从其规定。</w:t>
      </w:r>
    </w:p>
    <w:p>
      <w:pPr>
        <w:pStyle w:val="null3"/>
      </w:pPr>
      <w:r>
        <w:rPr/>
        <w:t>4)本项目不接受联合体投标，接受分支机构投标（若出现总公司与其任一分支机构同时递交投标文件的情况，将同时作无效投标处理；若多家分支机构同时参与投标，仅可接受其中获得总公司有效授权的一家参与评审；若多家分支机构均声称获得授权，将同时作无效投标处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中山市财政局</w:t>
      </w:r>
    </w:p>
    <w:p>
      <w:pPr>
        <w:pStyle w:val="null3"/>
        <w:ind w:firstLine="480"/>
      </w:pPr>
      <w:r>
        <w:rPr/>
        <w:t xml:space="preserve"> 地址：</w:t>
      </w:r>
      <w:r>
        <w:rPr/>
        <w:t xml:space="preserve"> 中山市兴中道63号</w:t>
      </w:r>
    </w:p>
    <w:p>
      <w:pPr>
        <w:pStyle w:val="null3"/>
        <w:ind w:firstLine="480"/>
      </w:pPr>
      <w:r>
        <w:rPr/>
        <w:t xml:space="preserve"> 联系方式：</w:t>
      </w:r>
      <w:r>
        <w:rPr/>
        <w:t>0760-88266129</w:t>
      </w:r>
    </w:p>
    <w:p>
      <w:pPr>
        <w:pStyle w:val="null3"/>
        <w:outlineLvl w:val="3"/>
      </w:pPr>
      <w:r>
        <w:rPr>
          <w:sz w:val="24"/>
          <w:b/>
        </w:rPr>
        <w:t xml:space="preserve"> 2.采购代理机构信息</w:t>
      </w:r>
    </w:p>
    <w:p>
      <w:pPr>
        <w:pStyle w:val="null3"/>
        <w:ind w:firstLine="480"/>
      </w:pPr>
      <w:r>
        <w:rPr/>
        <w:t xml:space="preserve"> 名称：</w:t>
      </w:r>
      <w:r>
        <w:rPr/>
        <w:t>深圳交易咨询集团有限公司中山分公司</w:t>
      </w:r>
    </w:p>
    <w:p>
      <w:pPr>
        <w:pStyle w:val="null3"/>
        <w:ind w:firstLine="480"/>
      </w:pPr>
      <w:r>
        <w:rPr/>
        <w:t xml:space="preserve"> 地址：</w:t>
      </w:r>
      <w:r>
        <w:rPr/>
        <w:t>中山市东区中山五路57号汇智大厦四楼东座</w:t>
      </w:r>
    </w:p>
    <w:p>
      <w:pPr>
        <w:pStyle w:val="null3"/>
        <w:ind w:firstLine="480"/>
      </w:pPr>
      <w:r>
        <w:rPr/>
        <w:t xml:space="preserve"> 联系方式：</w:t>
      </w:r>
      <w:r>
        <w:rPr/>
        <w:t>0760-88389863 监督举报电话：0755-26925039、0755-86660475</w:t>
      </w:r>
    </w:p>
    <w:p>
      <w:pPr>
        <w:pStyle w:val="null3"/>
        <w:outlineLvl w:val="3"/>
      </w:pPr>
      <w:r>
        <w:rPr>
          <w:sz w:val="24"/>
          <w:b/>
        </w:rPr>
        <w:t xml:space="preserve"> 3.项目联系方式</w:t>
      </w:r>
    </w:p>
    <w:p>
      <w:pPr>
        <w:pStyle w:val="null3"/>
        <w:ind w:firstLine="480"/>
      </w:pPr>
      <w:r>
        <w:rPr/>
        <w:t xml:space="preserve"> 项目联系人：</w:t>
      </w:r>
      <w:r>
        <w:rPr/>
        <w:t>何新坚、宋颖怡、林思敏、苏彤</w:t>
      </w:r>
    </w:p>
    <w:p>
      <w:pPr>
        <w:pStyle w:val="null3"/>
        <w:ind w:firstLine="480"/>
      </w:pPr>
      <w:r>
        <w:rPr/>
        <w:t xml:space="preserve"> 电话：</w:t>
      </w:r>
      <w:r>
        <w:rPr/>
        <w:t>0760-88389863 监督举报电话：0755-26925039、0755-86660475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深圳交易咨询集团有限公司中山分公司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1.采购人：中山市财政局</w:t>
      </w:r>
    </w:p>
    <w:p>
      <w:pPr>
        <w:pStyle w:val="null3"/>
        <w:ind w:firstLine="420"/>
        <w:jc w:val="both"/>
      </w:pPr>
      <w:r>
        <w:rPr>
          <w:sz w:val="24"/>
        </w:rPr>
        <w:t>2.项目名称：2026-2028年度中山市巨灾保险采购项目</w:t>
      </w:r>
    </w:p>
    <w:p>
      <w:pPr>
        <w:pStyle w:val="null3"/>
        <w:ind w:firstLine="420"/>
        <w:jc w:val="both"/>
      </w:pPr>
      <w:r>
        <w:rPr>
          <w:sz w:val="24"/>
        </w:rPr>
        <w:t>3.预算金额：人民币45,000,000.00元（含税）</w:t>
      </w:r>
    </w:p>
    <w:p>
      <w:pPr>
        <w:pStyle w:val="null3"/>
        <w:ind w:firstLine="420"/>
        <w:jc w:val="both"/>
      </w:pPr>
      <w:r>
        <w:rPr>
          <w:sz w:val="24"/>
        </w:rPr>
        <w:t>4.项目概况：运用现代金融手段分散和转移巨灾风险，应对中山市2026-2028年可能出现的重大自然灾害（台风和强降水）。巨灾气象指数保险协同实现“阈值触发、指数定级、精准快速”的服务机制，提高了防灾减灾救灾的社会效益。</w:t>
      </w:r>
    </w:p>
    <w:p>
      <w:pPr>
        <w:pStyle w:val="null3"/>
        <w:ind w:firstLine="420"/>
        <w:jc w:val="both"/>
      </w:pPr>
      <w:r>
        <w:rPr>
          <w:sz w:val="24"/>
        </w:rPr>
        <w:t>5.承保模式</w:t>
      </w:r>
    </w:p>
    <w:p>
      <w:pPr>
        <w:pStyle w:val="null3"/>
        <w:ind w:firstLine="420"/>
        <w:jc w:val="both"/>
      </w:pPr>
      <w:r>
        <w:rPr>
          <w:sz w:val="24"/>
        </w:rPr>
        <w:t>（1）本项目通过公开招标，确定由4家中标保险公司组成共保体进行承保，采购合同由采购人与该四家机构共同签订。根据评审结果，综合得分排名前四的保险机构共同组成中山市财政局购买巨灾保险费用项目的保险共保体。其中，排名第一的保险机构担任共保体首席承保人，全面负责本项目的业务开展、保单出具、理赔处理及相关服务工作，并承担共保体50%的份额；排名第二的保险机构承担共保体20%的份额、排名第三的保险机构承担共保体18%的份额、排名第四的保险机构承担共保体12%的份额，保险机构均需配合首席承保人开展各项工作。</w:t>
      </w:r>
    </w:p>
    <w:p>
      <w:pPr>
        <w:pStyle w:val="null3"/>
        <w:ind w:firstLine="420"/>
        <w:jc w:val="both"/>
      </w:pPr>
      <w:r>
        <w:rPr>
          <w:sz w:val="24"/>
        </w:rPr>
        <w:t>（2）台风及强降雨灾害发生并达到触发条件后，指数计算机构将根据采购人的指示在3个工作日内按保险合同约定计算成灾指数，并出具受灾事件报告。按照省内其他开展巨灾保险地市的经验做法，受灾事件报告费用由各中标保险机构按其共保分担比例共同承担。</w:t>
      </w:r>
    </w:p>
    <w:p>
      <w:pPr>
        <w:pStyle w:val="null3"/>
        <w:ind w:firstLine="420"/>
        <w:jc w:val="both"/>
      </w:pPr>
      <w:r>
        <w:rPr>
          <w:sz w:val="24"/>
        </w:rPr>
        <w:t>6.本项目由中标人负责招标文件对中标人要求的一切事宜并承担相应责任，中标人不得以任何方式转包或分包本项目。</w:t>
      </w:r>
    </w:p>
    <w:p>
      <w:pPr>
        <w:pStyle w:val="null3"/>
      </w:pPr>
      <w:r>
        <w:rPr/>
        <w:t>采购包1（2026-2028年度中山市巨灾保险采购项目）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自采购合同（即保险合同）生效之日起三年。</w:t>
            </w:r>
          </w:p>
        </w:tc>
      </w:tr>
      <w:tr>
        <w:tc>
          <w:tcPr>
            <w:tcW w:type="dxa" w:w="4153"/>
          </w:tcPr>
          <w:p>
            <w:pPr>
              <w:pStyle w:val="null3"/>
            </w:pPr>
            <w:r>
              <w:rPr/>
              <w:t>标的提供的地点</w:t>
            </w:r>
          </w:p>
        </w:tc>
        <w:tc>
          <w:tcPr>
            <w:tcW w:type="dxa" w:w="4153"/>
          </w:tcPr>
          <w:p>
            <w:pPr>
              <w:pStyle w:val="null3"/>
            </w:pPr>
            <w:r>
              <w:rPr/>
              <w:t>中山市，按实际发生区域实施本项目承保服务。</w:t>
            </w:r>
          </w:p>
        </w:tc>
      </w:tr>
      <w:tr>
        <w:tc>
          <w:tcPr>
            <w:tcW w:type="dxa" w:w="4153"/>
          </w:tcPr>
          <w:p>
            <w:pPr>
              <w:pStyle w:val="null3"/>
            </w:pPr>
            <w:r>
              <w:rPr/>
              <w:t>付款方式</w:t>
            </w:r>
          </w:p>
        </w:tc>
        <w:tc>
          <w:tcPr>
            <w:tcW w:type="dxa" w:w="4153"/>
          </w:tcPr>
          <w:p>
            <w:pPr>
              <w:pStyle w:val="null3"/>
            </w:pPr>
            <w:r>
              <w:rPr/>
              <w:t>1期：支付比例100%,本项目按年支付，采购人将在保单生效后，于每年的10月1日前一次性支付当年度的保费。总保费由采购人支付给首席承保人，首席承保人收到全部保费后，按照共保协议约定将保险费对应划至其他承保机构。注：（1）中标人应在申请付款前，向采购人提交书面请款申请，并提供符合要求的等额合格发票及相关材料。（2）合同经费由政府拨款，如因政策调整等因素导致拨款未能及时到位，中标人不得以此为由而不履行合同规定的义务，否则采购人按规定予以扣罚。（3）若因中标人怠于或拒绝提供必要资料、办理相关手续，导致付款延迟的，相应责任由中标人全部承担。（4）采购人在本合同约定的支付期限内向采购支付部门提出支付申请即视为采购人已履行付款义务，采购人的付款期限不含政府财政支付部门审查、财政支付管理流程及预算下达的时间，如有延误，支付期限自动顺延，采购人不承担因此产生的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2.履约验收时间：于中标人完成合同约定的所有工作并交付采购人成果后启动，具体验收时间由双方协商确定。 3.履约验收方式：采购人负责组织、中标人协助配合，必要时可引入相关领域专家参与验收评审。 4.履约验收程序 （1）中标人确保各项验收资料齐全，并向采购人提交书面验收申请； （2）采购人审核通过后，组织开展验收工作； （3）如涉及专家评审，应通过相关部门组织的专家验收； （4）验收结束后，所有验收文件由采购人归档备案。 5.履约验收内容：采购文件规定、投标文件承诺、合同约定内容。由中标人每年向采购人书面汇报业务开展情况，由采购人根据项目周期内的承保情况进行确认。 6.验收标准：按国家、地方或行业现行相关验收规范和评定标准执行，验收合格或通过验收。若项目服务未达到采购人要求，采购人有权拒绝验收，由此产生的一切损失由中标人承担。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一、报价要求</w:t>
            </w:r>
          </w:p>
        </w:tc>
        <w:tc>
          <w:tcPr>
            <w:tcW w:type="dxa" w:w="2076"/>
          </w:tcPr>
          <w:p>
            <w:pPr>
              <w:pStyle w:val="null3"/>
              <w:jc w:val="left"/>
            </w:pPr>
            <w:r>
              <w:rPr/>
              <w:t>★1.本项目采用总价报价方式，投标报价不得超过项目预算金额（人民币45,000,000.00元），否则视为无效投标。</w:t>
            </w:r>
          </w:p>
        </w:tc>
      </w:tr>
      <w:tr>
        <w:tc>
          <w:tcPr>
            <w:tcW w:type="dxa" w:w="2076"/>
          </w:tcPr>
          <w:p/>
        </w:tc>
        <w:tc>
          <w:tcPr>
            <w:tcW w:type="dxa" w:w="2076"/>
          </w:tcPr>
          <w:p>
            <w:pPr>
              <w:pStyle w:val="null3"/>
              <w:jc w:val="center"/>
            </w:pPr>
            <w:r>
              <w:rPr/>
              <w:t>2</w:t>
            </w:r>
          </w:p>
        </w:tc>
        <w:tc>
          <w:tcPr>
            <w:tcW w:type="dxa" w:w="2076"/>
          </w:tcPr>
          <w:p>
            <w:pPr>
              <w:pStyle w:val="null3"/>
              <w:jc w:val="left"/>
            </w:pPr>
            <w:r>
              <w:rPr/>
              <w:t>一、报价要求</w:t>
            </w:r>
          </w:p>
        </w:tc>
        <w:tc>
          <w:tcPr>
            <w:tcW w:type="dxa" w:w="2076"/>
          </w:tcPr>
          <w:p>
            <w:pPr>
              <w:pStyle w:val="null3"/>
              <w:jc w:val="left"/>
            </w:pPr>
            <w:r>
              <w:rPr/>
              <w:t>2.中标价将作为签订合同的依据，采购人向各中标人支付的保费金额按其中标价及相应份额比例计算。各中标人年度保费计算公式如下： 综合得分排名第一的中标人：年度保费=该中标人中标价÷3年×份额比例（50%）。 综合得分排名第二的中标人：年度保费=该中标人中标价÷3年×份额比例（20%）。 综合得分排名第三的中标人：年度保费=该中标人中标价÷3年×份额比例（18%）。 综合得分排名第四的中标人：年度保费=该中标人中标价÷3年×份额比例（12%）。 3.保险机构所获保费份额已包含为履行本次采购所有服务内容所必需的全部费用，包括但不限于人工费、劳保费、保险费、材料费、设备使用费、各项税费、必要的辅助材料费及合同实施过程中可能发生的不可预见费用等，采购人将不再另外支付任何费用。</w:t>
            </w:r>
          </w:p>
        </w:tc>
      </w:tr>
      <w:tr>
        <w:tc>
          <w:tcPr>
            <w:tcW w:type="dxa" w:w="2076"/>
          </w:tcPr>
          <w:p/>
        </w:tc>
        <w:tc>
          <w:tcPr>
            <w:tcW w:type="dxa" w:w="2076"/>
          </w:tcPr>
          <w:p>
            <w:pPr>
              <w:pStyle w:val="null3"/>
              <w:jc w:val="center"/>
            </w:pPr>
            <w:r>
              <w:rPr/>
              <w:t>3</w:t>
            </w:r>
          </w:p>
        </w:tc>
        <w:tc>
          <w:tcPr>
            <w:tcW w:type="dxa" w:w="2076"/>
          </w:tcPr>
          <w:p>
            <w:pPr>
              <w:pStyle w:val="null3"/>
              <w:jc w:val="left"/>
            </w:pPr>
            <w:r>
              <w:rPr/>
              <w:t>二、售后服务要求</w:t>
            </w:r>
          </w:p>
        </w:tc>
        <w:tc>
          <w:tcPr>
            <w:tcW w:type="dxa" w:w="2076"/>
          </w:tcPr>
          <w:p>
            <w:pPr>
              <w:pStyle w:val="null3"/>
              <w:jc w:val="left"/>
            </w:pPr>
            <w:r>
              <w:rPr/>
              <w:t>1.中标人必须提供全年全天候（7*24小时）售后服务。在接到采购人电话通知后立即响应，确保当天问题当天处理，并设立24小时全天报案服务电话，专人受理索赔报案与咨询。 2.中标人必须及时协助采购人收集相关理赔所需材料，力求及时定损，快速出险、避免损失。 3.中标人必须主动及时、细致贴心地提供保险咨询服务、保单批注服务、保单保全服务等日常售后服务，确保服务响应及时、沟通顺畅。 4.中标人应根据自己掌握的情况和采购人提供的信息情况或通知，主动安排上门服务，及时为被保险单位签订保险单。 5.中标人应对采购人的保险情况建立单独的用户档案，开展跟踪服务，建立定期回访制度，征求采购人意见，及时改进服务。 6.中标人须向采购人提供保险业务咨询及技术支持服务，服务内容涵盖问题解答、保险咨询与知识科普等。 7.为保障本巨灾保险项目服务的专业性与连续性，中标人为本项目配备的服务团队（含管理领导小组及专项负责人），团队成员具有与“保险”或“金融”或“经济”相关的学历，持有具有中级（或以上）经济师职称（“金融”或“保险”专业）。</w:t>
            </w:r>
          </w:p>
        </w:tc>
      </w:tr>
      <w:tr>
        <w:tc>
          <w:tcPr>
            <w:tcW w:type="dxa" w:w="2076"/>
          </w:tcPr>
          <w:p/>
        </w:tc>
        <w:tc>
          <w:tcPr>
            <w:tcW w:type="dxa" w:w="2076"/>
          </w:tcPr>
          <w:p>
            <w:pPr>
              <w:pStyle w:val="null3"/>
              <w:jc w:val="center"/>
            </w:pPr>
            <w:r>
              <w:rPr/>
              <w:t>4</w:t>
            </w:r>
          </w:p>
        </w:tc>
        <w:tc>
          <w:tcPr>
            <w:tcW w:type="dxa" w:w="2076"/>
          </w:tcPr>
          <w:p>
            <w:pPr>
              <w:pStyle w:val="null3"/>
              <w:jc w:val="left"/>
            </w:pPr>
            <w:r>
              <w:rPr/>
              <w:t>三、方案要求</w:t>
            </w:r>
          </w:p>
        </w:tc>
        <w:tc>
          <w:tcPr>
            <w:tcW w:type="dxa" w:w="2076"/>
          </w:tcPr>
          <w:p>
            <w:pPr>
              <w:pStyle w:val="null3"/>
              <w:jc w:val="left"/>
            </w:pPr>
            <w:r>
              <w:rPr/>
              <w:t>投标人可根据对本项目的理解及自身情况合理制定以下内容： 1.未发生灾害时的防险避险方案及投入措施； 2.发生灾害时的减灾防损配合政府相关部门进行的工作方案及内容； 3.定损理赔及赔付款到位时间的及时性合理性。</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★四、其他要求</w:t>
            </w:r>
          </w:p>
        </w:tc>
        <w:tc>
          <w:tcPr>
            <w:tcW w:type="dxa" w:w="2076"/>
          </w:tcPr>
          <w:p>
            <w:pPr>
              <w:pStyle w:val="null3"/>
              <w:jc w:val="left"/>
            </w:pPr>
            <w:r>
              <w:rPr/>
              <w:t>本项目强降雨、台风巨灾保险方案中涉及的“有效观测站数”、“保险参量权重表”、“受灾因子表”，投标人必须严格按照采购文件给出的内容进行响应，不允许有任何调整或变动。</w:t>
            </w:r>
          </w:p>
        </w:tc>
      </w:tr>
      <w:tr>
        <w:tc>
          <w:tcPr>
            <w:tcW w:type="dxa" w:w="2076"/>
          </w:tcPr>
          <w:p/>
        </w:tc>
        <w:tc>
          <w:tcPr>
            <w:tcW w:type="dxa" w:w="2076"/>
          </w:tcPr>
          <w:p>
            <w:pPr>
              <w:pStyle w:val="null3"/>
              <w:jc w:val="center"/>
            </w:pPr>
            <w:r>
              <w:rPr/>
              <w:t>6</w:t>
            </w:r>
          </w:p>
        </w:tc>
        <w:tc>
          <w:tcPr>
            <w:tcW w:type="dxa" w:w="2076"/>
          </w:tcPr>
          <w:p>
            <w:pPr>
              <w:pStyle w:val="null3"/>
              <w:jc w:val="left"/>
            </w:pPr>
            <w:r>
              <w:rPr/>
              <w:t>五、采购人配合条件</w:t>
            </w:r>
          </w:p>
        </w:tc>
        <w:tc>
          <w:tcPr>
            <w:tcW w:type="dxa" w:w="2076"/>
          </w:tcPr>
          <w:p>
            <w:pPr>
              <w:pStyle w:val="null3"/>
              <w:jc w:val="left"/>
            </w:pPr>
            <w:r>
              <w:rPr/>
              <w:t>投标人可在投标文件中列明需由采购人配合的内容，所列配合内容采购人将尽量配合解决，但不代表采购人全部接受，采购人有权全部或部分拒绝投标人提出的配合条件。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巨灾保险</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15,000,000.00</w:t>
            </w:r>
          </w:p>
        </w:tc>
        <w:tc>
          <w:tcPr>
            <w:tcW w:type="dxa" w:w="933"/>
          </w:tcPr>
          <w:p>
            <w:pPr>
              <w:pStyle w:val="null3"/>
              <w:jc w:val="right"/>
            </w:pPr>
            <w:r>
              <w:rPr/>
              <w:t>45,000,000.00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巨灾保险</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一、中山市保险费</w:t>
            </w:r>
          </w:p>
          <w:p>
            <w:pPr>
              <w:pStyle w:val="null3"/>
            </w:pPr>
            <w:r>
              <w:rPr>
                <w:sz w:val="24"/>
              </w:rPr>
              <w:t xml:space="preserve">      中山市台风、强降雨巨灾保险总保险费由中山市级财政统一承担。</w:t>
            </w:r>
          </w:p>
        </w:tc>
      </w:tr>
      <w:tr>
        <w:tc>
          <w:tcPr>
            <w:tcW w:type="dxa" w:w="2076"/>
          </w:tcPr>
          <w:p/>
        </w:tc>
        <w:tc>
          <w:tcPr>
            <w:tcW w:type="dxa" w:w="415"/>
          </w:tcPr>
          <w:p>
            <w:pPr>
              <w:pStyle w:val="null3"/>
            </w:pPr>
            <w:r>
              <w:rPr/>
              <w:t>2</w:t>
            </w:r>
          </w:p>
        </w:tc>
        <w:tc>
          <w:tcPr>
            <w:tcW w:type="dxa" w:w="5814"/>
          </w:tcPr>
          <w:p>
            <w:pPr>
              <w:pStyle w:val="null3"/>
              <w:jc w:val="both"/>
            </w:pPr>
            <w:r>
              <w:rPr>
                <w:sz w:val="24"/>
                <w:b/>
              </w:rPr>
              <w:t>二、强降雨和台风巨灾保险方案</w:t>
            </w:r>
          </w:p>
          <w:p>
            <w:pPr>
              <w:pStyle w:val="null3"/>
              <w:ind w:firstLine="420"/>
              <w:jc w:val="both"/>
            </w:pPr>
            <w:r>
              <w:rPr>
                <w:sz w:val="24"/>
              </w:rPr>
              <w:t>根据中山市受强降雨和台风灾害影响的特点，台风和强降雨保费规模如下：</w:t>
            </w:r>
          </w:p>
          <w:p>
            <w:pPr>
              <w:pStyle w:val="null3"/>
              <w:jc w:val="center"/>
            </w:pPr>
            <w:r>
              <w:rPr>
                <w:sz w:val="24"/>
                <w:b/>
              </w:rPr>
              <w:t>表</w:t>
            </w:r>
            <w:r>
              <w:rPr>
                <w:sz w:val="24"/>
                <w:b/>
              </w:rPr>
              <w:t xml:space="preserve">1.1 </w:t>
            </w:r>
            <w:r>
              <w:rPr>
                <w:sz w:val="24"/>
                <w:b/>
              </w:rPr>
              <w:t>强降雨台风保费和投保系数</w:t>
            </w:r>
          </w:p>
          <w:tbl>
            <w:tblPr>
              <w:tblBorders>
                <w:top w:val="none" w:color="000000" w:sz="4"/>
                <w:left w:val="none" w:color="000000" w:sz="4"/>
                <w:bottom w:val="none" w:color="000000" w:sz="4"/>
                <w:right w:val="none" w:color="000000" w:sz="4"/>
                <w:insideH w:val="none"/>
                <w:insideV w:val="none"/>
              </w:tblBorders>
            </w:tblPr>
            <w:tblGrid>
              <w:gridCol w:w="1766"/>
              <w:gridCol w:w="854"/>
              <w:gridCol w:w="975"/>
              <w:gridCol w:w="1002"/>
              <w:gridCol w:w="999"/>
            </w:tblGrid>
            <w:tr>
              <w:tc>
                <w:tcPr>
                  <w:tcW w:type="dxa" w:w="176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分配方案</w:t>
                  </w:r>
                </w:p>
              </w:tc>
              <w:tc>
                <w:tcPr>
                  <w:tcW w:type="dxa" w:w="182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强降雨保费规模</w:t>
                  </w:r>
                </w:p>
              </w:tc>
              <w:tc>
                <w:tcPr>
                  <w:tcW w:type="dxa" w:w="200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台风保费规模</w:t>
                  </w:r>
                </w:p>
              </w:tc>
            </w:tr>
            <w:tr>
              <w:tc>
                <w:tcPr>
                  <w:tcW w:type="dxa" w:w="1766"/>
                  <w:vMerge/>
                  <w:tcBorders>
                    <w:top w:val="singl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每年</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每年</w:t>
                  </w:r>
                </w:p>
              </w:tc>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年保费</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375</w:t>
                  </w:r>
                  <w:r>
                    <w:rPr>
                      <w:sz w:val="21"/>
                    </w:rPr>
                    <w:t>万元</w:t>
                  </w:r>
                  <w:r>
                    <w:rPr>
                      <w:sz w:val="21"/>
                    </w:rPr>
                    <w:t>/</w:t>
                  </w:r>
                  <w:r>
                    <w:rPr>
                      <w:sz w:val="21"/>
                    </w:rPr>
                    <w:t>年</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1125</w:t>
                  </w:r>
                  <w:r>
                    <w:rPr>
                      <w:sz w:val="21"/>
                    </w:rPr>
                    <w:t>万元</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1125</w:t>
                  </w:r>
                  <w:r>
                    <w:rPr>
                      <w:sz w:val="21"/>
                    </w:rPr>
                    <w:t>万元</w:t>
                  </w:r>
                  <w:r>
                    <w:rPr>
                      <w:sz w:val="21"/>
                    </w:rPr>
                    <w:t>/</w:t>
                  </w:r>
                  <w:r>
                    <w:rPr>
                      <w:sz w:val="21"/>
                    </w:rPr>
                    <w:t>年</w:t>
                  </w: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3375</w:t>
                  </w:r>
                  <w:r>
                    <w:rPr>
                      <w:sz w:val="21"/>
                    </w:rPr>
                    <w:t>万元</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投保系数（</w:t>
                  </w:r>
                  <w:r>
                    <w:rPr>
                      <w:sz w:val="21"/>
                    </w:rPr>
                    <w:t>λ</w:t>
                  </w:r>
                  <w:r>
                    <w:rPr>
                      <w:sz w:val="21"/>
                    </w:rPr>
                    <w:t>）</w:t>
                  </w:r>
                </w:p>
              </w:tc>
              <w:tc>
                <w:tcPr>
                  <w:tcW w:type="dxa" w:w="18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0.375</w:t>
                  </w:r>
                </w:p>
              </w:tc>
              <w:tc>
                <w:tcPr>
                  <w:tcW w:type="dxa" w:w="20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1.125</w:t>
                  </w:r>
                </w:p>
              </w:tc>
            </w:tr>
          </w:tbl>
          <w:p>
            <w:pPr>
              <w:pStyle w:val="null3"/>
            </w:pPr>
            <w:r>
              <w:rPr>
                <w:sz w:val="24"/>
                <w:b/>
              </w:rPr>
              <w:t xml:space="preserve">      （一）强降雨巨灾指数保险方案</w:t>
            </w:r>
          </w:p>
          <w:p>
            <w:pPr>
              <w:pStyle w:val="null3"/>
              <w:ind w:firstLine="482"/>
            </w:pPr>
            <w:r>
              <w:rPr>
                <w:sz w:val="24"/>
                <w:b/>
              </w:rPr>
              <w:t>1.</w:t>
            </w:r>
            <w:r>
              <w:rPr>
                <w:sz w:val="24"/>
                <w:b/>
              </w:rPr>
              <w:t>强降雨事件定义</w:t>
            </w:r>
          </w:p>
          <w:p>
            <w:pPr>
              <w:pStyle w:val="null3"/>
              <w:ind w:firstLine="480"/>
            </w:pPr>
            <w:r>
              <w:rPr>
                <w:sz w:val="24"/>
              </w:rPr>
              <w:t>在投保区域内任意一个选定的有效观测站，如果其任意一天累计降雨量（按照气象资料统计标准，统计时段为</w:t>
            </w:r>
            <w:r>
              <w:rPr>
                <w:sz w:val="24"/>
              </w:rPr>
              <w:t>20</w:t>
            </w:r>
            <w:r>
              <w:rPr>
                <w:sz w:val="24"/>
              </w:rPr>
              <w:t>～</w:t>
            </w:r>
            <w:r>
              <w:rPr>
                <w:sz w:val="24"/>
              </w:rPr>
              <w:t>20</w:t>
            </w:r>
            <w:r>
              <w:rPr>
                <w:sz w:val="24"/>
              </w:rPr>
              <w:t>时或</w:t>
            </w:r>
            <w:r>
              <w:rPr>
                <w:sz w:val="24"/>
              </w:rPr>
              <w:t>08</w:t>
            </w:r>
            <w:r>
              <w:rPr>
                <w:sz w:val="24"/>
              </w:rPr>
              <w:t>～</w:t>
            </w:r>
            <w:r>
              <w:rPr>
                <w:sz w:val="24"/>
              </w:rPr>
              <w:t>08</w:t>
            </w:r>
            <w:r>
              <w:rPr>
                <w:sz w:val="24"/>
              </w:rPr>
              <w:t>时）大于或等于</w:t>
            </w:r>
            <w:r>
              <w:rPr>
                <w:sz w:val="24"/>
              </w:rPr>
              <w:t>50</w:t>
            </w:r>
            <w:r>
              <w:rPr>
                <w:sz w:val="24"/>
              </w:rPr>
              <w:t>毫米，则可以定义为一次强降雨事件的开始。当投保区域所有有效观测站连续两天累计降雨量小于</w:t>
            </w:r>
            <w:r>
              <w:rPr>
                <w:sz w:val="24"/>
              </w:rPr>
              <w:t>50</w:t>
            </w:r>
            <w:r>
              <w:rPr>
                <w:sz w:val="24"/>
              </w:rPr>
              <w:t>毫米时，则定义为一次强降雨事件结束。</w:t>
            </w:r>
          </w:p>
          <w:p>
            <w:pPr>
              <w:pStyle w:val="null3"/>
              <w:ind w:firstLine="482"/>
            </w:pPr>
            <w:r>
              <w:rPr>
                <w:sz w:val="24"/>
                <w:b/>
              </w:rPr>
              <w:t>2.</w:t>
            </w:r>
            <w:r>
              <w:rPr>
                <w:sz w:val="24"/>
                <w:b/>
              </w:rPr>
              <w:t>最大降雨量定义</w:t>
            </w:r>
          </w:p>
          <w:p>
            <w:pPr>
              <w:pStyle w:val="null3"/>
              <w:ind w:firstLine="480"/>
            </w:pPr>
            <w:r>
              <w:rPr>
                <w:sz w:val="24"/>
              </w:rPr>
              <w:t>在一次强降雨事件中，每个有效观测站的最大降雨量等于在该强降雨事件中，该观测站监测到的最大的连续三天累积降雨量。</w:t>
            </w:r>
          </w:p>
          <w:p>
            <w:pPr>
              <w:pStyle w:val="null3"/>
              <w:ind w:firstLine="482"/>
            </w:pPr>
            <w:r>
              <w:rPr>
                <w:sz w:val="24"/>
                <w:b/>
              </w:rPr>
              <w:t>3.</w:t>
            </w:r>
            <w:r>
              <w:rPr>
                <w:sz w:val="24"/>
                <w:b/>
              </w:rPr>
              <w:t>受灾事件定义</w:t>
            </w:r>
          </w:p>
          <w:p>
            <w:pPr>
              <w:pStyle w:val="null3"/>
              <w:ind w:firstLine="480"/>
            </w:pPr>
            <w:r>
              <w:rPr>
                <w:sz w:val="24"/>
              </w:rPr>
              <w:t>如果在强降雨事件中的任何时间点，任意一个有效观测站的最大降雨量大于或等于</w:t>
            </w:r>
            <w:r>
              <w:rPr>
                <w:sz w:val="24"/>
              </w:rPr>
              <w:t>2</w:t>
            </w:r>
            <w:r>
              <w:rPr>
                <w:sz w:val="24"/>
              </w:rPr>
              <w:t>年一遇的重现水平</w:t>
            </w:r>
            <w:r>
              <w:rPr>
                <w:sz w:val="24"/>
              </w:rPr>
              <w:t>（见附表</w:t>
            </w:r>
            <w:r>
              <w:rPr>
                <w:sz w:val="24"/>
              </w:rPr>
              <w:t>2</w:t>
            </w:r>
            <w:r>
              <w:rPr>
                <w:sz w:val="24"/>
              </w:rPr>
              <w:t>）</w:t>
            </w:r>
            <w:r>
              <w:rPr>
                <w:sz w:val="24"/>
              </w:rPr>
              <w:t>时，该强降雨事件定义为受灾事件。强降雨事件中最大降雨量大于或等于受灾阈值的第一天，受灾事件起始。当该强降雨事件结束时受灾事件结束。</w:t>
            </w:r>
          </w:p>
          <w:p>
            <w:pPr>
              <w:pStyle w:val="null3"/>
              <w:ind w:firstLine="482"/>
              <w:jc w:val="both"/>
            </w:pPr>
            <w:r>
              <w:rPr>
                <w:sz w:val="24"/>
                <w:b/>
              </w:rPr>
              <w:t>4.</w:t>
            </w:r>
            <w:r>
              <w:rPr>
                <w:sz w:val="24"/>
                <w:b/>
              </w:rPr>
              <w:t>受灾阈值</w:t>
            </w:r>
          </w:p>
          <w:p>
            <w:pPr>
              <w:pStyle w:val="null3"/>
              <w:ind w:firstLine="480"/>
            </w:pPr>
            <w:r>
              <w:rPr>
                <w:sz w:val="24"/>
              </w:rPr>
              <w:t>三日雨量受灾阈值：</w:t>
            </w:r>
            <w:r>
              <w:rPr>
                <w:sz w:val="24"/>
              </w:rPr>
              <w:t>2</w:t>
            </w:r>
            <w:r>
              <w:rPr>
                <w:sz w:val="24"/>
              </w:rPr>
              <w:t>年一遇的重现水平（毫米）。</w:t>
            </w:r>
          </w:p>
          <w:p>
            <w:pPr>
              <w:pStyle w:val="null3"/>
              <w:ind w:firstLine="482"/>
            </w:pPr>
            <w:r>
              <w:rPr>
                <w:sz w:val="24"/>
                <w:b/>
              </w:rPr>
              <w:t>5.</w:t>
            </w:r>
            <w:r>
              <w:rPr>
                <w:sz w:val="24"/>
                <w:b/>
              </w:rPr>
              <w:t>有效观测站选取</w:t>
            </w:r>
          </w:p>
          <w:p>
            <w:pPr>
              <w:pStyle w:val="null3"/>
              <w:ind w:firstLine="480"/>
            </w:pPr>
            <w:r>
              <w:rPr>
                <w:sz w:val="24"/>
              </w:rPr>
              <w:t>在中山行政区域内，综合考虑气象观测站点观测环境（区域站落地且代表性好）、观测资料序列长短（大于等于</w:t>
            </w:r>
            <w:r>
              <w:rPr>
                <w:sz w:val="24"/>
              </w:rPr>
              <w:t>18</w:t>
            </w:r>
            <w:r>
              <w:rPr>
                <w:sz w:val="24"/>
              </w:rPr>
              <w:t>年）和数据质量（数据有效性大于等于</w:t>
            </w:r>
            <w:r>
              <w:rPr>
                <w:sz w:val="24"/>
              </w:rPr>
              <w:t>90%</w:t>
            </w:r>
            <w:r>
              <w:rPr>
                <w:sz w:val="24"/>
              </w:rPr>
              <w:t>）等因素，选定</w:t>
            </w:r>
            <w:r>
              <w:rPr>
                <w:sz w:val="24"/>
              </w:rPr>
              <w:t>28</w:t>
            </w:r>
            <w:r>
              <w:rPr>
                <w:sz w:val="24"/>
              </w:rPr>
              <w:t>个气象地面观测站点（</w:t>
            </w:r>
            <w:r>
              <w:rPr>
                <w:sz w:val="24"/>
              </w:rPr>
              <w:t>见</w:t>
            </w:r>
            <w:r>
              <w:rPr>
                <w:sz w:val="24"/>
              </w:rPr>
              <w:t>附表</w:t>
            </w:r>
            <w:r>
              <w:rPr>
                <w:sz w:val="24"/>
              </w:rPr>
              <w:t>1</w:t>
            </w:r>
            <w:r>
              <w:rPr>
                <w:sz w:val="24"/>
              </w:rPr>
              <w:t>）作为本方案有效观测站，中山强降雨保险参量权重及有效站数列于表</w:t>
            </w:r>
            <w:r>
              <w:rPr>
                <w:sz w:val="24"/>
              </w:rPr>
              <w:t>1.2</w:t>
            </w:r>
            <w:r>
              <w:rPr>
                <w:sz w:val="24"/>
              </w:rPr>
              <w:t>。</w:t>
            </w:r>
          </w:p>
          <w:p>
            <w:pPr>
              <w:pStyle w:val="null3"/>
              <w:jc w:val="center"/>
            </w:pPr>
            <w:r>
              <w:rPr>
                <w:sz w:val="24"/>
                <w:b/>
              </w:rPr>
              <w:t>表</w:t>
            </w:r>
            <w:r>
              <w:rPr>
                <w:sz w:val="24"/>
                <w:b/>
              </w:rPr>
              <w:t xml:space="preserve">1.2 </w:t>
            </w:r>
            <w:r>
              <w:rPr>
                <w:sz w:val="24"/>
                <w:b/>
              </w:rPr>
              <w:t>中山各区强降雨保险参量权重及有效观测站数</w:t>
            </w:r>
          </w:p>
          <w:tbl>
            <w:tblPr>
              <w:tblBorders>
                <w:top w:val="none" w:color="000000" w:sz="4"/>
                <w:left w:val="none" w:color="000000" w:sz="4"/>
                <w:bottom w:val="none" w:color="000000" w:sz="4"/>
                <w:right w:val="none" w:color="000000" w:sz="4"/>
                <w:insideH w:val="none"/>
                <w:insideV w:val="none"/>
              </w:tblBorders>
            </w:tblPr>
            <w:tblGrid>
              <w:gridCol w:w="977"/>
              <w:gridCol w:w="1296"/>
              <w:gridCol w:w="1051"/>
              <w:gridCol w:w="2271"/>
            </w:tblGrid>
            <w:tr>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地名</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权重</w:t>
                  </w:r>
                </w:p>
              </w:tc>
              <w:tc>
                <w:tcPr>
                  <w:tcW w:type="dxa" w:w="2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有效观测站数</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r>
                    <w:rPr>
                      <w:sz w:val="24"/>
                    </w:rPr>
                    <w:t>%</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r>
          </w:tbl>
          <w:p>
            <w:pPr>
              <w:pStyle w:val="null3"/>
              <w:ind w:firstLine="482"/>
            </w:pPr>
            <w:r>
              <w:rPr>
                <w:sz w:val="24"/>
                <w:b/>
              </w:rPr>
              <w:t>6.</w:t>
            </w:r>
            <w:r>
              <w:rPr>
                <w:sz w:val="24"/>
                <w:b/>
              </w:rPr>
              <w:t>受灾因子确定</w:t>
            </w:r>
          </w:p>
          <w:p>
            <w:pPr>
              <w:pStyle w:val="null3"/>
              <w:ind w:firstLine="480"/>
            </w:pPr>
            <w:r>
              <w:rPr>
                <w:sz w:val="24"/>
              </w:rPr>
              <w:t>累计雨量大于等于过程降雨的</w:t>
            </w:r>
            <w:r>
              <w:rPr>
                <w:sz w:val="24"/>
              </w:rPr>
              <w:t>90%</w:t>
            </w:r>
            <w:r>
              <w:rPr>
                <w:sz w:val="24"/>
              </w:rPr>
              <w:t>的统计时段，一般为一日、两日和三日三种类型，因三日累计雨量包含了前两类，为实施标准化方案统一采用三日雨量作为强降雨灾害危险性指标。根据三日最大降雨量重现期和灾害损失的相关性分析，建立受灾因子表</w:t>
            </w:r>
            <w:r>
              <w:rPr>
                <w:sz w:val="24"/>
              </w:rPr>
              <w:t>1.3</w:t>
            </w:r>
            <w:r>
              <w:rPr>
                <w:sz w:val="24"/>
              </w:rPr>
              <w:t>（重现水平见附表</w:t>
            </w:r>
            <w:r>
              <w:rPr>
                <w:sz w:val="24"/>
              </w:rPr>
              <w:t>2</w:t>
            </w:r>
            <w:r>
              <w:rPr>
                <w:sz w:val="24"/>
              </w:rPr>
              <w:t>），如下：</w:t>
            </w:r>
          </w:p>
          <w:p>
            <w:pPr>
              <w:pStyle w:val="null3"/>
              <w:jc w:val="center"/>
            </w:pPr>
            <w:r>
              <w:rPr>
                <w:sz w:val="24"/>
                <w:b/>
              </w:rPr>
              <w:t>表</w:t>
            </w:r>
            <w:r>
              <w:rPr>
                <w:sz w:val="24"/>
                <w:b/>
              </w:rPr>
              <w:t xml:space="preserve">1.3 </w:t>
            </w:r>
            <w:r>
              <w:rPr>
                <w:sz w:val="24"/>
                <w:b/>
              </w:rPr>
              <w:t>强降雨受灾因子表</w:t>
            </w:r>
          </w:p>
          <w:tbl>
            <w:tblPr>
              <w:tblBorders>
                <w:top w:val="none" w:color="000000" w:sz="4"/>
                <w:left w:val="none" w:color="000000" w:sz="4"/>
                <w:bottom w:val="none" w:color="000000" w:sz="4"/>
                <w:right w:val="none" w:color="000000" w:sz="4"/>
                <w:insideH w:val="none"/>
                <w:insideV w:val="none"/>
              </w:tblBorders>
            </w:tblPr>
            <w:tblGrid>
              <w:gridCol w:w="3240"/>
              <w:gridCol w:w="2357"/>
            </w:tblGrid>
            <w:tr>
              <w:tc>
                <w:tcPr>
                  <w:tcW w:type="dxa" w:w="3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三日降雨量重现期（</w:t>
                  </w:r>
                  <w:r>
                    <w:rPr>
                      <w:sz w:val="24"/>
                      <w:b/>
                    </w:rPr>
                    <w:t>R</w:t>
                  </w:r>
                  <w:r>
                    <w:rPr>
                      <w:sz w:val="24"/>
                      <w:b/>
                    </w:rPr>
                    <w:t>）（单位：毫米）</w:t>
                  </w:r>
                </w:p>
              </w:tc>
              <w:tc>
                <w:tcPr>
                  <w:tcW w:type="dxa" w:w="2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受灾因子</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w:t>
                  </w:r>
                  <w:r>
                    <w:rPr>
                      <w:sz w:val="24"/>
                    </w:rPr>
                    <w:t>＜</w:t>
                  </w:r>
                  <w:r>
                    <w:rPr>
                      <w:sz w:val="24"/>
                    </w:rPr>
                    <w:t>R2</w:t>
                  </w:r>
                </w:p>
              </w:tc>
              <w:tc>
                <w:tcPr>
                  <w:tcW w:type="dxa" w:w="2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0.00%</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R2≤R</w:t>
                  </w:r>
                  <w:r>
                    <w:rPr>
                      <w:sz w:val="24"/>
                    </w:rPr>
                    <w:t>＜</w:t>
                  </w:r>
                  <w:r>
                    <w:rPr>
                      <w:sz w:val="24"/>
                    </w:rPr>
                    <w:t>R3</w:t>
                  </w:r>
                </w:p>
              </w:tc>
              <w:tc>
                <w:tcPr>
                  <w:tcW w:type="dxa" w:w="2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10.00%~20.00%</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R3≤R</w:t>
                  </w:r>
                  <w:r>
                    <w:rPr>
                      <w:sz w:val="24"/>
                    </w:rPr>
                    <w:t>＜</w:t>
                  </w:r>
                  <w:r>
                    <w:rPr>
                      <w:sz w:val="24"/>
                    </w:rPr>
                    <w:t>R5</w:t>
                  </w:r>
                </w:p>
              </w:tc>
              <w:tc>
                <w:tcPr>
                  <w:tcW w:type="dxa" w:w="2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20.00%~30.00%</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R5≤R</w:t>
                  </w:r>
                  <w:r>
                    <w:rPr>
                      <w:sz w:val="24"/>
                    </w:rPr>
                    <w:t>＜</w:t>
                  </w:r>
                  <w:r>
                    <w:rPr>
                      <w:sz w:val="24"/>
                    </w:rPr>
                    <w:t>R8</w:t>
                  </w:r>
                </w:p>
              </w:tc>
              <w:tc>
                <w:tcPr>
                  <w:tcW w:type="dxa" w:w="2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30.00%~40.00%</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R8≤R</w:t>
                  </w:r>
                  <w:r>
                    <w:rPr>
                      <w:sz w:val="24"/>
                    </w:rPr>
                    <w:t>＜</w:t>
                  </w:r>
                  <w:r>
                    <w:rPr>
                      <w:sz w:val="24"/>
                    </w:rPr>
                    <w:t>R10</w:t>
                  </w:r>
                </w:p>
              </w:tc>
              <w:tc>
                <w:tcPr>
                  <w:tcW w:type="dxa" w:w="2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40.00%~50.00%</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R10≤R</w:t>
                  </w:r>
                  <w:r>
                    <w:rPr>
                      <w:sz w:val="24"/>
                    </w:rPr>
                    <w:t>＜</w:t>
                  </w:r>
                  <w:r>
                    <w:rPr>
                      <w:sz w:val="24"/>
                    </w:rPr>
                    <w:t>R20</w:t>
                  </w:r>
                </w:p>
              </w:tc>
              <w:tc>
                <w:tcPr>
                  <w:tcW w:type="dxa" w:w="2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50.00%~60.00%</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R20≤R</w:t>
                  </w:r>
                  <w:r>
                    <w:rPr>
                      <w:sz w:val="24"/>
                    </w:rPr>
                    <w:t>＜</w:t>
                  </w:r>
                  <w:r>
                    <w:rPr>
                      <w:sz w:val="24"/>
                    </w:rPr>
                    <w:t>R50</w:t>
                  </w:r>
                </w:p>
              </w:tc>
              <w:tc>
                <w:tcPr>
                  <w:tcW w:type="dxa" w:w="2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60.00%~70.00%</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R50≤R</w:t>
                  </w:r>
                  <w:r>
                    <w:rPr>
                      <w:sz w:val="24"/>
                    </w:rPr>
                    <w:t>＜</w:t>
                  </w:r>
                  <w:r>
                    <w:rPr>
                      <w:sz w:val="24"/>
                    </w:rPr>
                    <w:t>R100</w:t>
                  </w:r>
                </w:p>
              </w:tc>
              <w:tc>
                <w:tcPr>
                  <w:tcW w:type="dxa" w:w="2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70.00%~80.00%</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R100≤R</w:t>
                  </w:r>
                  <w:r>
                    <w:rPr>
                      <w:sz w:val="24"/>
                    </w:rPr>
                    <w:t>＜</w:t>
                  </w:r>
                  <w:r>
                    <w:rPr>
                      <w:sz w:val="24"/>
                    </w:rPr>
                    <w:t>R200</w:t>
                  </w:r>
                </w:p>
              </w:tc>
              <w:tc>
                <w:tcPr>
                  <w:tcW w:type="dxa" w:w="2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80.00%~90.00%</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R200≤R</w:t>
                  </w:r>
                  <w:r>
                    <w:rPr>
                      <w:sz w:val="24"/>
                    </w:rPr>
                    <w:t>＜</w:t>
                  </w:r>
                  <w:r>
                    <w:rPr>
                      <w:sz w:val="24"/>
                    </w:rPr>
                    <w:t>R250</w:t>
                  </w:r>
                </w:p>
              </w:tc>
              <w:tc>
                <w:tcPr>
                  <w:tcW w:type="dxa" w:w="2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90.00%~100.00%</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R≥R250</w:t>
                  </w:r>
                </w:p>
              </w:tc>
              <w:tc>
                <w:tcPr>
                  <w:tcW w:type="dxa" w:w="2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w:t>
                  </w:r>
                </w:p>
              </w:tc>
            </w:tr>
          </w:tbl>
          <w:p>
            <w:pPr>
              <w:pStyle w:val="null3"/>
              <w:ind w:firstLine="482"/>
            </w:pPr>
            <w:r>
              <w:rPr>
                <w:sz w:val="24"/>
                <w:b/>
              </w:rPr>
              <w:t>注：R为重现期；Rx为X年一遇重现期。</w:t>
            </w:r>
          </w:p>
          <w:p>
            <w:pPr>
              <w:pStyle w:val="null3"/>
              <w:ind w:firstLine="482"/>
            </w:pPr>
            <w:r>
              <w:rPr>
                <w:sz w:val="24"/>
                <w:b/>
              </w:rPr>
              <w:t>（</w:t>
            </w:r>
            <w:r>
              <w:rPr>
                <w:sz w:val="24"/>
                <w:b/>
              </w:rPr>
              <w:t>1</w:t>
            </w:r>
            <w:r>
              <w:rPr>
                <w:sz w:val="24"/>
                <w:b/>
              </w:rPr>
              <w:t>）受灾因子计算方法</w:t>
            </w:r>
          </w:p>
          <w:p>
            <w:pPr>
              <w:pStyle w:val="null3"/>
              <w:ind w:firstLine="480"/>
            </w:pPr>
            <w:r>
              <w:rPr>
                <w:sz w:val="24"/>
              </w:rPr>
              <w:t>小于</w:t>
            </w:r>
            <w:r>
              <w:rPr>
                <w:sz w:val="24"/>
              </w:rPr>
              <w:t>2</w:t>
            </w:r>
            <w:r>
              <w:rPr>
                <w:sz w:val="24"/>
              </w:rPr>
              <w:t>年一遇重现水平的降雨量不进入计算，当站点三日最大降雨量大于等于</w:t>
            </w:r>
            <w:r>
              <w:rPr>
                <w:sz w:val="24"/>
              </w:rPr>
              <w:t>2</w:t>
            </w:r>
            <w:r>
              <w:rPr>
                <w:sz w:val="24"/>
              </w:rPr>
              <w:t>年一遇重现水平时，采用下列算式：</w:t>
            </w:r>
          </w:p>
          <w:p>
            <w:pPr>
              <w:pStyle w:val="null3"/>
              <w:ind w:firstLine="480"/>
            </w:pPr>
            <w:r>
              <w:rPr>
                <w:sz w:val="24"/>
              </w:rPr>
              <w:t>受灾因子</w:t>
            </w:r>
            <w:r>
              <w:rPr>
                <w:sz w:val="24"/>
              </w:rPr>
              <w:t>=</w:t>
            </w:r>
            <w:r>
              <w:rPr>
                <w:sz w:val="24"/>
              </w:rPr>
              <w:t>（三日最大降雨量</w:t>
            </w:r>
            <w:r>
              <w:rPr>
                <w:sz w:val="24"/>
              </w:rPr>
              <w:t>–</w:t>
            </w:r>
            <w:r>
              <w:rPr>
                <w:sz w:val="24"/>
              </w:rPr>
              <w:t>适用的最高层分段重现水平下限点）</w:t>
            </w:r>
            <w:r>
              <w:rPr>
                <w:sz w:val="24"/>
              </w:rPr>
              <w:t>/</w:t>
            </w:r>
            <w:r>
              <w:rPr>
                <w:sz w:val="24"/>
              </w:rPr>
              <w:t>（适用的最高层分段重现水平上限点</w:t>
            </w:r>
            <w:r>
              <w:rPr>
                <w:sz w:val="24"/>
              </w:rPr>
              <w:t>–</w:t>
            </w:r>
            <w:r>
              <w:rPr>
                <w:sz w:val="24"/>
              </w:rPr>
              <w:t>适用的最高层分段重现水平下限点）</w:t>
            </w:r>
            <w:r>
              <w:rPr>
                <w:sz w:val="24"/>
              </w:rPr>
              <w:t>×</w:t>
            </w:r>
            <w:r>
              <w:rPr>
                <w:sz w:val="24"/>
              </w:rPr>
              <w:t>（适用的最高层分段受灾因子上限</w:t>
            </w:r>
            <w:r>
              <w:rPr>
                <w:sz w:val="24"/>
              </w:rPr>
              <w:t>–</w:t>
            </w:r>
            <w:r>
              <w:rPr>
                <w:sz w:val="24"/>
              </w:rPr>
              <w:t>适用的最高层分段受灾因子下限）</w:t>
            </w:r>
            <w:r>
              <w:rPr>
                <w:sz w:val="24"/>
              </w:rPr>
              <w:t>+</w:t>
            </w:r>
            <w:r>
              <w:rPr>
                <w:sz w:val="24"/>
              </w:rPr>
              <w:t>适用的最高层分段受灾因子下限。</w:t>
            </w:r>
          </w:p>
          <w:p>
            <w:pPr>
              <w:pStyle w:val="null3"/>
              <w:ind w:firstLine="482"/>
            </w:pPr>
            <w:r>
              <w:rPr>
                <w:sz w:val="24"/>
                <w:b/>
              </w:rPr>
              <w:t>7</w:t>
            </w:r>
            <w:r>
              <w:rPr>
                <w:sz w:val="24"/>
                <w:b/>
              </w:rPr>
              <w:t>.</w:t>
            </w:r>
            <w:r>
              <w:rPr>
                <w:sz w:val="24"/>
                <w:b/>
              </w:rPr>
              <w:t>成灾指数计算方法</w:t>
            </w:r>
          </w:p>
          <w:p>
            <w:pPr>
              <w:pStyle w:val="null3"/>
              <w:ind w:firstLine="480"/>
            </w:pPr>
            <w:r>
              <w:rPr>
                <w:sz w:val="24"/>
              </w:rPr>
              <w:t>发生强降雨事件时，成灾指数通过以下方法计算：</w:t>
            </w:r>
          </w:p>
          <w:p>
            <w:pPr>
              <w:pStyle w:val="null3"/>
              <w:ind w:firstLine="480"/>
            </w:pPr>
            <w:r>
              <w:rPr>
                <w:sz w:val="24"/>
              </w:rPr>
              <w:t>（</w:t>
            </w:r>
            <w:r>
              <w:rPr>
                <w:sz w:val="24"/>
              </w:rPr>
              <w:t>1</w:t>
            </w:r>
            <w:r>
              <w:rPr>
                <w:sz w:val="24"/>
              </w:rPr>
              <w:t>）每个站的最大降雨量对应的受灾因子（表</w:t>
            </w:r>
            <w:r>
              <w:rPr>
                <w:sz w:val="24"/>
              </w:rPr>
              <w:t>1.3</w:t>
            </w:r>
            <w:r>
              <w:rPr>
                <w:sz w:val="24"/>
              </w:rPr>
              <w:t>），乘以该站的保险参量权重（</w:t>
            </w:r>
            <w:r>
              <w:rPr>
                <w:sz w:val="24"/>
              </w:rPr>
              <w:t>见</w:t>
            </w:r>
            <w:r>
              <w:rPr>
                <w:sz w:val="24"/>
              </w:rPr>
              <w:t>附表</w:t>
            </w:r>
            <w:r>
              <w:rPr>
                <w:sz w:val="24"/>
              </w:rPr>
              <w:t>1</w:t>
            </w:r>
            <w:r>
              <w:rPr>
                <w:sz w:val="24"/>
              </w:rPr>
              <w:t>）；</w:t>
            </w:r>
          </w:p>
          <w:p>
            <w:pPr>
              <w:pStyle w:val="null3"/>
              <w:ind w:firstLine="480"/>
            </w:pPr>
            <w:r>
              <w:rPr>
                <w:sz w:val="24"/>
              </w:rPr>
              <w:t>（</w:t>
            </w:r>
            <w:r>
              <w:rPr>
                <w:sz w:val="24"/>
              </w:rPr>
              <w:t>2</w:t>
            </w:r>
            <w:r>
              <w:rPr>
                <w:sz w:val="24"/>
              </w:rPr>
              <w:t>）将各地站点的第（</w:t>
            </w:r>
            <w:r>
              <w:rPr>
                <w:sz w:val="24"/>
              </w:rPr>
              <w:t>1</w:t>
            </w:r>
            <w:r>
              <w:rPr>
                <w:sz w:val="24"/>
              </w:rPr>
              <w:t>）项乘积相加之和，作为当地成灾指数。</w:t>
            </w:r>
          </w:p>
          <w:p>
            <w:pPr>
              <w:pStyle w:val="null3"/>
              <w:ind w:firstLine="482"/>
            </w:pPr>
            <w:r>
              <w:rPr>
                <w:sz w:val="24"/>
                <w:b/>
              </w:rPr>
              <w:t>8</w:t>
            </w:r>
            <w:r>
              <w:rPr>
                <w:sz w:val="24"/>
                <w:b/>
              </w:rPr>
              <w:t>.</w:t>
            </w:r>
            <w:r>
              <w:rPr>
                <w:sz w:val="24"/>
                <w:b/>
              </w:rPr>
              <w:t>保险费和赔付方案</w:t>
            </w:r>
          </w:p>
          <w:p>
            <w:pPr>
              <w:pStyle w:val="null3"/>
              <w:ind w:firstLine="480"/>
            </w:pPr>
            <w:r>
              <w:rPr>
                <w:sz w:val="24"/>
              </w:rPr>
              <w:t>总保险费：</w:t>
            </w:r>
            <w:r>
              <w:rPr>
                <w:sz w:val="24"/>
              </w:rPr>
              <w:t>375</w:t>
            </w:r>
            <w:r>
              <w:rPr>
                <w:sz w:val="24"/>
              </w:rPr>
              <w:t>万元。</w:t>
            </w:r>
          </w:p>
          <w:p>
            <w:pPr>
              <w:pStyle w:val="null3"/>
              <w:ind w:firstLine="480"/>
            </w:pPr>
            <w:r>
              <w:rPr>
                <w:sz w:val="24"/>
              </w:rPr>
              <w:t>赔偿限额：每次事故或年度累计赔付总限额人民币</w:t>
            </w:r>
            <w:r>
              <w:rPr>
                <w:sz w:val="24"/>
              </w:rPr>
              <w:t>λ×10500.0</w:t>
            </w:r>
            <w:r>
              <w:rPr>
                <w:sz w:val="24"/>
              </w:rPr>
              <w:t>万元；中山每次事故或年度累计赔付限额人民币见表</w:t>
            </w:r>
            <w:r>
              <w:rPr>
                <w:sz w:val="24"/>
              </w:rPr>
              <w:t>1.5</w:t>
            </w:r>
            <w:r>
              <w:rPr>
                <w:sz w:val="24"/>
              </w:rPr>
              <w:t>。</w:t>
            </w:r>
          </w:p>
          <w:p>
            <w:pPr>
              <w:pStyle w:val="null3"/>
              <w:jc w:val="center"/>
            </w:pPr>
            <w:r>
              <w:rPr>
                <w:sz w:val="24"/>
                <w:b/>
              </w:rPr>
              <w:t>表</w:t>
            </w:r>
            <w:r>
              <w:rPr>
                <w:sz w:val="24"/>
                <w:b/>
              </w:rPr>
              <w:t>1.</w:t>
            </w:r>
            <w:r>
              <w:rPr>
                <w:sz w:val="24"/>
                <w:b/>
              </w:rPr>
              <w:t>4</w:t>
            </w:r>
            <w:r>
              <w:rPr>
                <w:b/>
              </w:rPr>
              <w:t xml:space="preserve"> </w:t>
            </w:r>
            <w:r>
              <w:rPr>
                <w:sz w:val="24"/>
                <w:b/>
              </w:rPr>
              <w:t>中山</w:t>
            </w:r>
            <w:r>
              <w:rPr>
                <w:sz w:val="24"/>
                <w:b/>
              </w:rPr>
              <w:t>强降雨保费</w:t>
            </w:r>
            <w:r>
              <w:rPr>
                <w:sz w:val="24"/>
                <w:b/>
              </w:rPr>
              <w:t>、</w:t>
            </w:r>
            <w:r>
              <w:rPr>
                <w:sz w:val="24"/>
                <w:b/>
              </w:rPr>
              <w:t>保险金额</w:t>
            </w:r>
            <w:r>
              <w:rPr>
                <w:sz w:val="24"/>
                <w:b/>
              </w:rPr>
              <w:t>及投保系数（</w:t>
            </w:r>
            <w:r>
              <w:rPr>
                <w:sz w:val="24"/>
                <w:b/>
              </w:rPr>
              <w:t>λ</w:t>
            </w:r>
            <w:r>
              <w:rPr>
                <w:sz w:val="24"/>
                <w:b/>
              </w:rPr>
              <w:t>）</w:t>
            </w:r>
          </w:p>
          <w:tbl>
            <w:tblPr>
              <w:tblBorders>
                <w:top w:val="none" w:color="000000" w:sz="4"/>
                <w:left w:val="none" w:color="000000" w:sz="4"/>
                <w:bottom w:val="none" w:color="000000" w:sz="4"/>
                <w:right w:val="none" w:color="000000" w:sz="4"/>
                <w:insideH w:val="none"/>
                <w:insideV w:val="none"/>
              </w:tblBorders>
            </w:tblPr>
            <w:tblGrid>
              <w:gridCol w:w="1314"/>
              <w:gridCol w:w="1762"/>
              <w:gridCol w:w="2520"/>
            </w:tblGrid>
            <w:tr>
              <w:tc>
                <w:tcPr>
                  <w:tcW w:type="dxa" w:w="1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强降雨保费</w:t>
                  </w:r>
                </w:p>
                <w:p>
                  <w:pPr>
                    <w:pStyle w:val="null3"/>
                    <w:jc w:val="center"/>
                  </w:pPr>
                  <w:r>
                    <w:rPr>
                      <w:sz w:val="24"/>
                      <w:b/>
                    </w:rPr>
                    <w:t>（万元）</w:t>
                  </w:r>
                </w:p>
              </w:tc>
              <w:tc>
                <w:tcPr>
                  <w:tcW w:type="dxa" w:w="1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强降雨保险金额</w:t>
                  </w:r>
                </w:p>
                <w:p>
                  <w:pPr>
                    <w:pStyle w:val="null3"/>
                    <w:jc w:val="center"/>
                  </w:pPr>
                  <w:r>
                    <w:rPr>
                      <w:sz w:val="24"/>
                      <w:b/>
                    </w:rPr>
                    <w:t>（万元）</w:t>
                  </w:r>
                </w:p>
              </w:tc>
              <w:tc>
                <w:tcPr>
                  <w:tcW w:type="dxa" w:w="2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强降雨投保系数（</w:t>
                  </w:r>
                  <w:r>
                    <w:rPr>
                      <w:sz w:val="24"/>
                      <w:b/>
                      <w:i/>
                    </w:rPr>
                    <w:t>λ</w:t>
                  </w:r>
                  <w:r>
                    <w:rPr>
                      <w:sz w:val="24"/>
                      <w:b/>
                    </w:rPr>
                    <w:t>）</w:t>
                  </w:r>
                  <w:r>
                    <w:rPr>
                      <w:sz w:val="24"/>
                      <w:b/>
                      <w:vertAlign w:val="superscript"/>
                    </w:rPr>
                    <w:t>*</w:t>
                  </w:r>
                </w:p>
                <w:p>
                  <w:pPr>
                    <w:pStyle w:val="null3"/>
                    <w:jc w:val="center"/>
                  </w:pPr>
                  <w:r>
                    <w:rPr>
                      <w:sz w:val="24"/>
                      <w:b/>
                    </w:rPr>
                    <w:t>（</w:t>
                  </w:r>
                  <w:r>
                    <w:rPr>
                      <w:sz w:val="24"/>
                      <w:b/>
                    </w:rPr>
                    <w:t>I</w:t>
                  </w:r>
                  <w:r>
                    <w:rPr>
                      <w:sz w:val="24"/>
                      <w:b/>
                    </w:rPr>
                    <w:t>：强降雨实际保费）</w:t>
                  </w:r>
                </w:p>
              </w:tc>
            </w:tr>
            <w:tr>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375</w:t>
                  </w:r>
                </w:p>
              </w:tc>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i/>
                    </w:rPr>
                    <w:t>λ</w:t>
                  </w:r>
                  <w:r>
                    <w:rPr>
                      <w:sz w:val="24"/>
                    </w:rPr>
                    <w:t>×10500.00</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0.375</w:t>
                  </w:r>
                </w:p>
              </w:tc>
            </w:tr>
          </w:tbl>
          <w:p>
            <w:pPr>
              <w:pStyle w:val="null3"/>
              <w:ind w:firstLine="480"/>
            </w:pPr>
            <w:r>
              <w:rPr>
                <w:sz w:val="24"/>
              </w:rPr>
              <w:t>*</w:t>
            </w:r>
            <w:r>
              <w:rPr>
                <w:sz w:val="24"/>
              </w:rPr>
              <w:t>强降雨投保系数：强降雨实际保费</w:t>
            </w:r>
            <w:r>
              <w:rPr>
                <w:sz w:val="24"/>
              </w:rPr>
              <w:t>（</w:t>
            </w:r>
            <w:r>
              <w:rPr>
                <w:sz w:val="24"/>
              </w:rPr>
              <w:t>万元</w:t>
            </w:r>
            <w:r>
              <w:rPr>
                <w:sz w:val="24"/>
              </w:rPr>
              <w:t>）</w:t>
            </w:r>
            <w:r>
              <w:rPr>
                <w:sz w:val="24"/>
              </w:rPr>
              <w:t>/</w:t>
            </w:r>
            <w:r>
              <w:rPr>
                <w:sz w:val="24"/>
              </w:rPr>
              <w:t>1000</w:t>
            </w:r>
            <w:r>
              <w:rPr>
                <w:sz w:val="24"/>
              </w:rPr>
              <w:t>（万元）</w:t>
            </w:r>
            <w:r>
              <w:rPr>
                <w:sz w:val="24"/>
              </w:rPr>
              <w:t>；</w:t>
            </w:r>
          </w:p>
          <w:p>
            <w:pPr>
              <w:pStyle w:val="null3"/>
              <w:jc w:val="center"/>
            </w:pPr>
            <w:r>
              <w:rPr>
                <w:sz w:val="24"/>
                <w:b/>
              </w:rPr>
              <w:t>表</w:t>
            </w:r>
            <w:r>
              <w:rPr>
                <w:sz w:val="24"/>
                <w:b/>
              </w:rPr>
              <w:t>1.</w:t>
            </w:r>
            <w:r>
              <w:rPr>
                <w:sz w:val="24"/>
                <w:b/>
              </w:rPr>
              <w:t>5</w:t>
            </w:r>
            <w:r>
              <w:rPr>
                <w:sz w:val="24"/>
                <w:b/>
              </w:rPr>
              <w:t xml:space="preserve"> </w:t>
            </w:r>
            <w:r>
              <w:rPr>
                <w:sz w:val="24"/>
                <w:b/>
              </w:rPr>
              <w:t>强降雨赔付结构表</w:t>
            </w:r>
          </w:p>
          <w:tbl>
            <w:tblPr>
              <w:tblBorders>
                <w:top w:val="none" w:color="000000" w:sz="4"/>
                <w:left w:val="none" w:color="000000" w:sz="4"/>
                <w:bottom w:val="none" w:color="000000" w:sz="4"/>
                <w:right w:val="none" w:color="000000" w:sz="4"/>
                <w:insideH w:val="none"/>
                <w:insideV w:val="none"/>
              </w:tblBorders>
            </w:tblPr>
            <w:tblGrid>
              <w:gridCol w:w="2959"/>
              <w:gridCol w:w="2638"/>
            </w:tblGrid>
            <w:tr>
              <w:tc>
                <w:tcPr>
                  <w:tcW w:type="dxa" w:w="2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成灾指数（</w:t>
                  </w:r>
                  <w:r>
                    <w:rPr>
                      <w:sz w:val="24"/>
                      <w:b/>
                    </w:rPr>
                    <w:t>X</w:t>
                  </w:r>
                  <w:r>
                    <w:rPr>
                      <w:sz w:val="24"/>
                      <w:b/>
                    </w:rPr>
                    <w:t>）</w:t>
                  </w:r>
                </w:p>
                <w:p>
                  <w:pPr>
                    <w:pStyle w:val="null3"/>
                    <w:jc w:val="center"/>
                  </w:pPr>
                  <w:r>
                    <w:rPr>
                      <w:sz w:val="24"/>
                      <w:b/>
                    </w:rPr>
                    <w:t>（起赔点</w:t>
                  </w:r>
                  <w:r>
                    <w:rPr>
                      <w:sz w:val="24"/>
                      <w:b/>
                    </w:rPr>
                    <w:t>&lt;</w:t>
                  </w:r>
                  <w:r>
                    <w:rPr>
                      <w:sz w:val="24"/>
                      <w:b/>
                    </w:rPr>
                    <w:t>成灾指数</w:t>
                  </w:r>
                  <w:r>
                    <w:rPr>
                      <w:sz w:val="24"/>
                      <w:b/>
                    </w:rPr>
                    <w:t>≤</w:t>
                  </w:r>
                  <w:r>
                    <w:rPr>
                      <w:sz w:val="24"/>
                      <w:b/>
                    </w:rPr>
                    <w:t>赔付上限点）</w:t>
                  </w:r>
                </w:p>
              </w:tc>
              <w:tc>
                <w:tcPr>
                  <w:tcW w:type="dxa" w:w="2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保险分段赔付金额（单位：万元）</w:t>
                  </w:r>
                </w:p>
                <w:p>
                  <w:pPr>
                    <w:pStyle w:val="null3"/>
                    <w:jc w:val="center"/>
                  </w:pPr>
                  <w:r>
                    <w:rPr>
                      <w:sz w:val="24"/>
                      <w:b/>
                    </w:rPr>
                    <w:t>（该段起赔额～该段赔付额上限）</w:t>
                  </w:r>
                </w:p>
              </w:tc>
            </w:tr>
            <w:tr>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0%&lt;x≤15%</w:t>
                  </w:r>
                  <w:r>
                    <w:rPr>
                      <w:sz w:val="24"/>
                    </w:rPr>
                    <w:t>（每年限赔付一次）</w:t>
                  </w: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w:t>
                  </w:r>
                </w:p>
              </w:tc>
            </w:tr>
            <w:tr>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15%&lt;x≤30%</w:t>
                  </w: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w:t>
                  </w:r>
                  <w:r>
                    <w:rPr>
                      <w:sz w:val="24"/>
                    </w:rPr>
                    <w:t>～</w:t>
                  </w:r>
                  <w:r>
                    <w:rPr>
                      <w:sz w:val="24"/>
                    </w:rPr>
                    <w:t>800</w:t>
                  </w:r>
                </w:p>
              </w:tc>
            </w:tr>
            <w:tr>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30%&lt;x≤60%</w:t>
                  </w: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w:t>
                  </w:r>
                  <w:r>
                    <w:rPr>
                      <w:sz w:val="24"/>
                    </w:rPr>
                    <w:t>～</w:t>
                  </w:r>
                  <w:r>
                    <w:rPr>
                      <w:sz w:val="24"/>
                    </w:rPr>
                    <w:t>2000</w:t>
                  </w:r>
                </w:p>
              </w:tc>
            </w:tr>
            <w:tr>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60%&lt;x≤80%</w:t>
                  </w: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w:t>
                  </w:r>
                  <w:r>
                    <w:rPr>
                      <w:sz w:val="24"/>
                    </w:rPr>
                    <w:t>～</w:t>
                  </w:r>
                  <w:r>
                    <w:rPr>
                      <w:sz w:val="24"/>
                    </w:rPr>
                    <w:t>4000</w:t>
                  </w:r>
                </w:p>
              </w:tc>
            </w:tr>
            <w:tr>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80%&lt;x≤90%</w:t>
                  </w: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w:t>
                  </w:r>
                  <w:r>
                    <w:rPr>
                      <w:sz w:val="24"/>
                    </w:rPr>
                    <w:t>～</w:t>
                  </w:r>
                  <w:r>
                    <w:rPr>
                      <w:sz w:val="24"/>
                    </w:rPr>
                    <w:t>6800</w:t>
                  </w:r>
                </w:p>
              </w:tc>
            </w:tr>
            <w:tr>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90%&lt;x≤100%</w:t>
                  </w: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6800</w:t>
                  </w:r>
                  <w:r>
                    <w:rPr>
                      <w:sz w:val="24"/>
                    </w:rPr>
                    <w:t>～</w:t>
                  </w:r>
                  <w:r>
                    <w:rPr>
                      <w:sz w:val="24"/>
                    </w:rPr>
                    <w:t>9500</w:t>
                  </w:r>
                </w:p>
              </w:tc>
            </w:tr>
            <w:tr>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局地超强降雨保障层</w:t>
                  </w:r>
                </w:p>
                <w:p>
                  <w:pPr>
                    <w:pStyle w:val="null3"/>
                    <w:jc w:val="center"/>
                  </w:pPr>
                  <w:r>
                    <w:rPr>
                      <w:sz w:val="24"/>
                    </w:rPr>
                    <w:t>（有效观测站的日降雨量</w:t>
                  </w:r>
                  <w:r>
                    <w:rPr>
                      <w:sz w:val="24"/>
                    </w:rPr>
                    <w:t>≥R</w:t>
                  </w:r>
                  <w:r>
                    <w:rPr>
                      <w:sz w:val="24"/>
                      <w:vertAlign w:val="subscript"/>
                    </w:rPr>
                    <w:t>0.95</w:t>
                  </w:r>
                  <w:r>
                    <w:rPr>
                      <w:sz w:val="24"/>
                    </w:rPr>
                    <w:t>毫米</w:t>
                  </w:r>
                  <w:r>
                    <w:rPr>
                      <w:sz w:val="24"/>
                    </w:rPr>
                    <w:t>*</w:t>
                  </w:r>
                  <w:r>
                    <w:rPr>
                      <w:sz w:val="24"/>
                    </w:rPr>
                    <w:t>）</w:t>
                  </w: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万</w:t>
                  </w:r>
                  <w:r>
                    <w:rPr>
                      <w:sz w:val="24"/>
                    </w:rPr>
                    <w:t>/</w:t>
                  </w:r>
                  <w:r>
                    <w:rPr>
                      <w:sz w:val="24"/>
                    </w:rPr>
                    <w:t>站</w:t>
                  </w:r>
                </w:p>
                <w:p>
                  <w:pPr>
                    <w:pStyle w:val="null3"/>
                    <w:jc w:val="center"/>
                  </w:pPr>
                  <w:r>
                    <w:rPr>
                      <w:sz w:val="24"/>
                    </w:rPr>
                    <w:t>（可累加，每年限</w:t>
                  </w:r>
                  <w:r>
                    <w:rPr>
                      <w:sz w:val="24"/>
                    </w:rPr>
                    <w:t>20</w:t>
                  </w:r>
                  <w:r>
                    <w:rPr>
                      <w:sz w:val="24"/>
                    </w:rPr>
                    <w:t>站次）</w:t>
                  </w:r>
                </w:p>
              </w:tc>
            </w:tr>
            <w:tr>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每次事故及年度累计赔付限额</w:t>
                  </w: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r>
          </w:tbl>
          <w:p>
            <w:pPr>
              <w:pStyle w:val="null3"/>
              <w:ind w:firstLine="482"/>
              <w:jc w:val="both"/>
            </w:pPr>
            <w:r>
              <w:rPr>
                <w:sz w:val="24"/>
                <w:b/>
              </w:rPr>
              <w:t>*</w:t>
            </w:r>
            <w:r>
              <w:rPr>
                <w:sz w:val="24"/>
              </w:rPr>
              <w:t>R</w:t>
            </w:r>
            <w:r>
              <w:rPr>
                <w:sz w:val="24"/>
                <w:vertAlign w:val="subscript"/>
              </w:rPr>
              <w:t>0.95</w:t>
            </w:r>
            <w:r>
              <w:rPr>
                <w:sz w:val="24"/>
                <w:b/>
              </w:rPr>
              <w:t>毫米为</w:t>
            </w:r>
            <w:r>
              <w:rPr>
                <w:sz w:val="24"/>
                <w:b/>
              </w:rPr>
              <w:t>95%</w:t>
            </w:r>
            <w:r>
              <w:rPr>
                <w:sz w:val="24"/>
                <w:b/>
              </w:rPr>
              <w:t>分位数日降雨量，具体值见表</w:t>
            </w:r>
            <w:r>
              <w:rPr>
                <w:sz w:val="24"/>
                <w:b/>
              </w:rPr>
              <w:t>1.</w:t>
            </w:r>
            <w:r>
              <w:rPr>
                <w:sz w:val="24"/>
                <w:b/>
              </w:rPr>
              <w:t>6</w:t>
            </w:r>
          </w:p>
          <w:p>
            <w:pPr>
              <w:pStyle w:val="null3"/>
              <w:ind w:firstLine="482"/>
              <w:jc w:val="center"/>
            </w:pPr>
            <w:r>
              <w:rPr>
                <w:sz w:val="24"/>
                <w:b/>
              </w:rPr>
              <w:t>表</w:t>
            </w:r>
            <w:r>
              <w:rPr>
                <w:sz w:val="24"/>
                <w:b/>
              </w:rPr>
              <w:t>1.</w:t>
            </w:r>
            <w:r>
              <w:rPr>
                <w:sz w:val="24"/>
                <w:b/>
              </w:rPr>
              <w:t>6</w:t>
            </w:r>
            <w:r>
              <w:rPr>
                <w:sz w:val="24"/>
                <w:b/>
              </w:rPr>
              <w:t xml:space="preserve"> </w:t>
            </w:r>
            <w:r>
              <w:rPr>
                <w:sz w:val="24"/>
                <w:b/>
              </w:rPr>
              <w:t>强降雨局地超强降雨保障层日降雨量</w:t>
            </w:r>
          </w:p>
          <w:tbl>
            <w:tblPr>
              <w:tblBorders>
                <w:top w:val="none" w:color="000000" w:sz="4"/>
                <w:left w:val="none" w:color="000000" w:sz="4"/>
                <w:bottom w:val="none" w:color="000000" w:sz="4"/>
                <w:right w:val="none" w:color="000000" w:sz="4"/>
                <w:insideH w:val="none"/>
                <w:insideV w:val="none"/>
              </w:tblBorders>
            </w:tblPr>
            <w:tblGrid>
              <w:gridCol w:w="965"/>
              <w:gridCol w:w="965"/>
              <w:gridCol w:w="3666"/>
            </w:tblGrid>
            <w:tr>
              <w:tc>
                <w:tcPr>
                  <w:tcW w:type="dxa" w:w="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地名</w:t>
                  </w:r>
                </w:p>
              </w:tc>
              <w:tc>
                <w:tcPr>
                  <w:tcW w:type="dxa" w:w="3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局地超强降雨保障层日降雨量</w:t>
                  </w:r>
                  <w:r>
                    <w:rPr>
                      <w:sz w:val="24"/>
                      <w:b/>
                    </w:rPr>
                    <w:t>R</w:t>
                  </w:r>
                  <w:r>
                    <w:rPr>
                      <w:sz w:val="24"/>
                      <w:b/>
                      <w:vertAlign w:val="subscript"/>
                    </w:rPr>
                    <w:t>0.95</w:t>
                  </w:r>
                  <w:r>
                    <w:rPr>
                      <w:sz w:val="24"/>
                      <w:b/>
                    </w:rPr>
                    <w:t>（毫米）</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3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30</w:t>
                  </w:r>
                </w:p>
              </w:tc>
            </w:tr>
          </w:tbl>
          <w:p>
            <w:pPr>
              <w:pStyle w:val="null3"/>
              <w:ind w:firstLine="482"/>
            </w:pPr>
            <w:r>
              <w:rPr>
                <w:sz w:val="24"/>
                <w:b/>
              </w:rPr>
              <w:t>9.</w:t>
            </w:r>
            <w:r>
              <w:rPr>
                <w:sz w:val="24"/>
                <w:b/>
              </w:rPr>
              <w:t>事件赔付算法</w:t>
            </w:r>
          </w:p>
          <w:p>
            <w:pPr>
              <w:pStyle w:val="null3"/>
              <w:ind w:firstLine="480"/>
            </w:pPr>
            <w:r>
              <w:rPr>
                <w:sz w:val="24"/>
              </w:rPr>
              <w:t>在一次强降雨事件中</w:t>
            </w:r>
            <w:r>
              <w:rPr>
                <w:sz w:val="24"/>
              </w:rPr>
              <w:t>：</w:t>
            </w:r>
          </w:p>
          <w:p>
            <w:pPr>
              <w:pStyle w:val="null3"/>
              <w:ind w:firstLine="480"/>
            </w:pPr>
            <w:r>
              <w:rPr>
                <w:sz w:val="24"/>
              </w:rPr>
              <w:t>（</w:t>
            </w:r>
            <w:r>
              <w:rPr>
                <w:sz w:val="24"/>
              </w:rPr>
              <w:t>1</w:t>
            </w:r>
            <w:r>
              <w:rPr>
                <w:sz w:val="24"/>
              </w:rPr>
              <w:t>）若成灾指数小于或等于</w:t>
            </w:r>
            <w:r>
              <w:rPr>
                <w:sz w:val="24"/>
              </w:rPr>
              <w:t>15%</w:t>
            </w:r>
            <w:r>
              <w:rPr>
                <w:sz w:val="24"/>
              </w:rPr>
              <w:t>，定额赔付基数</w:t>
            </w:r>
            <w:r>
              <w:rPr>
                <w:sz w:val="24"/>
              </w:rPr>
              <w:t>260</w:t>
            </w:r>
            <w:r>
              <w:rPr>
                <w:sz w:val="24"/>
              </w:rPr>
              <w:t>万元乘以强降雨投保系数（</w:t>
            </w:r>
            <w:r>
              <w:rPr>
                <w:sz w:val="24"/>
              </w:rPr>
              <w:t>λ</w:t>
            </w:r>
            <w:r>
              <w:rPr>
                <w:sz w:val="24"/>
              </w:rPr>
              <w:t>），每年限赔付一次。在本保险合同年度内已发生赔付（无论是该层指数或其他层指数的赔付），本层不再赔付。</w:t>
            </w:r>
          </w:p>
          <w:p>
            <w:pPr>
              <w:pStyle w:val="null3"/>
              <w:ind w:firstLine="480"/>
            </w:pPr>
            <w:r>
              <w:rPr>
                <w:sz w:val="24"/>
              </w:rPr>
              <w:t>（</w:t>
            </w:r>
            <w:r>
              <w:rPr>
                <w:sz w:val="24"/>
              </w:rPr>
              <w:t>2</w:t>
            </w:r>
            <w:r>
              <w:rPr>
                <w:sz w:val="24"/>
              </w:rPr>
              <w:t>）若成灾指数大于</w:t>
            </w:r>
            <w:r>
              <w:rPr>
                <w:sz w:val="24"/>
              </w:rPr>
              <w:t>15%</w:t>
            </w:r>
            <w:r>
              <w:rPr>
                <w:sz w:val="24"/>
              </w:rPr>
              <w:t>且小于或等于</w:t>
            </w:r>
            <w:r>
              <w:rPr>
                <w:sz w:val="24"/>
              </w:rPr>
              <w:t>100%</w:t>
            </w:r>
            <w:r>
              <w:rPr>
                <w:sz w:val="24"/>
              </w:rPr>
              <w:t>，则按以下公式计算赔付金额。如之前已发生上述第</w:t>
            </w:r>
            <w:r>
              <w:rPr>
                <w:sz w:val="24"/>
              </w:rPr>
              <w:t>1</w:t>
            </w:r>
            <w:r>
              <w:rPr>
                <w:sz w:val="24"/>
              </w:rPr>
              <w:t>点项下定额赔付，则本次赔付金额计算应扣减</w:t>
            </w:r>
            <w:r>
              <w:rPr>
                <w:sz w:val="24"/>
              </w:rPr>
              <w:t>260</w:t>
            </w:r>
            <w:r>
              <w:rPr>
                <w:sz w:val="24"/>
              </w:rPr>
              <w:t>万元乘以强降雨投保系数（</w:t>
            </w:r>
            <w:r>
              <w:rPr>
                <w:sz w:val="24"/>
              </w:rPr>
              <w:t>λ</w:t>
            </w:r>
            <w:r>
              <w:rPr>
                <w:sz w:val="24"/>
              </w:rPr>
              <w:t>）。该扣减项仅计算一次，下一次赔付金额计算时不再扣减。</w:t>
            </w:r>
          </w:p>
          <w:p>
            <w:pPr>
              <w:pStyle w:val="null3"/>
              <w:ind w:firstLine="480"/>
            </w:pPr>
            <w:r>
              <w:rPr>
                <w:sz w:val="24"/>
              </w:rPr>
              <w:t>实际每次事故赔偿金额</w:t>
            </w:r>
            <w:r>
              <w:rPr>
                <w:sz w:val="24"/>
              </w:rPr>
              <w:t>=</w:t>
            </w:r>
            <w:r>
              <w:rPr>
                <w:sz w:val="24"/>
              </w:rPr>
              <w:t>{</w:t>
            </w:r>
            <w:r>
              <w:rPr>
                <w:sz w:val="24"/>
              </w:rPr>
              <w:t>（成灾指数</w:t>
            </w:r>
            <w:r>
              <w:rPr>
                <w:sz w:val="24"/>
              </w:rPr>
              <w:t>–</w:t>
            </w:r>
            <w:r>
              <w:rPr>
                <w:sz w:val="24"/>
              </w:rPr>
              <w:t>适用的最高层分段起赔点）</w:t>
            </w:r>
            <w:r>
              <w:rPr>
                <w:sz w:val="24"/>
              </w:rPr>
              <w:t>/</w:t>
            </w:r>
            <w:r>
              <w:rPr>
                <w:sz w:val="24"/>
              </w:rPr>
              <w:t>（适用的最高层分段赔付上限点</w:t>
            </w:r>
            <w:r>
              <w:rPr>
                <w:sz w:val="24"/>
              </w:rPr>
              <w:t>–</w:t>
            </w:r>
            <w:r>
              <w:rPr>
                <w:sz w:val="24"/>
              </w:rPr>
              <w:t>适用的最高层分段起赔点）</w:t>
            </w:r>
            <w:r>
              <w:rPr>
                <w:sz w:val="24"/>
              </w:rPr>
              <w:t>×</w:t>
            </w:r>
            <w:r>
              <w:rPr>
                <w:sz w:val="24"/>
              </w:rPr>
              <w:t>（适用的最高层分段赔付额上限</w:t>
            </w:r>
            <w:r>
              <w:rPr>
                <w:sz w:val="24"/>
              </w:rPr>
              <w:t>–</w:t>
            </w:r>
            <w:r>
              <w:rPr>
                <w:sz w:val="24"/>
              </w:rPr>
              <w:t>适用的最高层分段起赔额）</w:t>
            </w:r>
            <w:r>
              <w:rPr>
                <w:sz w:val="24"/>
              </w:rPr>
              <w:t>+</w:t>
            </w:r>
            <w:r>
              <w:rPr>
                <w:sz w:val="24"/>
              </w:rPr>
              <w:t>适用的最高层分段起赔额</w:t>
            </w:r>
            <w:r>
              <w:rPr>
                <w:sz w:val="24"/>
              </w:rPr>
              <w:t>}</w:t>
            </w:r>
            <w:r>
              <w:rPr>
                <w:sz w:val="24"/>
              </w:rPr>
              <w:t>×</w:t>
            </w:r>
            <w:r>
              <w:rPr>
                <w:sz w:val="24"/>
              </w:rPr>
              <w:t>强降雨投保系数（</w:t>
            </w:r>
            <w:r>
              <w:rPr>
                <w:sz w:val="24"/>
              </w:rPr>
              <w:t>λ</w:t>
            </w:r>
            <w:r>
              <w:rPr>
                <w:sz w:val="24"/>
              </w:rPr>
              <w:t>）。</w:t>
            </w:r>
          </w:p>
          <w:p>
            <w:pPr>
              <w:pStyle w:val="null3"/>
              <w:ind w:firstLine="480"/>
            </w:pPr>
            <w:r>
              <w:rPr>
                <w:sz w:val="24"/>
              </w:rPr>
              <w:t>实际每次事故及年度累计赔付限额</w:t>
            </w:r>
            <w:r>
              <w:rPr>
                <w:sz w:val="24"/>
              </w:rPr>
              <w:t>=</w:t>
            </w:r>
            <w:r>
              <w:rPr>
                <w:sz w:val="24"/>
              </w:rPr>
              <w:t>每次事故及年度累计赔付限额</w:t>
            </w:r>
            <w:r>
              <w:rPr>
                <w:sz w:val="24"/>
              </w:rPr>
              <w:t>×</w:t>
            </w:r>
            <w:r>
              <w:rPr>
                <w:sz w:val="24"/>
              </w:rPr>
              <w:t>强降雨投保系数（</w:t>
            </w:r>
            <w:r>
              <w:rPr>
                <w:sz w:val="24"/>
              </w:rPr>
              <w:t>λ</w:t>
            </w:r>
            <w:r>
              <w:rPr>
                <w:sz w:val="24"/>
              </w:rPr>
              <w:t>）。</w:t>
            </w:r>
          </w:p>
          <w:p>
            <w:pPr>
              <w:pStyle w:val="null3"/>
              <w:ind w:firstLine="480"/>
            </w:pPr>
            <w:r>
              <w:rPr>
                <w:sz w:val="24"/>
              </w:rPr>
              <w:t>（</w:t>
            </w:r>
            <w:r>
              <w:rPr>
                <w:sz w:val="24"/>
              </w:rPr>
              <w:t>3</w:t>
            </w:r>
            <w:r>
              <w:rPr>
                <w:sz w:val="24"/>
              </w:rPr>
              <w:t>）</w:t>
            </w:r>
            <w:r>
              <w:rPr>
                <w:sz w:val="24"/>
              </w:rPr>
              <w:t>各地若有效观测站的日降雨量大于等于表</w:t>
            </w:r>
            <w:r>
              <w:rPr>
                <w:sz w:val="24"/>
              </w:rPr>
              <w:t>1.6</w:t>
            </w:r>
            <w:r>
              <w:rPr>
                <w:sz w:val="24"/>
              </w:rPr>
              <w:t>中的值，则附加赔付</w:t>
            </w:r>
            <w:r>
              <w:rPr>
                <w:sz w:val="24"/>
              </w:rPr>
              <w:t>50</w:t>
            </w:r>
            <w:r>
              <w:rPr>
                <w:sz w:val="24"/>
              </w:rPr>
              <w:t>万</w:t>
            </w:r>
            <w:r>
              <w:rPr>
                <w:sz w:val="24"/>
              </w:rPr>
              <w:t>/</w:t>
            </w:r>
            <w:r>
              <w:rPr>
                <w:sz w:val="24"/>
              </w:rPr>
              <w:t>站乘以强降雨投保系数（</w:t>
            </w:r>
            <w:r>
              <w:rPr>
                <w:sz w:val="24"/>
              </w:rPr>
              <w:t>λ</w:t>
            </w:r>
            <w:r>
              <w:rPr>
                <w:sz w:val="24"/>
              </w:rPr>
              <w:t>），可以与（</w:t>
            </w:r>
            <w:r>
              <w:rPr>
                <w:sz w:val="24"/>
              </w:rPr>
              <w:t>2</w:t>
            </w:r>
            <w:r>
              <w:rPr>
                <w:sz w:val="24"/>
              </w:rPr>
              <w:t>）累加赔付，每年限</w:t>
            </w:r>
            <w:r>
              <w:rPr>
                <w:sz w:val="24"/>
              </w:rPr>
              <w:t>20</w:t>
            </w:r>
            <w:r>
              <w:rPr>
                <w:sz w:val="24"/>
              </w:rPr>
              <w:t>站次。</w:t>
            </w:r>
          </w:p>
          <w:p>
            <w:pPr>
              <w:pStyle w:val="null3"/>
              <w:ind w:firstLine="482"/>
            </w:pPr>
            <w:r>
              <w:rPr>
                <w:sz w:val="24"/>
                <w:b/>
              </w:rPr>
              <w:t>（二）台风巨灾指数保险方案</w:t>
            </w:r>
          </w:p>
          <w:p>
            <w:pPr>
              <w:pStyle w:val="null3"/>
              <w:ind w:firstLine="482"/>
            </w:pPr>
            <w:r>
              <w:rPr>
                <w:sz w:val="24"/>
                <w:b/>
              </w:rPr>
              <w:t>1.</w:t>
            </w:r>
            <w:r>
              <w:rPr>
                <w:sz w:val="24"/>
                <w:b/>
              </w:rPr>
              <w:t>台风事件定义</w:t>
            </w:r>
          </w:p>
          <w:p>
            <w:pPr>
              <w:pStyle w:val="null3"/>
              <w:ind w:firstLine="480"/>
              <w:jc w:val="both"/>
            </w:pPr>
            <w:r>
              <w:rPr>
                <w:sz w:val="24"/>
              </w:rPr>
              <w:t>台风登陆或严重影响广东至台风停止编号为一次台风事件。</w:t>
            </w:r>
          </w:p>
          <w:p>
            <w:pPr>
              <w:pStyle w:val="null3"/>
              <w:ind w:firstLine="482"/>
              <w:jc w:val="both"/>
            </w:pPr>
            <w:r>
              <w:rPr>
                <w:sz w:val="24"/>
                <w:b/>
              </w:rPr>
              <w:t>2.</w:t>
            </w:r>
            <w:r>
              <w:rPr>
                <w:sz w:val="24"/>
                <w:b/>
              </w:rPr>
              <w:t>过程极大风速定义</w:t>
            </w:r>
          </w:p>
          <w:p>
            <w:pPr>
              <w:pStyle w:val="null3"/>
              <w:ind w:firstLine="480"/>
              <w:jc w:val="both"/>
            </w:pPr>
            <w:r>
              <w:rPr>
                <w:sz w:val="24"/>
              </w:rPr>
              <w:t>在一次台风事件中，有效观测站监测到的极大风速。</w:t>
            </w:r>
          </w:p>
          <w:p>
            <w:pPr>
              <w:pStyle w:val="null3"/>
              <w:ind w:firstLine="482"/>
              <w:jc w:val="both"/>
            </w:pPr>
            <w:r>
              <w:rPr>
                <w:sz w:val="24"/>
                <w:b/>
              </w:rPr>
              <w:t>3.</w:t>
            </w:r>
            <w:r>
              <w:rPr>
                <w:sz w:val="24"/>
                <w:b/>
              </w:rPr>
              <w:t>受灾事件定义</w:t>
            </w:r>
          </w:p>
          <w:p>
            <w:pPr>
              <w:pStyle w:val="null3"/>
              <w:ind w:firstLine="480"/>
              <w:jc w:val="both"/>
            </w:pPr>
            <w:r>
              <w:rPr>
                <w:sz w:val="24"/>
              </w:rPr>
              <w:t>如果在台风事件中的任何时间点，任意一个有效观测站的极大风速大于或等于</w:t>
            </w:r>
            <w:r>
              <w:rPr>
                <w:sz w:val="24"/>
              </w:rPr>
              <w:t>2</w:t>
            </w:r>
            <w:r>
              <w:rPr>
                <w:sz w:val="24"/>
              </w:rPr>
              <w:t>年一遇的重现水平（见附表</w:t>
            </w:r>
            <w:r>
              <w:rPr>
                <w:sz w:val="24"/>
              </w:rPr>
              <w:t>4</w:t>
            </w:r>
            <w:r>
              <w:rPr>
                <w:sz w:val="24"/>
              </w:rPr>
              <w:t>）时，该台风事件定义为受灾事件。台风事件中极大风速大于或等于受灾阈值的第一天，受灾事件起始，当该台风事件结束时受灾事件结束。</w:t>
            </w:r>
          </w:p>
          <w:p>
            <w:pPr>
              <w:pStyle w:val="null3"/>
              <w:ind w:firstLine="482"/>
              <w:jc w:val="both"/>
            </w:pPr>
            <w:r>
              <w:rPr>
                <w:sz w:val="24"/>
                <w:b/>
              </w:rPr>
              <w:t>4.</w:t>
            </w:r>
            <w:r>
              <w:rPr>
                <w:sz w:val="24"/>
                <w:b/>
              </w:rPr>
              <w:t>受灾阈值定义</w:t>
            </w:r>
          </w:p>
          <w:p>
            <w:pPr>
              <w:pStyle w:val="null3"/>
              <w:ind w:firstLine="480"/>
              <w:jc w:val="both"/>
            </w:pPr>
            <w:r>
              <w:rPr>
                <w:sz w:val="24"/>
              </w:rPr>
              <w:t>台风受灾事件的极大风速受灾阈值：</w:t>
            </w:r>
            <w:r>
              <w:rPr>
                <w:sz w:val="24"/>
              </w:rPr>
              <w:t>2</w:t>
            </w:r>
            <w:r>
              <w:rPr>
                <w:sz w:val="24"/>
              </w:rPr>
              <w:t>年一遇的重现水平（米</w:t>
            </w:r>
            <w:r>
              <w:rPr>
                <w:sz w:val="24"/>
              </w:rPr>
              <w:t>/</w:t>
            </w:r>
            <w:r>
              <w:rPr>
                <w:sz w:val="24"/>
              </w:rPr>
              <w:t>秒）。</w:t>
            </w:r>
          </w:p>
          <w:p>
            <w:pPr>
              <w:pStyle w:val="null3"/>
              <w:ind w:firstLine="482"/>
              <w:jc w:val="both"/>
            </w:pPr>
            <w:r>
              <w:rPr>
                <w:sz w:val="24"/>
                <w:b/>
              </w:rPr>
              <w:t>5.</w:t>
            </w:r>
            <w:r>
              <w:rPr>
                <w:sz w:val="24"/>
                <w:b/>
              </w:rPr>
              <w:t>有效观测站选取</w:t>
            </w:r>
          </w:p>
          <w:p>
            <w:pPr>
              <w:pStyle w:val="null3"/>
              <w:ind w:firstLine="480"/>
              <w:jc w:val="both"/>
            </w:pPr>
            <w:r>
              <w:rPr>
                <w:sz w:val="24"/>
              </w:rPr>
              <w:t>在投保台风巨灾指数保险的中山各行政区域内，选定</w:t>
            </w:r>
            <w:r>
              <w:rPr>
                <w:sz w:val="24"/>
              </w:rPr>
              <w:t>24</w:t>
            </w:r>
            <w:r>
              <w:rPr>
                <w:sz w:val="24"/>
              </w:rPr>
              <w:t>个气象地面观测站点（</w:t>
            </w:r>
            <w:r>
              <w:rPr>
                <w:sz w:val="24"/>
              </w:rPr>
              <w:t>见</w:t>
            </w:r>
            <w:r>
              <w:rPr>
                <w:sz w:val="24"/>
              </w:rPr>
              <w:t>附表</w:t>
            </w:r>
            <w:r>
              <w:rPr>
                <w:sz w:val="24"/>
              </w:rPr>
              <w:t>3</w:t>
            </w:r>
            <w:r>
              <w:rPr>
                <w:sz w:val="24"/>
              </w:rPr>
              <w:t>）作为本方案有效观测站，涵盖整个中山市。中山台风保险参量权重及有效站数列于表</w:t>
            </w:r>
            <w:r>
              <w:rPr>
                <w:sz w:val="24"/>
              </w:rPr>
              <w:t>2.1</w:t>
            </w:r>
            <w:r>
              <w:rPr>
                <w:sz w:val="24"/>
              </w:rPr>
              <w:t>。</w:t>
            </w:r>
          </w:p>
          <w:p>
            <w:pPr>
              <w:pStyle w:val="null3"/>
              <w:jc w:val="center"/>
            </w:pPr>
            <w:r>
              <w:rPr>
                <w:sz w:val="24"/>
                <w:b/>
              </w:rPr>
              <w:t>表</w:t>
            </w:r>
            <w:r>
              <w:rPr>
                <w:sz w:val="24"/>
                <w:b/>
              </w:rPr>
              <w:t xml:space="preserve">2.1 </w:t>
            </w:r>
            <w:r>
              <w:rPr>
                <w:sz w:val="24"/>
                <w:b/>
              </w:rPr>
              <w:t>中山各区台风保险参量权重及有效观测站数</w:t>
            </w:r>
          </w:p>
          <w:tbl>
            <w:tblPr>
              <w:tblInd w:type="dxa" w:w="120"/>
              <w:tblBorders>
                <w:top w:val="none" w:color="000000" w:sz="4"/>
                <w:left w:val="none" w:color="000000" w:sz="4"/>
                <w:bottom w:val="none" w:color="000000" w:sz="4"/>
                <w:right w:val="none" w:color="000000" w:sz="4"/>
                <w:insideH w:val="none"/>
                <w:insideV w:val="none"/>
              </w:tblBorders>
            </w:tblPr>
            <w:tblGrid>
              <w:gridCol w:w="1037"/>
              <w:gridCol w:w="1037"/>
              <w:gridCol w:w="1115"/>
              <w:gridCol w:w="2408"/>
            </w:tblGrid>
            <w:tr>
              <w:tc>
                <w:tcPr>
                  <w:tcW w:type="dxa" w:w="10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地名</w:t>
                  </w:r>
                </w:p>
              </w:tc>
              <w:tc>
                <w:tcPr>
                  <w:tcW w:type="dxa" w:w="1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权重</w:t>
                  </w:r>
                </w:p>
              </w:tc>
              <w:tc>
                <w:tcPr>
                  <w:tcW w:type="dxa" w:w="2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有效观测站数</w:t>
                  </w:r>
                </w:p>
              </w:tc>
            </w:tr>
            <w:tr>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r>
          </w:tbl>
          <w:p>
            <w:pPr>
              <w:pStyle w:val="null3"/>
              <w:ind w:firstLine="482"/>
              <w:jc w:val="both"/>
            </w:pPr>
            <w:r>
              <w:rPr>
                <w:sz w:val="24"/>
                <w:b/>
              </w:rPr>
              <w:t>6.</w:t>
            </w:r>
            <w:r>
              <w:rPr>
                <w:sz w:val="24"/>
                <w:b/>
              </w:rPr>
              <w:t>受灾因子确定</w:t>
            </w:r>
          </w:p>
          <w:p>
            <w:pPr>
              <w:pStyle w:val="null3"/>
              <w:ind w:firstLine="480"/>
              <w:jc w:val="both"/>
            </w:pPr>
            <w:r>
              <w:rPr>
                <w:sz w:val="24"/>
              </w:rPr>
              <w:t>根据中山在台风期间极大风速危险性、承灾体脆弱性、孕灾环境和灾害损失的相关性分析，建立受灾因子表</w:t>
            </w:r>
            <w:r>
              <w:rPr>
                <w:sz w:val="24"/>
              </w:rPr>
              <w:t>2.2</w:t>
            </w:r>
            <w:r>
              <w:rPr>
                <w:sz w:val="24"/>
              </w:rPr>
              <w:t>（重现水平见附表</w:t>
            </w:r>
            <w:r>
              <w:rPr>
                <w:sz w:val="24"/>
              </w:rPr>
              <w:t>4</w:t>
            </w:r>
            <w:r>
              <w:rPr>
                <w:sz w:val="24"/>
              </w:rPr>
              <w:t>），如下：</w:t>
            </w:r>
          </w:p>
          <w:p>
            <w:pPr>
              <w:pStyle w:val="null3"/>
              <w:jc w:val="center"/>
            </w:pPr>
            <w:r>
              <w:rPr>
                <w:sz w:val="24"/>
                <w:b/>
              </w:rPr>
              <w:t>表</w:t>
            </w:r>
            <w:r>
              <w:rPr>
                <w:sz w:val="24"/>
                <w:b/>
              </w:rPr>
              <w:t xml:space="preserve">2.2 </w:t>
            </w:r>
            <w:r>
              <w:rPr>
                <w:sz w:val="24"/>
                <w:b/>
              </w:rPr>
              <w:t>台风受灾因子表</w:t>
            </w:r>
          </w:p>
          <w:tbl>
            <w:tblPr>
              <w:tblBorders>
                <w:top w:val="none" w:color="000000" w:sz="4"/>
                <w:left w:val="none" w:color="000000" w:sz="4"/>
                <w:bottom w:val="none" w:color="000000" w:sz="4"/>
                <w:right w:val="none" w:color="000000" w:sz="4"/>
                <w:insideH w:val="none"/>
                <w:insideV w:val="none"/>
              </w:tblBorders>
            </w:tblPr>
            <w:tblGrid>
              <w:gridCol w:w="2977"/>
              <w:gridCol w:w="2620"/>
            </w:tblGrid>
            <w:tr>
              <w:tc>
                <w:tcPr>
                  <w:tcW w:type="dxa" w:w="2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极大风重现期（</w:t>
                  </w:r>
                  <w:r>
                    <w:rPr>
                      <w:sz w:val="24"/>
                      <w:b/>
                    </w:rPr>
                    <w:t>R</w:t>
                  </w:r>
                  <w:r>
                    <w:rPr>
                      <w:sz w:val="24"/>
                      <w:b/>
                    </w:rPr>
                    <w:t>）（单位：米</w:t>
                  </w:r>
                  <w:r>
                    <w:rPr>
                      <w:sz w:val="24"/>
                      <w:b/>
                    </w:rPr>
                    <w:t>/</w:t>
                  </w:r>
                  <w:r>
                    <w:rPr>
                      <w:sz w:val="24"/>
                      <w:b/>
                    </w:rPr>
                    <w:t>秒）</w:t>
                  </w:r>
                </w:p>
              </w:tc>
              <w:tc>
                <w:tcPr>
                  <w:tcW w:type="dxa" w:w="2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受灾因子</w:t>
                  </w:r>
                </w:p>
              </w:tc>
            </w:tr>
            <w:tr>
              <w:tc>
                <w:tcPr>
                  <w:tcW w:type="dxa" w:w="2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w:t>
                  </w:r>
                  <w:r>
                    <w:rPr>
                      <w:sz w:val="24"/>
                    </w:rPr>
                    <w:t>＜</w:t>
                  </w:r>
                  <w:r>
                    <w:rPr>
                      <w:sz w:val="24"/>
                    </w:rPr>
                    <w:t>R2</w:t>
                  </w:r>
                </w:p>
              </w:tc>
              <w:tc>
                <w:tcPr>
                  <w:tcW w:type="dxa" w:w="2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0.00%</w:t>
                  </w:r>
                </w:p>
              </w:tc>
            </w:tr>
            <w:tr>
              <w:tc>
                <w:tcPr>
                  <w:tcW w:type="dxa" w:w="2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R2≤R</w:t>
                  </w:r>
                  <w:r>
                    <w:rPr>
                      <w:sz w:val="24"/>
                    </w:rPr>
                    <w:t>＜</w:t>
                  </w:r>
                  <w:r>
                    <w:rPr>
                      <w:sz w:val="24"/>
                    </w:rPr>
                    <w:t>R3</w:t>
                  </w:r>
                </w:p>
              </w:tc>
              <w:tc>
                <w:tcPr>
                  <w:tcW w:type="dxa" w:w="2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10.00%~20.00%</w:t>
                  </w:r>
                </w:p>
              </w:tc>
            </w:tr>
            <w:tr>
              <w:tc>
                <w:tcPr>
                  <w:tcW w:type="dxa" w:w="2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R3≤R</w:t>
                  </w:r>
                  <w:r>
                    <w:rPr>
                      <w:sz w:val="24"/>
                    </w:rPr>
                    <w:t>＜</w:t>
                  </w:r>
                  <w:r>
                    <w:rPr>
                      <w:sz w:val="24"/>
                    </w:rPr>
                    <w:t>R5</w:t>
                  </w:r>
                </w:p>
              </w:tc>
              <w:tc>
                <w:tcPr>
                  <w:tcW w:type="dxa" w:w="2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20.00%~30.00%</w:t>
                  </w:r>
                </w:p>
              </w:tc>
            </w:tr>
            <w:tr>
              <w:tc>
                <w:tcPr>
                  <w:tcW w:type="dxa" w:w="2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R5≤R</w:t>
                  </w:r>
                  <w:r>
                    <w:rPr>
                      <w:sz w:val="24"/>
                    </w:rPr>
                    <w:t>＜</w:t>
                  </w:r>
                  <w:r>
                    <w:rPr>
                      <w:sz w:val="24"/>
                    </w:rPr>
                    <w:t>R8</w:t>
                  </w:r>
                </w:p>
              </w:tc>
              <w:tc>
                <w:tcPr>
                  <w:tcW w:type="dxa" w:w="2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30.00%~40.00%</w:t>
                  </w:r>
                </w:p>
              </w:tc>
            </w:tr>
            <w:tr>
              <w:tc>
                <w:tcPr>
                  <w:tcW w:type="dxa" w:w="2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R8≤R</w:t>
                  </w:r>
                  <w:r>
                    <w:rPr>
                      <w:sz w:val="24"/>
                    </w:rPr>
                    <w:t>＜</w:t>
                  </w:r>
                  <w:r>
                    <w:rPr>
                      <w:sz w:val="24"/>
                    </w:rPr>
                    <w:t>R10</w:t>
                  </w:r>
                </w:p>
              </w:tc>
              <w:tc>
                <w:tcPr>
                  <w:tcW w:type="dxa" w:w="2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40.00%~50.00%</w:t>
                  </w:r>
                </w:p>
              </w:tc>
            </w:tr>
            <w:tr>
              <w:tc>
                <w:tcPr>
                  <w:tcW w:type="dxa" w:w="2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R10≤R</w:t>
                  </w:r>
                  <w:r>
                    <w:rPr>
                      <w:sz w:val="24"/>
                    </w:rPr>
                    <w:t>＜</w:t>
                  </w:r>
                  <w:r>
                    <w:rPr>
                      <w:sz w:val="24"/>
                    </w:rPr>
                    <w:t>R20</w:t>
                  </w:r>
                </w:p>
              </w:tc>
              <w:tc>
                <w:tcPr>
                  <w:tcW w:type="dxa" w:w="2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50.00%~60.00%</w:t>
                  </w:r>
                </w:p>
              </w:tc>
            </w:tr>
            <w:tr>
              <w:tc>
                <w:tcPr>
                  <w:tcW w:type="dxa" w:w="2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R20≤R</w:t>
                  </w:r>
                  <w:r>
                    <w:rPr>
                      <w:sz w:val="24"/>
                    </w:rPr>
                    <w:t>＜</w:t>
                  </w:r>
                  <w:r>
                    <w:rPr>
                      <w:sz w:val="24"/>
                    </w:rPr>
                    <w:t>R50</w:t>
                  </w:r>
                </w:p>
              </w:tc>
              <w:tc>
                <w:tcPr>
                  <w:tcW w:type="dxa" w:w="2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60.00%~70.00%</w:t>
                  </w:r>
                </w:p>
              </w:tc>
            </w:tr>
            <w:tr>
              <w:tc>
                <w:tcPr>
                  <w:tcW w:type="dxa" w:w="2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R50≤R</w:t>
                  </w:r>
                  <w:r>
                    <w:rPr>
                      <w:sz w:val="24"/>
                    </w:rPr>
                    <w:t>＜</w:t>
                  </w:r>
                  <w:r>
                    <w:rPr>
                      <w:sz w:val="24"/>
                    </w:rPr>
                    <w:t>R100</w:t>
                  </w:r>
                </w:p>
              </w:tc>
              <w:tc>
                <w:tcPr>
                  <w:tcW w:type="dxa" w:w="2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70.00%~80.00%</w:t>
                  </w:r>
                </w:p>
              </w:tc>
            </w:tr>
            <w:tr>
              <w:tc>
                <w:tcPr>
                  <w:tcW w:type="dxa" w:w="2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R100≤R</w:t>
                  </w:r>
                  <w:r>
                    <w:rPr>
                      <w:sz w:val="24"/>
                    </w:rPr>
                    <w:t>＜</w:t>
                  </w:r>
                  <w:r>
                    <w:rPr>
                      <w:sz w:val="24"/>
                    </w:rPr>
                    <w:t>R200</w:t>
                  </w:r>
                </w:p>
              </w:tc>
              <w:tc>
                <w:tcPr>
                  <w:tcW w:type="dxa" w:w="2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80.00%~90.00%</w:t>
                  </w:r>
                </w:p>
              </w:tc>
            </w:tr>
            <w:tr>
              <w:tc>
                <w:tcPr>
                  <w:tcW w:type="dxa" w:w="2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R200≤R</w:t>
                  </w:r>
                  <w:r>
                    <w:rPr>
                      <w:sz w:val="24"/>
                    </w:rPr>
                    <w:t>＜</w:t>
                  </w:r>
                  <w:r>
                    <w:rPr>
                      <w:sz w:val="24"/>
                    </w:rPr>
                    <w:t>R250</w:t>
                  </w:r>
                </w:p>
              </w:tc>
              <w:tc>
                <w:tcPr>
                  <w:tcW w:type="dxa" w:w="2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90.00%~100.00%</w:t>
                  </w:r>
                </w:p>
              </w:tc>
            </w:tr>
            <w:tr>
              <w:tc>
                <w:tcPr>
                  <w:tcW w:type="dxa" w:w="2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R≥R250</w:t>
                  </w:r>
                </w:p>
              </w:tc>
              <w:tc>
                <w:tcPr>
                  <w:tcW w:type="dxa" w:w="2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w:t>
                  </w:r>
                </w:p>
              </w:tc>
            </w:tr>
          </w:tbl>
          <w:p>
            <w:pPr>
              <w:pStyle w:val="null3"/>
              <w:ind w:firstLine="480"/>
              <w:jc w:val="both"/>
            </w:pPr>
            <w:r>
              <w:rPr>
                <w:sz w:val="24"/>
              </w:rPr>
              <w:t>注：R为重现期；Rx为X年一遇重现期。</w:t>
            </w:r>
          </w:p>
          <w:p>
            <w:pPr>
              <w:pStyle w:val="null3"/>
              <w:ind w:firstLine="480"/>
              <w:jc w:val="both"/>
            </w:pPr>
            <w:r>
              <w:rPr>
                <w:sz w:val="24"/>
              </w:rPr>
              <w:t>（</w:t>
            </w:r>
            <w:r>
              <w:rPr>
                <w:sz w:val="24"/>
              </w:rPr>
              <w:t>1</w:t>
            </w:r>
            <w:r>
              <w:rPr>
                <w:sz w:val="24"/>
              </w:rPr>
              <w:t>）受灾因子计算方法</w:t>
            </w:r>
          </w:p>
          <w:p>
            <w:pPr>
              <w:pStyle w:val="null3"/>
              <w:ind w:firstLine="480"/>
              <w:jc w:val="left"/>
            </w:pPr>
            <w:r>
              <w:rPr>
                <w:sz w:val="24"/>
              </w:rPr>
              <w:t>小于</w:t>
            </w:r>
            <w:r>
              <w:rPr>
                <w:sz w:val="24"/>
              </w:rPr>
              <w:t>2</w:t>
            </w:r>
            <w:r>
              <w:rPr>
                <w:sz w:val="24"/>
              </w:rPr>
              <w:t>年一遇重现水平的极大风速不进入计算，当站点极大风速大于等于</w:t>
            </w:r>
            <w:r>
              <w:rPr>
                <w:sz w:val="24"/>
              </w:rPr>
              <w:t>2</w:t>
            </w:r>
            <w:r>
              <w:rPr>
                <w:sz w:val="24"/>
              </w:rPr>
              <w:t>年一遇重现水平时，采用下列算式：</w:t>
            </w:r>
          </w:p>
          <w:p>
            <w:pPr>
              <w:pStyle w:val="null3"/>
              <w:ind w:firstLine="480"/>
              <w:jc w:val="left"/>
            </w:pPr>
            <w:r>
              <w:rPr>
                <w:sz w:val="24"/>
              </w:rPr>
              <w:t>受灾因子</w:t>
            </w:r>
            <w:r>
              <w:rPr>
                <w:sz w:val="24"/>
              </w:rPr>
              <w:t>=</w:t>
            </w:r>
            <w:r>
              <w:rPr>
                <w:sz w:val="24"/>
              </w:rPr>
              <w:t>（极大风速</w:t>
            </w:r>
            <w:r>
              <w:rPr>
                <w:sz w:val="24"/>
              </w:rPr>
              <w:t>–</w:t>
            </w:r>
            <w:r>
              <w:rPr>
                <w:sz w:val="24"/>
              </w:rPr>
              <w:t>适用的最高层分段重现水平下限点）</w:t>
            </w:r>
            <w:r>
              <w:rPr>
                <w:sz w:val="24"/>
              </w:rPr>
              <w:t>/</w:t>
            </w:r>
            <w:r>
              <w:rPr>
                <w:sz w:val="24"/>
              </w:rPr>
              <w:t>（适用的最高层分段重现水平上限点</w:t>
            </w:r>
            <w:r>
              <w:rPr>
                <w:sz w:val="24"/>
              </w:rPr>
              <w:t>–</w:t>
            </w:r>
            <w:r>
              <w:rPr>
                <w:sz w:val="24"/>
              </w:rPr>
              <w:t>适用的最高层分段重现水平下限点）</w:t>
            </w:r>
            <w:r>
              <w:rPr>
                <w:sz w:val="24"/>
              </w:rPr>
              <w:t>×</w:t>
            </w:r>
            <w:r>
              <w:rPr>
                <w:sz w:val="24"/>
              </w:rPr>
              <w:t>（适用的最高层分段受灾因子上限</w:t>
            </w:r>
            <w:r>
              <w:rPr>
                <w:sz w:val="24"/>
              </w:rPr>
              <w:t>–</w:t>
            </w:r>
            <w:r>
              <w:rPr>
                <w:sz w:val="24"/>
              </w:rPr>
              <w:t>适用的最高层分段受灾因子下限）</w:t>
            </w:r>
            <w:r>
              <w:rPr>
                <w:sz w:val="24"/>
              </w:rPr>
              <w:t>+</w:t>
            </w:r>
            <w:r>
              <w:rPr>
                <w:sz w:val="24"/>
              </w:rPr>
              <w:t>适用的最高层分段受灾因子下限。</w:t>
            </w:r>
          </w:p>
          <w:p>
            <w:pPr>
              <w:pStyle w:val="null3"/>
              <w:ind w:firstLine="482"/>
              <w:jc w:val="left"/>
            </w:pPr>
            <w:r>
              <w:rPr>
                <w:sz w:val="24"/>
                <w:b/>
              </w:rPr>
              <w:t>7</w:t>
            </w:r>
            <w:r>
              <w:rPr>
                <w:sz w:val="24"/>
                <w:b/>
              </w:rPr>
              <w:t>.</w:t>
            </w:r>
            <w:r>
              <w:rPr>
                <w:sz w:val="24"/>
                <w:b/>
              </w:rPr>
              <w:t>成灾指数计算方法</w:t>
            </w:r>
          </w:p>
          <w:p>
            <w:pPr>
              <w:pStyle w:val="null3"/>
              <w:ind w:firstLine="480"/>
              <w:jc w:val="left"/>
            </w:pPr>
            <w:r>
              <w:rPr>
                <w:sz w:val="24"/>
              </w:rPr>
              <w:t>发生台风事件时，成灾指数通过以下方法计算：</w:t>
            </w:r>
          </w:p>
          <w:p>
            <w:pPr>
              <w:pStyle w:val="null3"/>
              <w:ind w:firstLine="480"/>
              <w:jc w:val="left"/>
            </w:pPr>
            <w:r>
              <w:rPr>
                <w:sz w:val="24"/>
              </w:rPr>
              <w:t>（</w:t>
            </w:r>
            <w:r>
              <w:rPr>
                <w:sz w:val="24"/>
              </w:rPr>
              <w:t>1</w:t>
            </w:r>
            <w:r>
              <w:rPr>
                <w:sz w:val="24"/>
              </w:rPr>
              <w:t>）每个站的极大风速对应的受灾因子（见表</w:t>
            </w:r>
            <w:r>
              <w:rPr>
                <w:sz w:val="24"/>
              </w:rPr>
              <w:t>2.2</w:t>
            </w:r>
            <w:r>
              <w:rPr>
                <w:sz w:val="24"/>
              </w:rPr>
              <w:t>），乘以该站的保险参量权重（见附表</w:t>
            </w:r>
            <w:r>
              <w:rPr>
                <w:sz w:val="24"/>
              </w:rPr>
              <w:t>3</w:t>
            </w:r>
            <w:r>
              <w:rPr>
                <w:sz w:val="24"/>
              </w:rPr>
              <w:t>）；</w:t>
            </w:r>
          </w:p>
          <w:p>
            <w:pPr>
              <w:pStyle w:val="null3"/>
              <w:ind w:firstLine="480"/>
              <w:jc w:val="left"/>
            </w:pPr>
            <w:r>
              <w:rPr>
                <w:sz w:val="24"/>
              </w:rPr>
              <w:t>（</w:t>
            </w:r>
            <w:r>
              <w:rPr>
                <w:sz w:val="24"/>
              </w:rPr>
              <w:t>2</w:t>
            </w:r>
            <w:r>
              <w:rPr>
                <w:sz w:val="24"/>
              </w:rPr>
              <w:t>）将各区站点的第（</w:t>
            </w:r>
            <w:r>
              <w:rPr>
                <w:sz w:val="24"/>
              </w:rPr>
              <w:t>1</w:t>
            </w:r>
            <w:r>
              <w:rPr>
                <w:sz w:val="24"/>
              </w:rPr>
              <w:t>）项乘积相加之和，作为当地成灾指数；</w:t>
            </w:r>
          </w:p>
          <w:p>
            <w:pPr>
              <w:pStyle w:val="null3"/>
              <w:ind w:firstLine="480"/>
              <w:jc w:val="left"/>
            </w:pPr>
            <w:r>
              <w:rPr>
                <w:sz w:val="24"/>
              </w:rPr>
              <w:t>（</w:t>
            </w:r>
            <w:r>
              <w:rPr>
                <w:sz w:val="24"/>
              </w:rPr>
              <w:t>3</w:t>
            </w:r>
            <w:r>
              <w:rPr>
                <w:sz w:val="24"/>
              </w:rPr>
              <w:t>）将各区成灾指数相加之和作为成灾指数。</w:t>
            </w:r>
          </w:p>
          <w:p>
            <w:pPr>
              <w:pStyle w:val="null3"/>
              <w:ind w:firstLine="482"/>
              <w:jc w:val="left"/>
            </w:pPr>
            <w:r>
              <w:rPr>
                <w:sz w:val="24"/>
                <w:b/>
              </w:rPr>
              <w:t>8</w:t>
            </w:r>
            <w:r>
              <w:rPr>
                <w:sz w:val="24"/>
                <w:b/>
              </w:rPr>
              <w:t>.</w:t>
            </w:r>
            <w:r>
              <w:rPr>
                <w:sz w:val="24"/>
                <w:b/>
              </w:rPr>
              <w:t>保险费和赔付方案</w:t>
            </w:r>
          </w:p>
          <w:p>
            <w:pPr>
              <w:pStyle w:val="null3"/>
              <w:ind w:firstLine="480"/>
              <w:jc w:val="left"/>
            </w:pPr>
            <w:r>
              <w:rPr>
                <w:sz w:val="24"/>
              </w:rPr>
              <w:t>总保险费：</w:t>
            </w:r>
            <w:r>
              <w:rPr>
                <w:sz w:val="24"/>
              </w:rPr>
              <w:t>1125</w:t>
            </w:r>
            <w:r>
              <w:rPr>
                <w:sz w:val="24"/>
              </w:rPr>
              <w:t>万元。</w:t>
            </w:r>
          </w:p>
          <w:p>
            <w:pPr>
              <w:pStyle w:val="null3"/>
              <w:ind w:firstLine="480"/>
              <w:jc w:val="left"/>
            </w:pPr>
            <w:r>
              <w:rPr>
                <w:sz w:val="24"/>
              </w:rPr>
              <w:t>赔偿限额：每次事故或年度累计赔付总限额为人民币</w:t>
            </w:r>
            <w:r>
              <w:rPr>
                <w:sz w:val="24"/>
              </w:rPr>
              <w:t>λ×13000</w:t>
            </w:r>
            <w:r>
              <w:rPr>
                <w:sz w:val="24"/>
              </w:rPr>
              <w:t>万元；中山赔付每次事故或年度累计赔付限额人民币见表</w:t>
            </w:r>
            <w:r>
              <w:rPr>
                <w:sz w:val="24"/>
              </w:rPr>
              <w:t>2.4</w:t>
            </w:r>
            <w:r>
              <w:rPr>
                <w:sz w:val="24"/>
              </w:rPr>
              <w:t>。</w:t>
            </w:r>
          </w:p>
          <w:p>
            <w:pPr>
              <w:pStyle w:val="null3"/>
              <w:jc w:val="center"/>
            </w:pPr>
            <w:r>
              <w:rPr>
                <w:sz w:val="24"/>
                <w:b/>
              </w:rPr>
              <w:t>表</w:t>
            </w:r>
            <w:r>
              <w:rPr>
                <w:sz w:val="24"/>
                <w:b/>
              </w:rPr>
              <w:t xml:space="preserve">2.3 </w:t>
            </w:r>
            <w:r>
              <w:rPr>
                <w:sz w:val="24"/>
                <w:b/>
              </w:rPr>
              <w:t>中山台风保费及保险金额表</w:t>
            </w:r>
          </w:p>
          <w:tbl>
            <w:tblPr>
              <w:tblBorders>
                <w:top w:val="none" w:color="000000" w:sz="4"/>
                <w:left w:val="none" w:color="000000" w:sz="4"/>
                <w:bottom w:val="none" w:color="000000" w:sz="4"/>
                <w:right w:val="none" w:color="000000" w:sz="4"/>
                <w:insideH w:val="none"/>
                <w:insideV w:val="none"/>
              </w:tblBorders>
            </w:tblPr>
            <w:tblGrid>
              <w:gridCol w:w="581"/>
              <w:gridCol w:w="581"/>
              <w:gridCol w:w="983"/>
              <w:gridCol w:w="1385"/>
              <w:gridCol w:w="2066"/>
            </w:tblGrid>
            <w:tr>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地名</w:t>
                  </w:r>
                </w:p>
              </w:tc>
              <w:tc>
                <w:tcPr>
                  <w:tcW w:type="dxa" w:w="9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台风保费</w:t>
                  </w:r>
                </w:p>
                <w:p>
                  <w:pPr>
                    <w:pStyle w:val="null3"/>
                    <w:jc w:val="center"/>
                  </w:pPr>
                  <w:r>
                    <w:rPr>
                      <w:sz w:val="24"/>
                      <w:b/>
                    </w:rPr>
                    <w:t>（万元）</w:t>
                  </w:r>
                </w:p>
              </w:tc>
              <w:tc>
                <w:tcPr>
                  <w:tcW w:type="dxa" w:w="1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台风保险金额</w:t>
                  </w:r>
                </w:p>
                <w:p>
                  <w:pPr>
                    <w:pStyle w:val="null3"/>
                    <w:jc w:val="center"/>
                  </w:pPr>
                  <w:r>
                    <w:rPr>
                      <w:sz w:val="24"/>
                      <w:b/>
                    </w:rPr>
                    <w:t>（万元）</w:t>
                  </w:r>
                </w:p>
              </w:tc>
              <w:tc>
                <w:tcPr>
                  <w:tcW w:type="dxa" w:w="20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台风投保系数（</w:t>
                  </w:r>
                  <w:r>
                    <w:rPr>
                      <w:sz w:val="24"/>
                      <w:b/>
                      <w:i/>
                    </w:rPr>
                    <w:t>λ</w:t>
                  </w:r>
                  <w:r>
                    <w:rPr>
                      <w:sz w:val="24"/>
                      <w:b/>
                    </w:rPr>
                    <w:t>）</w:t>
                  </w:r>
                  <w:r>
                    <w:rPr>
                      <w:sz w:val="24"/>
                      <w:b/>
                      <w:vertAlign w:val="superscript"/>
                    </w:rPr>
                    <w:t>*</w:t>
                  </w:r>
                </w:p>
                <w:p>
                  <w:pPr>
                    <w:pStyle w:val="null3"/>
                    <w:jc w:val="center"/>
                  </w:pPr>
                  <w:r>
                    <w:rPr>
                      <w:sz w:val="24"/>
                      <w:b/>
                    </w:rPr>
                    <w:t>（</w:t>
                  </w:r>
                  <w:r>
                    <w:rPr>
                      <w:sz w:val="24"/>
                      <w:b/>
                    </w:rPr>
                    <w:t>I</w:t>
                  </w:r>
                  <w:r>
                    <w:rPr>
                      <w:sz w:val="24"/>
                      <w:b/>
                    </w:rPr>
                    <w:t>：台风实际保费）</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1125</w:t>
                  </w:r>
                </w:p>
              </w:tc>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i/>
                    </w:rPr>
                    <w:t>λ</w:t>
                  </w:r>
                  <w:r>
                    <w:rPr>
                      <w:sz w:val="24"/>
                    </w:rPr>
                    <w:t>×13000</w:t>
                  </w:r>
                </w:p>
              </w:tc>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1.125</w:t>
                  </w:r>
                </w:p>
              </w:tc>
            </w:tr>
          </w:tbl>
          <w:p>
            <w:pPr>
              <w:pStyle w:val="null3"/>
              <w:ind w:firstLine="480"/>
              <w:jc w:val="both"/>
            </w:pPr>
            <w:r>
              <w:rPr>
                <w:sz w:val="24"/>
              </w:rPr>
              <w:t>*</w:t>
            </w:r>
            <w:r>
              <w:rPr>
                <w:sz w:val="24"/>
              </w:rPr>
              <w:t>台风投保系数：台风实际保费</w:t>
            </w:r>
            <w:r>
              <w:rPr>
                <w:sz w:val="24"/>
              </w:rPr>
              <w:t>/</w:t>
            </w:r>
            <w:r>
              <w:rPr>
                <w:sz w:val="24"/>
              </w:rPr>
              <w:t>台风保费标准值；</w:t>
            </w:r>
          </w:p>
          <w:p>
            <w:pPr>
              <w:pStyle w:val="null3"/>
              <w:ind w:firstLine="480"/>
              <w:jc w:val="both"/>
            </w:pPr>
            <w:r>
              <w:rPr>
                <w:sz w:val="24"/>
              </w:rPr>
              <w:t>**I</w:t>
            </w:r>
            <w:r>
              <w:rPr>
                <w:sz w:val="24"/>
              </w:rPr>
              <w:t>：台风实际保费</w:t>
            </w:r>
            <w:r>
              <w:rPr>
                <w:sz w:val="24"/>
              </w:rPr>
              <w:t>=</w:t>
            </w:r>
            <w:r>
              <w:rPr>
                <w:sz w:val="24"/>
              </w:rPr>
              <w:t>1125</w:t>
            </w:r>
            <w:r>
              <w:rPr>
                <w:sz w:val="24"/>
              </w:rPr>
              <w:t>万元。</w:t>
            </w:r>
          </w:p>
          <w:p>
            <w:pPr>
              <w:pStyle w:val="null3"/>
              <w:jc w:val="center"/>
            </w:pPr>
            <w:r>
              <w:rPr>
                <w:sz w:val="24"/>
                <w:b/>
              </w:rPr>
              <w:t>表</w:t>
            </w:r>
            <w:r>
              <w:rPr>
                <w:sz w:val="24"/>
                <w:b/>
              </w:rPr>
              <w:t xml:space="preserve">2.4 </w:t>
            </w:r>
            <w:r>
              <w:rPr>
                <w:sz w:val="24"/>
                <w:b/>
              </w:rPr>
              <w:t>台风赔付结构表</w:t>
            </w:r>
          </w:p>
          <w:tbl>
            <w:tblPr>
              <w:tblBorders>
                <w:top w:val="none" w:color="000000" w:sz="4"/>
                <w:left w:val="none" w:color="000000" w:sz="4"/>
                <w:bottom w:val="none" w:color="000000" w:sz="4"/>
                <w:right w:val="none" w:color="000000" w:sz="4"/>
                <w:insideH w:val="none"/>
                <w:insideV w:val="none"/>
              </w:tblBorders>
            </w:tblPr>
            <w:tblGrid>
              <w:gridCol w:w="3196"/>
              <w:gridCol w:w="2400"/>
            </w:tblGrid>
            <w:tr>
              <w:tc>
                <w:tcPr>
                  <w:tcW w:type="dxa" w:w="3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成灾指数（</w:t>
                  </w:r>
                  <w:r>
                    <w:rPr>
                      <w:sz w:val="24"/>
                      <w:b/>
                    </w:rPr>
                    <w:t>x</w:t>
                  </w:r>
                  <w:r>
                    <w:rPr>
                      <w:sz w:val="24"/>
                      <w:b/>
                    </w:rPr>
                    <w:t>）</w:t>
                  </w:r>
                  <w:r>
                    <w:rPr>
                      <w:sz w:val="24"/>
                      <w:b/>
                    </w:rPr>
                    <w:t>(</w:t>
                  </w:r>
                  <w:r>
                    <w:rPr>
                      <w:sz w:val="24"/>
                      <w:b/>
                    </w:rPr>
                    <w:t>起赔点</w:t>
                  </w:r>
                  <w:r>
                    <w:rPr>
                      <w:sz w:val="24"/>
                      <w:b/>
                    </w:rPr>
                    <w:t>&lt;</w:t>
                  </w:r>
                  <w:r>
                    <w:rPr>
                      <w:sz w:val="24"/>
                      <w:b/>
                    </w:rPr>
                    <w:t>成灾指数</w:t>
                  </w:r>
                  <w:r>
                    <w:rPr>
                      <w:sz w:val="24"/>
                      <w:b/>
                    </w:rPr>
                    <w:t>≤</w:t>
                  </w:r>
                  <w:r>
                    <w:rPr>
                      <w:sz w:val="24"/>
                      <w:b/>
                    </w:rPr>
                    <w:t>赔付上限点</w:t>
                  </w:r>
                  <w:r>
                    <w:rPr>
                      <w:sz w:val="24"/>
                      <w:b/>
                    </w:rPr>
                    <w:t>)</w:t>
                  </w:r>
                </w:p>
              </w:tc>
              <w:tc>
                <w:tcPr>
                  <w:tcW w:type="dxa" w:w="2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保险分段赔付金额（单位：万元）</w:t>
                  </w:r>
                </w:p>
                <w:p>
                  <w:pPr>
                    <w:pStyle w:val="null3"/>
                    <w:jc w:val="center"/>
                  </w:pPr>
                  <w:r>
                    <w:rPr>
                      <w:sz w:val="24"/>
                      <w:b/>
                    </w:rPr>
                    <w:t>（起赔额～赔付额上限）</w:t>
                  </w:r>
                </w:p>
              </w:tc>
            </w:tr>
            <w:tr>
              <w:tc>
                <w:tcPr>
                  <w:tcW w:type="dxa" w:w="3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0%&lt;x≤10%</w:t>
                  </w:r>
                  <w:r>
                    <w:rPr>
                      <w:sz w:val="24"/>
                    </w:rPr>
                    <w:t>（每年限赔付</w:t>
                  </w:r>
                  <w:r>
                    <w:rPr>
                      <w:sz w:val="24"/>
                    </w:rPr>
                    <w:t>1</w:t>
                  </w:r>
                  <w:r>
                    <w:rPr>
                      <w:sz w:val="24"/>
                    </w:rPr>
                    <w:t>次）</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w:t>
                  </w:r>
                </w:p>
              </w:tc>
            </w:tr>
            <w:tr>
              <w:tc>
                <w:tcPr>
                  <w:tcW w:type="dxa" w:w="3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10%&lt;x≤30%</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w:t>
                  </w:r>
                  <w:r>
                    <w:rPr>
                      <w:sz w:val="24"/>
                    </w:rPr>
                    <w:t>～</w:t>
                  </w:r>
                  <w:r>
                    <w:rPr>
                      <w:sz w:val="24"/>
                    </w:rPr>
                    <w:t>520</w:t>
                  </w:r>
                </w:p>
              </w:tc>
            </w:tr>
            <w:tr>
              <w:tc>
                <w:tcPr>
                  <w:tcW w:type="dxa" w:w="3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30%&lt;x≤60%</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520</w:t>
                  </w:r>
                  <w:r>
                    <w:rPr>
                      <w:sz w:val="24"/>
                    </w:rPr>
                    <w:t>～</w:t>
                  </w:r>
                  <w:r>
                    <w:rPr>
                      <w:sz w:val="24"/>
                    </w:rPr>
                    <w:t>3000</w:t>
                  </w:r>
                </w:p>
              </w:tc>
            </w:tr>
            <w:tr>
              <w:tc>
                <w:tcPr>
                  <w:tcW w:type="dxa" w:w="3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60%&lt;x≤80%</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w:t>
                  </w:r>
                  <w:r>
                    <w:rPr>
                      <w:sz w:val="24"/>
                    </w:rPr>
                    <w:t>～</w:t>
                  </w:r>
                  <w:r>
                    <w:rPr>
                      <w:sz w:val="24"/>
                    </w:rPr>
                    <w:t>6200</w:t>
                  </w:r>
                </w:p>
              </w:tc>
            </w:tr>
            <w:tr>
              <w:tc>
                <w:tcPr>
                  <w:tcW w:type="dxa" w:w="3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80%&lt;x≤90%</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6200</w:t>
                  </w:r>
                  <w:r>
                    <w:rPr>
                      <w:sz w:val="24"/>
                    </w:rPr>
                    <w:t>～</w:t>
                  </w:r>
                  <w:r>
                    <w:rPr>
                      <w:sz w:val="24"/>
                    </w:rPr>
                    <w:t>8000</w:t>
                  </w:r>
                </w:p>
              </w:tc>
            </w:tr>
            <w:tr>
              <w:tc>
                <w:tcPr>
                  <w:tcW w:type="dxa" w:w="3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90%&lt;x≤100%</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w:t>
                  </w:r>
                  <w:r>
                    <w:rPr>
                      <w:sz w:val="24"/>
                    </w:rPr>
                    <w:t>～</w:t>
                  </w:r>
                  <w:r>
                    <w:rPr>
                      <w:sz w:val="24"/>
                    </w:rPr>
                    <w:t>13000</w:t>
                  </w:r>
                </w:p>
              </w:tc>
            </w:tr>
            <w:tr>
              <w:tc>
                <w:tcPr>
                  <w:tcW w:type="dxa" w:w="3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每次事故及年度累计赔付限额</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13000</w:t>
                  </w:r>
                </w:p>
              </w:tc>
            </w:tr>
          </w:tbl>
          <w:p>
            <w:pPr>
              <w:pStyle w:val="null3"/>
              <w:ind w:firstLine="482"/>
              <w:jc w:val="both"/>
            </w:pPr>
            <w:r>
              <w:rPr>
                <w:sz w:val="24"/>
                <w:b/>
              </w:rPr>
              <w:t>10.</w:t>
            </w:r>
            <w:r>
              <w:rPr>
                <w:sz w:val="24"/>
                <w:b/>
              </w:rPr>
              <w:t>事件赔付算法</w:t>
            </w:r>
          </w:p>
          <w:p>
            <w:pPr>
              <w:pStyle w:val="null3"/>
              <w:ind w:firstLine="480"/>
              <w:jc w:val="both"/>
            </w:pPr>
            <w:r>
              <w:rPr>
                <w:sz w:val="24"/>
              </w:rPr>
              <w:t>在一次台风事件中</w:t>
            </w:r>
            <w:r>
              <w:rPr>
                <w:sz w:val="24"/>
              </w:rPr>
              <w:t>：</w:t>
            </w:r>
          </w:p>
          <w:p>
            <w:pPr>
              <w:pStyle w:val="null3"/>
              <w:ind w:firstLine="480"/>
              <w:jc w:val="both"/>
            </w:pPr>
            <w:r>
              <w:rPr>
                <w:sz w:val="24"/>
              </w:rPr>
              <w:t>（</w:t>
            </w:r>
            <w:r>
              <w:rPr>
                <w:sz w:val="24"/>
              </w:rPr>
              <w:t>1</w:t>
            </w:r>
            <w:r>
              <w:rPr>
                <w:sz w:val="24"/>
              </w:rPr>
              <w:t>）若成灾指数小于或等于</w:t>
            </w:r>
            <w:r>
              <w:rPr>
                <w:sz w:val="24"/>
              </w:rPr>
              <w:t>10%</w:t>
            </w:r>
            <w:r>
              <w:rPr>
                <w:sz w:val="24"/>
              </w:rPr>
              <w:t>，定额赔付</w:t>
            </w:r>
            <w:r>
              <w:rPr>
                <w:sz w:val="24"/>
              </w:rPr>
              <w:t>250</w:t>
            </w:r>
            <w:r>
              <w:rPr>
                <w:sz w:val="24"/>
              </w:rPr>
              <w:t>万元乘以台风投保系数（</w:t>
            </w:r>
            <w:r>
              <w:rPr>
                <w:sz w:val="24"/>
                <w:i/>
              </w:rPr>
              <w:t>λ</w:t>
            </w:r>
            <w:r>
              <w:rPr>
                <w:sz w:val="24"/>
              </w:rPr>
              <w:t>），每年限赔付一次。但在本保险合同年度内如之前已发生赔付（无论是该层指数或其他层指数下赔付），本层不再赔付。</w:t>
            </w:r>
          </w:p>
          <w:p>
            <w:pPr>
              <w:pStyle w:val="null3"/>
              <w:ind w:firstLine="480"/>
              <w:jc w:val="both"/>
            </w:pPr>
            <w:r>
              <w:rPr>
                <w:sz w:val="24"/>
              </w:rPr>
              <w:t>（</w:t>
            </w:r>
            <w:r>
              <w:rPr>
                <w:sz w:val="24"/>
              </w:rPr>
              <w:t>2</w:t>
            </w:r>
            <w:r>
              <w:rPr>
                <w:sz w:val="24"/>
              </w:rPr>
              <w:t>）若成灾指数大于</w:t>
            </w:r>
            <w:r>
              <w:rPr>
                <w:sz w:val="24"/>
              </w:rPr>
              <w:t>10%</w:t>
            </w:r>
            <w:r>
              <w:rPr>
                <w:sz w:val="24"/>
              </w:rPr>
              <w:t>且小于或等于</w:t>
            </w:r>
            <w:r>
              <w:rPr>
                <w:sz w:val="24"/>
              </w:rPr>
              <w:t>100%</w:t>
            </w:r>
            <w:r>
              <w:rPr>
                <w:sz w:val="24"/>
              </w:rPr>
              <w:t>，则按以下公式计算赔付金额。如之前已发生上述第</w:t>
            </w:r>
            <w:r>
              <w:rPr>
                <w:sz w:val="24"/>
              </w:rPr>
              <w:t>1</w:t>
            </w:r>
            <w:r>
              <w:rPr>
                <w:sz w:val="24"/>
              </w:rPr>
              <w:t>点项下定额赔付，则本次赔付金额计算应扣减</w:t>
            </w:r>
            <w:r>
              <w:rPr>
                <w:sz w:val="24"/>
              </w:rPr>
              <w:t>250</w:t>
            </w:r>
            <w:r>
              <w:rPr>
                <w:sz w:val="24"/>
              </w:rPr>
              <w:t>万元乘以台风投保系数（</w:t>
            </w:r>
            <w:r>
              <w:rPr>
                <w:sz w:val="24"/>
                <w:i/>
              </w:rPr>
              <w:t>λ</w:t>
            </w:r>
            <w:r>
              <w:rPr>
                <w:sz w:val="24"/>
              </w:rPr>
              <w:t>）；该扣减项计算一次，一次后赔付金额计算时不再扣减。</w:t>
            </w:r>
          </w:p>
          <w:p>
            <w:pPr>
              <w:pStyle w:val="null3"/>
              <w:ind w:firstLine="480"/>
              <w:jc w:val="both"/>
            </w:pPr>
            <w:r>
              <w:rPr>
                <w:sz w:val="24"/>
              </w:rPr>
              <w:t>实际每次事故赔偿金额</w:t>
            </w:r>
            <w:r>
              <w:rPr>
                <w:sz w:val="24"/>
              </w:rPr>
              <w:t>={</w:t>
            </w:r>
            <w:r>
              <w:rPr>
                <w:sz w:val="24"/>
              </w:rPr>
              <w:t>（成灾指数</w:t>
            </w:r>
            <w:r>
              <w:rPr>
                <w:sz w:val="24"/>
              </w:rPr>
              <w:t>–</w:t>
            </w:r>
            <w:r>
              <w:rPr>
                <w:sz w:val="24"/>
              </w:rPr>
              <w:t>适用的最高层分段起赔点）</w:t>
            </w:r>
            <w:r>
              <w:rPr>
                <w:sz w:val="24"/>
              </w:rPr>
              <w:t>/</w:t>
            </w:r>
            <w:r>
              <w:rPr>
                <w:sz w:val="24"/>
              </w:rPr>
              <w:t>（适用的最高层分段赔付上限点</w:t>
            </w:r>
            <w:r>
              <w:rPr>
                <w:sz w:val="24"/>
              </w:rPr>
              <w:t>–</w:t>
            </w:r>
            <w:r>
              <w:rPr>
                <w:sz w:val="24"/>
              </w:rPr>
              <w:t>适用的最高层分段起赔点）</w:t>
            </w:r>
            <w:r>
              <w:rPr>
                <w:sz w:val="24"/>
              </w:rPr>
              <w:t>×</w:t>
            </w:r>
            <w:r>
              <w:rPr>
                <w:sz w:val="24"/>
              </w:rPr>
              <w:t>（适用的最高层分段赔付额上限</w:t>
            </w:r>
            <w:r>
              <w:rPr>
                <w:sz w:val="24"/>
              </w:rPr>
              <w:t>–</w:t>
            </w:r>
            <w:r>
              <w:rPr>
                <w:sz w:val="24"/>
              </w:rPr>
              <w:t>适用的最高层分段起赔额）</w:t>
            </w:r>
            <w:r>
              <w:rPr>
                <w:sz w:val="24"/>
              </w:rPr>
              <w:t>+</w:t>
            </w:r>
            <w:r>
              <w:rPr>
                <w:sz w:val="24"/>
              </w:rPr>
              <w:t>适用的最高层分段起赔额</w:t>
            </w:r>
            <w:r>
              <w:rPr>
                <w:sz w:val="24"/>
              </w:rPr>
              <w:t>}×</w:t>
            </w:r>
            <w:r>
              <w:rPr>
                <w:sz w:val="24"/>
              </w:rPr>
              <w:t>台风投保系数（</w:t>
            </w:r>
            <w:r>
              <w:rPr>
                <w:sz w:val="24"/>
                <w:i/>
              </w:rPr>
              <w:t>λ</w:t>
            </w:r>
            <w:r>
              <w:rPr>
                <w:sz w:val="24"/>
              </w:rPr>
              <w:t>）。</w:t>
            </w:r>
          </w:p>
          <w:p>
            <w:pPr>
              <w:pStyle w:val="null3"/>
              <w:ind w:firstLine="480"/>
              <w:jc w:val="both"/>
            </w:pPr>
            <w:r>
              <w:rPr>
                <w:sz w:val="24"/>
              </w:rPr>
              <w:t>实际每次事故及年度累计赔付限额</w:t>
            </w:r>
            <w:r>
              <w:rPr>
                <w:sz w:val="24"/>
              </w:rPr>
              <w:t>=</w:t>
            </w:r>
            <w:r>
              <w:rPr>
                <w:sz w:val="24"/>
              </w:rPr>
              <w:t>每次事故及年度累计赔付限额</w:t>
            </w:r>
            <w:r>
              <w:rPr>
                <w:sz w:val="24"/>
              </w:rPr>
              <w:t>×</w:t>
            </w:r>
            <w:r>
              <w:rPr>
                <w:sz w:val="24"/>
              </w:rPr>
              <w:t>台风投保系数（</w:t>
            </w:r>
            <w:r>
              <w:rPr>
                <w:sz w:val="24"/>
              </w:rPr>
              <w:t>λ</w:t>
            </w:r>
            <w:r>
              <w:rPr>
                <w:sz w:val="24"/>
              </w:rPr>
              <w:t>）。</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tc>
        <w:tc>
          <w:tcPr>
            <w:tcW w:type="dxa" w:w="415"/>
          </w:tcPr>
          <w:p>
            <w:pPr>
              <w:pStyle w:val="null3"/>
            </w:pPr>
            <w:r>
              <w:rPr/>
              <w:t>3</w:t>
            </w:r>
          </w:p>
        </w:tc>
        <w:tc>
          <w:tcPr>
            <w:tcW w:type="dxa" w:w="5814"/>
          </w:tcPr>
          <w:p>
            <w:pPr>
              <w:pStyle w:val="null3"/>
              <w:jc w:val="both"/>
            </w:pPr>
            <w:r>
              <w:rPr>
                <w:sz w:val="24"/>
                <w:b/>
              </w:rPr>
              <w:t>三、附表相关信息</w:t>
            </w:r>
          </w:p>
          <w:p>
            <w:pPr>
              <w:pStyle w:val="null3"/>
              <w:ind w:firstLine="482"/>
              <w:jc w:val="both"/>
            </w:pPr>
            <w:r>
              <w:rPr>
                <w:sz w:val="24"/>
                <w:b/>
              </w:rPr>
              <w:t>（</w:t>
            </w:r>
            <w:r>
              <w:rPr>
                <w:sz w:val="24"/>
                <w:b/>
              </w:rPr>
              <w:t>一</w:t>
            </w:r>
            <w:r>
              <w:rPr>
                <w:sz w:val="24"/>
                <w:b/>
              </w:rPr>
              <w:t>）</w:t>
            </w:r>
            <w:r>
              <w:rPr>
                <w:sz w:val="24"/>
                <w:b/>
              </w:rPr>
              <w:t>附表</w:t>
            </w:r>
          </w:p>
          <w:p>
            <w:pPr>
              <w:pStyle w:val="null3"/>
              <w:jc w:val="center"/>
            </w:pPr>
            <w:r>
              <w:rPr>
                <w:sz w:val="24"/>
                <w:b/>
              </w:rPr>
              <w:t>附表</w:t>
            </w:r>
            <w:r>
              <w:rPr>
                <w:sz w:val="24"/>
                <w:b/>
              </w:rPr>
              <w:t>1</w:t>
            </w:r>
            <w:r>
              <w:rPr>
                <w:sz w:val="24"/>
                <w:b/>
              </w:rPr>
              <w:t>：</w:t>
            </w:r>
            <w:r>
              <w:rPr>
                <w:sz w:val="24"/>
                <w:b/>
              </w:rPr>
              <w:t>中山</w:t>
            </w:r>
            <w:r>
              <w:rPr>
                <w:sz w:val="24"/>
                <w:b/>
              </w:rPr>
              <w:t>强降雨保险方案有效观测站点及权重表</w:t>
            </w:r>
          </w:p>
          <w:tbl>
            <w:tblPr>
              <w:tblBorders>
                <w:top w:val="none" w:color="000000" w:sz="4"/>
                <w:left w:val="none" w:color="000000" w:sz="4"/>
                <w:bottom w:val="none" w:color="000000" w:sz="4"/>
                <w:right w:val="none" w:color="000000" w:sz="4"/>
                <w:insideH w:val="none"/>
                <w:insideV w:val="none"/>
              </w:tblBorders>
            </w:tblPr>
            <w:tblGrid>
              <w:gridCol w:w="560"/>
              <w:gridCol w:w="698"/>
              <w:gridCol w:w="558"/>
              <w:gridCol w:w="750"/>
              <w:gridCol w:w="1137"/>
              <w:gridCol w:w="946"/>
              <w:gridCol w:w="946"/>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站号</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地</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区县</w:t>
                  </w:r>
                </w:p>
              </w:tc>
              <w:tc>
                <w:tcPr>
                  <w:tcW w:type="dxa" w:w="1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站点归属</w:t>
                  </w:r>
                </w:p>
                <w:p>
                  <w:pPr>
                    <w:pStyle w:val="null3"/>
                    <w:jc w:val="center"/>
                  </w:pPr>
                  <w:r>
                    <w:rPr>
                      <w:sz w:val="24"/>
                      <w:b/>
                    </w:rPr>
                    <w:t>（乡镇）</w:t>
                  </w:r>
                </w:p>
              </w:tc>
              <w:tc>
                <w:tcPr>
                  <w:tcW w:type="dxa" w:w="9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受灾阈值</w:t>
                  </w:r>
                </w:p>
                <w:p>
                  <w:pPr>
                    <w:pStyle w:val="null3"/>
                    <w:jc w:val="center"/>
                  </w:pPr>
                  <w:r>
                    <w:rPr>
                      <w:sz w:val="24"/>
                      <w:b/>
                    </w:rPr>
                    <w:t>（毫米）</w:t>
                  </w:r>
                </w:p>
              </w:tc>
              <w:tc>
                <w:tcPr>
                  <w:tcW w:type="dxa" w:w="9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站点权重</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小榄镇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3.5716%</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G2026</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东区街道</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3.5716%</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G2023</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中山港街道</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3.5716%</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G2022</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三角镇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3.5716%</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古镇镇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横栏镇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G2019</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大涌镇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G2017</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神湾镇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G2016</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港口镇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G2015</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阜沙镇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G2014</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黄圃镇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G2013</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南头镇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G2012</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东凤镇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三乡镇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G2009</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东区街道</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G2008</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中山港街道</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G2007</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西区街道</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G2006</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民众街道</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59485</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东区街道</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G2024</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南区街道</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G2018</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板芙镇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小榄镇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G2002</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沙溪镇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G2005</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南朗街道</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G2004</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五桂山街道</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G2003</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坦洲镇</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G2028</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南朗街道</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G2027</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五桂山街道</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3.5714%</w:t>
                  </w:r>
                </w:p>
              </w:tc>
            </w:tr>
          </w:tbl>
          <w:p>
            <w:pPr>
              <w:pStyle w:val="null3"/>
              <w:jc w:val="center"/>
            </w:pPr>
            <w:r>
              <w:rPr>
                <w:sz w:val="24"/>
                <w:b/>
              </w:rPr>
              <w:t>附表</w:t>
            </w:r>
            <w:r>
              <w:rPr>
                <w:sz w:val="24"/>
                <w:b/>
              </w:rPr>
              <w:t>2</w:t>
            </w:r>
            <w:r>
              <w:rPr>
                <w:sz w:val="24"/>
                <w:b/>
              </w:rPr>
              <w:t>：中山强降雨保险方案有效观测站重现期及重现水平</w:t>
            </w:r>
          </w:p>
          <w:tbl>
            <w:tblPr>
              <w:tblBorders>
                <w:top w:val="none" w:color="000000" w:sz="4"/>
                <w:left w:val="none" w:color="000000" w:sz="4"/>
                <w:bottom w:val="none" w:color="000000" w:sz="4"/>
                <w:right w:val="none" w:color="000000" w:sz="4"/>
                <w:insideH w:val="none"/>
                <w:insideV w:val="none"/>
              </w:tblBorders>
            </w:tblPr>
            <w:tblGrid>
              <w:gridCol w:w="487"/>
              <w:gridCol w:w="608"/>
              <w:gridCol w:w="402"/>
              <w:gridCol w:w="402"/>
              <w:gridCol w:w="402"/>
              <w:gridCol w:w="402"/>
              <w:gridCol w:w="440"/>
              <w:gridCol w:w="440"/>
              <w:gridCol w:w="440"/>
              <w:gridCol w:w="523"/>
              <w:gridCol w:w="523"/>
              <w:gridCol w:w="523"/>
            </w:tblGrid>
            <w:tr>
              <w:tc>
                <w:tcPr>
                  <w:tcW w:type="dxa" w:w="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站号</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Y2</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Y3</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Y5</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Y8</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Y10</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Y20</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Y50</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Y100</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Y200</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Y250</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318</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437</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487</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537</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356</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377</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443</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527</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653</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673</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298</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316</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443</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497</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567</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296</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314</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369</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494</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547</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296</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348</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467</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518</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534</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314</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333</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465</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521</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576</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594</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338</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359</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502</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562</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622</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642</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368</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389</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531</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591</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670</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277</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411</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461</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526</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299</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317</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373</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444</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498</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551</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569</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265</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401</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501</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517</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347</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389</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432</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445</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389</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465</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522</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578</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596</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425</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499</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667</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738</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761</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326</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453</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507</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561</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578</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297</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317</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377</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454</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512</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569</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588</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337</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493</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607</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626</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274</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289</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338</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446</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493</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508</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59485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316</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333</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384</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549</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565</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365</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427</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508</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569</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629</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648</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387</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515</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587</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436</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544</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561</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333</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485</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541</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597</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615</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336</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419</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498</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558</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618</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637</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386</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408</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477</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566</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633</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699</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721</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428</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524</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617</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688</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758</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780</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297</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349</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401</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439</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478</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w:t>
                  </w:r>
                </w:p>
              </w:tc>
            </w:tr>
            <w:tr>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414</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495</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556</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616</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635</w:t>
                  </w:r>
                </w:p>
              </w:tc>
            </w:tr>
          </w:tbl>
          <w:p>
            <w:pPr>
              <w:pStyle w:val="null3"/>
              <w:jc w:val="center"/>
            </w:pPr>
            <w:r>
              <w:rPr>
                <w:sz w:val="24"/>
                <w:b/>
              </w:rPr>
              <w:t>附表</w:t>
            </w:r>
            <w:r>
              <w:rPr>
                <w:sz w:val="24"/>
                <w:b/>
              </w:rPr>
              <w:t>3</w:t>
            </w:r>
            <w:r>
              <w:rPr>
                <w:sz w:val="24"/>
                <w:b/>
              </w:rPr>
              <w:t>：中山台风保险方案有效观测站点列表</w:t>
            </w:r>
          </w:p>
          <w:tbl>
            <w:tblPr>
              <w:tblBorders>
                <w:top w:val="none" w:color="000000" w:sz="4"/>
                <w:left w:val="none" w:color="000000" w:sz="4"/>
                <w:bottom w:val="none" w:color="000000" w:sz="4"/>
                <w:right w:val="none" w:color="000000" w:sz="4"/>
                <w:insideH w:val="none"/>
                <w:insideV w:val="none"/>
              </w:tblBorders>
            </w:tblPr>
            <w:tblGrid>
              <w:gridCol w:w="554"/>
              <w:gridCol w:w="691"/>
              <w:gridCol w:w="553"/>
              <w:gridCol w:w="743"/>
              <w:gridCol w:w="1125"/>
              <w:gridCol w:w="991"/>
              <w:gridCol w:w="937"/>
            </w:tblGrid>
            <w:tr>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站号</w:t>
                  </w:r>
                </w:p>
              </w:tc>
              <w:tc>
                <w:tcPr>
                  <w:tcW w:type="dxa" w:w="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地</w:t>
                  </w:r>
                </w:p>
              </w:tc>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区县</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站点归属</w:t>
                  </w:r>
                </w:p>
                <w:p>
                  <w:pPr>
                    <w:pStyle w:val="null3"/>
                    <w:jc w:val="center"/>
                  </w:pPr>
                  <w:r>
                    <w:rPr>
                      <w:sz w:val="24"/>
                      <w:b/>
                    </w:rPr>
                    <w:t>（乡镇）</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受灾阈值</w:t>
                  </w:r>
                </w:p>
                <w:p>
                  <w:pPr>
                    <w:pStyle w:val="null3"/>
                    <w:jc w:val="center"/>
                  </w:pPr>
                  <w:r>
                    <w:rPr>
                      <w:sz w:val="24"/>
                      <w:b/>
                    </w:rPr>
                    <w:t>（米</w:t>
                  </w:r>
                  <w:r>
                    <w:rPr>
                      <w:sz w:val="24"/>
                      <w:b/>
                    </w:rPr>
                    <w:t>/</w:t>
                  </w:r>
                  <w:r>
                    <w:rPr>
                      <w:sz w:val="24"/>
                      <w:b/>
                    </w:rPr>
                    <w:t>秒）</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站点权重</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59485</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东区街道</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4.1665%</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2</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G2001</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小榄镇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4.1665%</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3</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G2002</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沙溪镇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4.1665%</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4</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G2003</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坦洲镇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4.1665%</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5</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G2004</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五桂山街道</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6</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G2005</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南朗街道</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7</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G2006</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民众街道</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8</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G2007</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西区街道</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9</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G2008</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中山港街道</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10</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G2009</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东区街道</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11</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G2010</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三乡镇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12</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G2011</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小榄镇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13</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G2014</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黄圃镇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14</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G2015</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阜沙镇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15</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G2016</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港口镇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16</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G2017</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神湾镇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17</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G2018</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板芙镇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18</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G2019</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大涌镇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19</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G2020</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横栏镇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20</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G2021</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古镇镇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21</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G2022</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三角镇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22</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G2023</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中山港街道</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23</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G2024</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南区街道</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G2026</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中山市</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东区街道</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4.1667%</w:t>
                  </w:r>
                </w:p>
              </w:tc>
            </w:tr>
          </w:tbl>
          <w:p>
            <w:pPr>
              <w:pStyle w:val="null3"/>
              <w:jc w:val="center"/>
            </w:pPr>
            <w:r>
              <w:rPr>
                <w:sz w:val="24"/>
                <w:b/>
              </w:rPr>
              <w:t>附表</w:t>
            </w:r>
            <w:r>
              <w:rPr>
                <w:sz w:val="24"/>
                <w:b/>
              </w:rPr>
              <w:t>4</w:t>
            </w:r>
            <w:r>
              <w:rPr>
                <w:sz w:val="24"/>
                <w:b/>
              </w:rPr>
              <w:t>：中山台风保险方案有效观测站重现期及重现水平</w:t>
            </w:r>
          </w:p>
          <w:tbl>
            <w:tblPr>
              <w:tblBorders>
                <w:top w:val="none" w:color="000000" w:sz="4"/>
                <w:left w:val="none" w:color="000000" w:sz="4"/>
                <w:bottom w:val="none" w:color="000000" w:sz="4"/>
                <w:right w:val="none" w:color="000000" w:sz="4"/>
                <w:insideH w:val="none"/>
                <w:insideV w:val="none"/>
              </w:tblBorders>
            </w:tblPr>
            <w:tblGrid>
              <w:gridCol w:w="381"/>
              <w:gridCol w:w="598"/>
              <w:gridCol w:w="438"/>
              <w:gridCol w:w="438"/>
              <w:gridCol w:w="438"/>
              <w:gridCol w:w="438"/>
              <w:gridCol w:w="438"/>
              <w:gridCol w:w="438"/>
              <w:gridCol w:w="438"/>
              <w:gridCol w:w="517"/>
              <w:gridCol w:w="517"/>
              <w:gridCol w:w="517"/>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站号</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Y2</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Y3</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Y5</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Y8</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Y10</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Y20</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Y50</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Y100</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Y200</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Y250</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59485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33.9</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40.9</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2</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40.3</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43.6</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44.6</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3</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29.8</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32.3</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34.7</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35.5</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4</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38.4</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41.5</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42.5</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5</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29.9</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32.7</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35.5</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36.3</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6</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30.3</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32.6</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34.8</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35.6</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7</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32.3</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34.6</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8</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34.8</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37.4</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38.2</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9</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29.7</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31.9</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34.9</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10</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G2009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36.8</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11</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35.6</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39.4</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44.4</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12</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27.7</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32.3</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33.0</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13</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33.7</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14</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28.8</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31.8</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34.8</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15</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31.8</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34.9</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16</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51.4</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60.7</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62.2</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17</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35.9</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38.7</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39.6</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18</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G2019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34.0</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40.9</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19</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27.3</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31.5</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32.2</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20</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34.2</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21</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31.7</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22</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34.0</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36.7</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37.5</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rPr>
                    <w:t>23</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30.4</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G2026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32.3</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37.8</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38.7</w:t>
                  </w:r>
                </w:p>
              </w:tc>
            </w:tr>
          </w:tbl>
          <w:p>
            <w:pPr>
              <w:pStyle w:val="null3"/>
            </w:pPr>
            <w:r>
              <w:rPr/>
              <w:t xml:space="preserve"> </w:t>
            </w:r>
            <w:r>
              <w:drawing>
                <wp:inline distT="0" distR="0" distB="0" distL="0">
                  <wp:extent cx="3554730" cy="393167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3931674"/>
                          </a:xfrm>
                          <a:prstGeom prst="rect">
                            <a:avLst/>
                          </a:prstGeom>
                        </pic:spPr>
                      </pic:pic>
                    </a:graphicData>
                  </a:graphic>
                </wp:inline>
              </w:drawing>
            </w:r>
          </w:p>
          <w:p>
            <w:pPr>
              <w:pStyle w:val="null3"/>
              <w:ind w:firstLine="482"/>
              <w:jc w:val="both"/>
            </w:pPr>
            <w:r>
              <w:rPr/>
              <w:t xml:space="preserve"> </w:t>
            </w:r>
          </w:p>
        </w:tc>
      </w:tr>
      <w:tr>
        <w:tc>
          <w:tcPr>
            <w:tcW w:type="dxa" w:w="2076"/>
          </w:tcPr>
          <w:p/>
        </w:tc>
        <w:tc>
          <w:tcPr>
            <w:tcW w:type="dxa" w:w="415"/>
          </w:tcPr>
          <w:p>
            <w:pPr>
              <w:pStyle w:val="null3"/>
            </w:pPr>
            <w:r>
              <w:rPr/>
              <w:t>4</w:t>
            </w:r>
          </w:p>
        </w:tc>
        <w:tc>
          <w:tcPr>
            <w:tcW w:type="dxa" w:w="5814"/>
          </w:tcPr>
          <w:p>
            <w:pPr>
              <w:pStyle w:val="null3"/>
              <w:jc w:val="both"/>
            </w:pPr>
            <w:r>
              <w:rPr>
                <w:sz w:val="24"/>
                <w:b/>
              </w:rPr>
              <w:t>四、其他要求</w:t>
            </w:r>
          </w:p>
          <w:p>
            <w:pPr>
              <w:pStyle w:val="null3"/>
              <w:ind w:firstLine="480"/>
              <w:jc w:val="both"/>
            </w:pPr>
            <w:r>
              <w:rPr>
                <w:sz w:val="24"/>
              </w:rPr>
              <w:t>1.</w:t>
            </w:r>
            <w:r>
              <w:rPr>
                <w:sz w:val="24"/>
              </w:rPr>
              <w:t>鉴于本项目属于政策性、专业性强的长期服务类采购</w:t>
            </w:r>
            <w:r>
              <w:rPr>
                <w:sz w:val="24"/>
              </w:rPr>
              <w:t>项目</w:t>
            </w:r>
            <w:r>
              <w:rPr>
                <w:sz w:val="24"/>
              </w:rPr>
              <w:t>，涉及财政资金使用效益、自然灾害风险保障与社会公共安全，为全面评估投标人的专业能力、服务水平和风险应对实力，要求投标人针对本项目提供以下内容的详细阐述：</w:t>
            </w:r>
          </w:p>
          <w:p>
            <w:pPr>
              <w:pStyle w:val="null3"/>
              <w:ind w:firstLine="480"/>
              <w:jc w:val="both"/>
            </w:pPr>
            <w:r>
              <w:rPr>
                <w:sz w:val="24"/>
              </w:rPr>
              <w:t>（</w:t>
            </w:r>
            <w:r>
              <w:rPr>
                <w:sz w:val="24"/>
              </w:rPr>
              <w:t>1</w:t>
            </w:r>
            <w:r>
              <w:rPr>
                <w:sz w:val="24"/>
              </w:rPr>
              <w:t>）</w:t>
            </w:r>
            <w:r>
              <w:rPr>
                <w:sz w:val="24"/>
              </w:rPr>
              <w:t>对本项目了解及难点分析</w:t>
            </w:r>
            <w:r>
              <w:rPr>
                <w:sz w:val="24"/>
              </w:rPr>
              <w:t>：</w:t>
            </w:r>
            <w:r>
              <w:rPr>
                <w:sz w:val="24"/>
              </w:rPr>
              <w:t>要求投标人充分理解项目背景、政策依据与运作机制，系统分析项目实施中的关键难点与风险，并提出具有前瞻性、可操作性的优化建议。</w:t>
            </w:r>
          </w:p>
          <w:p>
            <w:pPr>
              <w:pStyle w:val="null3"/>
              <w:ind w:firstLine="480"/>
              <w:jc w:val="both"/>
            </w:pPr>
            <w:r>
              <w:rPr>
                <w:sz w:val="24"/>
              </w:rPr>
              <w:t>（</w:t>
            </w:r>
            <w:r>
              <w:rPr>
                <w:sz w:val="24"/>
              </w:rPr>
              <w:t>2</w:t>
            </w:r>
            <w:r>
              <w:rPr>
                <w:sz w:val="24"/>
              </w:rPr>
              <w:t>）</w:t>
            </w:r>
            <w:r>
              <w:rPr>
                <w:sz w:val="24"/>
              </w:rPr>
              <w:t>承保服务方案</w:t>
            </w:r>
            <w:r>
              <w:rPr>
                <w:sz w:val="24"/>
              </w:rPr>
              <w:t>：</w:t>
            </w:r>
            <w:r>
              <w:rPr>
                <w:sz w:val="24"/>
              </w:rPr>
              <w:t>要求投标人根据采购需求，设计科学、完整、可执行的承保方案，明确其在共保体中的角色与职责，并体现风险覆盖、服务协同与应急保障方面的优化措施。</w:t>
            </w:r>
          </w:p>
          <w:p>
            <w:pPr>
              <w:pStyle w:val="null3"/>
              <w:ind w:firstLine="480"/>
              <w:jc w:val="both"/>
            </w:pPr>
            <w:r>
              <w:rPr>
                <w:sz w:val="24"/>
              </w:rPr>
              <w:t>（</w:t>
            </w:r>
            <w:r>
              <w:rPr>
                <w:sz w:val="24"/>
              </w:rPr>
              <w:t>3</w:t>
            </w:r>
            <w:r>
              <w:rPr>
                <w:sz w:val="24"/>
              </w:rPr>
              <w:t>）</w:t>
            </w:r>
            <w:r>
              <w:rPr>
                <w:sz w:val="24"/>
              </w:rPr>
              <w:t>组织实施方案</w:t>
            </w:r>
            <w:r>
              <w:rPr>
                <w:sz w:val="24"/>
              </w:rPr>
              <w:t>：</w:t>
            </w:r>
            <w:r>
              <w:rPr>
                <w:sz w:val="24"/>
              </w:rPr>
              <w:t>要求投标人提供清晰、合理的组织实施架构，明确人员配置、职责分工与服务流程，确保项目在三年服务期内高效、稳定运行。</w:t>
            </w:r>
          </w:p>
          <w:p>
            <w:pPr>
              <w:pStyle w:val="null3"/>
              <w:ind w:firstLine="480"/>
              <w:jc w:val="both"/>
            </w:pPr>
            <w:r>
              <w:rPr>
                <w:sz w:val="24"/>
              </w:rPr>
              <w:t>（</w:t>
            </w:r>
            <w:r>
              <w:rPr>
                <w:sz w:val="24"/>
              </w:rPr>
              <w:t>4</w:t>
            </w:r>
            <w:r>
              <w:rPr>
                <w:sz w:val="24"/>
              </w:rPr>
              <w:t>）</w:t>
            </w:r>
            <w:r>
              <w:rPr>
                <w:sz w:val="24"/>
              </w:rPr>
              <w:t>防灾减灾方案</w:t>
            </w:r>
            <w:r>
              <w:rPr>
                <w:sz w:val="24"/>
              </w:rPr>
              <w:t>：</w:t>
            </w:r>
            <w:r>
              <w:rPr>
                <w:sz w:val="24"/>
              </w:rPr>
              <w:t>要求投标人制定针对性强、切实可行的防灾减灾措施与应急机制，体现其在灾害预防、风险减损方面的主动服务能力。</w:t>
            </w:r>
          </w:p>
          <w:p>
            <w:pPr>
              <w:pStyle w:val="null3"/>
              <w:ind w:firstLine="480"/>
              <w:jc w:val="both"/>
            </w:pPr>
            <w:r>
              <w:rPr>
                <w:sz w:val="24"/>
              </w:rPr>
              <w:t>（</w:t>
            </w:r>
            <w:r>
              <w:rPr>
                <w:sz w:val="24"/>
              </w:rPr>
              <w:t>5</w:t>
            </w:r>
            <w:r>
              <w:rPr>
                <w:sz w:val="24"/>
              </w:rPr>
              <w:t>）</w:t>
            </w:r>
            <w:r>
              <w:rPr>
                <w:sz w:val="24"/>
              </w:rPr>
              <w:t>救灾方案</w:t>
            </w:r>
            <w:r>
              <w:rPr>
                <w:sz w:val="24"/>
              </w:rPr>
              <w:t>：</w:t>
            </w:r>
            <w:r>
              <w:rPr>
                <w:sz w:val="24"/>
              </w:rPr>
              <w:t>要求投标人建立与政府救灾体系协同的应急响应机制，提供超越理赔的增值服务，确保灾害发生后能迅速、有序参与救灾与重建工作。</w:t>
            </w:r>
          </w:p>
          <w:p>
            <w:pPr>
              <w:pStyle w:val="null3"/>
              <w:ind w:firstLine="480"/>
              <w:jc w:val="both"/>
            </w:pPr>
            <w:r>
              <w:rPr>
                <w:sz w:val="24"/>
              </w:rPr>
              <w:t>（</w:t>
            </w:r>
            <w:r>
              <w:rPr>
                <w:sz w:val="24"/>
              </w:rPr>
              <w:t>6</w:t>
            </w:r>
            <w:r>
              <w:rPr>
                <w:sz w:val="24"/>
              </w:rPr>
              <w:t>）</w:t>
            </w:r>
            <w:r>
              <w:rPr>
                <w:sz w:val="24"/>
              </w:rPr>
              <w:t>理赔服务流程与制度</w:t>
            </w:r>
            <w:r>
              <w:rPr>
                <w:sz w:val="24"/>
              </w:rPr>
              <w:t>：</w:t>
            </w:r>
            <w:r>
              <w:rPr>
                <w:sz w:val="24"/>
              </w:rPr>
              <w:t>要求投标人设计简洁、高效、规范的理赔流程，明确各环节时效与责任，建立健全的理赔管理制度，确保赔款及时、准确支付。</w:t>
            </w:r>
          </w:p>
          <w:p>
            <w:pPr>
              <w:pStyle w:val="null3"/>
            </w:pPr>
            <w:r>
              <w:rPr>
                <w:sz w:val="24"/>
              </w:rPr>
              <w:t xml:space="preserve">    2.</w:t>
            </w:r>
            <w:r>
              <w:rPr>
                <w:sz w:val="24"/>
              </w:rPr>
              <w:t>本项目对保险机构的综合实力、专业能力、合规水平及持续服务保障能力具有较高要求。投标人应具备稳健的财务基础、专业的服务团队、丰富的同类项目经验及规范的经营行为。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1.采购代理机构：本项目是指深圳交易咨询集团有限公司中山分公司，负责整个采购活动的组织，依法负责编制和发布招标文件，对招标文件拥有最终的解释权，不以任何身份出任评标委员会成员。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中山市财政局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4家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4家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采购包1：4家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代理服务费定额收取人民币82,650.00元，由各中标人按其中标份额比例分摊支付。中标供应商以银行转账的形式一次性向采购代理机构支付，账户名称：深圳交易咨询集团有限公司中山分公司，开户银行：中国农业银行股份有限公司中山城区支行，银行账号：44327101040011183，银行号：103603032715（请在转账单上写明：26CCA39C00367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需要落实的政府采购政策：《政府采购促进中小企业发展管理办法》（财库〔2020〕46号）、《关于政府采购支持监狱企业发展有关问题的通知》（财库〔2014〕68号）、《关于促进残疾人就业政府采购政策的通知》（财库〔2017〕141号）等。</w:t>
            </w:r>
          </w:p>
          <w:p>
            <w:pPr>
              <w:pStyle w:val="null3"/>
              <w:jc w:val="left"/>
            </w:pPr>
            <w:r>
              <w:rPr/>
              <w:t>二，本项目属于服务类项目，中小企业划分标准所属行业为“金融业”。如投标人属于中小企业的，按照本招标文件/第六章 投标文件格式与要求/格式十一填写《中小企业声明函（工程、服务）》。</w:t>
            </w:r>
          </w:p>
          <w:p>
            <w:pPr>
              <w:pStyle w:val="null3"/>
              <w:jc w:val="left"/>
            </w:pPr>
            <w:r>
              <w:rPr/>
              <w:t>三，本项目开标方式为“远程开标”，请投标人在投标截止时间前，将加密投标文件上传至云平台项目采购系统中，逾期上传或错误方式投递送达将导致投标无效。本项目将在云平台进行在线签到及在线解密，投标人不需要委派代表前往开标现场。远程开标操作指南（供应商版）：https://gdgpo.czt.gd.gov.cn/help/transaction/gongyinshan.html。</w:t>
            </w:r>
          </w:p>
          <w:p>
            <w:pPr>
              <w:pStyle w:val="null3"/>
              <w:jc w:val="left"/>
            </w:pPr>
            <w:r>
              <w:rPr/>
              <w:t>四，在评审过程中（包括资格性审查、符合性审查），评标委员会（评审小组）对需要共同认定的事项存在争议的，应当按照少数服从多数的原则作出结论（持不同意见的评委可以在评审系统中填写意见或在报告上签署不同意见及理由）；同时，评委应在统一结论的情况下，配合完成评审系统的操作，确保评审流程顺利开展。</w:t>
            </w:r>
          </w:p>
          <w:p>
            <w:pPr>
              <w:pStyle w:val="null3"/>
              <w:jc w:val="left"/>
            </w:pPr>
            <w:r>
              <w:rPr/>
              <w:t>五，关于异常低价审查： 根据《关于推动解决政府采购异常低价问题的通知》（财库〔2026〕2号）进行异常低价审查。 采购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的次低报价供应商投标（响应）报价50%的，即投标（响应）报价＜通过符合性审查的次低报价供应商投标（响应）报价50%的；（3）投标（响应）报价低于采购项目最高限价45%的，即投标（响应）报价＜采购项目最高限价×45%；（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投标（响应）供应商不能提供书面说明、证明材料，或者提供的书面说明、证明材料不能证明其报价合理性的，评审委员会应当将其作为无效投标（响应）处理。</w:t>
            </w:r>
          </w:p>
          <w:p>
            <w:pPr>
              <w:pStyle w:val="null3"/>
              <w:jc w:val="left"/>
            </w:pPr>
            <w:r>
              <w:rPr/>
              <w:t>六，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 中山市金融工作局 中国人民银行中山市中心支行关于开展中山市 政府采购合同融资工作的通知》，网址：https://gdgpo.czt.gd.gov.cn/freecms/site/guangdong/tzggzlm/info/2021/5738699.html。</w:t>
            </w:r>
          </w:p>
          <w:p>
            <w:pPr>
              <w:pStyle w:val="null3"/>
              <w:jc w:val="left"/>
            </w:pPr>
            <w:r>
              <w:rPr/>
              <w:t>七，根据《关于印发〈中山市政府采购支持中小微企业质押融资的实施意见〉的通知》规定，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农业发展银行中山市分行（客户部：孙博13824726333、信贷与风险管理部：徐健兴13702797626）、（2）工商银行中山分行（普惠金融事业部：杨培鹏15900085352、普惠金融事业部：陈韵诗18928106880）、（3）农业银行中山分行（乡村振兴普惠部/普惠金融事业部：罗红艳0760-22644680）、（4）中国银行中山分行（普惠金融事业部：朱博玮0760-88116725、风险内控部：庞宇宁0760-88116076）、（5）建设银行中山市分行（公司业务部：吴灵杰13143108376）、（6）交通银行中山分行（普惠部：杨小勇13424595554）、（7）中山农村商业银行（普惠金融部：杜保森13528137939/0760-88884181）、（8）邮储银行中山市分行（普惠金融事业部：梁根元15876006469）、（9）广发银行中山分行（交易银行部：庄焕杰0760-88862577）、（10）平安银行中山分行（公司管理部：刘涛15902062164、跨境业务部：张蕾13802664960、政府业务一部：樊林13631131569）、（11）中信银行中山分行（公司银行部（普惠金融部）：陈廷忠15113386853）、（12）民生银行中山分行（小微金融部/普惠金融部：陈毅聪0760-88799160）、（13）光大银行中山分行（公司金融部：邓敏0760-88858067）、（14）招商银行中山分行（风险管理部：钟娟0760-89981875、公司金融事业部：梁倩0760-89981269）、（15）东莞银行中山分行（业务部：郑康辉0760-86939959）、（16）广州银行中山分行（公司金融部：卢盈伶0760-88776952、普惠业务部：王淼龙13528240121）、（17）渤海银行中山分行（公司金融部：张砚珺0760-87911816、公司金融部：蒋华玲0760-87911803）、（18）华润银行中山分行（公司金融部：刘永智0760-87500626、风险管理部：罗凯欣0760-87500513）、（19）浦发银行中山分行（公司业务部：甘芷珺13415312386）、（20）华兴银行中山分行（公司银行部：梁卫明0760-88520074、公司银行部：邓松华0760-88520072）、（21）大华银行（中国）有限公司中山分行（科技与营运部：黎骏业0760-87707696）、（22）创兴银行中山支行（公司业务部：温世冠13435737447、公司业务部：吕瑒13928153346）。2、中小微企业有融资需求的，可通过应收账款融资服务平台（网址：www.crcrfsp.com）和广东省中小微企业信用信息和融资对接平台（网址：https://finance.gzebsc.cn）向辖内特定或非特定银行机构咨询并提出融资申请。3、采购人应当及时在应收账款融资服务平台（网址：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中华人民共和国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八，投标文件格式中法定代表人证明书及法定代表人授权书为参考格式，由投标人根据需要选用。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深圳交易咨询集团有限公司中山分公司</w:t>
      </w:r>
      <w:r>
        <w:rPr/>
        <w:t>代收。具体操作要求详见</w:t>
      </w:r>
      <w:r>
        <w:rPr/>
        <w:t>深圳交易咨询集团有限公司中山分公司</w:t>
      </w:r>
      <w:r>
        <w:rPr/>
        <w:t>有关指引，递交事宜请自行咨询</w:t>
      </w:r>
      <w:r>
        <w:rPr/>
        <w:t>深圳交易咨询集团有限公司中山分公司</w:t>
      </w:r>
      <w:r>
        <w:rPr/>
        <w:t>；请各投标人在投标文件递交截止时间前按须知前附表规定的金额递交至</w:t>
      </w:r>
      <w:r>
        <w:rPr/>
        <w:t>深圳交易咨询集团有限公司中山分公司</w:t>
      </w:r>
      <w:r>
        <w:rPr/>
        <w:t>，到账情况以开标时</w:t>
      </w:r>
      <w:r>
        <w:rPr/>
        <w:t>深圳交易咨询集团有限公司中山分公司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何新坚</w:t>
      </w:r>
    </w:p>
    <w:p>
      <w:pPr>
        <w:pStyle w:val="null3"/>
        <w:ind w:firstLine="480"/>
      </w:pPr>
      <w:r>
        <w:rPr/>
        <w:t>电话：</w:t>
      </w:r>
      <w:r>
        <w:rPr/>
        <w:t>0760-88383760</w:t>
      </w:r>
    </w:p>
    <w:p>
      <w:pPr>
        <w:pStyle w:val="null3"/>
        <w:ind w:firstLine="480"/>
      </w:pPr>
      <w:r>
        <w:rPr/>
        <w:t>传真：</w:t>
      </w:r>
      <w:r>
        <w:rPr/>
        <w:t>0760-88330182</w:t>
      </w:r>
    </w:p>
    <w:p>
      <w:pPr>
        <w:pStyle w:val="null3"/>
        <w:ind w:firstLine="480"/>
      </w:pPr>
      <w:r>
        <w:rPr/>
        <w:t>邮箱：</w:t>
      </w:r>
      <w:r>
        <w:rPr/>
        <w:t>sztczs@sztc.com</w:t>
      </w:r>
    </w:p>
    <w:p>
      <w:pPr>
        <w:pStyle w:val="null3"/>
        <w:ind w:firstLine="480"/>
      </w:pPr>
      <w:r>
        <w:rPr/>
        <w:t>地址：</w:t>
      </w:r>
      <w:r>
        <w:rPr/>
        <w:t>中山市东区中山五路57号汇智大厦四楼东座</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-2028年度中山市巨灾保险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深圳交易咨询集团有限公司中山分公司</w:t>
      </w:r>
      <w:r>
        <w:rPr/>
        <w:t>统一对外发布。</w:t>
      </w:r>
    </w:p>
    <w:p>
      <w:pPr>
        <w:pStyle w:val="null3"/>
        <w:ind w:firstLine="480"/>
      </w:pPr>
      <w:r>
        <w:rPr/>
        <w:t>（2）对</w:t>
      </w:r>
      <w:r>
        <w:rPr/>
        <w:t>深圳交易咨询集团有限公司中山分公司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采购包1（2026-2028年度中山市巨灾保险采购项目）：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本项目采购标的对应的小型、 微型企业划分标准所属行业：金融业。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采购包1（2026-2028年度中山市巨灾保险采购项目）：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提供有效的营业执照（或事业单位法人证书或执业许可证或个体工商户营业执照或自然人身份证明等主体资格证明）复印件或扫描件（如为分公司或支公司等分支机构参与投标，还须提供具有独立法人资格的总公司出具的授权书以及营业执照复印件或扫描件；授权书格式自拟，允许多级授权）。</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以下任意一项即可：①承诺函，提供《政府采购供应商资格信用承诺函》（格式详见采购公告附件）；②证明材料，提供投标人2024年至今任意一个年度的财务报告（或2025年6月至今任意一个月的财务报表）关键页复印件或扫描件，或提供由基本开户银行出具的资信证明（基户行须提供开户证明文件）复印件或扫描件；注：如同时提供承诺函和证明材料的，资格审查时以证明材料为准。</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提供“具有履行合同所必需的设备和专业技术能力”的声明，或提供“具有设备和专业技术能力（人员）”的相关证明，或提供《设备和专业技术能力情况表》（格式自拟）。</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提供以下任意一项即可：①承诺函，提供《政府采购供应商资格信用承诺函》（格式详见采购公告附件）；②证明材料，提供投标人2025年6月至今任意一个月的依法缴纳税收和社会保障资金的相关证明材料复印件或扫描件（依法免税或不需要缴纳社会保障资金，应提供相应证明材料）；注：如同时提供承诺函和证明材料的，资格审查时以证明材料为准。</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格式详见采购公告附件）或参照“投标文件格式与要求”的《投标函》提供声明。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采购人或采购代理机构将通过“信用中国”网站（www.creditchina.gov.cn）及中国政府采购网（www.ccgp.gov.cn）查询投标人信用记录（查询截止时点：开标当天），将查询的信用记录提供给评审现场，并做好信用信息查询记录和证据留存，信用信息查询记录及相关证据应当与其他文件一并保存。对于被列入“信用中国”网站“失信被执行人”或“重大税收违法案件当事人名单”以及处于中国政府采购网“政府采购严重违法失信行为信息记录”中禁止参加政府采购活动期间的投标人，将拒绝其参与政府采购活动（不能通过资格性审查）。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为本项目提供整体设计、规范编制或者项目管理、监理、检测等服务的投标人，不得再参与本项目投标。参照“投标文件格式与要求”的《投标函》提供声明。</w:t>
            </w:r>
          </w:p>
        </w:tc>
      </w:tr>
      <w:tr>
        <w:tc>
          <w:tcPr>
            <w:tcW w:type="dxa" w:w="890"/>
          </w:tcPr>
          <w:p>
            <w:pPr>
              <w:pStyle w:val="null3"/>
            </w:pPr>
            <w:r>
              <w:rPr/>
              <w:t>8</w:t>
            </w:r>
          </w:p>
        </w:tc>
        <w:tc>
          <w:tcPr>
            <w:tcW w:type="dxa" w:w="3178"/>
          </w:tcPr>
          <w:p>
            <w:pPr>
              <w:pStyle w:val="null3"/>
            </w:pPr>
            <w:r>
              <w:rPr/>
              <w:t>投标资质</w:t>
            </w:r>
          </w:p>
        </w:tc>
        <w:tc>
          <w:tcPr>
            <w:tcW w:type="dxa" w:w="4238"/>
          </w:tcPr>
          <w:p>
            <w:pPr>
              <w:pStyle w:val="null3"/>
            </w:pPr>
            <w:r>
              <w:rPr/>
              <w:t>投标人必须为经国家保险监督管理机构批准在中华人民共和国境内设立和营业的保险机构，具有合法有效的《中华人民共和国保险许可证》（提供证书复印件或扫描件）；如国家另有规定，则从其规定。</w:t>
            </w:r>
          </w:p>
        </w:tc>
      </w:tr>
      <w:tr>
        <w:tc>
          <w:tcPr>
            <w:tcW w:type="dxa" w:w="890"/>
          </w:tcPr>
          <w:p>
            <w:pPr>
              <w:pStyle w:val="null3"/>
            </w:pPr>
            <w:r>
              <w:rPr/>
              <w:t>9</w:t>
            </w:r>
          </w:p>
        </w:tc>
        <w:tc>
          <w:tcPr>
            <w:tcW w:type="dxa" w:w="3178"/>
          </w:tcPr>
          <w:p>
            <w:pPr>
              <w:pStyle w:val="null3"/>
            </w:pPr>
            <w:r>
              <w:rPr/>
              <w:t>投标形式</w:t>
            </w:r>
          </w:p>
        </w:tc>
        <w:tc>
          <w:tcPr>
            <w:tcW w:type="dxa" w:w="4238"/>
          </w:tcPr>
          <w:p>
            <w:pPr>
              <w:pStyle w:val="null3"/>
            </w:pPr>
            <w:r>
              <w:rPr/>
              <w:t>本项目不接受联合体投标，接受分支机构投标（若出现总公司与其任一分支机构同时递交投标文件的情况，将同时作无效投标处理；若多家分支机构同时参与投标，仅可接受其中获得总公司有效授权的一家参与评审；若多家分支机构均声称获得授权，将同时作无效投标处理）。</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本采购包非专门面向中小企业采购。</w:t>
            </w:r>
          </w:p>
        </w:tc>
      </w:tr>
    </w:tbl>
    <w:p>
      <w:pPr>
        <w:pStyle w:val="null3"/>
        <w:ind w:firstLine="480"/>
      </w:pPr>
      <w:r>
        <w:rPr/>
        <w:t>表二符合性审查表：</w:t>
      </w:r>
    </w:p>
    <w:p>
      <w:pPr>
        <w:pStyle w:val="null3"/>
      </w:pPr>
      <w:r>
        <w:rPr/>
        <w:t>采购包1（2026-2028年度中山市巨灾保险采购项目）：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提供《投标函》，投标有效期符合招标文件要求。</w:t>
            </w:r>
          </w:p>
        </w:tc>
      </w:tr>
      <w:tr>
        <w:tc>
          <w:tcPr>
            <w:tcW w:type="dxa" w:w="890"/>
          </w:tcPr>
          <w:p>
            <w:pPr>
              <w:pStyle w:val="null3"/>
            </w:pPr>
            <w:r>
              <w:rPr/>
              <w:t>2</w:t>
            </w:r>
          </w:p>
        </w:tc>
        <w:tc>
          <w:tcPr>
            <w:tcW w:type="dxa" w:w="3178"/>
          </w:tcPr>
          <w:p>
            <w:pPr>
              <w:pStyle w:val="null3"/>
            </w:pPr>
            <w:r>
              <w:rPr/>
              <w:t>法定代表人证明及授权文件</w:t>
            </w:r>
          </w:p>
        </w:tc>
        <w:tc>
          <w:tcPr>
            <w:tcW w:type="dxa" w:w="4238"/>
          </w:tcPr>
          <w:p>
            <w:pPr>
              <w:pStyle w:val="null3"/>
            </w:pPr>
            <w:r>
              <w:rPr/>
              <w:t>提供有效的法定代表人证明书及法定代表人授权书（如为法定代表人投标，则无须提供法定代表人授权书）。</w:t>
            </w:r>
          </w:p>
        </w:tc>
      </w:tr>
      <w:tr>
        <w:tc>
          <w:tcPr>
            <w:tcW w:type="dxa" w:w="890"/>
          </w:tcPr>
          <w:p>
            <w:pPr>
              <w:pStyle w:val="null3"/>
            </w:pPr>
            <w:r>
              <w:rPr/>
              <w:t>3</w:t>
            </w:r>
          </w:p>
        </w:tc>
        <w:tc>
          <w:tcPr>
            <w:tcW w:type="dxa" w:w="3178"/>
          </w:tcPr>
          <w:p>
            <w:pPr>
              <w:pStyle w:val="null3"/>
            </w:pPr>
            <w:r>
              <w:rPr/>
              <w:t>投标文件的盖章、签署</w:t>
            </w:r>
          </w:p>
        </w:tc>
        <w:tc>
          <w:tcPr>
            <w:tcW w:type="dxa" w:w="4238"/>
          </w:tcPr>
          <w:p>
            <w:pPr>
              <w:pStyle w:val="null3"/>
            </w:pPr>
            <w:r>
              <w:rPr/>
              <w:t>按照招标文件规定加盖公章和签署（凡涉及法定代表人或授权委托人签字的地方，采用手写签字或加盖私章或在投标客户端电子签名均可）。</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投标报价是固定价且投标方案唯一，投标报价不超过项目预算金额。</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满足招标文件中所有带“★”标识的实质性条款。</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无招标文件或法律法规明确规定视为无效投标的其他情形。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采购包1(2026-2028年度中山市巨灾保险采购项目):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对本项目了解及难点分析 (10.0分)</w:t>
            </w:r>
          </w:p>
        </w:tc>
        <w:tc>
          <w:tcPr>
            <w:tcW w:type="dxa" w:w="5076"/>
          </w:tcPr>
          <w:p>
            <w:pPr>
              <w:pStyle w:val="null3"/>
              <w:jc w:val="left"/>
            </w:pPr>
            <w:r>
              <w:rPr/>
              <w:t>根据投标人对本项目的了解程度、重点难点分析等进行评审： 1.理解深入，准确把握政策背景、共保体运作及指数理赔核心。能精准识别数据验证、模型公允、共保协调、巨灾快速理赔等关键难点，并提供优于采购需求的、具体可行的优化方案或管理思路，显著提升效益或风控水平的，得10分； 2.基本了解项目目标与内容。能识别并阐述部分重点难点，分析基本合理但深度不足。所提工作思路或方案能满足采购需求，但缺乏显著优化与创新，得6分； 3.了解不足，表述空泛。难点分析肤浅、片面或存在偏差，缺乏针对性。未提出有效方案或思路，与项目需求关联度低，得2分； 4.未提供相关内容，得0分。</w:t>
            </w:r>
          </w:p>
        </w:tc>
      </w:tr>
      <w:tr>
        <w:tc>
          <w:tcPr>
            <w:tcW w:type="dxa" w:w="922"/>
            <w:gridSpan w:val="2"/>
            <w:vMerge/>
          </w:tcPr>
          <w:p/>
        </w:tc>
        <w:tc>
          <w:tcPr>
            <w:tcW w:type="dxa" w:w="2307"/>
          </w:tcPr>
          <w:p>
            <w:pPr>
              <w:pStyle w:val="null3"/>
              <w:jc w:val="left"/>
            </w:pPr>
            <w:r>
              <w:rPr/>
              <w:t>承保服务方案 (10.0分)</w:t>
            </w:r>
          </w:p>
        </w:tc>
        <w:tc>
          <w:tcPr>
            <w:tcW w:type="dxa" w:w="5076"/>
          </w:tcPr>
          <w:p>
            <w:pPr>
              <w:pStyle w:val="null3"/>
              <w:jc w:val="left"/>
            </w:pPr>
            <w:r>
              <w:rPr/>
              <w:t>根据投标人提供的承保服务方案进行评审： 1.方案完全响应并显著优于采购需求。承保逻辑严谨，流程清晰，风险覆盖全面。针对共保体角色（首席/成员）职责、协同机制、巨灾应对预案、理赔服务时效及资金保障等有具体、创新且可操作的优化设计，保障措施周密可靠，得10分； 2.方案完整响应采购需求。承保流程、职责分工、理赔服务等关键要素描述清晰，保障措施基本完善，能满足项目基本运行要求，但优化与创新性不足，得6分； 3.方案内容存在缺失或与需求明显不符。承保逻辑不清，关键流程、职责或保障措施描述模糊、不切实际，难以支持项目有效实施，得2分； 4.未提供承保方案，得0分。</w:t>
            </w:r>
          </w:p>
        </w:tc>
      </w:tr>
      <w:tr>
        <w:tc>
          <w:tcPr>
            <w:tcW w:type="dxa" w:w="922"/>
            <w:gridSpan w:val="2"/>
            <w:vMerge/>
          </w:tcPr>
          <w:p/>
        </w:tc>
        <w:tc>
          <w:tcPr>
            <w:tcW w:type="dxa" w:w="2307"/>
          </w:tcPr>
          <w:p>
            <w:pPr>
              <w:pStyle w:val="null3"/>
              <w:jc w:val="left"/>
            </w:pPr>
            <w:r>
              <w:rPr/>
              <w:t>组织实施方案 (5.0分)</w:t>
            </w:r>
          </w:p>
        </w:tc>
        <w:tc>
          <w:tcPr>
            <w:tcW w:type="dxa" w:w="5076"/>
          </w:tcPr>
          <w:p>
            <w:pPr>
              <w:pStyle w:val="null3"/>
              <w:jc w:val="left"/>
            </w:pPr>
            <w:r>
              <w:rPr/>
              <w:t>针对投标人提供的组织实施方案（内容包括但不限于服务形式、人员安排、工作开展组织形式及流程）进行评审： 1.方案详尽合理，完全满足且优于采购需求。组织架构清晰，权责明确，与共保体运作高度契合。人员配置专业、充足，响应7*24小时服务要求。工作流程（如报案、定损、理赔、防灾）设计科学、高效，具备很强的可操作性，得5分； 2.方案较为详细，能基本满足采购需求。组织架构、人员配置和工作流程设计基本合理，具备一定可行性，但针对巨灾保险特性和共保体协同的优化考虑不足，得3分； 3.方案内容简略、不合理或缺失关键要素。组织架构不清，人员配置无法保障服务，工作流程设计粗糙、可行性差，难以有效支撑项目运行，得1分； 4.未提供组织实施方案，得0分。</w:t>
            </w:r>
          </w:p>
        </w:tc>
      </w:tr>
      <w:tr>
        <w:tc>
          <w:tcPr>
            <w:tcW w:type="dxa" w:w="922"/>
            <w:gridSpan w:val="2"/>
            <w:vMerge/>
          </w:tcPr>
          <w:p/>
        </w:tc>
        <w:tc>
          <w:tcPr>
            <w:tcW w:type="dxa" w:w="2307"/>
          </w:tcPr>
          <w:p>
            <w:pPr>
              <w:pStyle w:val="null3"/>
              <w:jc w:val="left"/>
            </w:pPr>
            <w:r>
              <w:rPr/>
              <w:t>防灾减灾方案 (5.0分)</w:t>
            </w:r>
          </w:p>
        </w:tc>
        <w:tc>
          <w:tcPr>
            <w:tcW w:type="dxa" w:w="5076"/>
          </w:tcPr>
          <w:p>
            <w:pPr>
              <w:pStyle w:val="null3"/>
              <w:jc w:val="left"/>
            </w:pPr>
            <w:r>
              <w:rPr/>
              <w:t>根据投标人提供的防灾减灾方案（包括但不限于制定有关强降水、台风等巨灾的防灾减灾应急机制、防灾减损措施、防灾减损人员安排等）进行评审： 1.方案完全满足且优于需求，紧密结合中山市巨灾风险特点。应急机制完善，预警、响应、协同流程清晰。防灾减损措施具体、创新、可操作性强（如风险排查、培训、物资准备等）。人员配置专业、职责明确，保障有力，得5分； 2.方案基本满足采购需求。应急机制、减损措施及人员安排等内容较为全面，具备基本可行性，但针对性、创新性或精细化程度一般，得3分； 3.方案内容空泛、不全面或严重脱离实际。缺乏具体可行的应急机制和减损措施，人员安排模糊，方案基本不具有可操作性，得1分； 4.未提供防灾减灾方案，得0分。</w:t>
            </w:r>
          </w:p>
        </w:tc>
      </w:tr>
      <w:tr>
        <w:tc>
          <w:tcPr>
            <w:tcW w:type="dxa" w:w="922"/>
            <w:gridSpan w:val="2"/>
            <w:vMerge/>
          </w:tcPr>
          <w:p/>
        </w:tc>
        <w:tc>
          <w:tcPr>
            <w:tcW w:type="dxa" w:w="2307"/>
          </w:tcPr>
          <w:p>
            <w:pPr>
              <w:pStyle w:val="null3"/>
              <w:jc w:val="left"/>
            </w:pPr>
            <w:r>
              <w:rPr/>
              <w:t>救灾方案 (5.0分)</w:t>
            </w:r>
          </w:p>
        </w:tc>
        <w:tc>
          <w:tcPr>
            <w:tcW w:type="dxa" w:w="5076"/>
          </w:tcPr>
          <w:p>
            <w:pPr>
              <w:pStyle w:val="null3"/>
              <w:jc w:val="left"/>
            </w:pPr>
            <w:r>
              <w:rPr/>
              <w:t>根据投标人提供的救灾预案和渠道（内容包括但不限于如在灾害来临之后，除了尽早理赔，还需要协助政府开展救灾工作，提供各类增值服务）进行评审： 1.方案紧密契合项目巨灾保障目标，超越单纯理赔。应急联动机制健全，与政府救灾体系衔接高效。增值服务内容（如紧急救助、灾后重建支持、专家资源协调）具体、创新且可操作性强。预案详尽，保障措施得力，得5分； 2.方案基本满足采购需求。涵盖了预案制定、协助救灾及部分增值服务内容，逻辑基本清晰，具备一定可行性，但深度、创新性或针对性一般，得3分； 3.方案内容简单、空泛，或主要重复理赔流程。缺乏有效的应急联动设计和具体的增值服务举措，方案可行性差，得1分； 4.未提供救灾方案，得0分。</w:t>
            </w:r>
          </w:p>
        </w:tc>
      </w:tr>
      <w:tr>
        <w:tc>
          <w:tcPr>
            <w:tcW w:type="dxa" w:w="922"/>
            <w:gridSpan w:val="2"/>
            <w:vMerge/>
          </w:tcPr>
          <w:p/>
        </w:tc>
        <w:tc>
          <w:tcPr>
            <w:tcW w:type="dxa" w:w="2307"/>
          </w:tcPr>
          <w:p>
            <w:pPr>
              <w:pStyle w:val="null3"/>
              <w:jc w:val="left"/>
            </w:pPr>
            <w:r>
              <w:rPr/>
              <w:t>理赔服务流程与制度 (10.0分)</w:t>
            </w:r>
          </w:p>
        </w:tc>
        <w:tc>
          <w:tcPr>
            <w:tcW w:type="dxa" w:w="5076"/>
          </w:tcPr>
          <w:p>
            <w:pPr>
              <w:pStyle w:val="null3"/>
              <w:jc w:val="left"/>
            </w:pPr>
            <w:r>
              <w:rPr/>
              <w:t>根据投标人提供的理赔服务流程与制度（内容包括但不限于理赔流程、理赔时效、索赔资料、档案管理、相关理赔管理制度等）进行评审： 1.流程设计完全满足且优于采购需求（如3日内出具报告）。索赔程序极简，时效承诺（报案响应、查勘定损、赔款支付）严于行业标准且合理可行。单证要求明确，档案管理制度健全。制度规范，体现巨灾保险快速响应特性，得10分； 2.流程与制度基本满足采购需求。理赔程序清晰，时效承诺基本合理，单证与档案管理要求明确，制度较为规范，得6分； 3.流程设计不清或与需求不符。时效承诺不合理或缺乏约束，单证要求繁琐，档案管理缺失，制度不健全，难以保障快速理赔，得2分； 4.未提供相关内容，得0分。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偿付能力 (15.0分)</w:t>
            </w:r>
          </w:p>
        </w:tc>
        <w:tc>
          <w:tcPr>
            <w:tcW w:type="dxa" w:w="5076"/>
          </w:tcPr>
          <w:p>
            <w:pPr>
              <w:pStyle w:val="null3"/>
              <w:jc w:val="left"/>
            </w:pPr>
            <w:r>
              <w:rPr/>
              <w:t>根据投标人（如为分支机构参与投标，则以其总公司的数据为准）2024年度综合偿付能力充足率进行评审： 1.综合偿付能力充足率达到250%及以上的，得15分； 2.综合偿付能力充足率达到200%（含）-250%（不含）的，得10分； 3.综合偿付能力充足率达到150%（不含）-200%（不含）的，得5分； 4.综合偿付能力充足率达到150%或以下，得0分。 注：投标文件中提供经审计的偿付能力报告，含偿付能力充足率相关页面（在对应地方作出标识方便评委查看）复印件或扫描件，未提供的不得分。</w:t>
            </w:r>
          </w:p>
        </w:tc>
      </w:tr>
      <w:tr>
        <w:tc>
          <w:tcPr>
            <w:tcW w:type="dxa" w:w="922"/>
            <w:gridSpan w:val="2"/>
            <w:vMerge/>
          </w:tcPr>
          <w:p/>
        </w:tc>
        <w:tc>
          <w:tcPr>
            <w:tcW w:type="dxa" w:w="2307"/>
          </w:tcPr>
          <w:p>
            <w:pPr>
              <w:pStyle w:val="null3"/>
              <w:jc w:val="left"/>
            </w:pPr>
            <w:r>
              <w:rPr/>
              <w:t>服务团队 (15.0分)</w:t>
            </w:r>
          </w:p>
        </w:tc>
        <w:tc>
          <w:tcPr>
            <w:tcW w:type="dxa" w:w="5076"/>
          </w:tcPr>
          <w:p>
            <w:pPr>
              <w:pStyle w:val="null3"/>
              <w:jc w:val="left"/>
            </w:pPr>
            <w:r>
              <w:rPr/>
              <w:t>根据投标人拟投入本项目服务团队人员情况进行评审（本项最高得15分）： 1.具有与“保险”或“金融”或“经济”相关的学历，每提供1人得2分； 2.具有中级（或以上）经济师职称（“金融”或“保险”专业）的，每提供1人得3分。 注：1.针对第1项，投标文件中提供毕业证书复印件或扫描件，以及学信网（https://www.chsi.com.cn/）学历在线验证报告截图。对于较早颁发的学历证书，学信网无法查询的，可提供其他佐证材料（如毕业院校或教育主管部门或人社部门等机构出具的书面证明文件）；对于海外留学人员，其学历无法通过学信网站查询的，需提供教育部留学服务中心出具的学历学位认证书及该证书在教育部留学服务中心官网的查询截图。未提供证明材料或所提供证明材料不符合要求的，不得分。 2.针对第2项，投标文件中提供职称证书复印件或扫描件，以及中国人事考试网（http://www.cpta.com.cn/）的证书查询截图。对于该网站无法查询的较早年份职称证书，可提供职称评审表或发证机关出具的证明文件。未提供证明材料或所提供证明材料不符合要求的，不得分。 3.同一人员持有多个不同类型证书的，可分别按对应评审项计分；持有同一类型多个不同等级证书的，仅按其中最高等级计分一次。 4.关于上述人员用工形式的证明（供应商满足以下任意一项即可，未按要求提供证明文件复印件或扫描件的不得分）：（1）提供供应商为其购买的至响应文件提交截止时间为止近1年内任意1个月的社保证明（代缴个税税单或参加社会保险的《投保单》或《社会保险参保人员证明》等证明均可）；（2）承诺成交后投入符合要求的人员（承诺内容如下：承诺成交后投入符合要求的人员，若在项目实施过程中未能提供相应人员，采购人有权扣罚合同金额或终止合同），提供书面承诺并加盖供应商公章；（3）如果供应商成立时间或该人员入职不足1个月，则提供人员入职证明；（4）如果供应商上述人员为其他用工形式，则供应商还需提供该人员用工关系的证明资料且人员用工关系证明中须列明该人员的用工期限，用工期限应涵盖本项目服务期限；（5）如果属于退休返聘的人员，需要提供退休相关证明资料及所在企业为其纳税的证明材料。 5.第1项所指的相关学历，系指符合中华人民共和国教育部颁布的现行专业目录中，属于“金融”“经济”“保险”相关专业类别的学历。为便于评审，提供以下参考专业清单（包含但不限于）：（1）《职业教育专业目录》中的相关专业示例：①金融类：金融事务、金融服务与管理、金融科技应用、保险实务、信用管理、财富管理、证券实务、国际金融、农村金融、金融管理、保险。②经济贸易类： 国际商务、服务外包、国际经济与贸易、关务与外贸服务、国际文化贸易、国际服务贸易。（2）《普通高等学校本科专业目录》中的相关专业示例：①金融学类：金融学、金融工程、保险学、投资学、金融数学、信用管理、经济与金融、精算学、互联网金融、金融科技、金融审计。②经济学类： 经济学、经济统计学、国民经济管理、资源与环境经济学、商务经济学、能源经济、劳动经济学、经济工程、数字经济。（3）《研究生教育学科专业目录》中的相关专业示例：理论经济学、应用经济学、金融、应用统计、税务、国际商务、保险、资产评估、数字经济。如因院校合并、专业更名、目录调整等历史原因导致专业名称与现行目录不完全一致，但专业实质与上述所列专业相同或相近的，予以认可。</w:t>
            </w:r>
          </w:p>
        </w:tc>
      </w:tr>
      <w:tr>
        <w:tc>
          <w:tcPr>
            <w:tcW w:type="dxa" w:w="922"/>
            <w:gridSpan w:val="2"/>
            <w:vMerge/>
          </w:tcPr>
          <w:p/>
        </w:tc>
        <w:tc>
          <w:tcPr>
            <w:tcW w:type="dxa" w:w="2307"/>
          </w:tcPr>
          <w:p>
            <w:pPr>
              <w:pStyle w:val="null3"/>
              <w:jc w:val="left"/>
            </w:pPr>
            <w:r>
              <w:rPr/>
              <w:t>业绩情况 (15.0分)</w:t>
            </w:r>
          </w:p>
        </w:tc>
        <w:tc>
          <w:tcPr>
            <w:tcW w:type="dxa" w:w="5076"/>
          </w:tcPr>
          <w:p>
            <w:pPr>
              <w:pStyle w:val="null3"/>
              <w:jc w:val="left"/>
            </w:pPr>
            <w:r>
              <w:rPr/>
              <w:t>根据投标人2022年1月1日（以合同签订时间为准）以来在强降水、台风、地震巨灾指数保险业务领域的承保业绩进行评审（如为分支机构参与投标，可以提供总公司或总公司所设的各级分支机构业绩）： 1.具有独家承保或首席承保业绩的，每份得3分； 2.具有其他承保业绩的，每份得1.5分。 注：1.本项最高得15分；投标文件中提供合同关键页（包含签订合同双方的单位名称、项目名称、双方落款盖章、签订日期等）或中标/成交通知书复印件或扫描件，未提供的不得分。 2.单个合同中，同时包含强降水、台风、地震巨灾指数保险业务的，不重复计分。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将有效投标人按其综合得分由高到低顺序排列，综合得分相同的，按下列顺序比较确定：（1）投标报价（由低到高）、（2）技术得分（由高到低）；如以上都相同的，名次由评标委员会随机抽取确定。排名第一的投标人为第一中标候选人，排名第二的投标人为第二中标候选人，如此类推</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3"/>
          <w:b/>
        </w:rPr>
        <w:t>广东省政府采购</w:t>
      </w:r>
    </w:p>
    <w:p>
      <w:pPr>
        <w:pStyle w:val="null3"/>
        <w:spacing w:before="150" w:after="150"/>
        <w:ind w:left="0" w:right="0"/>
        <w:jc w:val="both"/>
      </w:pPr>
      <w:r>
        <w:rPr>
          <w:sz w:val="33"/>
          <w:color w:val="222222"/>
        </w:rPr>
        <w:t xml:space="preserve"> </w:t>
      </w:r>
    </w:p>
    <w:p>
      <w:pPr>
        <w:pStyle w:val="null3"/>
        <w:spacing w:before="0" w:after="0"/>
        <w:ind w:left="0" w:right="0"/>
        <w:jc w:val="center"/>
      </w:pPr>
      <w:r>
        <w:rPr>
          <w:sz w:val="33"/>
          <w:b/>
        </w:rPr>
        <w:t>合　同　书</w:t>
      </w:r>
    </w:p>
    <w:p>
      <w:pPr>
        <w:pStyle w:val="null3"/>
        <w:spacing w:before="0" w:after="0"/>
        <w:ind w:left="0" w:right="0"/>
        <w:jc w:val="center"/>
      </w:pPr>
      <w:r>
        <w:br/>
      </w:r>
      <w:r>
        <w:br/>
      </w:r>
      <w:r>
        <w:br/>
      </w:r>
      <w:r>
        <w:rPr>
          <w:sz w:val="24"/>
          <w:b/>
        </w:rPr>
        <w:t>（此合同为参考合同，以本招标文件的《采购需求》的要求为基础，以采购人与中标</w:t>
      </w:r>
      <w:r>
        <w:rPr>
          <w:sz w:val="24"/>
          <w:b/>
        </w:rPr>
        <w:t>人</w:t>
      </w:r>
      <w:r>
        <w:rPr>
          <w:sz w:val="24"/>
          <w:b/>
        </w:rPr>
        <w:t>签订中标合同为准，但不得超出招标文件约定的范围）</w:t>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sz w:val="28"/>
          <w:color w:val="222222"/>
          <w:u w:val="single"/>
        </w:rPr>
        <w:t>442000-2026-01046</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sz w:val="28"/>
          <w:color w:val="222222"/>
          <w:u w:val="single"/>
        </w:rPr>
        <w:t>26CCA39C00367</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sz w:val="28"/>
          <w:color w:val="222222"/>
          <w:u w:val="single"/>
        </w:rPr>
        <w:t>2026-2028年度中山市巨灾保险采购项目</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jc w:val="center"/>
      </w:pPr>
      <w:r>
        <w:rPr>
          <w:sz w:val="28"/>
        </w:rPr>
        <w:t>委托方（甲方）：</w:t>
      </w:r>
      <w:r>
        <w:rPr>
          <w:sz w:val="28"/>
          <w:u w:val="single"/>
        </w:rPr>
        <w:t>中山市财政局</w:t>
      </w:r>
    </w:p>
    <w:p>
      <w:pPr>
        <w:pStyle w:val="null3"/>
        <w:jc w:val="center"/>
      </w:pPr>
      <w:r>
        <w:rPr/>
        <w:t xml:space="preserve"> </w:t>
      </w:r>
    </w:p>
    <w:p>
      <w:pPr>
        <w:pStyle w:val="null3"/>
        <w:jc w:val="center"/>
      </w:pPr>
      <w:r>
        <w:rPr>
          <w:sz w:val="28"/>
        </w:rPr>
        <w:t>受托方（乙方）：</w:t>
      </w:r>
      <w:r>
        <w:rPr>
          <w:sz w:val="28"/>
          <w:u w:val="single"/>
        </w:rPr>
        <w:t xml:space="preserve">                    </w:t>
      </w:r>
    </w:p>
    <w:p>
      <w:pPr>
        <w:pStyle w:val="null3"/>
        <w:jc w:val="center"/>
      </w:pPr>
      <w:r>
        <w:rPr>
          <w:sz w:val="28"/>
        </w:rPr>
        <w:t xml:space="preserve">     </w:t>
      </w:r>
    </w:p>
    <w:p>
      <w:pPr>
        <w:pStyle w:val="null3"/>
        <w:jc w:val="center"/>
      </w:pPr>
      <w:r>
        <w:rPr>
          <w:sz w:val="28"/>
        </w:rPr>
        <w:t>受托方（丙方）：</w:t>
      </w:r>
      <w:r>
        <w:rPr>
          <w:sz w:val="28"/>
          <w:u w:val="single"/>
        </w:rPr>
        <w:t xml:space="preserve">                    </w:t>
      </w:r>
    </w:p>
    <w:p>
      <w:pPr>
        <w:pStyle w:val="null3"/>
        <w:jc w:val="center"/>
      </w:pPr>
      <w:r>
        <w:rPr/>
        <w:t xml:space="preserve"> </w:t>
      </w:r>
    </w:p>
    <w:p>
      <w:pPr>
        <w:pStyle w:val="null3"/>
        <w:jc w:val="center"/>
      </w:pPr>
      <w:r>
        <w:rPr>
          <w:sz w:val="28"/>
        </w:rPr>
        <w:t xml:space="preserve"> 受托方（丁方）：</w:t>
      </w:r>
      <w:r>
        <w:rPr>
          <w:sz w:val="28"/>
          <w:u w:val="single"/>
        </w:rPr>
        <w:t xml:space="preserve">                    </w:t>
      </w:r>
    </w:p>
    <w:p>
      <w:pPr>
        <w:pStyle w:val="null3"/>
        <w:jc w:val="center"/>
      </w:pPr>
      <w:r>
        <w:rPr/>
        <w:t xml:space="preserve"> </w:t>
      </w:r>
    </w:p>
    <w:p>
      <w:pPr>
        <w:pStyle w:val="null3"/>
        <w:jc w:val="center"/>
      </w:pPr>
      <w:r>
        <w:rPr>
          <w:sz w:val="28"/>
        </w:rPr>
        <w:t xml:space="preserve"> 受托方（戊方）：</w:t>
      </w:r>
      <w:r>
        <w:rPr>
          <w:sz w:val="28"/>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委托方</w:t>
      </w:r>
      <w:r>
        <w:rPr>
          <w:sz w:val="24"/>
          <w:b/>
        </w:rPr>
        <w:t>（</w:t>
      </w:r>
      <w:r>
        <w:rPr>
          <w:sz w:val="24"/>
          <w:b/>
        </w:rPr>
        <w:t>甲方</w:t>
      </w:r>
      <w:r>
        <w:rPr>
          <w:sz w:val="24"/>
          <w:b/>
        </w:rPr>
        <w:t>）</w:t>
      </w:r>
      <w:r>
        <w:rPr>
          <w:sz w:val="24"/>
          <w:b/>
        </w:rPr>
        <w:t>：</w:t>
      </w:r>
      <w:r>
        <w:rPr>
          <w:sz w:val="24"/>
          <w:b/>
          <w:u w:val="single"/>
        </w:rPr>
        <w:t>中山市财政局</w:t>
      </w:r>
    </w:p>
    <w:p>
      <w:pPr>
        <w:pStyle w:val="null3"/>
        <w:jc w:val="both"/>
      </w:pPr>
      <w:r>
        <w:rPr>
          <w:sz w:val="24"/>
          <w:b/>
        </w:rPr>
        <w:t>受托方</w:t>
      </w:r>
      <w:r>
        <w:rPr>
          <w:sz w:val="24"/>
          <w:b/>
        </w:rPr>
        <w:t>（</w:t>
      </w:r>
      <w:r>
        <w:rPr>
          <w:sz w:val="24"/>
          <w:b/>
        </w:rPr>
        <w:t>乙方</w:t>
      </w:r>
      <w:r>
        <w:rPr>
          <w:sz w:val="24"/>
          <w:b/>
        </w:rPr>
        <w:t>）：</w:t>
      </w:r>
      <w:r>
        <w:rPr>
          <w:b/>
          <w:u w:val="single"/>
        </w:rPr>
        <w:t xml:space="preserve">                     </w:t>
      </w:r>
    </w:p>
    <w:p>
      <w:pPr>
        <w:pStyle w:val="null3"/>
        <w:jc w:val="both"/>
      </w:pPr>
      <w:r>
        <w:rPr>
          <w:sz w:val="24"/>
          <w:b/>
        </w:rPr>
        <w:t>受托方</w:t>
      </w:r>
      <w:r>
        <w:rPr>
          <w:sz w:val="24"/>
          <w:b/>
        </w:rPr>
        <w:t>（</w:t>
      </w:r>
      <w:r>
        <w:rPr>
          <w:sz w:val="24"/>
          <w:b/>
        </w:rPr>
        <w:t>丙方</w:t>
      </w:r>
      <w:r>
        <w:rPr>
          <w:sz w:val="24"/>
          <w:b/>
        </w:rPr>
        <w:t>）：</w:t>
      </w:r>
      <w:r>
        <w:rPr>
          <w:b/>
          <w:u w:val="single"/>
        </w:rPr>
        <w:t xml:space="preserve">                     </w:t>
      </w:r>
    </w:p>
    <w:p>
      <w:pPr>
        <w:pStyle w:val="null3"/>
        <w:jc w:val="both"/>
      </w:pPr>
      <w:r>
        <w:rPr>
          <w:sz w:val="24"/>
          <w:b/>
        </w:rPr>
        <w:t>受托方</w:t>
      </w:r>
      <w:r>
        <w:rPr>
          <w:sz w:val="24"/>
          <w:b/>
        </w:rPr>
        <w:t>（</w:t>
      </w:r>
      <w:r>
        <w:rPr>
          <w:sz w:val="24"/>
          <w:b/>
        </w:rPr>
        <w:t>丁方</w:t>
      </w:r>
      <w:r>
        <w:rPr>
          <w:sz w:val="24"/>
          <w:b/>
        </w:rPr>
        <w:t>）：</w:t>
      </w:r>
      <w:r>
        <w:rPr>
          <w:b/>
          <w:u w:val="single"/>
        </w:rPr>
        <w:t xml:space="preserve">                     </w:t>
      </w:r>
    </w:p>
    <w:p>
      <w:pPr>
        <w:pStyle w:val="null3"/>
        <w:jc w:val="both"/>
      </w:pPr>
      <w:r>
        <w:rPr>
          <w:sz w:val="24"/>
          <w:b/>
        </w:rPr>
        <w:t>受托方</w:t>
      </w:r>
      <w:r>
        <w:rPr>
          <w:sz w:val="24"/>
          <w:b/>
        </w:rPr>
        <w:t>（</w:t>
      </w:r>
      <w:r>
        <w:rPr>
          <w:sz w:val="24"/>
          <w:b/>
        </w:rPr>
        <w:t>戊方</w:t>
      </w:r>
      <w:r>
        <w:rPr>
          <w:sz w:val="24"/>
          <w:b/>
        </w:rPr>
        <w:t>）：</w:t>
      </w:r>
      <w:r>
        <w:rPr>
          <w:b/>
          <w:u w:val="single"/>
        </w:rPr>
        <w:t xml:space="preserve">                     </w:t>
      </w:r>
    </w:p>
    <w:p>
      <w:pPr>
        <w:pStyle w:val="null3"/>
        <w:jc w:val="both"/>
      </w:pPr>
      <w:r>
        <w:rPr>
          <w:u w:val="single"/>
        </w:rPr>
        <w:t xml:space="preserve">    </w:t>
      </w:r>
      <w:r>
        <w:rPr>
          <w:sz w:val="24"/>
        </w:rPr>
        <w:t>年</w:t>
      </w:r>
      <w:r>
        <w:rPr>
          <w:u w:val="single"/>
        </w:rPr>
        <w:t xml:space="preserve">    </w:t>
      </w:r>
      <w:r>
        <w:rPr>
          <w:sz w:val="24"/>
        </w:rPr>
        <w:t>月</w:t>
      </w:r>
    </w:p>
    <w:p>
      <w:pPr>
        <w:pStyle w:val="null3"/>
        <w:jc w:val="both"/>
      </w:pPr>
      <w:r>
        <w:rPr/>
        <w:t xml:space="preserve"> </w:t>
      </w:r>
    </w:p>
    <w:p>
      <w:pPr>
        <w:pStyle w:val="null3"/>
        <w:jc w:val="both"/>
      </w:pPr>
      <w:r>
        <w:rPr>
          <w:sz w:val="24"/>
          <w:b/>
        </w:rPr>
        <w:t>甲方（采购人）：</w:t>
      </w:r>
      <w:r>
        <w:rPr>
          <w:sz w:val="24"/>
          <w:b/>
          <w:u w:val="single"/>
        </w:rPr>
        <w:t>中山市财政局</w:t>
      </w:r>
    </w:p>
    <w:p>
      <w:pPr>
        <w:pStyle w:val="null3"/>
        <w:jc w:val="both"/>
      </w:pPr>
      <w:r>
        <w:rPr>
          <w:sz w:val="24"/>
        </w:rPr>
        <w:t>住所地：</w:t>
      </w:r>
      <w:r>
        <w:rPr>
          <w:u w:val="single"/>
        </w:rPr>
        <w:t xml:space="preserve">                              </w:t>
      </w:r>
    </w:p>
    <w:p>
      <w:pPr>
        <w:pStyle w:val="null3"/>
        <w:jc w:val="both"/>
      </w:pPr>
      <w:r>
        <w:rPr>
          <w:sz w:val="24"/>
        </w:rPr>
        <w:t>法定代表人：</w:t>
      </w:r>
      <w:r>
        <w:rPr>
          <w:u w:val="single"/>
        </w:rPr>
        <w:t xml:space="preserve">                          </w:t>
      </w:r>
    </w:p>
    <w:p>
      <w:pPr>
        <w:pStyle w:val="null3"/>
        <w:jc w:val="both"/>
      </w:pPr>
      <w:r>
        <w:rPr>
          <w:sz w:val="24"/>
        </w:rPr>
        <w:t>项目联系人：</w:t>
      </w:r>
      <w:r>
        <w:rPr>
          <w:u w:val="single"/>
        </w:rPr>
        <w:t xml:space="preserve">                          </w:t>
      </w:r>
    </w:p>
    <w:p>
      <w:pPr>
        <w:pStyle w:val="null3"/>
        <w:jc w:val="both"/>
      </w:pPr>
      <w:r>
        <w:rPr>
          <w:sz w:val="24"/>
        </w:rPr>
        <w:t>联系方式：</w:t>
      </w:r>
      <w:r>
        <w:rPr>
          <w:u w:val="single"/>
        </w:rPr>
        <w:t xml:space="preserve">                            </w:t>
      </w:r>
    </w:p>
    <w:p>
      <w:pPr>
        <w:pStyle w:val="null3"/>
        <w:jc w:val="both"/>
      </w:pPr>
      <w:r>
        <w:rPr>
          <w:sz w:val="24"/>
          <w:b/>
        </w:rPr>
        <w:t>乙方（中标人）：</w:t>
      </w:r>
      <w:r>
        <w:rPr>
          <w:b/>
          <w:u w:val="single"/>
        </w:rPr>
        <w:t xml:space="preserve">                      </w:t>
      </w:r>
    </w:p>
    <w:p>
      <w:pPr>
        <w:pStyle w:val="null3"/>
        <w:jc w:val="both"/>
      </w:pPr>
      <w:r>
        <w:rPr>
          <w:sz w:val="24"/>
        </w:rPr>
        <w:t>住所地：</w:t>
      </w:r>
      <w:r>
        <w:rPr>
          <w:u w:val="single"/>
        </w:rPr>
        <w:t xml:space="preserve">                              </w:t>
      </w:r>
    </w:p>
    <w:p>
      <w:pPr>
        <w:pStyle w:val="null3"/>
        <w:jc w:val="both"/>
      </w:pPr>
      <w:r>
        <w:rPr>
          <w:sz w:val="24"/>
        </w:rPr>
        <w:t>法定代表人</w:t>
      </w:r>
      <w:r>
        <w:rPr>
          <w:sz w:val="24"/>
        </w:rPr>
        <w:t>/负责人</w:t>
      </w:r>
      <w:r>
        <w:rPr>
          <w:sz w:val="24"/>
        </w:rPr>
        <w:t>：</w:t>
      </w:r>
      <w:r>
        <w:rPr>
          <w:u w:val="single"/>
        </w:rPr>
        <w:t xml:space="preserve">                   </w:t>
      </w:r>
    </w:p>
    <w:p>
      <w:pPr>
        <w:pStyle w:val="null3"/>
        <w:jc w:val="both"/>
      </w:pPr>
      <w:r>
        <w:rPr>
          <w:sz w:val="24"/>
        </w:rPr>
        <w:t>项目联系人：</w:t>
      </w:r>
      <w:r>
        <w:rPr>
          <w:u w:val="single"/>
        </w:rPr>
        <w:t xml:space="preserve">                          </w:t>
      </w:r>
    </w:p>
    <w:p>
      <w:pPr>
        <w:pStyle w:val="null3"/>
        <w:jc w:val="both"/>
      </w:pPr>
      <w:r>
        <w:rPr>
          <w:sz w:val="24"/>
        </w:rPr>
        <w:t>联系方式：</w:t>
      </w:r>
      <w:r>
        <w:rPr>
          <w:u w:val="single"/>
        </w:rPr>
        <w:t xml:space="preserve">                            </w:t>
      </w:r>
    </w:p>
    <w:p>
      <w:pPr>
        <w:pStyle w:val="null3"/>
        <w:jc w:val="both"/>
      </w:pPr>
      <w:r>
        <w:rPr>
          <w:sz w:val="24"/>
          <w:b/>
        </w:rPr>
        <w:t>丙方（中标人）：</w:t>
      </w:r>
      <w:r>
        <w:rPr>
          <w:b/>
          <w:u w:val="single"/>
        </w:rPr>
        <w:t xml:space="preserve">                      </w:t>
      </w:r>
    </w:p>
    <w:p>
      <w:pPr>
        <w:pStyle w:val="null3"/>
        <w:jc w:val="both"/>
      </w:pPr>
      <w:r>
        <w:rPr>
          <w:sz w:val="24"/>
        </w:rPr>
        <w:t>住所地：</w:t>
      </w:r>
      <w:r>
        <w:rPr>
          <w:u w:val="single"/>
        </w:rPr>
        <w:t xml:space="preserve">                              </w:t>
      </w:r>
    </w:p>
    <w:p>
      <w:pPr>
        <w:pStyle w:val="null3"/>
        <w:jc w:val="both"/>
      </w:pPr>
      <w:r>
        <w:rPr>
          <w:sz w:val="24"/>
        </w:rPr>
        <w:t>法定代表人</w:t>
      </w:r>
      <w:r>
        <w:rPr>
          <w:sz w:val="24"/>
        </w:rPr>
        <w:t>/负责人</w:t>
      </w:r>
      <w:r>
        <w:rPr>
          <w:sz w:val="24"/>
        </w:rPr>
        <w:t>：</w:t>
      </w:r>
      <w:r>
        <w:rPr>
          <w:u w:val="single"/>
        </w:rPr>
        <w:t xml:space="preserve">                   </w:t>
      </w:r>
    </w:p>
    <w:p>
      <w:pPr>
        <w:pStyle w:val="null3"/>
        <w:jc w:val="both"/>
      </w:pPr>
      <w:r>
        <w:rPr>
          <w:sz w:val="24"/>
        </w:rPr>
        <w:t>项目联系人：</w:t>
      </w:r>
      <w:r>
        <w:rPr>
          <w:u w:val="single"/>
        </w:rPr>
        <w:t xml:space="preserve">                          </w:t>
      </w:r>
    </w:p>
    <w:p>
      <w:pPr>
        <w:pStyle w:val="null3"/>
        <w:jc w:val="both"/>
      </w:pPr>
      <w:r>
        <w:rPr>
          <w:sz w:val="24"/>
        </w:rPr>
        <w:t>联系方式：</w:t>
      </w:r>
      <w:r>
        <w:rPr>
          <w:u w:val="single"/>
        </w:rPr>
        <w:t xml:space="preserve">                            </w:t>
      </w:r>
    </w:p>
    <w:p>
      <w:pPr>
        <w:pStyle w:val="null3"/>
        <w:jc w:val="both"/>
      </w:pPr>
      <w:r>
        <w:rPr>
          <w:sz w:val="24"/>
          <w:b/>
        </w:rPr>
        <w:t>丁方（中标人）：</w:t>
      </w:r>
      <w:r>
        <w:rPr>
          <w:b/>
          <w:u w:val="single"/>
        </w:rPr>
        <w:t xml:space="preserve">                      </w:t>
      </w:r>
    </w:p>
    <w:p>
      <w:pPr>
        <w:pStyle w:val="null3"/>
        <w:jc w:val="both"/>
      </w:pPr>
      <w:r>
        <w:rPr>
          <w:sz w:val="24"/>
        </w:rPr>
        <w:t>住所地：</w:t>
      </w:r>
      <w:r>
        <w:rPr>
          <w:u w:val="single"/>
        </w:rPr>
        <w:t xml:space="preserve">                              </w:t>
      </w:r>
    </w:p>
    <w:p>
      <w:pPr>
        <w:pStyle w:val="null3"/>
        <w:jc w:val="both"/>
      </w:pPr>
      <w:r>
        <w:rPr>
          <w:sz w:val="24"/>
        </w:rPr>
        <w:t>法定代表人</w:t>
      </w:r>
      <w:r>
        <w:rPr>
          <w:sz w:val="24"/>
        </w:rPr>
        <w:t>/负责人</w:t>
      </w:r>
      <w:r>
        <w:rPr>
          <w:sz w:val="24"/>
        </w:rPr>
        <w:t>：</w:t>
      </w:r>
      <w:r>
        <w:rPr>
          <w:u w:val="single"/>
        </w:rPr>
        <w:t xml:space="preserve">                   </w:t>
      </w:r>
    </w:p>
    <w:p>
      <w:pPr>
        <w:pStyle w:val="null3"/>
        <w:jc w:val="both"/>
      </w:pPr>
      <w:r>
        <w:rPr>
          <w:sz w:val="24"/>
        </w:rPr>
        <w:t>项目联系人：</w:t>
      </w:r>
      <w:r>
        <w:rPr>
          <w:u w:val="single"/>
        </w:rPr>
        <w:t xml:space="preserve">                          </w:t>
      </w:r>
    </w:p>
    <w:p>
      <w:pPr>
        <w:pStyle w:val="null3"/>
        <w:jc w:val="both"/>
      </w:pPr>
      <w:r>
        <w:rPr>
          <w:sz w:val="24"/>
        </w:rPr>
        <w:t>联系方式：</w:t>
      </w:r>
      <w:r>
        <w:rPr>
          <w:u w:val="single"/>
        </w:rPr>
        <w:t xml:space="preserve">                            </w:t>
      </w:r>
    </w:p>
    <w:p>
      <w:pPr>
        <w:pStyle w:val="null3"/>
        <w:jc w:val="both"/>
      </w:pPr>
      <w:r>
        <w:rPr>
          <w:sz w:val="24"/>
          <w:b/>
        </w:rPr>
        <w:t>戊方（中标人）：</w:t>
      </w:r>
      <w:r>
        <w:rPr>
          <w:b/>
          <w:u w:val="single"/>
        </w:rPr>
        <w:t xml:space="preserve">                      </w:t>
      </w:r>
    </w:p>
    <w:p>
      <w:pPr>
        <w:pStyle w:val="null3"/>
        <w:jc w:val="both"/>
      </w:pPr>
      <w:r>
        <w:rPr>
          <w:sz w:val="24"/>
        </w:rPr>
        <w:t>住所地：</w:t>
      </w:r>
      <w:r>
        <w:rPr>
          <w:u w:val="single"/>
        </w:rPr>
        <w:t xml:space="preserve">                              </w:t>
      </w:r>
    </w:p>
    <w:p>
      <w:pPr>
        <w:pStyle w:val="null3"/>
        <w:jc w:val="both"/>
      </w:pPr>
      <w:r>
        <w:rPr>
          <w:sz w:val="24"/>
        </w:rPr>
        <w:t>法定代表人</w:t>
      </w:r>
      <w:r>
        <w:rPr>
          <w:sz w:val="24"/>
        </w:rPr>
        <w:t>/负责人</w:t>
      </w:r>
      <w:r>
        <w:rPr>
          <w:sz w:val="24"/>
        </w:rPr>
        <w:t>：</w:t>
      </w:r>
      <w:r>
        <w:rPr>
          <w:u w:val="single"/>
        </w:rPr>
        <w:t xml:space="preserve">                   </w:t>
      </w:r>
    </w:p>
    <w:p>
      <w:pPr>
        <w:pStyle w:val="null3"/>
        <w:jc w:val="both"/>
      </w:pPr>
      <w:r>
        <w:rPr>
          <w:sz w:val="24"/>
        </w:rPr>
        <w:t>项目联系人：</w:t>
      </w:r>
      <w:r>
        <w:rPr>
          <w:u w:val="single"/>
        </w:rPr>
        <w:t xml:space="preserve">                          </w:t>
      </w:r>
    </w:p>
    <w:p>
      <w:pPr>
        <w:pStyle w:val="null3"/>
        <w:jc w:val="both"/>
      </w:pPr>
      <w:r>
        <w:rPr>
          <w:sz w:val="24"/>
        </w:rPr>
        <w:t>联系方式：</w:t>
      </w:r>
      <w:r>
        <w:rPr>
          <w:u w:val="single"/>
        </w:rPr>
        <w:t xml:space="preserve">                            </w:t>
      </w:r>
    </w:p>
    <w:p>
      <w:pPr>
        <w:pStyle w:val="null3"/>
        <w:jc w:val="both"/>
      </w:pPr>
      <w:r>
        <w:rPr/>
        <w:t xml:space="preserve"> </w:t>
      </w:r>
    </w:p>
    <w:p>
      <w:pPr>
        <w:pStyle w:val="null3"/>
        <w:ind w:right="135" w:firstLine="480"/>
        <w:jc w:val="both"/>
      </w:pPr>
      <w:r>
        <w:rPr>
          <w:sz w:val="24"/>
        </w:rPr>
        <w:t>根据</w:t>
      </w:r>
      <w:r>
        <w:rPr>
          <w:sz w:val="24"/>
          <w:u w:val="single"/>
        </w:rPr>
        <w:t>2026-2028年度中山市巨灾保险采购项目</w:t>
      </w:r>
      <w:r>
        <w:rPr>
          <w:sz w:val="24"/>
          <w:u w:val="single"/>
        </w:rPr>
        <w:t>采购</w:t>
      </w:r>
      <w:r>
        <w:rPr>
          <w:sz w:val="24"/>
        </w:rPr>
        <w:t>工作中标结果，经甲、乙、丙、丁各方协商一致，签订本保险合同。</w:t>
      </w:r>
    </w:p>
    <w:p>
      <w:pPr>
        <w:pStyle w:val="null3"/>
        <w:ind w:left="120"/>
        <w:jc w:val="both"/>
      </w:pPr>
      <w:r>
        <w:rPr>
          <w:sz w:val="24"/>
          <w:b/>
        </w:rPr>
        <w:t>一、采购标的、数量</w:t>
      </w:r>
    </w:p>
    <w:tbl>
      <w:tblPr>
        <w:tblW w:w="0" w:type="auto"/>
        <w:tblBorders>
          <w:top w:val="none" w:color="000000" w:sz="4"/>
          <w:left w:val="none" w:color="000000" w:sz="4"/>
          <w:bottom w:val="none" w:color="000000" w:sz="4"/>
          <w:right w:val="none" w:color="000000" w:sz="4"/>
          <w:insideH w:val="none"/>
          <w:insideV w:val="none"/>
        </w:tblBorders>
      </w:tblPr>
      <w:tblGrid>
        <w:gridCol w:w="1678"/>
        <w:gridCol w:w="4949"/>
        <w:gridCol w:w="1678"/>
      </w:tblGrid>
      <w:tr>
        <w:tc>
          <w:tcPr>
            <w:tcW w:type="dxa" w:w="16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序号</w:t>
            </w:r>
          </w:p>
        </w:tc>
        <w:tc>
          <w:tcPr>
            <w:tcW w:type="dxa" w:w="494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采购标的</w:t>
            </w:r>
          </w:p>
        </w:tc>
        <w:tc>
          <w:tcPr>
            <w:tcW w:type="dxa" w:w="16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数量</w:t>
            </w:r>
          </w:p>
        </w:tc>
      </w:tr>
      <w:tr>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c>
          <w:tcPr>
            <w:tcW w:type="dxa" w:w="4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巨灾保险</w:t>
            </w:r>
          </w:p>
        </w:tc>
        <w:tc>
          <w:tcPr>
            <w:tcW w:type="dxa" w:w="1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r>
    </w:tbl>
    <w:p>
      <w:pPr>
        <w:pStyle w:val="null3"/>
        <w:jc w:val="both"/>
      </w:pPr>
      <w:r>
        <w:rPr>
          <w:sz w:val="24"/>
          <w:b/>
        </w:rPr>
        <w:t>二、投保人和被保险人</w:t>
      </w:r>
    </w:p>
    <w:p>
      <w:pPr>
        <w:pStyle w:val="null3"/>
        <w:ind w:firstLine="480"/>
        <w:jc w:val="both"/>
      </w:pPr>
      <w:r>
        <w:rPr>
          <w:sz w:val="24"/>
        </w:rPr>
        <w:t>1.投保人：中山市人民政府</w:t>
      </w:r>
      <w:r>
        <w:rPr>
          <w:sz w:val="24"/>
        </w:rPr>
        <w:t>（</w:t>
      </w:r>
      <w:r>
        <w:rPr>
          <w:sz w:val="24"/>
        </w:rPr>
        <w:t>由甲方</w:t>
      </w:r>
      <w:r>
        <w:rPr>
          <w:sz w:val="24"/>
        </w:rPr>
        <w:t>中山市财政局</w:t>
      </w:r>
      <w:r>
        <w:rPr>
          <w:sz w:val="24"/>
        </w:rPr>
        <w:t>代表</w:t>
      </w:r>
      <w:r>
        <w:rPr>
          <w:sz w:val="24"/>
        </w:rPr>
        <w:t>）</w:t>
      </w:r>
      <w:r>
        <w:rPr/>
        <w:t xml:space="preserve"> </w:t>
      </w:r>
    </w:p>
    <w:p>
      <w:pPr>
        <w:pStyle w:val="null3"/>
        <w:ind w:firstLine="480"/>
        <w:jc w:val="both"/>
      </w:pPr>
      <w:r>
        <w:rPr>
          <w:sz w:val="24"/>
        </w:rPr>
        <w:t>2.被保险人：中山市人民政府</w:t>
      </w:r>
    </w:p>
    <w:p>
      <w:pPr>
        <w:pStyle w:val="null3"/>
        <w:jc w:val="both"/>
      </w:pPr>
      <w:r>
        <w:rPr>
          <w:sz w:val="24"/>
          <w:b/>
        </w:rPr>
        <w:t>三、共保体</w:t>
      </w:r>
    </w:p>
    <w:p>
      <w:pPr>
        <w:pStyle w:val="null3"/>
        <w:ind w:firstLine="480"/>
        <w:jc w:val="both"/>
      </w:pPr>
      <w:r>
        <w:rPr>
          <w:sz w:val="24"/>
          <w:u w:val="single"/>
        </w:rPr>
        <w:t>乙方（公司名称）</w:t>
      </w:r>
      <w:r>
        <w:rPr>
          <w:sz w:val="24"/>
        </w:rPr>
        <w:t>为共保体首席承保人，全面牵头负责本项目的共保体组建、展业、出单及理赔、服务工作，承担本项目共保体</w:t>
      </w:r>
      <w:r>
        <w:rPr>
          <w:sz w:val="24"/>
        </w:rPr>
        <w:t>50%份额；</w:t>
      </w:r>
      <w:r>
        <w:rPr>
          <w:sz w:val="24"/>
          <w:u w:val="single"/>
        </w:rPr>
        <w:t>丙方（公司名称）</w:t>
      </w:r>
      <w:r>
        <w:rPr>
          <w:sz w:val="24"/>
        </w:rPr>
        <w:t>、</w:t>
      </w:r>
      <w:r>
        <w:rPr>
          <w:sz w:val="24"/>
          <w:u w:val="single"/>
        </w:rPr>
        <w:t>丁方（公司名称）</w:t>
      </w:r>
      <w:r>
        <w:rPr>
          <w:sz w:val="24"/>
        </w:rPr>
        <w:t>、</w:t>
      </w:r>
      <w:r>
        <w:rPr>
          <w:sz w:val="24"/>
          <w:u w:val="single"/>
        </w:rPr>
        <w:t>戊方（公司名称）</w:t>
      </w:r>
      <w:r>
        <w:rPr>
          <w:sz w:val="24"/>
        </w:rPr>
        <w:t>配合首席承保人做好各项工作，并分别承担本项目共保体</w:t>
      </w:r>
      <w:r>
        <w:rPr>
          <w:sz w:val="24"/>
        </w:rPr>
        <w:t>20%、18%和12%的份</w:t>
      </w:r>
      <w:r>
        <w:rPr>
          <w:sz w:val="24"/>
        </w:rPr>
        <w:t>额。</w:t>
      </w:r>
    </w:p>
    <w:p>
      <w:pPr>
        <w:pStyle w:val="null3"/>
        <w:jc w:val="both"/>
      </w:pPr>
      <w:r>
        <w:rPr>
          <w:sz w:val="24"/>
          <w:b/>
        </w:rPr>
        <w:t>四、合同金额</w:t>
      </w:r>
    </w:p>
    <w:p>
      <w:pPr>
        <w:pStyle w:val="null3"/>
        <w:ind w:firstLine="480"/>
        <w:jc w:val="both"/>
      </w:pPr>
      <w:r>
        <w:rPr>
          <w:sz w:val="24"/>
        </w:rPr>
        <w:t>1.</w:t>
      </w:r>
      <w:r>
        <w:rPr>
          <w:sz w:val="24"/>
        </w:rPr>
        <w:t>合同金额为</w:t>
      </w:r>
      <w:r>
        <w:rPr>
          <w:sz w:val="24"/>
        </w:rPr>
        <w:t>（</w:t>
      </w:r>
      <w:r>
        <w:rPr>
          <w:sz w:val="24"/>
        </w:rPr>
        <w:t>大写</w:t>
      </w:r>
      <w:r>
        <w:rPr>
          <w:sz w:val="24"/>
        </w:rPr>
        <w:t>）：</w:t>
      </w:r>
      <w:r>
        <w:rPr>
          <w:sz w:val="24"/>
          <w:u w:val="single"/>
        </w:rPr>
        <w:t xml:space="preserve">           </w:t>
      </w:r>
      <w:r>
        <w:rPr>
          <w:sz w:val="24"/>
          <w:u w:val="single"/>
        </w:rPr>
        <w:t>元整</w:t>
      </w:r>
      <w:r>
        <w:rPr>
          <w:sz w:val="24"/>
        </w:rPr>
        <w:t>（</w:t>
      </w:r>
      <w:r>
        <w:rPr>
          <w:sz w:val="24"/>
        </w:rPr>
        <w:t>¥</w:t>
      </w:r>
      <w:r>
        <w:rPr>
          <w:u w:val="single"/>
        </w:rPr>
        <w:t xml:space="preserve">           </w:t>
      </w:r>
      <w:r>
        <w:rPr>
          <w:sz w:val="24"/>
        </w:rPr>
        <w:t>），</w:t>
      </w:r>
      <w:r>
        <w:rPr>
          <w:sz w:val="24"/>
        </w:rPr>
        <w:t>含</w:t>
      </w:r>
      <w:r>
        <w:rPr>
          <w:sz w:val="24"/>
        </w:rPr>
        <w:t>6%增值税及附加税</w:t>
      </w:r>
      <w:r>
        <w:rPr>
          <w:sz w:val="24"/>
        </w:rPr>
        <w:t>。</w:t>
      </w:r>
      <w:r>
        <w:rPr>
          <w:sz w:val="24"/>
        </w:rPr>
        <w:t>前述合同金额含完成本次招标（采购）所有服务内容的费用，包括人工费、劳保费、保险费、材料费、设备使用费、技术服务咨询与编制、各种税务费、必须的辅助材料费及合同实施过程中不可预见费用等全部费用。若在项目实施过程中出现报价内容的任何遗漏，均由乙方提供，甲方无需另行支付。</w:t>
      </w:r>
    </w:p>
    <w:p>
      <w:pPr>
        <w:pStyle w:val="null3"/>
        <w:ind w:firstLine="480"/>
        <w:jc w:val="both"/>
      </w:pPr>
      <w:r>
        <w:rPr>
          <w:sz w:val="24"/>
        </w:rPr>
        <w:t>2.</w:t>
      </w:r>
      <w:r>
        <w:rPr>
          <w:sz w:val="24"/>
        </w:rPr>
        <w:t>合同金额计算过程：</w:t>
      </w:r>
    </w:p>
    <w:p>
      <w:pPr>
        <w:pStyle w:val="null3"/>
        <w:ind w:firstLine="480"/>
        <w:jc w:val="both"/>
      </w:pPr>
      <w:r>
        <w:rPr>
          <w:sz w:val="24"/>
        </w:rPr>
        <w:t>（</w:t>
      </w:r>
      <w:r>
        <w:rPr>
          <w:sz w:val="24"/>
        </w:rPr>
        <w:t>1）综合排名第一的中标人</w:t>
      </w:r>
      <w:r>
        <w:rPr>
          <w:sz w:val="24"/>
        </w:rPr>
        <w:t>（</w:t>
      </w:r>
      <w:r>
        <w:rPr>
          <w:sz w:val="24"/>
          <w:u w:val="single"/>
        </w:rPr>
        <w:t>乙方（公司名称）</w:t>
      </w:r>
      <w:r>
        <w:rPr>
          <w:sz w:val="24"/>
        </w:rPr>
        <w:t>）：</w:t>
      </w:r>
      <w:r>
        <w:rPr>
          <w:sz w:val="24"/>
        </w:rPr>
        <w:t>中标</w:t>
      </w:r>
      <w:r>
        <w:rPr>
          <w:sz w:val="24"/>
        </w:rPr>
        <w:t>金额</w:t>
      </w:r>
      <w:r>
        <w:rPr>
          <w:sz w:val="24"/>
        </w:rPr>
        <w:t>×共保分担比例50%=</w:t>
      </w:r>
      <w:r>
        <w:rPr>
          <w:u w:val="single"/>
        </w:rPr>
        <w:t xml:space="preserve">          </w:t>
      </w:r>
      <w:r>
        <w:rPr>
          <w:sz w:val="24"/>
        </w:rPr>
        <w:t>元；</w:t>
      </w:r>
    </w:p>
    <w:p>
      <w:pPr>
        <w:pStyle w:val="null3"/>
        <w:ind w:firstLine="480"/>
        <w:jc w:val="both"/>
      </w:pPr>
      <w:r>
        <w:rPr>
          <w:sz w:val="24"/>
        </w:rPr>
        <w:t>（</w:t>
      </w:r>
      <w:r>
        <w:rPr>
          <w:sz w:val="24"/>
        </w:rPr>
        <w:t>2）综合排名第二的中标人</w:t>
      </w:r>
      <w:r>
        <w:rPr>
          <w:sz w:val="24"/>
        </w:rPr>
        <w:t>（</w:t>
      </w:r>
      <w:r>
        <w:rPr>
          <w:sz w:val="24"/>
          <w:u w:val="single"/>
        </w:rPr>
        <w:t>丙方（公司名称）</w:t>
      </w:r>
      <w:r>
        <w:rPr>
          <w:sz w:val="24"/>
        </w:rPr>
        <w:t>）：</w:t>
      </w:r>
      <w:r>
        <w:rPr>
          <w:sz w:val="24"/>
        </w:rPr>
        <w:t>中标</w:t>
      </w:r>
      <w:r>
        <w:rPr>
          <w:sz w:val="24"/>
        </w:rPr>
        <w:t>金额</w:t>
      </w:r>
      <w:r>
        <w:rPr>
          <w:sz w:val="24"/>
        </w:rPr>
        <w:t>×共保分担比例20%=</w:t>
      </w:r>
      <w:r>
        <w:rPr>
          <w:u w:val="single"/>
        </w:rPr>
        <w:t xml:space="preserve">          </w:t>
      </w:r>
      <w:r>
        <w:rPr>
          <w:sz w:val="24"/>
        </w:rPr>
        <w:t>元；</w:t>
      </w:r>
    </w:p>
    <w:p>
      <w:pPr>
        <w:pStyle w:val="null3"/>
        <w:ind w:firstLine="480"/>
        <w:jc w:val="both"/>
      </w:pPr>
      <w:r>
        <w:rPr>
          <w:sz w:val="24"/>
        </w:rPr>
        <w:t>（</w:t>
      </w:r>
      <w:r>
        <w:rPr>
          <w:sz w:val="24"/>
        </w:rPr>
        <w:t>3）综合排名第三的中标人</w:t>
      </w:r>
      <w:r>
        <w:rPr>
          <w:sz w:val="24"/>
        </w:rPr>
        <w:t>（</w:t>
      </w:r>
      <w:r>
        <w:rPr>
          <w:sz w:val="24"/>
          <w:u w:val="single"/>
        </w:rPr>
        <w:t>丁方（公司名称）</w:t>
      </w:r>
      <w:r>
        <w:rPr>
          <w:sz w:val="24"/>
        </w:rPr>
        <w:t>）：</w:t>
      </w:r>
      <w:r>
        <w:rPr>
          <w:sz w:val="24"/>
        </w:rPr>
        <w:t>中标</w:t>
      </w:r>
      <w:r>
        <w:rPr>
          <w:sz w:val="24"/>
        </w:rPr>
        <w:t>金额</w:t>
      </w:r>
      <w:r>
        <w:rPr>
          <w:sz w:val="24"/>
        </w:rPr>
        <w:t>×共保分担比例18%=</w:t>
      </w:r>
      <w:r>
        <w:rPr>
          <w:u w:val="single"/>
        </w:rPr>
        <w:t xml:space="preserve">          </w:t>
      </w:r>
      <w:r>
        <w:rPr>
          <w:sz w:val="24"/>
        </w:rPr>
        <w:t>元；</w:t>
      </w:r>
    </w:p>
    <w:p>
      <w:pPr>
        <w:pStyle w:val="null3"/>
        <w:ind w:firstLine="480"/>
        <w:jc w:val="both"/>
      </w:pPr>
      <w:r>
        <w:rPr>
          <w:sz w:val="24"/>
        </w:rPr>
        <w:t>（</w:t>
      </w:r>
      <w:r>
        <w:rPr>
          <w:sz w:val="24"/>
        </w:rPr>
        <w:t>4）综合排名第四的中标人</w:t>
      </w:r>
      <w:r>
        <w:rPr>
          <w:sz w:val="24"/>
        </w:rPr>
        <w:t>（</w:t>
      </w:r>
      <w:r>
        <w:rPr>
          <w:sz w:val="24"/>
          <w:u w:val="single"/>
        </w:rPr>
        <w:t>戊方（公司名称）</w:t>
      </w:r>
      <w:r>
        <w:rPr>
          <w:sz w:val="24"/>
        </w:rPr>
        <w:t>）：</w:t>
      </w:r>
      <w:r>
        <w:rPr>
          <w:sz w:val="24"/>
        </w:rPr>
        <w:t>中标</w:t>
      </w:r>
      <w:r>
        <w:rPr>
          <w:sz w:val="24"/>
        </w:rPr>
        <w:t>金额</w:t>
      </w:r>
      <w:r>
        <w:rPr>
          <w:sz w:val="24"/>
        </w:rPr>
        <w:t>×共保分担比例12%=</w:t>
      </w:r>
      <w:r>
        <w:rPr>
          <w:u w:val="single"/>
        </w:rPr>
        <w:t xml:space="preserve">          </w:t>
      </w:r>
      <w:r>
        <w:rPr>
          <w:sz w:val="24"/>
        </w:rPr>
        <w:t>元；</w:t>
      </w:r>
    </w:p>
    <w:p>
      <w:pPr>
        <w:pStyle w:val="null3"/>
        <w:ind w:firstLine="480"/>
        <w:jc w:val="both"/>
      </w:pPr>
      <w:r>
        <w:rPr>
          <w:sz w:val="24"/>
        </w:rPr>
        <w:t>合计：</w:t>
      </w:r>
      <w:r>
        <w:rPr>
          <w:u w:val="single"/>
        </w:rPr>
        <w:t xml:space="preserve">              </w:t>
      </w:r>
      <w:r>
        <w:rPr>
          <w:sz w:val="24"/>
        </w:rPr>
        <w:t>元</w:t>
      </w:r>
      <w:r>
        <w:rPr>
          <w:sz w:val="24"/>
        </w:rPr>
        <w:t>。</w:t>
      </w:r>
    </w:p>
    <w:p>
      <w:pPr>
        <w:pStyle w:val="null3"/>
        <w:jc w:val="both"/>
      </w:pPr>
      <w:r>
        <w:rPr>
          <w:sz w:val="24"/>
          <w:b/>
        </w:rPr>
        <w:t>五、保险灾害种类</w:t>
      </w:r>
    </w:p>
    <w:p>
      <w:pPr>
        <w:pStyle w:val="null3"/>
        <w:ind w:firstLine="480"/>
        <w:jc w:val="both"/>
      </w:pPr>
      <w:r>
        <w:rPr>
          <w:sz w:val="24"/>
        </w:rPr>
        <w:t>根据中山市自然灾害的特点，选择台风、强降雨为保险灾害种类。</w:t>
      </w:r>
    </w:p>
    <w:p>
      <w:pPr>
        <w:pStyle w:val="null3"/>
        <w:jc w:val="both"/>
      </w:pPr>
      <w:r>
        <w:rPr>
          <w:sz w:val="24"/>
          <w:b/>
        </w:rPr>
        <w:t>六、保险责任</w:t>
      </w:r>
    </w:p>
    <w:p>
      <w:pPr>
        <w:pStyle w:val="null3"/>
        <w:ind w:firstLine="480"/>
        <w:jc w:val="both"/>
      </w:pPr>
      <w:r>
        <w:rPr>
          <w:sz w:val="24"/>
        </w:rPr>
        <w:t>详见附件一《</w:t>
      </w:r>
      <w:r>
        <w:rPr>
          <w:sz w:val="24"/>
        </w:rPr>
        <w:t>202</w:t>
      </w:r>
      <w:r>
        <w:rPr>
          <w:sz w:val="24"/>
        </w:rPr>
        <w:t>6</w:t>
      </w:r>
      <w:r>
        <w:rPr>
          <w:sz w:val="24"/>
        </w:rPr>
        <w:t>-202</w:t>
      </w:r>
      <w:r>
        <w:rPr>
          <w:sz w:val="24"/>
        </w:rPr>
        <w:t>8</w:t>
      </w:r>
      <w:r>
        <w:rPr>
          <w:sz w:val="24"/>
        </w:rPr>
        <w:t>年中山市台风强降雨巨灾指数保险方案》</w:t>
      </w:r>
    </w:p>
    <w:p>
      <w:pPr>
        <w:pStyle w:val="null3"/>
        <w:jc w:val="both"/>
      </w:pPr>
      <w:r>
        <w:rPr>
          <w:sz w:val="24"/>
          <w:b/>
        </w:rPr>
        <w:t>七、合同各方的权利和义务</w:t>
      </w:r>
    </w:p>
    <w:p>
      <w:pPr>
        <w:pStyle w:val="null3"/>
        <w:ind w:firstLine="480"/>
        <w:jc w:val="both"/>
      </w:pPr>
      <w:r>
        <w:rPr>
          <w:sz w:val="24"/>
        </w:rPr>
        <w:t>1.</w:t>
      </w:r>
      <w:r>
        <w:rPr>
          <w:sz w:val="24"/>
        </w:rPr>
        <w:t>甲方的权利和义务：甲方要求乙方提供本项目相关的服务；甲方应允许乙方查阅与本保险相关的运营、数据和记录等信息，并根据要求提供乙方所需信息，协助乙方开展出单、理赔和共保体组建等工作。</w:t>
      </w:r>
    </w:p>
    <w:p>
      <w:pPr>
        <w:pStyle w:val="null3"/>
        <w:ind w:firstLine="480"/>
        <w:jc w:val="both"/>
      </w:pPr>
      <w:r>
        <w:rPr>
          <w:sz w:val="24"/>
        </w:rPr>
        <w:t>2.</w:t>
      </w:r>
      <w:r>
        <w:rPr>
          <w:sz w:val="24"/>
        </w:rPr>
        <w:t>乙方的权利和义务：乙方根据甲方要求全面牵头组建中山市巨灾指数保险共保体工作，全面负责本项目的展业、出单及理赔、费用结算、服务工作。乙方应切实履行本合同的服务承诺，不断提高服务水平和能力。</w:t>
      </w:r>
    </w:p>
    <w:p>
      <w:pPr>
        <w:pStyle w:val="null3"/>
        <w:ind w:firstLine="480"/>
        <w:jc w:val="both"/>
      </w:pPr>
      <w:r>
        <w:rPr>
          <w:sz w:val="24"/>
        </w:rPr>
        <w:t>3.</w:t>
      </w:r>
      <w:r>
        <w:rPr>
          <w:sz w:val="24"/>
        </w:rPr>
        <w:t>丙方、丁方、戊方的权利和义务：配合乙方组建中山市巨灾指数保险共保体工作，并协助乙方做好巨灾保险服务工作，针对甲方的咨询、查阅、协助请求予以及时反馈。</w:t>
      </w:r>
    </w:p>
    <w:p>
      <w:pPr>
        <w:pStyle w:val="null3"/>
        <w:jc w:val="both"/>
      </w:pPr>
      <w:r>
        <w:rPr>
          <w:sz w:val="24"/>
          <w:b/>
        </w:rPr>
        <w:t>八、保险期间及地点</w:t>
      </w:r>
    </w:p>
    <w:p>
      <w:pPr>
        <w:pStyle w:val="null3"/>
        <w:ind w:firstLine="480"/>
        <w:jc w:val="both"/>
      </w:pPr>
      <w:r>
        <w:rPr>
          <w:sz w:val="24"/>
        </w:rPr>
        <w:t>1.</w:t>
      </w:r>
      <w:r>
        <w:rPr>
          <w:sz w:val="24"/>
        </w:rPr>
        <w:t>保险期间：自</w:t>
      </w:r>
      <w:r>
        <w:rPr>
          <w:u w:val="single"/>
        </w:rPr>
        <w:t xml:space="preserve">    </w:t>
      </w:r>
      <w:r>
        <w:rPr>
          <w:sz w:val="24"/>
        </w:rPr>
        <w:t>年</w:t>
      </w:r>
      <w:r>
        <w:rPr>
          <w:u w:val="single"/>
        </w:rPr>
        <w:t xml:space="preserve">   </w:t>
      </w:r>
      <w:r>
        <w:rPr>
          <w:sz w:val="24"/>
        </w:rPr>
        <w:t>月</w:t>
      </w:r>
      <w:r>
        <w:rPr>
          <w:u w:val="single"/>
        </w:rPr>
        <w:t xml:space="preserve">   </w:t>
      </w:r>
      <w:r>
        <w:rPr>
          <w:sz w:val="24"/>
        </w:rPr>
        <w:t>日</w:t>
      </w:r>
      <w:r>
        <w:rPr>
          <w:u w:val="single"/>
        </w:rPr>
        <w:t xml:space="preserve">   </w:t>
      </w:r>
      <w:r>
        <w:rPr>
          <w:sz w:val="24"/>
        </w:rPr>
        <w:t>时</w:t>
      </w:r>
      <w:r>
        <w:rPr>
          <w:sz w:val="24"/>
        </w:rPr>
        <w:t>至</w:t>
      </w:r>
      <w:r>
        <w:rPr>
          <w:u w:val="single"/>
        </w:rPr>
        <w:t xml:space="preserve">   </w:t>
      </w:r>
      <w:r>
        <w:rPr>
          <w:sz w:val="24"/>
        </w:rPr>
        <w:t>年</w:t>
      </w:r>
      <w:r>
        <w:rPr>
          <w:u w:val="single"/>
        </w:rPr>
        <w:t xml:space="preserve">   </w:t>
      </w:r>
      <w:r>
        <w:rPr>
          <w:sz w:val="24"/>
        </w:rPr>
        <w:t>月</w:t>
      </w:r>
      <w:r>
        <w:rPr>
          <w:u w:val="single"/>
        </w:rPr>
        <w:t xml:space="preserve">   </w:t>
      </w:r>
      <w:r>
        <w:rPr>
          <w:sz w:val="24"/>
        </w:rPr>
        <w:t>日</w:t>
      </w:r>
      <w:r>
        <w:rPr>
          <w:u w:val="single"/>
        </w:rPr>
        <w:t xml:space="preserve">   </w:t>
      </w:r>
      <w:r>
        <w:rPr>
          <w:sz w:val="24"/>
        </w:rPr>
        <w:t>时</w:t>
      </w:r>
      <w:r>
        <w:rPr>
          <w:sz w:val="24"/>
        </w:rPr>
        <w:t>止。</w:t>
      </w:r>
    </w:p>
    <w:p>
      <w:pPr>
        <w:pStyle w:val="null3"/>
        <w:ind w:firstLine="480"/>
        <w:jc w:val="both"/>
      </w:pPr>
      <w:r>
        <w:rPr>
          <w:sz w:val="24"/>
        </w:rPr>
        <w:t>2.</w:t>
      </w:r>
      <w:r>
        <w:rPr>
          <w:sz w:val="24"/>
        </w:rPr>
        <w:t>服务地点：中国广东省中山市行政区域。</w:t>
      </w:r>
    </w:p>
    <w:p>
      <w:pPr>
        <w:pStyle w:val="null3"/>
        <w:jc w:val="both"/>
      </w:pPr>
      <w:r>
        <w:rPr>
          <w:sz w:val="24"/>
          <w:b/>
        </w:rPr>
        <w:t>九、付款时间和方式</w:t>
      </w:r>
    </w:p>
    <w:p>
      <w:pPr>
        <w:pStyle w:val="null3"/>
        <w:ind w:firstLine="480"/>
        <w:jc w:val="left"/>
      </w:pPr>
      <w:r>
        <w:rPr>
          <w:sz w:val="24"/>
        </w:rPr>
        <w:t>1.总保费金额：</w:t>
      </w:r>
      <w:r>
        <w:rPr>
          <w:sz w:val="24"/>
        </w:rPr>
        <w:t>一年保险费为</w:t>
      </w:r>
      <w:r>
        <w:rPr>
          <w:sz w:val="24"/>
        </w:rPr>
        <w:t>人民币</w:t>
      </w:r>
      <w:r>
        <w:rPr>
          <w:u w:val="single"/>
        </w:rPr>
        <w:t xml:space="preserve">    </w:t>
      </w:r>
      <w:r>
        <w:rPr>
          <w:sz w:val="24"/>
        </w:rPr>
        <w:t>元整</w:t>
      </w:r>
      <w:r>
        <w:rPr>
          <w:sz w:val="24"/>
        </w:rPr>
        <w:t>（</w:t>
      </w:r>
      <w:r>
        <w:rPr>
          <w:sz w:val="24"/>
        </w:rPr>
        <w:t>¥</w:t>
      </w:r>
      <w:r>
        <w:rPr>
          <w:u w:val="single"/>
        </w:rPr>
        <w:t xml:space="preserve">     </w:t>
      </w:r>
      <w:r>
        <w:rPr>
          <w:sz w:val="24"/>
        </w:rPr>
        <w:t>），</w:t>
      </w:r>
      <w:r>
        <w:rPr>
          <w:sz w:val="24"/>
        </w:rPr>
        <w:t>即三年保险费合计为</w:t>
      </w:r>
      <w:r>
        <w:rPr>
          <w:sz w:val="24"/>
        </w:rPr>
        <w:t>人民币</w:t>
      </w:r>
      <w:r>
        <w:rPr>
          <w:u w:val="single"/>
        </w:rPr>
        <w:t xml:space="preserve">    </w:t>
      </w:r>
      <w:r>
        <w:rPr>
          <w:sz w:val="24"/>
        </w:rPr>
        <w:t>元整</w:t>
      </w:r>
      <w:r>
        <w:rPr>
          <w:sz w:val="24"/>
        </w:rPr>
        <w:t>（</w:t>
      </w:r>
      <w:r>
        <w:rPr>
          <w:sz w:val="24"/>
        </w:rPr>
        <w:t>¥</w:t>
      </w:r>
      <w:r>
        <w:rPr>
          <w:u w:val="single"/>
        </w:rPr>
        <w:t xml:space="preserve">     </w:t>
      </w:r>
      <w:r>
        <w:rPr>
          <w:sz w:val="24"/>
        </w:rPr>
        <w:t>）</w:t>
      </w:r>
      <w:r>
        <w:rPr>
          <w:sz w:val="24"/>
        </w:rPr>
        <w:t>。</w:t>
      </w:r>
    </w:p>
    <w:p>
      <w:pPr>
        <w:pStyle w:val="null3"/>
        <w:ind w:firstLine="480"/>
        <w:jc w:val="left"/>
      </w:pPr>
      <w:r>
        <w:rPr>
          <w:sz w:val="24"/>
        </w:rPr>
        <w:t>2.甲方在协议生效后按年付清实际投保保险费用，甲方于当年</w:t>
      </w:r>
      <w:r>
        <w:rPr>
          <w:u w:val="single"/>
        </w:rPr>
        <w:t xml:space="preserve">    </w:t>
      </w:r>
      <w:r>
        <w:rPr>
          <w:sz w:val="24"/>
        </w:rPr>
        <w:t>月</w:t>
      </w:r>
      <w:r>
        <w:rPr>
          <w:u w:val="single"/>
        </w:rPr>
        <w:t xml:space="preserve">    </w:t>
      </w:r>
      <w:r>
        <w:rPr>
          <w:sz w:val="24"/>
        </w:rPr>
        <w:t>日前支付当年度投保保险费用。</w:t>
      </w:r>
    </w:p>
    <w:p>
      <w:pPr>
        <w:pStyle w:val="null3"/>
        <w:ind w:firstLine="480"/>
        <w:jc w:val="both"/>
      </w:pPr>
      <w:r>
        <w:rPr>
          <w:sz w:val="24"/>
        </w:rPr>
        <w:t>3.总保费由甲方</w:t>
      </w:r>
      <w:r>
        <w:rPr>
          <w:sz w:val="24"/>
          <w:u w:val="single"/>
        </w:rPr>
        <w:t>按资金到位时间</w:t>
      </w:r>
      <w:r>
        <w:rPr>
          <w:sz w:val="24"/>
        </w:rPr>
        <w:t>支付乙方</w:t>
      </w:r>
      <w:r>
        <w:rPr>
          <w:sz w:val="24"/>
        </w:rPr>
        <w:t>（</w:t>
      </w:r>
      <w:r>
        <w:rPr>
          <w:sz w:val="24"/>
        </w:rPr>
        <w:t>最迟不超过本条第</w:t>
      </w:r>
      <w:r>
        <w:rPr>
          <w:sz w:val="24"/>
        </w:rPr>
        <w:t>2点约定时间</w:t>
      </w:r>
      <w:r>
        <w:rPr>
          <w:sz w:val="24"/>
        </w:rPr>
        <w:t>），</w:t>
      </w:r>
      <w:r>
        <w:rPr>
          <w:sz w:val="24"/>
        </w:rPr>
        <w:t>乙方在收齐全部保费款后</w:t>
      </w:r>
      <w:r>
        <w:rPr>
          <w:sz w:val="24"/>
        </w:rPr>
        <w:t>15天内按本合同第四条计算情况，与共保体其他保险机构完成保费结算。</w:t>
      </w:r>
    </w:p>
    <w:p>
      <w:pPr>
        <w:pStyle w:val="null3"/>
        <w:ind w:firstLine="480"/>
        <w:jc w:val="both"/>
      </w:pPr>
      <w:r>
        <w:rPr>
          <w:sz w:val="24"/>
        </w:rPr>
        <w:t>4.共保体各方开户银行名称、地址和账号。</w:t>
      </w:r>
    </w:p>
    <w:p>
      <w:pPr>
        <w:pStyle w:val="null3"/>
        <w:ind w:firstLine="480"/>
        <w:jc w:val="both"/>
      </w:pPr>
      <w:r>
        <w:rPr>
          <w:sz w:val="24"/>
        </w:rPr>
        <w:t>（</w:t>
      </w:r>
      <w:r>
        <w:rPr>
          <w:sz w:val="24"/>
        </w:rPr>
        <w:t>1）乙方开户银行名称、地址和账号为：</w:t>
      </w:r>
    </w:p>
    <w:p>
      <w:pPr>
        <w:pStyle w:val="null3"/>
        <w:ind w:firstLine="480"/>
        <w:jc w:val="both"/>
      </w:pPr>
      <w:r>
        <w:rPr>
          <w:sz w:val="24"/>
        </w:rPr>
        <w:t>开户名：</w:t>
      </w:r>
      <w:r>
        <w:rPr>
          <w:u w:val="single"/>
        </w:rPr>
        <w:t xml:space="preserve">                  </w:t>
      </w:r>
    </w:p>
    <w:p>
      <w:pPr>
        <w:pStyle w:val="null3"/>
        <w:ind w:firstLine="480"/>
        <w:jc w:val="both"/>
      </w:pPr>
      <w:r>
        <w:rPr>
          <w:sz w:val="24"/>
        </w:rPr>
        <w:t>开户银行：</w:t>
      </w:r>
      <w:r>
        <w:rPr>
          <w:u w:val="single"/>
        </w:rPr>
        <w:t xml:space="preserve">                </w:t>
      </w:r>
    </w:p>
    <w:p>
      <w:pPr>
        <w:pStyle w:val="null3"/>
        <w:ind w:firstLine="480"/>
        <w:jc w:val="both"/>
      </w:pPr>
      <w:r>
        <w:rPr>
          <w:sz w:val="24"/>
        </w:rPr>
        <w:t>账</w:t>
      </w:r>
      <w:r>
        <w:rPr>
          <w:sz w:val="24"/>
        </w:rPr>
        <w:t xml:space="preserve">  </w:t>
      </w:r>
      <w:r>
        <w:rPr>
          <w:sz w:val="24"/>
        </w:rPr>
        <w:t>号：</w:t>
      </w:r>
      <w:r>
        <w:rPr>
          <w:u w:val="single"/>
        </w:rPr>
        <w:t xml:space="preserve">                  </w:t>
      </w:r>
    </w:p>
    <w:p>
      <w:pPr>
        <w:pStyle w:val="null3"/>
        <w:ind w:firstLine="480"/>
        <w:jc w:val="both"/>
      </w:pPr>
      <w:r>
        <w:rPr>
          <w:sz w:val="24"/>
        </w:rPr>
        <w:t>（</w:t>
      </w:r>
      <w:r>
        <w:rPr>
          <w:sz w:val="24"/>
        </w:rPr>
        <w:t>2）丙方开户银行名称、地址和账号为：</w:t>
      </w:r>
    </w:p>
    <w:p>
      <w:pPr>
        <w:pStyle w:val="null3"/>
        <w:ind w:firstLine="480"/>
        <w:jc w:val="both"/>
      </w:pPr>
      <w:r>
        <w:rPr>
          <w:sz w:val="24"/>
        </w:rPr>
        <w:t>开户名：</w:t>
      </w:r>
      <w:r>
        <w:rPr>
          <w:u w:val="single"/>
        </w:rPr>
        <w:t xml:space="preserve">                  </w:t>
      </w:r>
    </w:p>
    <w:p>
      <w:pPr>
        <w:pStyle w:val="null3"/>
        <w:ind w:firstLine="480"/>
        <w:jc w:val="both"/>
      </w:pPr>
      <w:r>
        <w:rPr>
          <w:sz w:val="24"/>
        </w:rPr>
        <w:t>开户银行：</w:t>
      </w:r>
      <w:r>
        <w:rPr>
          <w:u w:val="single"/>
        </w:rPr>
        <w:t xml:space="preserve">                </w:t>
      </w:r>
    </w:p>
    <w:p>
      <w:pPr>
        <w:pStyle w:val="null3"/>
        <w:ind w:firstLine="480"/>
        <w:jc w:val="both"/>
      </w:pPr>
      <w:r>
        <w:rPr>
          <w:sz w:val="24"/>
        </w:rPr>
        <w:t>账</w:t>
      </w:r>
      <w:r>
        <w:rPr>
          <w:sz w:val="24"/>
        </w:rPr>
        <w:t xml:space="preserve">  </w:t>
      </w:r>
      <w:r>
        <w:rPr>
          <w:sz w:val="24"/>
        </w:rPr>
        <w:t>号：</w:t>
      </w:r>
      <w:r>
        <w:rPr>
          <w:u w:val="single"/>
        </w:rPr>
        <w:t xml:space="preserve">                  </w:t>
      </w:r>
    </w:p>
    <w:p>
      <w:pPr>
        <w:pStyle w:val="null3"/>
        <w:ind w:firstLine="480"/>
        <w:jc w:val="both"/>
      </w:pPr>
      <w:r>
        <w:rPr>
          <w:sz w:val="24"/>
        </w:rPr>
        <w:t>（</w:t>
      </w:r>
      <w:r>
        <w:rPr>
          <w:sz w:val="24"/>
        </w:rPr>
        <w:t>3）丁方开户银行名称、地址和账号为：</w:t>
      </w:r>
    </w:p>
    <w:p>
      <w:pPr>
        <w:pStyle w:val="null3"/>
        <w:ind w:firstLine="480"/>
        <w:jc w:val="both"/>
      </w:pPr>
      <w:r>
        <w:rPr>
          <w:sz w:val="24"/>
        </w:rPr>
        <w:t>开户名：</w:t>
      </w:r>
      <w:r>
        <w:rPr>
          <w:u w:val="single"/>
        </w:rPr>
        <w:t xml:space="preserve">                  </w:t>
      </w:r>
    </w:p>
    <w:p>
      <w:pPr>
        <w:pStyle w:val="null3"/>
        <w:ind w:firstLine="480"/>
        <w:jc w:val="both"/>
      </w:pPr>
      <w:r>
        <w:rPr>
          <w:sz w:val="24"/>
        </w:rPr>
        <w:t>开户银行：</w:t>
      </w:r>
      <w:r>
        <w:rPr>
          <w:u w:val="single"/>
        </w:rPr>
        <w:t xml:space="preserve">                </w:t>
      </w:r>
    </w:p>
    <w:p>
      <w:pPr>
        <w:pStyle w:val="null3"/>
        <w:ind w:firstLine="480"/>
        <w:jc w:val="both"/>
      </w:pPr>
      <w:r>
        <w:rPr>
          <w:sz w:val="24"/>
        </w:rPr>
        <w:t>账</w:t>
      </w:r>
      <w:r>
        <w:rPr>
          <w:sz w:val="24"/>
        </w:rPr>
        <w:t xml:space="preserve">  </w:t>
      </w:r>
      <w:r>
        <w:rPr>
          <w:sz w:val="24"/>
        </w:rPr>
        <w:t>号：</w:t>
      </w:r>
      <w:r>
        <w:rPr>
          <w:u w:val="single"/>
        </w:rPr>
        <w:t xml:space="preserve">                  </w:t>
      </w:r>
    </w:p>
    <w:p>
      <w:pPr>
        <w:pStyle w:val="null3"/>
        <w:ind w:firstLine="480"/>
        <w:jc w:val="both"/>
      </w:pPr>
      <w:r>
        <w:rPr>
          <w:sz w:val="24"/>
        </w:rPr>
        <w:t>（</w:t>
      </w:r>
      <w:r>
        <w:rPr>
          <w:sz w:val="24"/>
        </w:rPr>
        <w:t>4）戊方开户银行名称、地址和账号为：</w:t>
      </w:r>
    </w:p>
    <w:p>
      <w:pPr>
        <w:pStyle w:val="null3"/>
        <w:ind w:firstLine="480"/>
        <w:jc w:val="both"/>
      </w:pPr>
      <w:r>
        <w:rPr>
          <w:sz w:val="24"/>
        </w:rPr>
        <w:t>开户名：</w:t>
      </w:r>
      <w:r>
        <w:rPr>
          <w:u w:val="single"/>
        </w:rPr>
        <w:t xml:space="preserve">                  </w:t>
      </w:r>
    </w:p>
    <w:p>
      <w:pPr>
        <w:pStyle w:val="null3"/>
        <w:ind w:firstLine="480"/>
        <w:jc w:val="both"/>
      </w:pPr>
      <w:r>
        <w:rPr>
          <w:sz w:val="24"/>
        </w:rPr>
        <w:t>开户银行：</w:t>
      </w:r>
      <w:r>
        <w:rPr>
          <w:u w:val="single"/>
        </w:rPr>
        <w:t xml:space="preserve">                </w:t>
      </w:r>
    </w:p>
    <w:p>
      <w:pPr>
        <w:pStyle w:val="null3"/>
        <w:ind w:firstLine="480"/>
        <w:jc w:val="both"/>
      </w:pPr>
      <w:r>
        <w:rPr>
          <w:sz w:val="24"/>
        </w:rPr>
        <w:t>账</w:t>
      </w:r>
      <w:r>
        <w:rPr>
          <w:sz w:val="24"/>
        </w:rPr>
        <w:t xml:space="preserve">  </w:t>
      </w:r>
      <w:r>
        <w:rPr>
          <w:sz w:val="24"/>
        </w:rPr>
        <w:t>号：</w:t>
      </w:r>
      <w:r>
        <w:rPr>
          <w:u w:val="single"/>
        </w:rPr>
        <w:t xml:space="preserve">                  </w:t>
      </w:r>
    </w:p>
    <w:p>
      <w:pPr>
        <w:pStyle w:val="null3"/>
        <w:ind w:firstLine="480"/>
        <w:jc w:val="both"/>
      </w:pPr>
      <w:r>
        <w:rPr>
          <w:sz w:val="24"/>
        </w:rPr>
        <w:t>5.四方确认：乙方应在收到甲方开票通知后10日内向甲方提供合格完税发票。如因乙方提交发票迟延的，甲方有权暂缓付款而无须承担违约责任，而且乙方、丙方、丁方、戊方不得以该理由单方解除合同或拒绝承保或拒绝理赔。</w:t>
      </w:r>
    </w:p>
    <w:p>
      <w:pPr>
        <w:pStyle w:val="null3"/>
        <w:ind w:firstLine="480"/>
        <w:jc w:val="both"/>
      </w:pPr>
      <w:r>
        <w:rPr>
          <w:sz w:val="24"/>
        </w:rPr>
        <w:t>6.乙方、丙方、丁方、戊方知悉并确认：甲方因</w:t>
      </w:r>
      <w:r>
        <w:rPr>
          <w:sz w:val="24"/>
        </w:rPr>
        <w:t>资金</w:t>
      </w:r>
      <w:r>
        <w:rPr>
          <w:sz w:val="24"/>
        </w:rPr>
        <w:t>支付流程导致的付款延迟，乙方、丙方、丁方、戊方应当给予充分理解并不因此追究甲方的相关责任。甲方在本合同约定的支付期限内向采购支付部门提出支付申请即视为甲方已履行付款义务，甲方的付款期限不含政府财政支付部门审查、</w:t>
      </w:r>
      <w:r>
        <w:rPr>
          <w:sz w:val="24"/>
        </w:rPr>
        <w:t>资金</w:t>
      </w:r>
      <w:r>
        <w:rPr>
          <w:sz w:val="24"/>
        </w:rPr>
        <w:t>支付管理流程及预算下达的时间，如有延误，支付期限自动顺延，甲方不承担因此产生的逾期付款违约责任。如因乙方、丙方、丁方、戊方内控工作需求，甲方需配合提供相关延迟支付说明。</w:t>
      </w:r>
    </w:p>
    <w:p>
      <w:pPr>
        <w:pStyle w:val="null3"/>
        <w:ind w:firstLine="480"/>
        <w:jc w:val="both"/>
      </w:pPr>
      <w:r>
        <w:rPr>
          <w:sz w:val="24"/>
        </w:rPr>
        <w:t>7.乙方、丙方、丁方、戊方同意：本合同项下的款项支付进度均需在甲方具备</w:t>
      </w:r>
      <w:r>
        <w:rPr>
          <w:sz w:val="24"/>
        </w:rPr>
        <w:t>资金</w:t>
      </w:r>
      <w:r>
        <w:rPr>
          <w:sz w:val="24"/>
        </w:rPr>
        <w:t>支付条件的情况下进行，如因甲方不具备</w:t>
      </w:r>
      <w:r>
        <w:rPr>
          <w:sz w:val="24"/>
        </w:rPr>
        <w:t>资金</w:t>
      </w:r>
      <w:r>
        <w:rPr>
          <w:sz w:val="24"/>
        </w:rPr>
        <w:t>支付条件导致的延后支付，甲方不需承担责任，而且乙方、丙方、丁方、戊方不得以该理由单方解除合同或拒绝承保或拒绝理赔；以上支付不得违反甲方</w:t>
      </w:r>
      <w:r>
        <w:rPr>
          <w:sz w:val="24"/>
        </w:rPr>
        <w:t>财政支付管理</w:t>
      </w:r>
      <w:r>
        <w:rPr>
          <w:sz w:val="24"/>
        </w:rPr>
        <w:t>的相关规定。如因乙方、丙方、丁方、戊方内控工作需求，甲方需配合提供相关延迟支付说明。</w:t>
      </w:r>
    </w:p>
    <w:p>
      <w:pPr>
        <w:pStyle w:val="null3"/>
        <w:jc w:val="both"/>
      </w:pPr>
      <w:r>
        <w:rPr>
          <w:sz w:val="24"/>
          <w:b/>
        </w:rPr>
        <w:t>十、出单方式</w:t>
      </w:r>
    </w:p>
    <w:p>
      <w:pPr>
        <w:pStyle w:val="null3"/>
        <w:ind w:firstLine="480"/>
        <w:jc w:val="both"/>
      </w:pPr>
      <w:r>
        <w:rPr>
          <w:sz w:val="24"/>
        </w:rPr>
        <w:t>各方</w:t>
      </w:r>
      <w:r>
        <w:rPr>
          <w:sz w:val="24"/>
        </w:rPr>
        <w:t>确认：乙方指定本项目</w:t>
      </w:r>
      <w:r>
        <w:rPr>
          <w:sz w:val="24"/>
          <w:u w:val="single"/>
        </w:rPr>
        <w:t>（如乙方中标人为分支机构需名称描述）</w:t>
      </w:r>
      <w:r>
        <w:rPr>
          <w:sz w:val="24"/>
        </w:rPr>
        <w:t>为出单机构并负责向甲方提供保险单及发票凭证。</w:t>
      </w:r>
    </w:p>
    <w:p>
      <w:pPr>
        <w:pStyle w:val="null3"/>
        <w:jc w:val="both"/>
      </w:pPr>
      <w:r>
        <w:rPr>
          <w:sz w:val="24"/>
          <w:b/>
        </w:rPr>
        <w:t>十一、赔款收取</w:t>
      </w:r>
    </w:p>
    <w:p>
      <w:pPr>
        <w:pStyle w:val="null3"/>
        <w:ind w:firstLine="480"/>
        <w:jc w:val="both"/>
      </w:pPr>
      <w:r>
        <w:rPr>
          <w:sz w:val="24"/>
        </w:rPr>
        <w:t>当触发保险理赔后，乙方、丙方、丁方、戊方按照合同约定的赔偿标准将份额对应的赔款，分别支付至甲方指定的银行账号。</w:t>
      </w:r>
    </w:p>
    <w:p>
      <w:pPr>
        <w:pStyle w:val="null3"/>
        <w:jc w:val="both"/>
      </w:pPr>
      <w:r>
        <w:rPr>
          <w:sz w:val="24"/>
          <w:b/>
        </w:rPr>
        <w:t>十二、知识产权归属</w:t>
      </w:r>
    </w:p>
    <w:p>
      <w:pPr>
        <w:pStyle w:val="null3"/>
        <w:ind w:firstLine="480"/>
        <w:jc w:val="both"/>
      </w:pPr>
      <w:r>
        <w:rPr>
          <w:sz w:val="24"/>
        </w:rPr>
        <w:t>乙方、丙方、丁方、戊方应保证本项目的技术、服务或其任何一部分不会产生因第三方提出侵犯其专利权、商标权或其他知识产权而引起的法律和经济纠纷；如因第三方提出其专利权、商标权或其他知识产权的侵权之诉，则一切法律责任由乙方、丙方、丁方、戊方各自依据生效裁判文书承担。如甲方为此向第三方承担责任，或为乙方、丙方、丁方、戊方垫付赔偿</w:t>
      </w:r>
      <w:r>
        <w:rPr>
          <w:sz w:val="24"/>
        </w:rPr>
        <w:t>/补偿的，甲方有权全额要求乙方、丙方、丁方、戊方清偿，并要求乙方、丙方、丁方、戊方支付自实际垫付款项之日起产生的垫付利息损失（利息损失的年利率按LPR四倍计），以及甲方因主张权利而支付的诉讼费用、调查费、律师费、诉保保险费等合理支出。</w:t>
      </w:r>
    </w:p>
    <w:p>
      <w:pPr>
        <w:pStyle w:val="null3"/>
        <w:jc w:val="both"/>
      </w:pPr>
      <w:r>
        <w:rPr>
          <w:sz w:val="24"/>
          <w:b/>
        </w:rPr>
        <w:t>十三、保密</w:t>
      </w:r>
    </w:p>
    <w:p>
      <w:pPr>
        <w:pStyle w:val="null3"/>
        <w:ind w:firstLine="480"/>
        <w:jc w:val="both"/>
      </w:pPr>
      <w:r>
        <w:rPr>
          <w:sz w:val="24"/>
        </w:rPr>
        <w:t>1.涉密保密</w:t>
      </w:r>
    </w:p>
    <w:p>
      <w:pPr>
        <w:pStyle w:val="null3"/>
        <w:ind w:firstLine="480"/>
        <w:jc w:val="both"/>
      </w:pPr>
      <w:r>
        <w:rPr>
          <w:sz w:val="24"/>
        </w:rPr>
        <w:t>项目实施过程中至乙方、丙方、丁方、戊方正式向甲方交付技术文档资料时止，乙方、丙方、丁方、戊方必须采取措施对本项目实施过程中的数据、源代码、技术文档等资料保密，否则，由于乙方、丙方、丁方、戊方过错导致的上述资料泄密的，乙方、丙方、丁方、戊方必须承担一切责任。项目完成后，甲、乙、丙、丁、戊各方均有责任对本项目的技术保密承担责任。</w:t>
      </w:r>
    </w:p>
    <w:p>
      <w:pPr>
        <w:pStyle w:val="null3"/>
        <w:ind w:firstLine="480"/>
        <w:jc w:val="both"/>
      </w:pPr>
      <w:r>
        <w:rPr>
          <w:sz w:val="24"/>
        </w:rPr>
        <w:t>（</w:t>
      </w:r>
      <w:r>
        <w:rPr>
          <w:sz w:val="24"/>
        </w:rPr>
        <w:t>1</w:t>
      </w:r>
      <w:r>
        <w:rPr>
          <w:sz w:val="24"/>
        </w:rPr>
        <w:t>）</w:t>
      </w:r>
      <w:r>
        <w:rPr>
          <w:sz w:val="24"/>
        </w:rPr>
        <w:t>未经甲方事先书面同意，乙方、丙方、丁方、戊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sz w:val="24"/>
        </w:rPr>
        <w:t>（</w:t>
      </w:r>
      <w:r>
        <w:rPr>
          <w:sz w:val="24"/>
        </w:rPr>
        <w:t>2</w:t>
      </w:r>
      <w:r>
        <w:rPr>
          <w:sz w:val="24"/>
        </w:rPr>
        <w:t>）</w:t>
      </w:r>
      <w:r>
        <w:rPr>
          <w:sz w:val="24"/>
        </w:rPr>
        <w:t>除了本合同有约定之外，上款所列举的任何物件均是甲方的财产。如果甲方有要求，乙方、丙方、丁方、戊方在完成合同后应将这些物件及全部复制件还给甲方。</w:t>
      </w:r>
    </w:p>
    <w:p>
      <w:pPr>
        <w:pStyle w:val="null3"/>
        <w:ind w:firstLine="480"/>
        <w:jc w:val="both"/>
      </w:pPr>
      <w:r>
        <w:rPr>
          <w:sz w:val="24"/>
        </w:rPr>
        <w:t>（</w:t>
      </w:r>
      <w:r>
        <w:rPr>
          <w:sz w:val="24"/>
        </w:rPr>
        <w:t>3</w:t>
      </w:r>
      <w:r>
        <w:rPr>
          <w:sz w:val="24"/>
        </w:rPr>
        <w:t>）</w:t>
      </w:r>
      <w:r>
        <w:rPr>
          <w:sz w:val="24"/>
        </w:rPr>
        <w:t>乙方、丙方、丁方、戊方对在本合同履行过程中获悉的甲方的秘密、政府信息、技术信息等负有保密义务，非经甲方书面同意不得向任何第三方披露。本保密期限不受合同解除、终止、一方违约的约束，永久有效。</w:t>
      </w:r>
    </w:p>
    <w:p>
      <w:pPr>
        <w:pStyle w:val="null3"/>
        <w:ind w:firstLine="480"/>
        <w:jc w:val="both"/>
      </w:pPr>
      <w:r>
        <w:rPr>
          <w:sz w:val="24"/>
        </w:rPr>
        <w:t>2.成果归属</w:t>
      </w:r>
    </w:p>
    <w:p>
      <w:pPr>
        <w:pStyle w:val="null3"/>
        <w:ind w:firstLine="480"/>
        <w:jc w:val="both"/>
      </w:pPr>
      <w:r>
        <w:rPr>
          <w:sz w:val="24"/>
        </w:rPr>
        <w:t>（</w:t>
      </w:r>
      <w:r>
        <w:rPr>
          <w:sz w:val="24"/>
        </w:rPr>
        <w:t>1</w:t>
      </w:r>
      <w:r>
        <w:rPr>
          <w:sz w:val="24"/>
        </w:rPr>
        <w:t>）</w:t>
      </w:r>
      <w:r>
        <w:rPr>
          <w:sz w:val="24"/>
        </w:rPr>
        <w:t>项目的所有成果所有权归甲方所有，履行本合同取得的知识产权归甲方和乙方共同拥有。</w:t>
      </w:r>
    </w:p>
    <w:p>
      <w:pPr>
        <w:pStyle w:val="null3"/>
        <w:ind w:firstLine="480"/>
        <w:jc w:val="both"/>
      </w:pPr>
      <w:r>
        <w:rPr>
          <w:sz w:val="24"/>
        </w:rPr>
        <w:t>（</w:t>
      </w:r>
      <w:r>
        <w:rPr>
          <w:sz w:val="24"/>
        </w:rPr>
        <w:t>2</w:t>
      </w:r>
      <w:r>
        <w:rPr>
          <w:sz w:val="24"/>
        </w:rPr>
        <w:t>）</w:t>
      </w:r>
      <w:r>
        <w:rPr>
          <w:sz w:val="24"/>
        </w:rPr>
        <w:t>甲方引用乙方的工作成果所完成的新的技术成果，属于甲方所有，甲方可依法享有该项技术成果取得的精神权利、经济权利和其他权利。</w:t>
      </w:r>
    </w:p>
    <w:p>
      <w:pPr>
        <w:pStyle w:val="null3"/>
        <w:ind w:firstLine="480"/>
        <w:jc w:val="both"/>
      </w:pPr>
      <w:r>
        <w:rPr>
          <w:sz w:val="24"/>
        </w:rPr>
        <w:t>（</w:t>
      </w:r>
      <w:r>
        <w:rPr>
          <w:sz w:val="24"/>
        </w:rPr>
        <w:t>3</w:t>
      </w:r>
      <w:r>
        <w:rPr>
          <w:sz w:val="24"/>
        </w:rPr>
        <w:t>）</w:t>
      </w:r>
      <w:r>
        <w:rPr>
          <w:sz w:val="24"/>
        </w:rPr>
        <w:t>无论发生何种情形（包括但不限于合同提前终止或解除），甲方均有权利用乙方的阶段性工作成果，并且甲方引用乙方的阶段性工作成果所完成的新的技术成果，属于甲方所有，甲方可依法享有就该项技术成果取得的精神权利、经济权利和其他权利。</w:t>
      </w:r>
    </w:p>
    <w:p>
      <w:pPr>
        <w:pStyle w:val="null3"/>
        <w:jc w:val="both"/>
      </w:pPr>
      <w:r>
        <w:rPr>
          <w:sz w:val="24"/>
          <w:b/>
        </w:rPr>
        <w:t>十四、违约责任与赔偿损失</w:t>
      </w:r>
    </w:p>
    <w:p>
      <w:pPr>
        <w:pStyle w:val="null3"/>
        <w:ind w:firstLine="480"/>
        <w:jc w:val="both"/>
      </w:pPr>
      <w:r>
        <w:rPr>
          <w:sz w:val="24"/>
        </w:rPr>
        <w:t>1</w:t>
      </w:r>
      <w:r>
        <w:rPr>
          <w:sz w:val="24"/>
        </w:rPr>
        <w:t>.</w:t>
      </w:r>
      <w:r>
        <w:rPr>
          <w:sz w:val="24"/>
        </w:rPr>
        <w:t>乙方、丙方、丁方、戊方提供的服务不符合采购文件、投标文件或本合同规定的，甲方有权要求乙方、丙方、丁方、戊方在合理时间内对服务进行改进；规定时间内改进结果无法达到合同约定的标准或乙方、丙方、丁方、戊方怠于改进的，甲方有权拒收并向任何一方收取本合同总价</w:t>
      </w:r>
      <w:r>
        <w:rPr>
          <w:sz w:val="24"/>
        </w:rPr>
        <w:t>5%的违约金。承担了违约金的一方自行向过错方追偿。如无法分清过错责任的，按乙方、丙方、丁方、戊方各自占共保额的份额比例进行内部分摊，但乙方、丙方、丁方、戊方的内部分摊不得对外对抗甲方的整体索赔和追责。</w:t>
      </w:r>
    </w:p>
    <w:p>
      <w:pPr>
        <w:pStyle w:val="null3"/>
        <w:ind w:firstLine="480"/>
        <w:jc w:val="both"/>
      </w:pPr>
      <w:r>
        <w:rPr>
          <w:sz w:val="24"/>
        </w:rPr>
        <w:t>2</w:t>
      </w:r>
      <w:r>
        <w:rPr>
          <w:sz w:val="24"/>
        </w:rPr>
        <w:t>.</w:t>
      </w:r>
      <w:r>
        <w:rPr>
          <w:sz w:val="24"/>
        </w:rPr>
        <w:t>乙方、丙方、丁方、戊方未能按本合同规定的交货时间交付货物的</w:t>
      </w:r>
      <w:r>
        <w:rPr>
          <w:sz w:val="24"/>
        </w:rPr>
        <w:t>/提供服务，从逾期之日起甲方有权向任一方按全国银行间同业拆借中心公布贷款利率为标准收取违约金；逾期15天以上(含15天)的，甲方有权终止合同，要求乙方、丙方、丁方、戊方支付违约金，甲方造成的经济损失由乙方、丙方、丁方、戊方承担赔偿责任。承担了违约金或赔偿金的一方可向过错方追偿。无法分清过错责任的，按各自占共保体的份额分摊，但乙方、丙方、丁方、戊方的内部分摊不得对外对抗甲方的整体索赔和追责。</w:t>
      </w:r>
    </w:p>
    <w:p>
      <w:pPr>
        <w:pStyle w:val="null3"/>
        <w:ind w:firstLine="480"/>
        <w:jc w:val="both"/>
      </w:pPr>
      <w:r>
        <w:rPr>
          <w:sz w:val="24"/>
        </w:rPr>
        <w:t>3</w:t>
      </w:r>
      <w:r>
        <w:rPr>
          <w:sz w:val="24"/>
        </w:rPr>
        <w:t>.</w:t>
      </w:r>
      <w:r>
        <w:rPr>
          <w:sz w:val="24"/>
        </w:rPr>
        <w:t>甲方无正当理由拒接受服务，到期拒付服务款项的，甲方向乙方偿付本合同总价</w:t>
      </w:r>
      <w:r>
        <w:rPr>
          <w:sz w:val="24"/>
        </w:rPr>
        <w:t>5%的违约金。甲方逾期付款，则每日按全国银行间同业拆借中心公布贷款利率为标准向乙方偿付违约金</w:t>
      </w:r>
      <w:r>
        <w:rPr>
          <w:sz w:val="24"/>
        </w:rPr>
        <w:t>，但违约金上限不超过本合同总价</w:t>
      </w:r>
      <w:r>
        <w:rPr>
          <w:sz w:val="24"/>
        </w:rPr>
        <w:t>5%</w:t>
      </w:r>
      <w:r>
        <w:rPr>
          <w:sz w:val="24"/>
        </w:rPr>
        <w:t>。乙方收款后按乙方、丙方、丁方、戊方各自占共保体的份额分配违约金，但丙方、丁方、戊方无权直接向甲方追讨部分或全部违约金。</w:t>
      </w:r>
    </w:p>
    <w:p>
      <w:pPr>
        <w:pStyle w:val="null3"/>
        <w:ind w:firstLine="480"/>
        <w:jc w:val="both"/>
      </w:pPr>
      <w:r>
        <w:rPr>
          <w:sz w:val="24"/>
        </w:rPr>
        <w:t>4</w:t>
      </w:r>
      <w:r>
        <w:rPr>
          <w:sz w:val="24"/>
        </w:rPr>
        <w:t>.</w:t>
      </w:r>
      <w:r>
        <w:rPr>
          <w:sz w:val="24"/>
        </w:rPr>
        <w:t>除甲方事先书面同意外，乙方、丙方、丁方、戊方任一方不得部分或全部转让其应履行的合同项下的义务，如乙方、丙方、丁方、戊方违反的，甲方有权单方解除合同，不向乙方、丙方、丁方、戊方支付任何款项，并要求乙方、丙方、丁方、戊方各按合同金额</w:t>
      </w:r>
      <w:r>
        <w:rPr>
          <w:sz w:val="24"/>
        </w:rPr>
        <w:t>5%支付违约金，乙方、丙方、丁方、戊方不得以己方无违约为由对外对抗甲方的整体索赔和追责。</w:t>
      </w:r>
    </w:p>
    <w:p>
      <w:pPr>
        <w:pStyle w:val="null3"/>
        <w:ind w:firstLine="480"/>
        <w:jc w:val="both"/>
      </w:pPr>
      <w:r>
        <w:rPr>
          <w:sz w:val="24"/>
        </w:rPr>
        <w:t>5</w:t>
      </w:r>
      <w:r>
        <w:rPr>
          <w:sz w:val="24"/>
        </w:rPr>
        <w:t>.</w:t>
      </w:r>
      <w:r>
        <w:rPr>
          <w:sz w:val="24"/>
        </w:rPr>
        <w:t>如因政策变动或财政审批或财政预决算原因导致本合同无法继续履行的，双方应积极协商妥善合理的解决方案，且互不追究责任，所产生经济损失各自承担。</w:t>
      </w:r>
    </w:p>
    <w:p>
      <w:pPr>
        <w:pStyle w:val="null3"/>
        <w:ind w:firstLine="480"/>
        <w:jc w:val="both"/>
      </w:pPr>
      <w:r>
        <w:rPr>
          <w:sz w:val="24"/>
        </w:rPr>
        <w:t>6</w:t>
      </w:r>
      <w:r>
        <w:rPr>
          <w:sz w:val="24"/>
        </w:rPr>
        <w:t>.</w:t>
      </w:r>
      <w:r>
        <w:rPr>
          <w:sz w:val="24"/>
        </w:rPr>
        <w:t>履行本合同过程中，发生乙方、丙方、丁方、戊方任一方承担违约责任，应向甲方支付款项（包括但不限于退还已付款项、支付违约金、滞纳金等）情形，甲方均有权在履约保证金（如有）、未付款项中扣除，或要求乙方、丙方、丁方、戊方任一方另行支付。</w:t>
      </w:r>
    </w:p>
    <w:p>
      <w:pPr>
        <w:pStyle w:val="null3"/>
        <w:ind w:firstLine="480"/>
        <w:jc w:val="both"/>
      </w:pPr>
      <w:r>
        <w:rPr>
          <w:sz w:val="24"/>
        </w:rPr>
        <w:t>7</w:t>
      </w:r>
      <w:r>
        <w:rPr>
          <w:sz w:val="24"/>
        </w:rPr>
        <w:t>.</w:t>
      </w:r>
      <w:r>
        <w:rPr>
          <w:sz w:val="24"/>
        </w:rPr>
        <w:t>其它违约责任按《中华人民共和国民法典》处理。</w:t>
      </w:r>
    </w:p>
    <w:p>
      <w:pPr>
        <w:pStyle w:val="null3"/>
        <w:jc w:val="both"/>
      </w:pPr>
      <w:r>
        <w:rPr>
          <w:sz w:val="24"/>
          <w:b/>
        </w:rPr>
        <w:t>十五、争端的解决</w:t>
      </w:r>
    </w:p>
    <w:p>
      <w:pPr>
        <w:pStyle w:val="null3"/>
        <w:ind w:firstLine="480"/>
        <w:jc w:val="both"/>
      </w:pPr>
      <w:r>
        <w:rPr>
          <w:sz w:val="24"/>
        </w:rPr>
        <w:t>合同执行过程中发生的任何争议，如双方不能通过友好协商解决，甲、乙、丙、丁、戊各方一致同意向甲方所在地人民法院提起诉讼，因诉讼产生的包括但不限于诉讼费用、评估费用、鉴定费用、律师代理费用、诉保保险费等，均由败诉方承担。在法院审理期间，除提交法院审理的事项外，合同其他部分仍应继续履行。</w:t>
      </w:r>
    </w:p>
    <w:p>
      <w:pPr>
        <w:pStyle w:val="null3"/>
        <w:jc w:val="both"/>
      </w:pPr>
      <w:r>
        <w:rPr>
          <w:sz w:val="24"/>
          <w:b/>
        </w:rPr>
        <w:t>十六、不可抗力</w:t>
      </w:r>
    </w:p>
    <w:p>
      <w:pPr>
        <w:pStyle w:val="null3"/>
        <w:ind w:firstLine="480"/>
        <w:jc w:val="both"/>
      </w:pPr>
      <w:r>
        <w:rPr>
          <w:sz w:val="24"/>
        </w:rPr>
        <w:t>任何一方由于不可抗力原因不能履行合同时，应在不可抗力事件结束后</w:t>
      </w:r>
      <w:r>
        <w:rPr>
          <w:sz w:val="24"/>
        </w:rPr>
        <w:t>1个工作日内向对方通报，以减轻可能给对方造成的损失，在取得有关机构的不可抗力证明或双方谅解确认后，允许延期履行或修订合同，并根据情况可部分或全部免于承担违约责任。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十七、税费</w:t>
      </w:r>
    </w:p>
    <w:p>
      <w:pPr>
        <w:pStyle w:val="null3"/>
        <w:ind w:firstLine="480"/>
        <w:jc w:val="both"/>
      </w:pPr>
      <w:r>
        <w:rPr>
          <w:sz w:val="24"/>
        </w:rPr>
        <w:t>在中国境内、外发生的与本合同执行有关的一切税费均由乙方、丙方、丁方、戊方负担。</w:t>
      </w:r>
    </w:p>
    <w:p>
      <w:pPr>
        <w:pStyle w:val="null3"/>
        <w:jc w:val="both"/>
      </w:pPr>
      <w:r>
        <w:rPr>
          <w:sz w:val="24"/>
          <w:b/>
        </w:rPr>
        <w:t>十八、其它</w:t>
      </w:r>
    </w:p>
    <w:p>
      <w:pPr>
        <w:pStyle w:val="null3"/>
        <w:ind w:firstLine="480"/>
        <w:jc w:val="both"/>
      </w:pPr>
      <w:r>
        <w:rPr>
          <w:sz w:val="24"/>
        </w:rPr>
        <w:t>1</w:t>
      </w:r>
      <w:r>
        <w:rPr>
          <w:sz w:val="24"/>
        </w:rPr>
        <w:t>.</w:t>
      </w:r>
      <w:r>
        <w:rPr>
          <w:sz w:val="24"/>
        </w:rPr>
        <w:t>本合同所有附件、招标文件、投标文件、中标通知书均为合同的有效组成部分，与本合同具有同等法律效力。如各文件之间有约定不一致，按生效在后的文件约定为准，其生效日期为双方签字盖章或确认之日期。</w:t>
      </w:r>
    </w:p>
    <w:p>
      <w:pPr>
        <w:pStyle w:val="null3"/>
        <w:ind w:firstLine="480"/>
        <w:jc w:val="both"/>
      </w:pPr>
      <w:r>
        <w:rPr>
          <w:sz w:val="24"/>
        </w:rPr>
        <w:t>2</w:t>
      </w:r>
      <w:r>
        <w:rPr>
          <w:sz w:val="24"/>
        </w:rPr>
        <w:t>.</w:t>
      </w:r>
      <w:r>
        <w:rPr>
          <w:sz w:val="24"/>
        </w:rPr>
        <w:t>在执行本合同的过程中，所有经双方签署确认的文件</w:t>
      </w:r>
      <w:r>
        <w:rPr>
          <w:sz w:val="24"/>
        </w:rPr>
        <w:t>（</w:t>
      </w:r>
      <w:r>
        <w:rPr>
          <w:sz w:val="24"/>
        </w:rPr>
        <w:t>包括会议纪要、补充协议、往来信函</w:t>
      </w:r>
      <w:r>
        <w:rPr>
          <w:sz w:val="24"/>
        </w:rPr>
        <w:t>）</w:t>
      </w:r>
      <w:r>
        <w:rPr>
          <w:sz w:val="24"/>
        </w:rPr>
        <w:t>即成为本合同的有效组成部分。合同与附件之间内容应认为是互为补充和解释，但如有模棱两可或相互矛盾之处，以对乙方、丙方、丁方、戊方要求高的条款为准，对乙方、丙方、丁方、戊方的标准一致的，则以时间在后的文件为准，其生效日期为双方签字盖章或确认之日期。</w:t>
      </w:r>
    </w:p>
    <w:p>
      <w:pPr>
        <w:pStyle w:val="null3"/>
        <w:ind w:firstLine="480"/>
        <w:jc w:val="both"/>
      </w:pPr>
      <w:r>
        <w:rPr>
          <w:sz w:val="24"/>
        </w:rPr>
        <w:t>3</w:t>
      </w:r>
      <w:r>
        <w:rPr>
          <w:sz w:val="24"/>
        </w:rPr>
        <w:t>.</w:t>
      </w:r>
      <w:r>
        <w:rPr>
          <w:sz w:val="24"/>
        </w:rPr>
        <w:t>如一方地址、电话、传真号码有变更，应在变更当日内书面通知对方，否则，应承担相应责任。</w:t>
      </w:r>
    </w:p>
    <w:p>
      <w:pPr>
        <w:pStyle w:val="null3"/>
        <w:ind w:firstLine="480"/>
        <w:jc w:val="both"/>
      </w:pPr>
      <w:r>
        <w:rPr>
          <w:sz w:val="24"/>
        </w:rPr>
        <w:t>4</w:t>
      </w:r>
      <w:r>
        <w:rPr>
          <w:sz w:val="24"/>
        </w:rPr>
        <w:t>.</w:t>
      </w:r>
      <w:r>
        <w:rPr>
          <w:sz w:val="24"/>
        </w:rPr>
        <w:t>除甲方事先书面同意外，乙方、丙方、丁方、戊方不得部分或全部转让其应履行的合同项下的义务。</w:t>
      </w:r>
    </w:p>
    <w:p>
      <w:pPr>
        <w:pStyle w:val="null3"/>
        <w:jc w:val="both"/>
      </w:pPr>
      <w:r>
        <w:rPr>
          <w:sz w:val="24"/>
          <w:b/>
        </w:rPr>
        <w:t>十九、合同生效</w:t>
      </w:r>
    </w:p>
    <w:p>
      <w:pPr>
        <w:pStyle w:val="null3"/>
        <w:ind w:firstLine="480"/>
        <w:jc w:val="both"/>
      </w:pPr>
      <w:r>
        <w:rPr>
          <w:sz w:val="24"/>
        </w:rPr>
        <w:t>1</w:t>
      </w:r>
      <w:r>
        <w:rPr>
          <w:sz w:val="24"/>
        </w:rPr>
        <w:t>.</w:t>
      </w:r>
      <w:r>
        <w:rPr>
          <w:sz w:val="24"/>
        </w:rPr>
        <w:t>合同自甲</w:t>
      </w:r>
      <w:r>
        <w:rPr>
          <w:sz w:val="24"/>
        </w:rPr>
        <w:t>、</w:t>
      </w:r>
      <w:r>
        <w:rPr>
          <w:sz w:val="24"/>
        </w:rPr>
        <w:t>乙</w:t>
      </w:r>
      <w:r>
        <w:rPr>
          <w:sz w:val="24"/>
        </w:rPr>
        <w:t>、</w:t>
      </w:r>
      <w:r>
        <w:rPr>
          <w:sz w:val="24"/>
        </w:rPr>
        <w:t>丙</w:t>
      </w:r>
      <w:r>
        <w:rPr>
          <w:sz w:val="24"/>
        </w:rPr>
        <w:t>、</w:t>
      </w:r>
      <w:r>
        <w:rPr>
          <w:sz w:val="24"/>
        </w:rPr>
        <w:t>丁</w:t>
      </w:r>
      <w:r>
        <w:rPr>
          <w:sz w:val="24"/>
        </w:rPr>
        <w:t>、</w:t>
      </w:r>
      <w:r>
        <w:rPr>
          <w:sz w:val="24"/>
        </w:rPr>
        <w:t>戊各法定代表人或其授权代表签字盖章之日起生效。</w:t>
      </w:r>
    </w:p>
    <w:p>
      <w:pPr>
        <w:pStyle w:val="null3"/>
        <w:ind w:firstLine="480"/>
        <w:jc w:val="both"/>
      </w:pPr>
      <w:r>
        <w:rPr>
          <w:sz w:val="24"/>
        </w:rPr>
        <w:t>2</w:t>
      </w:r>
      <w:r>
        <w:rPr>
          <w:sz w:val="24"/>
        </w:rPr>
        <w:t>.</w:t>
      </w:r>
      <w:r>
        <w:rPr>
          <w:sz w:val="24"/>
        </w:rPr>
        <w:t>合同壹式</w:t>
      </w:r>
      <w:r>
        <w:rPr>
          <w:u w:val="single"/>
        </w:rPr>
        <w:t xml:space="preserve">  </w:t>
      </w:r>
      <w:r>
        <w:rPr>
          <w:sz w:val="24"/>
        </w:rPr>
        <w:t>份，其中甲方执</w:t>
      </w:r>
      <w:r>
        <w:rPr>
          <w:u w:val="single"/>
        </w:rPr>
        <w:t xml:space="preserve">  </w:t>
      </w:r>
      <w:r>
        <w:rPr>
          <w:sz w:val="24"/>
        </w:rPr>
        <w:t>份，乙方、丙方、丁方、戊方各执</w:t>
      </w:r>
      <w:r>
        <w:rPr>
          <w:u w:val="single"/>
        </w:rPr>
        <w:t xml:space="preserve">  </w:t>
      </w:r>
      <w:r>
        <w:rPr>
          <w:sz w:val="24"/>
        </w:rPr>
        <w:t>份，采购代理机构执壹份，政府采购监督管理部门壹份。</w:t>
      </w:r>
    </w:p>
    <w:p>
      <w:pPr>
        <w:pStyle w:val="null3"/>
        <w:jc w:val="both"/>
      </w:pPr>
      <w:r>
        <w:rPr>
          <w:sz w:val="24"/>
          <w:b/>
        </w:rPr>
        <w:t>二十、附件</w:t>
      </w:r>
    </w:p>
    <w:p>
      <w:pPr>
        <w:pStyle w:val="null3"/>
        <w:ind w:firstLine="480"/>
        <w:jc w:val="both"/>
      </w:pPr>
      <w:r>
        <w:rPr>
          <w:sz w:val="24"/>
        </w:rPr>
        <w:t>附件一：</w:t>
      </w:r>
      <w:r>
        <w:rPr>
          <w:sz w:val="24"/>
        </w:rPr>
        <w:t>202</w:t>
      </w:r>
      <w:r>
        <w:rPr>
          <w:sz w:val="24"/>
        </w:rPr>
        <w:t>6</w:t>
      </w:r>
      <w:r>
        <w:rPr>
          <w:sz w:val="24"/>
        </w:rPr>
        <w:t>-202</w:t>
      </w:r>
      <w:r>
        <w:rPr>
          <w:sz w:val="24"/>
        </w:rPr>
        <w:t>8</w:t>
      </w:r>
      <w:r>
        <w:rPr>
          <w:sz w:val="24"/>
        </w:rPr>
        <w:t>年中山市台风强降雨巨灾指数保险方案</w:t>
      </w:r>
    </w:p>
    <w:p>
      <w:pPr>
        <w:pStyle w:val="null3"/>
        <w:ind w:firstLine="480"/>
        <w:jc w:val="both"/>
      </w:pPr>
      <w:r>
        <w:rPr>
          <w:sz w:val="24"/>
        </w:rPr>
        <w:t>附件二：</w:t>
      </w:r>
      <w:r>
        <w:rPr>
          <w:sz w:val="24"/>
        </w:rPr>
        <w:t>2026-2028年度中山市巨灾保险</w:t>
      </w:r>
      <w:r>
        <w:rPr>
          <w:sz w:val="24"/>
        </w:rPr>
        <w:t>合同</w:t>
      </w:r>
      <w:r>
        <w:rPr>
          <w:sz w:val="24"/>
        </w:rPr>
        <w:t>共保协议书</w:t>
      </w:r>
    </w:p>
    <w:p>
      <w:pPr>
        <w:pStyle w:val="null3"/>
        <w:ind w:firstLine="480"/>
        <w:jc w:val="both"/>
      </w:pPr>
      <w:r>
        <w:rPr>
          <w:sz w:val="24"/>
        </w:rPr>
        <w:t>可根据合同签订时补充相关附件</w:t>
      </w:r>
    </w:p>
    <w:p>
      <w:pPr>
        <w:pStyle w:val="null3"/>
        <w:ind w:firstLine="480"/>
        <w:jc w:val="both"/>
      </w:pPr>
      <w:r>
        <w:rPr>
          <w:sz w:val="24"/>
        </w:rPr>
        <w:t>甲方（盖章）：</w:t>
      </w:r>
    </w:p>
    <w:p>
      <w:pPr>
        <w:pStyle w:val="null3"/>
        <w:ind w:firstLine="480"/>
        <w:jc w:val="both"/>
      </w:pPr>
      <w:r>
        <w:rPr>
          <w:sz w:val="24"/>
        </w:rPr>
        <w:t>法定代表人</w:t>
      </w:r>
      <w:r>
        <w:rPr>
          <w:sz w:val="24"/>
        </w:rPr>
        <w:t>/负责人/授权代表（签字）：</w:t>
      </w:r>
    </w:p>
    <w:p>
      <w:pPr>
        <w:pStyle w:val="null3"/>
        <w:ind w:firstLine="480"/>
        <w:jc w:val="both"/>
      </w:pPr>
      <w:r>
        <w:rPr>
          <w:sz w:val="24"/>
        </w:rPr>
        <w:t>签订日期：</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ind w:firstLine="480"/>
        <w:jc w:val="both"/>
      </w:pPr>
      <w:r>
        <w:rPr>
          <w:sz w:val="24"/>
        </w:rPr>
        <w:t>乙方（盖章）：</w:t>
      </w:r>
    </w:p>
    <w:p>
      <w:pPr>
        <w:pStyle w:val="null3"/>
        <w:ind w:firstLine="480"/>
        <w:jc w:val="both"/>
      </w:pPr>
      <w:r>
        <w:rPr>
          <w:sz w:val="24"/>
        </w:rPr>
        <w:t>法定代表人</w:t>
      </w:r>
      <w:r>
        <w:rPr>
          <w:sz w:val="24"/>
        </w:rPr>
        <w:t>/负责人/授权代表（签字）：</w:t>
      </w:r>
    </w:p>
    <w:p>
      <w:pPr>
        <w:pStyle w:val="null3"/>
        <w:ind w:firstLine="480"/>
        <w:jc w:val="both"/>
      </w:pPr>
      <w:r>
        <w:rPr>
          <w:sz w:val="24"/>
        </w:rPr>
        <w:t>签订日期：</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ind w:firstLine="480"/>
        <w:jc w:val="both"/>
      </w:pPr>
      <w:r>
        <w:rPr>
          <w:sz w:val="24"/>
        </w:rPr>
        <w:t>丙方（盖章）：</w:t>
      </w:r>
    </w:p>
    <w:p>
      <w:pPr>
        <w:pStyle w:val="null3"/>
        <w:ind w:firstLine="480"/>
        <w:jc w:val="both"/>
      </w:pPr>
      <w:r>
        <w:rPr>
          <w:sz w:val="24"/>
        </w:rPr>
        <w:t>法定代表人</w:t>
      </w:r>
      <w:r>
        <w:rPr>
          <w:sz w:val="24"/>
        </w:rPr>
        <w:t>/负责人/授权代表（签字）：</w:t>
      </w:r>
    </w:p>
    <w:p>
      <w:pPr>
        <w:pStyle w:val="null3"/>
        <w:ind w:firstLine="480"/>
        <w:jc w:val="both"/>
      </w:pPr>
      <w:r>
        <w:rPr>
          <w:sz w:val="24"/>
        </w:rPr>
        <w:t>签订日期：</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ind w:firstLine="480"/>
        <w:jc w:val="both"/>
      </w:pPr>
      <w:r>
        <w:rPr>
          <w:sz w:val="24"/>
        </w:rPr>
        <w:t>丁方（盖章）：</w:t>
      </w:r>
    </w:p>
    <w:p>
      <w:pPr>
        <w:pStyle w:val="null3"/>
        <w:ind w:firstLine="480"/>
        <w:jc w:val="both"/>
      </w:pPr>
      <w:r>
        <w:rPr>
          <w:sz w:val="24"/>
        </w:rPr>
        <w:t>法定代表人</w:t>
      </w:r>
      <w:r>
        <w:rPr>
          <w:sz w:val="24"/>
        </w:rPr>
        <w:t>/负责人/授权代表（签字）：</w:t>
      </w:r>
    </w:p>
    <w:p>
      <w:pPr>
        <w:pStyle w:val="null3"/>
        <w:ind w:firstLine="480"/>
        <w:jc w:val="both"/>
      </w:pPr>
      <w:r>
        <w:rPr>
          <w:sz w:val="24"/>
        </w:rPr>
        <w:t>签订日期：</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ind w:firstLine="480"/>
        <w:jc w:val="both"/>
      </w:pPr>
      <w:r>
        <w:rPr>
          <w:sz w:val="24"/>
        </w:rPr>
        <w:t>戊方（盖章）：</w:t>
      </w:r>
    </w:p>
    <w:p>
      <w:pPr>
        <w:pStyle w:val="null3"/>
        <w:ind w:firstLine="480"/>
        <w:jc w:val="both"/>
      </w:pPr>
      <w:r>
        <w:rPr>
          <w:sz w:val="24"/>
        </w:rPr>
        <w:t>法定代表人</w:t>
      </w:r>
      <w:r>
        <w:rPr>
          <w:sz w:val="24"/>
        </w:rPr>
        <w:t>/负责人/授权代表（签字）：</w:t>
      </w:r>
    </w:p>
    <w:p>
      <w:pPr>
        <w:pStyle w:val="null3"/>
        <w:ind w:firstLine="480"/>
        <w:jc w:val="both"/>
      </w:pPr>
      <w:r>
        <w:rPr>
          <w:sz w:val="24"/>
        </w:rPr>
        <w:t>签订日期：</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ind w:firstLine="480"/>
        <w:jc w:val="both"/>
      </w:pPr>
      <w:r>
        <w:rPr/>
        <w:t xml:space="preserve"> </w:t>
      </w:r>
    </w:p>
    <w:p>
      <w:pPr>
        <w:pStyle w:val="null3"/>
        <w:ind w:firstLine="480"/>
        <w:jc w:val="both"/>
      </w:pPr>
      <w:r>
        <w:rPr>
          <w:sz w:val="24"/>
          <w:b/>
        </w:rPr>
        <w:t>附件一：</w:t>
      </w:r>
      <w:r>
        <w:rPr>
          <w:sz w:val="24"/>
          <w:b/>
        </w:rPr>
        <w:t>2026-2028年中山市台风强降雨巨灾指数保险方案</w:t>
      </w:r>
    </w:p>
    <w:p>
      <w:pPr>
        <w:pStyle w:val="null3"/>
        <w:jc w:val="both"/>
      </w:pPr>
      <w:r>
        <w:rPr/>
        <w:t xml:space="preserve"> </w:t>
      </w:r>
    </w:p>
    <w:p>
      <w:pPr>
        <w:pStyle w:val="null3"/>
        <w:jc w:val="both"/>
      </w:pPr>
      <w:r>
        <w:rPr>
          <w:sz w:val="24"/>
          <w:b/>
        </w:rPr>
        <w:t>附件二：</w:t>
      </w:r>
      <w:r>
        <w:rPr>
          <w:sz w:val="24"/>
          <w:b/>
        </w:rPr>
        <w:t>2026-2028年度中山市巨灾保险合同共保协议书</w:t>
      </w:r>
    </w:p>
    <w:p>
      <w:pPr>
        <w:pStyle w:val="null3"/>
        <w:ind w:right="180"/>
        <w:jc w:val="center"/>
      </w:pPr>
      <w:r>
        <w:rPr>
          <w:sz w:val="24"/>
        </w:rPr>
        <w:t>2026-2028年度中山市巨灾保险合同共保协议书</w:t>
      </w:r>
    </w:p>
    <w:p>
      <w:pPr>
        <w:pStyle w:val="null3"/>
        <w:ind w:right="180"/>
        <w:jc w:val="center"/>
      </w:pPr>
      <w:r>
        <w:rPr>
          <w:sz w:val="24"/>
          <w:b/>
        </w:rPr>
        <w:t>（此合同为参考合同，以本招标文件的《采购需求》的要求为基础，以采购人与中标</w:t>
      </w:r>
      <w:r>
        <w:rPr>
          <w:sz w:val="24"/>
          <w:b/>
        </w:rPr>
        <w:t>人</w:t>
      </w:r>
      <w:r>
        <w:rPr>
          <w:sz w:val="24"/>
          <w:b/>
        </w:rPr>
        <w:t>签订中标合同为准，但不得超出招标文件约定的范围）</w:t>
      </w:r>
    </w:p>
    <w:p>
      <w:pPr>
        <w:pStyle w:val="null3"/>
        <w:jc w:val="both"/>
      </w:pPr>
      <w:r>
        <w:rPr>
          <w:b/>
          <w:u w:val="single"/>
        </w:rPr>
        <w:t xml:space="preserve">    </w:t>
      </w:r>
      <w:r>
        <w:rPr>
          <w:sz w:val="24"/>
          <w:b/>
        </w:rPr>
        <w:t>年</w:t>
      </w:r>
      <w:r>
        <w:rPr>
          <w:b/>
          <w:u w:val="single"/>
        </w:rPr>
        <w:t xml:space="preserve">    </w:t>
      </w:r>
      <w:r>
        <w:rPr>
          <w:sz w:val="24"/>
          <w:b/>
        </w:rPr>
        <w:t>月</w:t>
      </w:r>
    </w:p>
    <w:p>
      <w:pPr>
        <w:pStyle w:val="null3"/>
      </w:pPr>
      <w:r>
        <w:rPr>
          <w:sz w:val="24"/>
          <w:b/>
        </w:rPr>
        <w:t>甲方</w:t>
      </w:r>
      <w:r>
        <w:rPr>
          <w:sz w:val="24"/>
          <w:b/>
        </w:rPr>
        <w:t>(首席承保人)</w:t>
      </w:r>
      <w:r>
        <w:rPr>
          <w:sz w:val="24"/>
          <w:b/>
        </w:rPr>
        <w:t>：</w:t>
      </w:r>
      <w:r>
        <w:rPr>
          <w:b/>
          <w:u w:val="single"/>
        </w:rPr>
        <w:t xml:space="preserve">                       </w:t>
      </w:r>
    </w:p>
    <w:p>
      <w:pPr>
        <w:pStyle w:val="null3"/>
        <w:ind w:right="2565"/>
        <w:jc w:val="both"/>
      </w:pPr>
      <w:r>
        <w:rPr>
          <w:sz w:val="24"/>
          <w:b/>
        </w:rPr>
        <w:t>乙方</w:t>
      </w:r>
      <w:r>
        <w:rPr>
          <w:sz w:val="24"/>
          <w:b/>
        </w:rPr>
        <w:t>(从共保人)</w:t>
      </w:r>
      <w:r>
        <w:rPr>
          <w:sz w:val="24"/>
          <w:b/>
        </w:rPr>
        <w:t>：</w:t>
      </w:r>
      <w:r>
        <w:rPr>
          <w:b/>
          <w:u w:val="single"/>
        </w:rPr>
        <w:t xml:space="preserve">                         </w:t>
      </w:r>
    </w:p>
    <w:p>
      <w:pPr>
        <w:pStyle w:val="null3"/>
        <w:jc w:val="both"/>
      </w:pPr>
      <w:r>
        <w:rPr>
          <w:sz w:val="24"/>
          <w:b/>
        </w:rPr>
        <w:t>丙方</w:t>
      </w:r>
      <w:r>
        <w:rPr>
          <w:sz w:val="24"/>
          <w:b/>
        </w:rPr>
        <w:t>(从共保人)</w:t>
      </w:r>
      <w:r>
        <w:rPr>
          <w:sz w:val="24"/>
          <w:b/>
        </w:rPr>
        <w:t>：</w:t>
      </w:r>
      <w:r>
        <w:rPr>
          <w:b/>
          <w:u w:val="single"/>
        </w:rPr>
        <w:t xml:space="preserve">                         </w:t>
      </w:r>
    </w:p>
    <w:p>
      <w:pPr>
        <w:pStyle w:val="null3"/>
        <w:jc w:val="both"/>
      </w:pPr>
      <w:r>
        <w:rPr>
          <w:sz w:val="24"/>
          <w:b/>
        </w:rPr>
        <w:t>丁方</w:t>
      </w:r>
      <w:r>
        <w:rPr>
          <w:sz w:val="24"/>
          <w:b/>
        </w:rPr>
        <w:t>(从共保人)</w:t>
      </w:r>
      <w:r>
        <w:rPr>
          <w:sz w:val="24"/>
          <w:b/>
        </w:rPr>
        <w:t>：</w:t>
      </w:r>
      <w:r>
        <w:rPr>
          <w:b/>
          <w:u w:val="single"/>
        </w:rPr>
        <w:t xml:space="preserve">                         </w:t>
      </w:r>
    </w:p>
    <w:p>
      <w:pPr>
        <w:pStyle w:val="null3"/>
        <w:ind w:firstLine="480"/>
        <w:jc w:val="both"/>
      </w:pPr>
      <w:r>
        <w:rPr>
          <w:sz w:val="24"/>
        </w:rPr>
        <w:t>乙方、丙方和丁方是：</w:t>
      </w:r>
      <w:r>
        <w:rPr>
          <w:sz w:val="24"/>
        </w:rPr>
        <w:t>(1)均为依照中华人民共和国法律成立的并经银保监会批准的有效存续的保险公司或其分支机构；(2)具有经营本项目所涉保险业务的相关资质；(3)已经获得签署本合同的相应授权。</w:t>
      </w:r>
    </w:p>
    <w:p>
      <w:pPr>
        <w:pStyle w:val="null3"/>
        <w:ind w:firstLine="480"/>
        <w:jc w:val="both"/>
      </w:pPr>
      <w:r>
        <w:rPr>
          <w:sz w:val="24"/>
        </w:rPr>
        <w:t>兹经甲乙各方认真友好协商，依据《中华人民共和国民法典》《中华人民共和国保险法》等相关法律法规的规定，各方在平等互利、协商一致的基础上，一致就本项目相关保险的共保事宜达成协议如下，以资共同遵照执行。</w:t>
      </w:r>
    </w:p>
    <w:p>
      <w:pPr>
        <w:pStyle w:val="null3"/>
        <w:jc w:val="both"/>
      </w:pPr>
      <w:r>
        <w:rPr>
          <w:sz w:val="24"/>
          <w:b/>
        </w:rPr>
        <w:t>一、共保原则</w:t>
      </w:r>
    </w:p>
    <w:p>
      <w:pPr>
        <w:pStyle w:val="null3"/>
        <w:ind w:firstLine="480"/>
        <w:jc w:val="both"/>
      </w:pPr>
      <w:r>
        <w:rPr>
          <w:sz w:val="24"/>
        </w:rPr>
        <w:t>甲方、乙方、丙方和丁方应遵守</w:t>
      </w:r>
      <w:r>
        <w:rPr>
          <w:sz w:val="24"/>
        </w:rPr>
        <w:t>“保户第一，服务第一，信誉第一，风险共担，有利共享”的共保原则，以相关保险合同及本共保协议为基础，各方共同承担保险责任与义务。</w:t>
      </w:r>
    </w:p>
    <w:p>
      <w:pPr>
        <w:pStyle w:val="null3"/>
        <w:jc w:val="both"/>
      </w:pPr>
      <w:r>
        <w:rPr>
          <w:sz w:val="24"/>
          <w:b/>
        </w:rPr>
        <w:t>二、共保范围</w:t>
      </w:r>
    </w:p>
    <w:p>
      <w:pPr>
        <w:pStyle w:val="null3"/>
        <w:ind w:firstLine="480"/>
        <w:jc w:val="both"/>
      </w:pPr>
      <w:r>
        <w:rPr>
          <w:sz w:val="24"/>
        </w:rPr>
        <w:t>2026-2028年度中山市巨灾保险</w:t>
      </w:r>
    </w:p>
    <w:p>
      <w:pPr>
        <w:pStyle w:val="null3"/>
        <w:jc w:val="both"/>
      </w:pPr>
      <w:r>
        <w:rPr>
          <w:sz w:val="24"/>
          <w:b/>
        </w:rPr>
        <w:t>三、共保比例</w:t>
      </w:r>
    </w:p>
    <w:p>
      <w:pPr>
        <w:pStyle w:val="null3"/>
        <w:ind w:firstLine="480"/>
        <w:jc w:val="both"/>
      </w:pPr>
      <w:r>
        <w:rPr>
          <w:sz w:val="24"/>
        </w:rPr>
        <w:t>甲方、乙方、丙方和丁方充分理解并同意按各自的共保比例</w:t>
      </w:r>
      <w:r>
        <w:rPr>
          <w:sz w:val="24"/>
        </w:rPr>
        <w:t>(以下简称“份额”)承担保险合同中的相应保险责任和义务，并享有相应的权益，且按各自承保的份额自行办理再保险，并按规定缴纳相关税费。具体共保比例如下：</w:t>
      </w:r>
    </w:p>
    <w:tbl>
      <w:tblPr>
        <w:tblW w:w="0" w:type="auto"/>
        <w:tblBorders>
          <w:top w:val="none" w:color="000000" w:sz="4"/>
          <w:left w:val="none" w:color="000000" w:sz="4"/>
          <w:bottom w:val="none" w:color="000000" w:sz="4"/>
          <w:right w:val="none" w:color="000000" w:sz="4"/>
          <w:insideH w:val="none"/>
          <w:insideV w:val="none"/>
        </w:tblBorders>
      </w:tblPr>
      <w:tblGrid>
        <w:gridCol w:w="937"/>
        <w:gridCol w:w="1858"/>
        <w:gridCol w:w="937"/>
        <w:gridCol w:w="4573"/>
      </w:tblGrid>
      <w:tr>
        <w:tc>
          <w:tcPr>
            <w:tcW w:type="dxa" w:w="9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序号</w:t>
            </w:r>
          </w:p>
        </w:tc>
        <w:tc>
          <w:tcPr>
            <w:tcW w:type="dxa" w:w="185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共保公司</w:t>
            </w:r>
          </w:p>
        </w:tc>
        <w:tc>
          <w:tcPr>
            <w:tcW w:type="dxa" w:w="93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份额</w:t>
            </w:r>
          </w:p>
        </w:tc>
        <w:tc>
          <w:tcPr>
            <w:tcW w:type="dxa" w:w="45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年度份额保费</w:t>
            </w:r>
            <w:r>
              <w:rPr>
                <w:sz w:val="24"/>
                <w:b/>
              </w:rPr>
              <w:t>(含税)</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c>
          <w:tcPr>
            <w:tcW w:type="dxa" w:w="1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155" w:right="210"/>
              <w:jc w:val="center"/>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50%</w:t>
            </w:r>
          </w:p>
        </w:tc>
        <w:tc>
          <w:tcPr>
            <w:tcW w:type="dxa" w:w="4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元</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20%</w:t>
            </w:r>
          </w:p>
        </w:tc>
        <w:tc>
          <w:tcPr>
            <w:tcW w:type="dxa" w:w="4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元</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1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18%</w:t>
            </w:r>
          </w:p>
        </w:tc>
        <w:tc>
          <w:tcPr>
            <w:tcW w:type="dxa" w:w="4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元</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1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12%</w:t>
            </w:r>
          </w:p>
        </w:tc>
        <w:tc>
          <w:tcPr>
            <w:tcW w:type="dxa" w:w="4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元</w:t>
            </w:r>
          </w:p>
        </w:tc>
      </w:tr>
      <w:tr>
        <w:tc>
          <w:tcPr>
            <w:tcW w:type="dxa" w:w="3732"/>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合计</w:t>
            </w:r>
          </w:p>
        </w:tc>
        <w:tc>
          <w:tcPr>
            <w:tcW w:type="dxa" w:w="4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元</w:t>
            </w:r>
          </w:p>
        </w:tc>
      </w:tr>
      <w:tr>
        <w:tc>
          <w:tcPr>
            <w:tcW w:type="dxa" w:w="830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rPr>
              <w:t>备注：上述表格保费为</w:t>
            </w:r>
            <w:r>
              <w:rPr>
                <w:sz w:val="19"/>
                <w:b/>
                <w:u w:val="single"/>
              </w:rPr>
              <w:t xml:space="preserve">   </w:t>
            </w:r>
            <w:r>
              <w:rPr>
                <w:sz w:val="24"/>
                <w:b/>
              </w:rPr>
              <w:t>年期保费，保费合计</w:t>
            </w:r>
            <w:r>
              <w:rPr>
                <w:sz w:val="19"/>
                <w:b/>
                <w:u w:val="single"/>
              </w:rPr>
              <w:t xml:space="preserve">        </w:t>
            </w:r>
            <w:r>
              <w:rPr>
                <w:sz w:val="24"/>
                <w:b/>
              </w:rPr>
              <w:t>元。</w:t>
            </w:r>
          </w:p>
        </w:tc>
      </w:tr>
    </w:tbl>
    <w:p>
      <w:pPr>
        <w:pStyle w:val="null3"/>
        <w:jc w:val="both"/>
      </w:pPr>
      <w:r>
        <w:rPr>
          <w:sz w:val="24"/>
          <w:b/>
        </w:rPr>
        <w:t>四、共保方式</w:t>
      </w:r>
    </w:p>
    <w:p>
      <w:pPr>
        <w:pStyle w:val="null3"/>
        <w:ind w:firstLine="482"/>
        <w:jc w:val="both"/>
      </w:pPr>
      <w:r>
        <w:rPr>
          <w:sz w:val="24"/>
          <w:b/>
        </w:rPr>
        <w:t>1、共同保险人</w:t>
      </w:r>
    </w:p>
    <w:p>
      <w:pPr>
        <w:pStyle w:val="null3"/>
        <w:ind w:firstLine="480"/>
        <w:jc w:val="both"/>
      </w:pPr>
      <w:r>
        <w:rPr>
          <w:sz w:val="24"/>
        </w:rPr>
        <w:t>甲方、乙方、丙方和丁方同时作为本项目的共同保险人，乙方、丙方、丁方一致理解并同意：甲方为本共保项目首席承保人，直接代表共保保险人处理一切与本保险单有关的事宜。甲方负责处理与被保险人之间根据共保协议及保险合同规定的日常工作，并负责将处理的情况及时通知乙方、丙方、丁方。甲方在维护被保险人和其他共保人利益的前提下，对在保险单有效期内对所发生的一切保险事宜，有最终决定权。在发生费率调整、重要条款变更、重大赔案给付或甲方认为可能会涉及共保体重大利益变动事项时，甲方行使最终决定权时应事先征得乙方、丙方、丁方书面同意。乙方、丙方、丁方为从共保人，承诺遵守由甲方与被保险人就有关保险事宜所作的所有决定，完全接受本项目保险合同确定的条件，中途不得退出，按照甲方通知要求履行相关保险义务。</w:t>
      </w:r>
    </w:p>
    <w:p>
      <w:pPr>
        <w:pStyle w:val="null3"/>
        <w:ind w:firstLine="482"/>
        <w:jc w:val="both"/>
      </w:pPr>
      <w:r>
        <w:rPr>
          <w:sz w:val="24"/>
          <w:b/>
        </w:rPr>
        <w:t>重大赔案指估损金额超</w:t>
      </w:r>
      <w:r>
        <w:rPr>
          <w:sz w:val="24"/>
          <w:b/>
        </w:rPr>
        <w:t>500万(含)的赔案。</w:t>
      </w:r>
    </w:p>
    <w:p>
      <w:pPr>
        <w:pStyle w:val="null3"/>
        <w:ind w:firstLine="482"/>
        <w:jc w:val="both"/>
      </w:pPr>
      <w:r>
        <w:rPr>
          <w:sz w:val="24"/>
          <w:b/>
        </w:rPr>
        <w:t>2、共保协议的确认</w:t>
      </w:r>
    </w:p>
    <w:p>
      <w:pPr>
        <w:pStyle w:val="null3"/>
        <w:ind w:firstLine="480"/>
        <w:jc w:val="both"/>
      </w:pPr>
      <w:r>
        <w:rPr>
          <w:sz w:val="24"/>
        </w:rPr>
        <w:t>甲</w:t>
      </w:r>
      <w:r>
        <w:rPr>
          <w:sz w:val="24"/>
        </w:rPr>
        <w:t>、</w:t>
      </w:r>
      <w:r>
        <w:rPr>
          <w:sz w:val="24"/>
        </w:rPr>
        <w:t>乙</w:t>
      </w:r>
      <w:r>
        <w:rPr>
          <w:sz w:val="24"/>
        </w:rPr>
        <w:t>、</w:t>
      </w:r>
      <w:r>
        <w:rPr>
          <w:sz w:val="24"/>
        </w:rPr>
        <w:t>丙</w:t>
      </w:r>
      <w:r>
        <w:rPr>
          <w:sz w:val="24"/>
        </w:rPr>
        <w:t>、</w:t>
      </w:r>
      <w:r>
        <w:rPr>
          <w:sz w:val="24"/>
        </w:rPr>
        <w:t>丁各方就本项目相关保险共保协议进行充分协商，取得一致意见后由共保各方签字盖章后确认。</w:t>
      </w:r>
    </w:p>
    <w:p>
      <w:pPr>
        <w:pStyle w:val="null3"/>
      </w:pPr>
      <w:r>
        <w:rPr>
          <w:sz w:val="24"/>
          <w:b/>
        </w:rPr>
        <w:t>五、承保出单</w:t>
      </w:r>
    </w:p>
    <w:p>
      <w:pPr>
        <w:pStyle w:val="null3"/>
        <w:ind w:firstLine="482"/>
        <w:jc w:val="both"/>
      </w:pPr>
      <w:r>
        <w:rPr>
          <w:sz w:val="24"/>
          <w:b/>
        </w:rPr>
        <w:t>1、保险单证</w:t>
      </w:r>
    </w:p>
    <w:p>
      <w:pPr>
        <w:pStyle w:val="null3"/>
        <w:ind w:firstLine="480"/>
        <w:jc w:val="both"/>
      </w:pPr>
      <w:r>
        <w:rPr>
          <w:sz w:val="24"/>
        </w:rPr>
        <w:t>甲方负责代表乙方、丙方、丁方向被保险人出具共保险种的保险单、批单及其它相关业务单证，并于出单后</w:t>
      </w:r>
      <w:r>
        <w:rPr>
          <w:sz w:val="24"/>
        </w:rPr>
        <w:t>10个工作日内，将相关业务单证副本复印件各一份交乙方、丙方、丁方存档。</w:t>
      </w:r>
    </w:p>
    <w:p>
      <w:pPr>
        <w:pStyle w:val="null3"/>
        <w:ind w:firstLine="482"/>
        <w:jc w:val="both"/>
      </w:pPr>
      <w:r>
        <w:rPr>
          <w:sz w:val="24"/>
          <w:b/>
        </w:rPr>
        <w:t>2、保险费</w:t>
      </w:r>
    </w:p>
    <w:p>
      <w:pPr>
        <w:pStyle w:val="null3"/>
        <w:ind w:firstLine="480"/>
        <w:jc w:val="both"/>
      </w:pPr>
      <w:r>
        <w:rPr>
          <w:sz w:val="24"/>
        </w:rPr>
        <w:t>甲方负责代表乙方、丙方、丁方根据共保保单的约定向被保险人出具</w:t>
      </w:r>
      <w:r>
        <w:rPr>
          <w:sz w:val="24"/>
        </w:rPr>
        <w:t>100%份额的保费发票并收取保险费，在收到被保险人支付的100%份额的保险费后及时通知乙方、丙方、丁方提供相应的保险费发票，并在收到乙方、丙方、丁方开具的对应份额的保险费增值税专用发票后10个工作日内，将乙方、丙方、丁方所占份额的保险费划至乙方、丙方、丁方指定账户，乙方、丙方、丁方账户信息详参附件。</w:t>
      </w:r>
    </w:p>
    <w:p>
      <w:pPr>
        <w:pStyle w:val="null3"/>
        <w:ind w:firstLine="482"/>
        <w:jc w:val="both"/>
      </w:pPr>
      <w:r>
        <w:rPr>
          <w:sz w:val="24"/>
          <w:b/>
        </w:rPr>
        <w:t>3、批改处理</w:t>
      </w:r>
    </w:p>
    <w:p>
      <w:pPr>
        <w:pStyle w:val="null3"/>
        <w:ind w:firstLine="480"/>
        <w:jc w:val="both"/>
      </w:pPr>
      <w:r>
        <w:rPr>
          <w:sz w:val="24"/>
        </w:rPr>
        <w:t>乙方、丙方、丁方同意甲方全权处理本协议项下保险合同所涉及的条件变更等事宜，甲方应在上述条件变更后的</w:t>
      </w:r>
      <w:r>
        <w:rPr>
          <w:sz w:val="24"/>
        </w:rPr>
        <w:t>10个工作日内通知乙方、丙方、丁方。如发生保额调整导致保险费增加或减少的情况，乙方、丙方、丁方同意由甲方向被保险人及有关各方统一收取或支付，并按下述约定进行结算：</w:t>
      </w:r>
    </w:p>
    <w:p>
      <w:pPr>
        <w:pStyle w:val="null3"/>
        <w:ind w:firstLine="480"/>
        <w:jc w:val="both"/>
      </w:pPr>
      <w:r>
        <w:rPr>
          <w:sz w:val="24"/>
        </w:rPr>
        <w:t>(1)发生批增保险费的，甲方在收到100%份额的批增保险费后通知乙方、丙方、丁方提供相应的保费发票，并在收到乙方、丙方、丁方开具的对应份额的保险费增值税专用发票后10个工作日内，将乙方、丙方、丁方所占份额的保险费划至乙方、丙方、丁方指定账户。</w:t>
      </w:r>
    </w:p>
    <w:p>
      <w:pPr>
        <w:pStyle w:val="null3"/>
        <w:ind w:firstLine="480"/>
        <w:jc w:val="both"/>
      </w:pPr>
      <w:r>
        <w:rPr>
          <w:sz w:val="24"/>
        </w:rPr>
        <w:t>(2)发生批减保险费的，乙方、丙方、丁方在收到甲方提供的批减保费通知后10个工作日内，将乙方、丙方、丁方所占份额的批减保险费划至甲方指定账户，甲方的账户信息详参附件。</w:t>
      </w:r>
    </w:p>
    <w:p>
      <w:pPr>
        <w:pStyle w:val="null3"/>
        <w:ind w:firstLine="482"/>
        <w:jc w:val="both"/>
      </w:pPr>
      <w:r>
        <w:rPr>
          <w:sz w:val="24"/>
          <w:b/>
        </w:rPr>
        <w:t>4、再保险安排及赔款摊回</w:t>
      </w:r>
    </w:p>
    <w:p>
      <w:pPr>
        <w:pStyle w:val="null3"/>
        <w:ind w:firstLine="480"/>
        <w:jc w:val="both"/>
      </w:pPr>
      <w:r>
        <w:rPr>
          <w:sz w:val="24"/>
        </w:rPr>
        <w:t>甲、乙、丙、丁各方应当自行办理再保险，缴纳再保险保费。一旦发生损失，自行摊回再保险赔款。</w:t>
      </w:r>
    </w:p>
    <w:p>
      <w:pPr>
        <w:pStyle w:val="null3"/>
        <w:ind w:firstLine="482"/>
        <w:jc w:val="both"/>
      </w:pPr>
      <w:r>
        <w:rPr>
          <w:sz w:val="24"/>
          <w:b/>
        </w:rPr>
        <w:t>5、退保、退费处理</w:t>
      </w:r>
    </w:p>
    <w:p>
      <w:pPr>
        <w:pStyle w:val="null3"/>
        <w:ind w:firstLine="480"/>
        <w:jc w:val="both"/>
      </w:pPr>
      <w:r>
        <w:rPr>
          <w:sz w:val="24"/>
        </w:rPr>
        <w:t>共保业务保险合同的被保险人</w:t>
      </w:r>
      <w:r>
        <w:rPr>
          <w:sz w:val="24"/>
        </w:rPr>
        <w:t>(投保人)依据保险合同约定，提出退保、退费要求时，由甲方依据合同自行处理，并将有关业务处理单据副本一份递交乙方、丙方和丁方各共保人，乙方、丙方和丁方各共保人应在收到相关单据的5个工作日内按照所占共保业务承保比例向被保险人(投保人)划付应退保险费及相关费用。</w:t>
      </w:r>
    </w:p>
    <w:p>
      <w:pPr>
        <w:pStyle w:val="null3"/>
        <w:jc w:val="both"/>
      </w:pPr>
      <w:r>
        <w:rPr>
          <w:sz w:val="24"/>
          <w:b/>
        </w:rPr>
        <w:t>六、赔偿处理</w:t>
      </w:r>
    </w:p>
    <w:p>
      <w:pPr>
        <w:pStyle w:val="null3"/>
        <w:ind w:firstLine="482"/>
        <w:jc w:val="both"/>
      </w:pPr>
      <w:r>
        <w:rPr>
          <w:sz w:val="24"/>
          <w:b/>
        </w:rPr>
        <w:t>1、处理原则</w:t>
      </w:r>
    </w:p>
    <w:p>
      <w:pPr>
        <w:pStyle w:val="null3"/>
        <w:ind w:firstLine="480"/>
        <w:jc w:val="both"/>
      </w:pPr>
      <w:r>
        <w:rPr>
          <w:sz w:val="24"/>
        </w:rPr>
        <w:t>乙方、丙方、丁方充分理解并同意由甲方全权处理有关理赔事宜，包括但不限于查勘、定责、定损、理算、赔付等事项，具体如下：</w:t>
      </w:r>
    </w:p>
    <w:p>
      <w:pPr>
        <w:pStyle w:val="null3"/>
        <w:ind w:firstLine="480"/>
        <w:jc w:val="both"/>
      </w:pPr>
      <w:r>
        <w:rPr>
          <w:sz w:val="24"/>
        </w:rPr>
        <w:t>(1)发生保险事故时，被保险人通知甲方即视为已通知甲乙丙丁各共保方，被保险人向甲方提出的索赔要求即视为被保险人已向全体共保方提出索赔要求；</w:t>
      </w:r>
    </w:p>
    <w:p>
      <w:pPr>
        <w:pStyle w:val="null3"/>
        <w:ind w:firstLine="480"/>
        <w:jc w:val="both"/>
      </w:pPr>
      <w:r>
        <w:rPr>
          <w:sz w:val="24"/>
        </w:rPr>
        <w:t>(2)甲方代表共保各方与被保险人就理赔事宜进行接洽处理，甲方所作的任何声明及承诺均视为全体共保方的意见；</w:t>
      </w:r>
    </w:p>
    <w:p>
      <w:pPr>
        <w:pStyle w:val="null3"/>
        <w:ind w:firstLine="480"/>
        <w:jc w:val="both"/>
      </w:pPr>
      <w:r>
        <w:rPr>
          <w:sz w:val="24"/>
        </w:rPr>
        <w:t>(3)甲方根据本协议的约定与被保险人就保险赔款进行协商并签订赔款协议及相关文件，该协议及文件对全体共保方均有约束力；</w:t>
      </w:r>
    </w:p>
    <w:p>
      <w:pPr>
        <w:pStyle w:val="null3"/>
        <w:ind w:firstLine="480"/>
        <w:jc w:val="both"/>
      </w:pPr>
      <w:r>
        <w:rPr>
          <w:sz w:val="24"/>
        </w:rPr>
        <w:t>(4)甲方按照本共保协议约定向被保险人支付赔款。对于本协议第六条第3部分第(2)款和第5部分第(2)款约定的甲方不负责代垫的赔款，甲方在收到乙方、丙方、丁方支付的赔款后再统一向被保险人支付赔款，若由于乙方、丙方、丁方延迟支付赔款而导致被保险人向甲方索赔延期支付保险赔款损失等导致甲方经济损失，按照本协议第十条约定的违约责任，由乙方、丙方负责赔偿责任。</w:t>
      </w:r>
    </w:p>
    <w:p>
      <w:pPr>
        <w:pStyle w:val="null3"/>
        <w:ind w:firstLine="482"/>
        <w:jc w:val="both"/>
      </w:pPr>
      <w:r>
        <w:rPr>
          <w:sz w:val="24"/>
          <w:b/>
        </w:rPr>
        <w:t>2、损失通知</w:t>
      </w:r>
    </w:p>
    <w:p>
      <w:pPr>
        <w:pStyle w:val="null3"/>
        <w:ind w:firstLine="480"/>
        <w:jc w:val="both"/>
      </w:pPr>
      <w:r>
        <w:rPr>
          <w:sz w:val="24"/>
        </w:rPr>
        <w:t>甲方在接到被保险人的损失通知后，应立即安排现场查勘及损失检验工作，事故预估损失金额不超过人民币</w:t>
      </w:r>
      <w:r>
        <w:rPr>
          <w:sz w:val="24"/>
        </w:rPr>
        <w:t>100万元(或等值外币)的，乙方、丙方、丁方同意由甲方全权处理，无需通知乙方、丙方、丁方；事故预估损失金额超过人民币100万元(含)的，甲方应在接到损失通知后的1个工作日内，书面通知从共方。</w:t>
      </w:r>
    </w:p>
    <w:p>
      <w:pPr>
        <w:pStyle w:val="null3"/>
        <w:ind w:firstLine="482"/>
        <w:jc w:val="both"/>
      </w:pPr>
      <w:r>
        <w:rPr>
          <w:sz w:val="24"/>
          <w:b/>
        </w:rPr>
        <w:t>3、处理方式</w:t>
      </w:r>
    </w:p>
    <w:p>
      <w:pPr>
        <w:pStyle w:val="null3"/>
        <w:ind w:firstLine="480"/>
        <w:jc w:val="both"/>
      </w:pPr>
      <w:r>
        <w:rPr>
          <w:sz w:val="24"/>
        </w:rPr>
        <w:t>(1)对于估损金额在人民币200万元(含200万元，扣除免赔额)以下的赔案，由甲方全权处理；估损金额在200万元(扣除免赔额)以上的赔案，可以由甲、乙、丙、丁</w:t>
      </w:r>
      <w:r>
        <w:rPr>
          <w:sz w:val="24"/>
        </w:rPr>
        <w:t>方</w:t>
      </w:r>
      <w:r>
        <w:rPr>
          <w:sz w:val="24"/>
        </w:rPr>
        <w:t>共同协商，但以不影响甲方作为全权负责处理检验和理赔为原则，协商不一致的，最终以甲方意见为准。</w:t>
      </w:r>
    </w:p>
    <w:p>
      <w:pPr>
        <w:pStyle w:val="null3"/>
        <w:ind w:firstLine="480"/>
        <w:jc w:val="both"/>
      </w:pPr>
      <w:r>
        <w:rPr>
          <w:sz w:val="24"/>
        </w:rPr>
        <w:t>(2)对于赔付金额在人民币200万元(含)(或等值外币)以下的赔案，由甲方先行向被保险人支付赔款，乙方、丙方、丁方在收到甲方的赔款通知书、赔款计算书、赔付协议(如有)、公估报告(如有)、赔款支付证明复印件或扫描件的15个工作日内，按照相应的份额将应分摊的赔款划至甲方指定账户；对于赔付金额在人民币200万元以上的赔案，乙方、丙方、丁方在收到甲方的赔款通知书、赔款计算书、赔付协议(如有)、公估报告(如有)复印件或扫描件的10个工作日内，按照相应的份额将应分摊的赔款划至甲方指定账户，再由甲方统一向被保险人支付。</w:t>
      </w:r>
    </w:p>
    <w:p>
      <w:pPr>
        <w:pStyle w:val="null3"/>
        <w:ind w:firstLine="482"/>
        <w:jc w:val="both"/>
      </w:pPr>
      <w:r>
        <w:rPr>
          <w:sz w:val="24"/>
          <w:b/>
        </w:rPr>
        <w:t>4、检验费用</w:t>
      </w:r>
    </w:p>
    <w:p>
      <w:pPr>
        <w:pStyle w:val="null3"/>
        <w:ind w:firstLine="480"/>
        <w:jc w:val="both"/>
      </w:pPr>
      <w:r>
        <w:rPr>
          <w:sz w:val="24"/>
        </w:rPr>
        <w:t>甲方为处理本共保项目的赔案所聘请的公估公司、检验机构、律师、会计师等专业机构的费用，以及进行理赔查勘所发生的差旅费包括差旅津贴等直接相关费用，由共保各方按照各自份额承担，无论案件是否已经结案，甲方向乙方、丙方、丁方提供相关支付证明及发票复印件及事故证明材料或扫描件、摊赔通知书等材料后，乙方、丙方、丁方应在</w:t>
      </w:r>
      <w:r>
        <w:rPr>
          <w:sz w:val="24"/>
        </w:rPr>
        <w:t>20个工作日内，按照各方相应的份额将应分摊的赔款预付费用划至甲方指定收款账户。</w:t>
      </w:r>
    </w:p>
    <w:p>
      <w:pPr>
        <w:pStyle w:val="null3"/>
        <w:ind w:firstLine="482"/>
        <w:jc w:val="both"/>
      </w:pPr>
      <w:r>
        <w:rPr>
          <w:sz w:val="24"/>
          <w:b/>
        </w:rPr>
        <w:t>5、预付赔款</w:t>
      </w:r>
    </w:p>
    <w:p>
      <w:pPr>
        <w:pStyle w:val="null3"/>
        <w:ind w:firstLine="480"/>
        <w:jc w:val="both"/>
      </w:pPr>
      <w:r>
        <w:rPr>
          <w:sz w:val="24"/>
        </w:rPr>
        <w:t>如发生保险责任范围内的事故时，在保险责任明确且被保险人已经提供了能够证明有关损失的部分文件，但最终损失金额尚无法完全确定的情况下，根据被保险人的要求及保险合同的约定，乙方、丙方、丁方同意甲方按初步理算报告估损金额的一定比例预付赔款。预付赔款及摊赔流程为：</w:t>
      </w:r>
    </w:p>
    <w:p>
      <w:pPr>
        <w:pStyle w:val="null3"/>
        <w:ind w:firstLine="480"/>
        <w:jc w:val="both"/>
      </w:pPr>
      <w:r>
        <w:rPr>
          <w:sz w:val="24"/>
        </w:rPr>
        <w:t>(1)预付赔款金额在人民币100万元(含)以下的，甲方以书面方式(传真、电子邮件等)向乙方、丙方、丁方发出预付赔款通知，并由甲方先行全额垫付预付赔款给被保险人。乙方、丙方、丁方应在收到甲方预付赔款支付凭证、公估报告(如有)后的15个工作日内，按承保比例将应分摊的预付赔款划付给甲方。</w:t>
      </w:r>
    </w:p>
    <w:p>
      <w:pPr>
        <w:pStyle w:val="null3"/>
        <w:ind w:firstLine="480"/>
        <w:jc w:val="both"/>
      </w:pPr>
      <w:r>
        <w:rPr>
          <w:sz w:val="24"/>
        </w:rPr>
        <w:t>(2)预付赔款金额在人民币100万元(含)以上的，乙方、丙方、丁方在收到甲方以书面方式(传真、电子邮件等)发出的预付赔款通知的10个工作日内，按承保比例将应分摊的预付赔款划付给甲方指定账户，再由甲方统一向被保险人支付。</w:t>
      </w:r>
    </w:p>
    <w:p>
      <w:pPr>
        <w:pStyle w:val="null3"/>
        <w:ind w:firstLine="482"/>
        <w:jc w:val="both"/>
      </w:pPr>
      <w:r>
        <w:rPr>
          <w:sz w:val="24"/>
          <w:b/>
        </w:rPr>
        <w:t>6、追偿处理</w:t>
      </w:r>
    </w:p>
    <w:p>
      <w:pPr>
        <w:pStyle w:val="null3"/>
        <w:ind w:firstLine="480"/>
        <w:jc w:val="both"/>
      </w:pPr>
      <w:r>
        <w:rPr>
          <w:sz w:val="24"/>
        </w:rPr>
        <w:t>追偿事务由甲方负责，保险追偿费用按实际发生额支付，并由共保各方按各自份额比例分摊，甲方在收到追偿款后的</w:t>
      </w:r>
      <w:r>
        <w:rPr>
          <w:sz w:val="24"/>
        </w:rPr>
        <w:t>15个工作日内，按共保比例将属于乙方、丙方、丁方的追偿款(扣除应分摊的追偿费用后)划付给乙方、丙方、丁方指定账户。</w:t>
      </w:r>
    </w:p>
    <w:p>
      <w:pPr>
        <w:pStyle w:val="null3"/>
        <w:ind w:firstLine="482"/>
        <w:jc w:val="both"/>
      </w:pPr>
      <w:r>
        <w:rPr>
          <w:sz w:val="24"/>
          <w:b/>
        </w:rPr>
        <w:t>7、税费约定</w:t>
      </w:r>
    </w:p>
    <w:p>
      <w:pPr>
        <w:pStyle w:val="null3"/>
        <w:ind w:firstLine="480"/>
        <w:jc w:val="both"/>
      </w:pPr>
      <w:r>
        <w:rPr>
          <w:sz w:val="24"/>
        </w:rPr>
        <w:t>上述提及的赔款、检验费用、理赔查勘等费用包含增值税税额的，乙方、丙方、丁方应将含税金额支付给甲方。</w:t>
      </w:r>
    </w:p>
    <w:p>
      <w:pPr>
        <w:pStyle w:val="null3"/>
        <w:ind w:firstLine="482"/>
        <w:jc w:val="both"/>
      </w:pPr>
      <w:r>
        <w:rPr>
          <w:sz w:val="24"/>
          <w:b/>
        </w:rPr>
        <w:t>8、拒赔答复</w:t>
      </w:r>
    </w:p>
    <w:p>
      <w:pPr>
        <w:pStyle w:val="null3"/>
        <w:ind w:firstLine="480"/>
        <w:jc w:val="both"/>
      </w:pPr>
      <w:r>
        <w:rPr>
          <w:sz w:val="24"/>
        </w:rPr>
        <w:t>甲方有权代表各共保方就被保险人及其代表的索赔要求提出拒赔答复，视具体情况提前书面通知乙方、丙方、丁方。</w:t>
      </w:r>
    </w:p>
    <w:p>
      <w:pPr>
        <w:pStyle w:val="null3"/>
        <w:ind w:firstLine="480"/>
        <w:jc w:val="both"/>
      </w:pPr>
      <w:r>
        <w:rPr>
          <w:sz w:val="24"/>
        </w:rPr>
        <w:t>甲、乙、丙、丁各方需各指定一名赔偿处理联系人，负责对接相关理赔工作</w:t>
      </w:r>
      <w:r>
        <w:rPr>
          <w:sz w:val="24"/>
        </w:rPr>
        <w:t>(包括不限于上述赔偿处理所列相关工作)</w:t>
      </w:r>
      <w:r>
        <w:rPr>
          <w:sz w:val="24"/>
        </w:rPr>
        <w:t>：</w:t>
      </w:r>
    </w:p>
    <w:p>
      <w:pPr>
        <w:pStyle w:val="null3"/>
        <w:jc w:val="center"/>
      </w:pPr>
      <w:r>
        <w:rPr>
          <w:sz w:val="24"/>
          <w:b/>
        </w:rPr>
        <w:t>赔偿处理联系人表</w:t>
      </w:r>
    </w:p>
    <w:tbl>
      <w:tblPr>
        <w:tblW w:w="0" w:type="auto"/>
        <w:tblBorders>
          <w:top w:val="none" w:color="000000" w:sz="4"/>
          <w:left w:val="none" w:color="000000" w:sz="4"/>
          <w:bottom w:val="none" w:color="000000" w:sz="4"/>
          <w:right w:val="none" w:color="000000" w:sz="4"/>
          <w:insideH w:val="none"/>
          <w:insideV w:val="none"/>
        </w:tblBorders>
      </w:tblPr>
      <w:tblGrid>
        <w:gridCol w:w="789"/>
        <w:gridCol w:w="2833"/>
        <w:gridCol w:w="1055"/>
        <w:gridCol w:w="1643"/>
        <w:gridCol w:w="1984"/>
      </w:tblGrid>
      <w:tr>
        <w:tc>
          <w:tcPr>
            <w:tcW w:type="dxa" w:w="7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序号</w:t>
            </w:r>
          </w:p>
        </w:tc>
        <w:tc>
          <w:tcPr>
            <w:tcW w:type="dxa" w:w="28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公司</w:t>
            </w:r>
          </w:p>
        </w:tc>
        <w:tc>
          <w:tcPr>
            <w:tcW w:type="dxa" w:w="10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姓名</w:t>
            </w:r>
          </w:p>
        </w:tc>
        <w:tc>
          <w:tcPr>
            <w:tcW w:type="dxa" w:w="16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所在部门</w:t>
            </w:r>
          </w:p>
        </w:tc>
        <w:tc>
          <w:tcPr>
            <w:tcW w:type="dxa" w:w="19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联系电话</w:t>
            </w:r>
          </w:p>
        </w:tc>
      </w:tr>
      <w:tr>
        <w:tc>
          <w:tcPr>
            <w:tcW w:type="dxa" w:w="7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c>
          <w:tcPr>
            <w:tcW w:type="dxa" w:w="2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2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2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2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4"/>
          <w:b/>
        </w:rPr>
        <w:t>七、保险服务</w:t>
      </w:r>
    </w:p>
    <w:p>
      <w:pPr>
        <w:pStyle w:val="null3"/>
        <w:ind w:firstLine="482"/>
        <w:jc w:val="both"/>
      </w:pPr>
      <w:r>
        <w:rPr>
          <w:sz w:val="24"/>
          <w:b/>
        </w:rPr>
        <w:t>1、咨询服务</w:t>
      </w:r>
    </w:p>
    <w:p>
      <w:pPr>
        <w:pStyle w:val="null3"/>
        <w:ind w:firstLine="480"/>
        <w:jc w:val="both"/>
      </w:pPr>
      <w:r>
        <w:rPr>
          <w:sz w:val="24"/>
        </w:rPr>
        <w:t>甲方负责提供本保险项目被保险人的保险咨询服务。</w:t>
      </w:r>
    </w:p>
    <w:p>
      <w:pPr>
        <w:pStyle w:val="null3"/>
        <w:ind w:firstLine="482"/>
        <w:jc w:val="both"/>
      </w:pPr>
      <w:r>
        <w:rPr>
          <w:sz w:val="24"/>
          <w:b/>
        </w:rPr>
        <w:t>2、培训服务</w:t>
      </w:r>
    </w:p>
    <w:p>
      <w:pPr>
        <w:pStyle w:val="null3"/>
        <w:ind w:firstLine="480"/>
        <w:jc w:val="both"/>
      </w:pPr>
      <w:r>
        <w:rPr>
          <w:sz w:val="24"/>
        </w:rPr>
        <w:t>甲方负责组织、安排和协调本保险中被保险人的保险知识、风险管理技术及防灾防损手段等的培训工作。</w:t>
      </w:r>
    </w:p>
    <w:p>
      <w:pPr>
        <w:pStyle w:val="null3"/>
        <w:ind w:firstLine="482"/>
        <w:jc w:val="both"/>
      </w:pPr>
      <w:r>
        <w:rPr>
          <w:sz w:val="24"/>
          <w:b/>
        </w:rPr>
        <w:t>3、防灾防损服务</w:t>
      </w:r>
    </w:p>
    <w:p>
      <w:pPr>
        <w:pStyle w:val="null3"/>
        <w:ind w:firstLine="480"/>
        <w:jc w:val="both"/>
      </w:pPr>
      <w:r>
        <w:rPr>
          <w:sz w:val="24"/>
        </w:rPr>
        <w:t>防灾防损的相关事宜由甲方统一组织安排。</w:t>
      </w:r>
    </w:p>
    <w:p>
      <w:pPr>
        <w:pStyle w:val="null3"/>
        <w:ind w:firstLine="482"/>
        <w:jc w:val="both"/>
      </w:pPr>
      <w:r>
        <w:rPr>
          <w:sz w:val="24"/>
          <w:b/>
        </w:rPr>
        <w:t>4、服务费用的承担</w:t>
      </w:r>
    </w:p>
    <w:p>
      <w:pPr>
        <w:pStyle w:val="null3"/>
        <w:ind w:firstLine="480"/>
        <w:jc w:val="both"/>
      </w:pPr>
      <w:r>
        <w:rPr>
          <w:sz w:val="24"/>
        </w:rPr>
        <w:t>乙方、丙方、丁方同意由甲方牵头负责上述服务工作，所发生的费用由各共保方按照各自共保比例分摊。</w:t>
      </w:r>
    </w:p>
    <w:p>
      <w:pPr>
        <w:pStyle w:val="null3"/>
        <w:jc w:val="both"/>
      </w:pPr>
      <w:r>
        <w:rPr>
          <w:sz w:val="24"/>
          <w:b/>
        </w:rPr>
        <w:t>八、保密条款</w:t>
      </w:r>
    </w:p>
    <w:p>
      <w:pPr>
        <w:pStyle w:val="null3"/>
        <w:ind w:firstLine="482"/>
        <w:jc w:val="both"/>
      </w:pPr>
      <w:r>
        <w:rPr>
          <w:sz w:val="24"/>
          <w:b/>
        </w:rPr>
        <w:t>1、保密义务</w:t>
      </w:r>
    </w:p>
    <w:p>
      <w:pPr>
        <w:pStyle w:val="null3"/>
        <w:ind w:firstLine="480"/>
        <w:jc w:val="both"/>
      </w:pPr>
      <w:r>
        <w:rPr>
          <w:sz w:val="24"/>
        </w:rPr>
        <w:t>甲、乙、丙、丁各共保方对于涉及本保险项目尚未公开的信息</w:t>
      </w:r>
      <w:r>
        <w:rPr>
          <w:sz w:val="24"/>
        </w:rPr>
        <w:t>(包括但不限于以各方往来书面文件、电子邮件及信息、软盘资料存储的有关的条款、合同、事故情况、理赔文件、其他有关资料和信息)都负有保密的义务，未经甲乙丙丁中其他方事前书面许可，任一方不得将上述信息泄露给其他机构或个人，或者用于本协议之外的目的。以下情形除外：</w:t>
      </w:r>
    </w:p>
    <w:p>
      <w:pPr>
        <w:pStyle w:val="null3"/>
        <w:ind w:firstLine="480"/>
        <w:jc w:val="both"/>
      </w:pPr>
      <w:r>
        <w:rPr>
          <w:sz w:val="24"/>
        </w:rPr>
        <w:t>(1)提供给与执行本协议服务内容有关的雇员或顾问；</w:t>
      </w:r>
    </w:p>
    <w:p>
      <w:pPr>
        <w:pStyle w:val="null3"/>
        <w:ind w:firstLine="480"/>
        <w:jc w:val="both"/>
      </w:pPr>
      <w:r>
        <w:rPr>
          <w:sz w:val="24"/>
        </w:rPr>
        <w:t>(2)应法律或司法管辖、监管要求而提供；</w:t>
      </w:r>
    </w:p>
    <w:p>
      <w:pPr>
        <w:pStyle w:val="null3"/>
        <w:ind w:firstLine="480"/>
        <w:jc w:val="both"/>
      </w:pPr>
      <w:r>
        <w:rPr>
          <w:sz w:val="24"/>
        </w:rPr>
        <w:t>(3)经甲乙丙丁各方书面同意。</w:t>
      </w:r>
    </w:p>
    <w:p>
      <w:pPr>
        <w:pStyle w:val="null3"/>
        <w:ind w:firstLine="482"/>
        <w:jc w:val="both"/>
      </w:pPr>
      <w:r>
        <w:rPr>
          <w:sz w:val="24"/>
          <w:b/>
        </w:rPr>
        <w:t>2、保密信息的返还</w:t>
      </w:r>
    </w:p>
    <w:p>
      <w:pPr>
        <w:pStyle w:val="null3"/>
        <w:ind w:firstLine="480"/>
        <w:jc w:val="both"/>
      </w:pPr>
      <w:r>
        <w:rPr>
          <w:sz w:val="24"/>
        </w:rPr>
        <w:t>甲、乙、丙</w:t>
      </w:r>
      <w:r>
        <w:rPr>
          <w:sz w:val="24"/>
        </w:rPr>
        <w:t>、</w:t>
      </w:r>
      <w:r>
        <w:rPr>
          <w:sz w:val="24"/>
        </w:rPr>
        <w:t>丁任一方在本合同中所受领的保密信息应及时返还其他共保方或在其他共保方的监督下予以销毁。擅自留存备份信息，视为违反保密约定。</w:t>
      </w:r>
    </w:p>
    <w:p>
      <w:pPr>
        <w:pStyle w:val="null3"/>
        <w:ind w:firstLine="482"/>
        <w:jc w:val="both"/>
      </w:pPr>
      <w:r>
        <w:rPr>
          <w:sz w:val="24"/>
          <w:b/>
        </w:rPr>
        <w:t>3、无论本协议因何种原因终止，本保密条款依然有效。</w:t>
      </w:r>
    </w:p>
    <w:p>
      <w:pPr>
        <w:pStyle w:val="null3"/>
        <w:jc w:val="both"/>
      </w:pPr>
      <w:r>
        <w:rPr>
          <w:sz w:val="24"/>
          <w:b/>
        </w:rPr>
        <w:t>九、不可抗力</w:t>
      </w:r>
    </w:p>
    <w:p>
      <w:pPr>
        <w:pStyle w:val="null3"/>
        <w:ind w:firstLine="482"/>
        <w:jc w:val="both"/>
      </w:pPr>
      <w:r>
        <w:rPr>
          <w:sz w:val="24"/>
          <w:b/>
        </w:rPr>
        <w:t>1、不可抗力的通知与协商</w:t>
      </w:r>
    </w:p>
    <w:p>
      <w:pPr>
        <w:pStyle w:val="null3"/>
        <w:ind w:firstLine="480"/>
        <w:jc w:val="both"/>
      </w:pPr>
      <w:r>
        <w:rPr>
          <w:sz w:val="24"/>
        </w:rPr>
        <w:t>本合同任何一方因不可抗力不能履行本合同约定的全部或部分义务，应尽快通知另一方，并应在不可抗力发生后</w:t>
      </w:r>
      <w:r>
        <w:rPr>
          <w:sz w:val="24"/>
        </w:rPr>
        <w:t>3日内以书面形式向对方提供详细情况报告及不可抗力对履行本合同影响程度的说明。甲、乙、丙丁各方应根据不可抗力对合同履行的影响程度，协商确定是否终止合同，或继续履行本合同。</w:t>
      </w:r>
    </w:p>
    <w:p>
      <w:pPr>
        <w:pStyle w:val="null3"/>
        <w:ind w:firstLine="482"/>
        <w:jc w:val="both"/>
      </w:pPr>
      <w:r>
        <w:rPr>
          <w:sz w:val="24"/>
          <w:b/>
        </w:rPr>
        <w:t>2、不可抗力的免责</w:t>
      </w:r>
    </w:p>
    <w:p>
      <w:pPr>
        <w:pStyle w:val="null3"/>
        <w:ind w:firstLine="480"/>
        <w:jc w:val="both"/>
      </w:pPr>
      <w:r>
        <w:rPr>
          <w:sz w:val="24"/>
        </w:rPr>
        <w:t>本合同任何一方均不对因不可抗力无法履行或迟延履行义务而使对方遭受到任何损失承担责任，但遭受不可抗力影响的一方有责任采取适当和必要措施减轻或消除不可抗力的影响。遭受不可抗力影响的一方应当对未尽本项责任造成或扩大的损失承担责任。</w:t>
      </w:r>
    </w:p>
    <w:p>
      <w:pPr>
        <w:pStyle w:val="null3"/>
        <w:ind w:firstLine="482"/>
        <w:jc w:val="both"/>
      </w:pPr>
      <w:r>
        <w:rPr>
          <w:sz w:val="24"/>
          <w:b/>
        </w:rPr>
        <w:t>3、不可抗力免责的例外</w:t>
      </w:r>
    </w:p>
    <w:p>
      <w:pPr>
        <w:pStyle w:val="null3"/>
        <w:ind w:firstLine="480"/>
        <w:jc w:val="both"/>
      </w:pPr>
      <w:r>
        <w:rPr>
          <w:sz w:val="24"/>
        </w:rPr>
        <w:t>合同一方迟延履行后发生不可抗力的，不能免除其责任。</w:t>
      </w:r>
    </w:p>
    <w:p>
      <w:pPr>
        <w:pStyle w:val="null3"/>
        <w:ind w:firstLine="482"/>
        <w:jc w:val="both"/>
      </w:pPr>
      <w:r>
        <w:rPr>
          <w:sz w:val="24"/>
          <w:b/>
        </w:rPr>
        <w:t>4、后续磋商与处置</w:t>
      </w:r>
    </w:p>
    <w:p>
      <w:pPr>
        <w:pStyle w:val="null3"/>
        <w:ind w:firstLine="480"/>
        <w:jc w:val="both"/>
      </w:pPr>
      <w:r>
        <w:rPr>
          <w:sz w:val="24"/>
        </w:rPr>
        <w:t>不可抗力因素消除后，各方应立即进行磋商，就不可抗力所造成影响程度甲方有权决定是否继续履行或者终止本合同。</w:t>
      </w:r>
    </w:p>
    <w:p>
      <w:pPr>
        <w:pStyle w:val="null3"/>
        <w:jc w:val="both"/>
      </w:pPr>
      <w:r>
        <w:rPr>
          <w:sz w:val="24"/>
          <w:b/>
        </w:rPr>
        <w:t>十、违约责任</w:t>
      </w:r>
    </w:p>
    <w:p>
      <w:pPr>
        <w:pStyle w:val="null3"/>
        <w:ind w:firstLine="480"/>
        <w:jc w:val="both"/>
      </w:pPr>
      <w:r>
        <w:rPr>
          <w:sz w:val="24"/>
        </w:rPr>
        <w:t>1、除非另有约定，本协议所涉及到的甲、乙、丙、丁之间应付的款项必须按时足额划付，划款时间以银行回执为准；否则将被视为违约，每延期一天，除了支付原来的本金外，违约方应以中国人民银行一年期同期银行贷款基准利率的2倍按日向对方支付应付而未付金额的利息。</w:t>
      </w:r>
    </w:p>
    <w:p>
      <w:pPr>
        <w:pStyle w:val="null3"/>
        <w:ind w:firstLine="480"/>
        <w:jc w:val="both"/>
      </w:pPr>
      <w:r>
        <w:rPr>
          <w:sz w:val="24"/>
        </w:rPr>
        <w:t>2、本协议任何一方因过错给其他方造成损失的，过错方承担相应经济赔偿责任。</w:t>
      </w:r>
    </w:p>
    <w:p>
      <w:pPr>
        <w:pStyle w:val="null3"/>
        <w:ind w:firstLine="480"/>
        <w:jc w:val="both"/>
      </w:pPr>
      <w:r>
        <w:rPr>
          <w:sz w:val="24"/>
        </w:rPr>
        <w:t>3、如甲、乙、丙、丁任一方违反保密约定，应向共保受损方支付相当于本项目保费总保费2%的违约金，若违约金不足以弥补共保体受损方损失的，共保体泄密方应负责补足该差额部分。</w:t>
      </w:r>
    </w:p>
    <w:p>
      <w:pPr>
        <w:pStyle w:val="null3"/>
        <w:ind w:firstLine="480"/>
        <w:jc w:val="both"/>
      </w:pPr>
      <w:r>
        <w:rPr>
          <w:sz w:val="24"/>
        </w:rPr>
        <w:t>4、因乙方或丙方或丁方未按共保约定及时履行应付款项导致甲方损失的，包括但不限于追讨而产生的律师费、诉讼费、仲裁费等催收追偿费用及其产生的利息，由甲、乙、丙、丁方负责承担赔偿责任。</w:t>
      </w:r>
    </w:p>
    <w:p>
      <w:pPr>
        <w:pStyle w:val="null3"/>
        <w:jc w:val="both"/>
      </w:pPr>
      <w:r>
        <w:rPr>
          <w:sz w:val="24"/>
          <w:b/>
        </w:rPr>
        <w:t>十一、争议解决条款</w:t>
      </w:r>
    </w:p>
    <w:p>
      <w:pPr>
        <w:pStyle w:val="null3"/>
        <w:ind w:firstLine="480"/>
        <w:jc w:val="both"/>
      </w:pPr>
      <w:r>
        <w:rPr>
          <w:sz w:val="24"/>
        </w:rPr>
        <w:t>甲、乙、丙、丁方因本协议或本协议履行产生的任何争议，由当事人友好协商解决；协商不成时，任何一方有权将争议提交中山市第一人民法院诉讼。</w:t>
      </w:r>
    </w:p>
    <w:p>
      <w:pPr>
        <w:pStyle w:val="null3"/>
        <w:jc w:val="both"/>
      </w:pPr>
      <w:r>
        <w:rPr>
          <w:sz w:val="24"/>
          <w:b/>
        </w:rPr>
        <w:t>十二、反洗钱条款</w:t>
      </w:r>
    </w:p>
    <w:p>
      <w:pPr>
        <w:pStyle w:val="null3"/>
        <w:ind w:firstLine="480"/>
        <w:jc w:val="both"/>
      </w:pPr>
      <w:r>
        <w:rPr>
          <w:sz w:val="24"/>
        </w:rPr>
        <w:t>各方共保</w:t>
      </w:r>
      <w:r>
        <w:rPr>
          <w:sz w:val="24"/>
        </w:rPr>
        <w:t>(联保)主体应遵守并执行《中华人民共和国反洗钱法》、《金融机构客户身份识别和客户身份资料及交易记录保存管理办法》、《金融机构大额交易和可疑交易报告管理办法》以及《保险业反洗钱工作管理办法》等法律法规及监管规定的要求履行相关反洗钱义务。鉴于首席承保人在客户身份识别方面占有绝对优势地位，首席承保人应按照反洗钱相关法律规定认真开展客户身份识别工作，核实客户身份、登记客户身份信息、收集并留存客户身份资料与交易记录。共保人(联保人)在办理业务时能够从首席承保人处及时获得保险业务客户身份信息、客户有效身份证件或者其他身份证明文件的复印件或者影印件。</w:t>
      </w:r>
    </w:p>
    <w:p>
      <w:pPr>
        <w:pStyle w:val="null3"/>
        <w:ind w:firstLine="480"/>
        <w:jc w:val="both"/>
      </w:pPr>
      <w:r>
        <w:rPr>
          <w:sz w:val="24"/>
        </w:rPr>
        <w:t>各方共保</w:t>
      </w:r>
      <w:r>
        <w:rPr>
          <w:sz w:val="24"/>
        </w:rPr>
        <w:t>(联保)主体在交易过程中发现异常情形，或符合大额交易的情形时，应将相关情形及时告知其他各方主体，各方共保(联保)主体应按照《金融机构大额交易和可疑交易报告管理办法》做好大额交易与可疑交易报告工作。</w:t>
      </w:r>
    </w:p>
    <w:p>
      <w:pPr>
        <w:pStyle w:val="null3"/>
        <w:jc w:val="both"/>
      </w:pPr>
      <w:r>
        <w:rPr>
          <w:sz w:val="24"/>
          <w:b/>
        </w:rPr>
        <w:t>十三、其它事项</w:t>
      </w:r>
    </w:p>
    <w:p>
      <w:pPr>
        <w:pStyle w:val="null3"/>
        <w:ind w:firstLine="480"/>
        <w:jc w:val="both"/>
      </w:pPr>
      <w:r>
        <w:rPr>
          <w:sz w:val="24"/>
        </w:rPr>
        <w:t>1、通知方式：本协议所涉及的通知，甲方按照行业和交易惯例以电话、传真、电子邮件、QQ、微信等通知到乙方、丙方和丁方的工作人、代理人等，均视为已有效通知到乙方、丙方和丁方。</w:t>
      </w:r>
    </w:p>
    <w:p>
      <w:pPr>
        <w:pStyle w:val="null3"/>
        <w:ind w:firstLine="480"/>
        <w:jc w:val="both"/>
      </w:pPr>
      <w:r>
        <w:rPr>
          <w:sz w:val="24"/>
        </w:rPr>
        <w:t>2、如有未尽事宜，协议甲、乙、丙、丁方应本着友好协商的精神进行补充修订。</w:t>
      </w:r>
    </w:p>
    <w:p>
      <w:pPr>
        <w:pStyle w:val="null3"/>
        <w:ind w:firstLine="480"/>
        <w:jc w:val="both"/>
      </w:pPr>
      <w:r>
        <w:rPr>
          <w:sz w:val="24"/>
        </w:rPr>
        <w:t>3、本协议有效期自</w:t>
      </w:r>
      <w:r>
        <w:rPr>
          <w:u w:val="single"/>
        </w:rPr>
        <w:t xml:space="preserve">    </w:t>
      </w:r>
      <w:r>
        <w:rPr>
          <w:sz w:val="24"/>
        </w:rPr>
        <w:t>年</w:t>
      </w:r>
      <w:r>
        <w:rPr>
          <w:u w:val="single"/>
        </w:rPr>
        <w:t xml:space="preserve">    </w:t>
      </w:r>
      <w:r>
        <w:rPr>
          <w:sz w:val="24"/>
        </w:rPr>
        <w:t>月</w:t>
      </w:r>
      <w:r>
        <w:rPr>
          <w:u w:val="single"/>
        </w:rPr>
        <w:t xml:space="preserve">    </w:t>
      </w:r>
      <w:r>
        <w:rPr>
          <w:sz w:val="24"/>
        </w:rPr>
        <w:t>日起生效，至共保保单所涉各项事项完全处理完毕之日结束。本共保协议的任何变更、中止或终止必须征得甲、乙、丙、丁各方的一致书面同意后方可进行。</w:t>
      </w:r>
    </w:p>
    <w:p>
      <w:pPr>
        <w:pStyle w:val="null3"/>
        <w:ind w:firstLine="480"/>
        <w:jc w:val="both"/>
      </w:pPr>
      <w:r>
        <w:rPr>
          <w:sz w:val="24"/>
        </w:rPr>
        <w:t>4、本协议一式</w:t>
      </w:r>
      <w:r>
        <w:rPr>
          <w:u w:val="single"/>
        </w:rPr>
        <w:t xml:space="preserve">    </w:t>
      </w:r>
      <w:r>
        <w:rPr>
          <w:sz w:val="24"/>
        </w:rPr>
        <w:t>份，甲方和各从共保人各执</w:t>
      </w:r>
      <w:r>
        <w:rPr>
          <w:u w:val="single"/>
        </w:rPr>
        <w:t xml:space="preserve">    </w:t>
      </w:r>
      <w:r>
        <w:rPr>
          <w:sz w:val="24"/>
        </w:rPr>
        <w:t>份，具有同等法律效力。</w:t>
      </w:r>
    </w:p>
    <w:p>
      <w:pPr>
        <w:pStyle w:val="null3"/>
        <w:jc w:val="center"/>
      </w:pPr>
      <w:r>
        <w:rPr>
          <w:sz w:val="24"/>
        </w:rPr>
        <w:t>(以下无正文)</w:t>
      </w:r>
    </w:p>
    <w:p>
      <w:pPr>
        <w:pStyle w:val="null3"/>
        <w:jc w:val="both"/>
      </w:pPr>
      <w:r>
        <w:rPr>
          <w:sz w:val="24"/>
        </w:rPr>
        <w:t>(此页为合同签署页，无正文)</w:t>
      </w:r>
    </w:p>
    <w:p>
      <w:pPr>
        <w:pStyle w:val="null3"/>
      </w:pPr>
      <w:r>
        <w:rPr>
          <w:sz w:val="24"/>
        </w:rPr>
        <w:t>甲方</w:t>
      </w:r>
      <w:r>
        <w:rPr>
          <w:sz w:val="24"/>
        </w:rPr>
        <w:t>(签章)</w:t>
      </w:r>
      <w:r>
        <w:rPr>
          <w:sz w:val="24"/>
        </w:rPr>
        <w:t>：</w:t>
      </w:r>
    </w:p>
    <w:p>
      <w:pPr>
        <w:pStyle w:val="null3"/>
        <w:jc w:val="both"/>
      </w:pPr>
      <w:r>
        <w:rPr>
          <w:sz w:val="24"/>
        </w:rPr>
        <w:t>负责人或授权代表</w:t>
      </w:r>
      <w:r>
        <w:rPr>
          <w:sz w:val="24"/>
        </w:rPr>
        <w:t>(签字)</w:t>
      </w:r>
      <w:r>
        <w:rPr>
          <w:sz w:val="24"/>
        </w:rPr>
        <w:t>：</w:t>
      </w:r>
    </w:p>
    <w:p>
      <w:pPr>
        <w:pStyle w:val="null3"/>
        <w:jc w:val="both"/>
      </w:pPr>
      <w:r>
        <w:rPr>
          <w:sz w:val="24"/>
        </w:rPr>
        <w:t>日期：</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jc w:val="both"/>
      </w:pPr>
      <w:r>
        <w:rPr>
          <w:sz w:val="24"/>
        </w:rPr>
        <w:t>乙方</w:t>
      </w:r>
      <w:r>
        <w:rPr>
          <w:sz w:val="24"/>
        </w:rPr>
        <w:t>(签章)</w:t>
      </w:r>
      <w:r>
        <w:rPr>
          <w:sz w:val="24"/>
        </w:rPr>
        <w:t>：</w:t>
      </w:r>
    </w:p>
    <w:p>
      <w:pPr>
        <w:pStyle w:val="null3"/>
        <w:jc w:val="both"/>
      </w:pPr>
      <w:r>
        <w:rPr>
          <w:sz w:val="24"/>
        </w:rPr>
        <w:t>负责人或授权代表</w:t>
      </w:r>
      <w:r>
        <w:rPr>
          <w:sz w:val="24"/>
        </w:rPr>
        <w:t>(签字)</w:t>
      </w:r>
      <w:r>
        <w:rPr>
          <w:sz w:val="24"/>
        </w:rPr>
        <w:t>：</w:t>
      </w:r>
    </w:p>
    <w:p>
      <w:pPr>
        <w:pStyle w:val="null3"/>
        <w:jc w:val="both"/>
      </w:pPr>
      <w:r>
        <w:rPr>
          <w:sz w:val="24"/>
        </w:rPr>
        <w:t>日期：</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jc w:val="both"/>
      </w:pPr>
      <w:r>
        <w:rPr>
          <w:sz w:val="24"/>
        </w:rPr>
        <w:t>丙方</w:t>
      </w:r>
      <w:r>
        <w:rPr>
          <w:sz w:val="24"/>
        </w:rPr>
        <w:t>(签章)</w:t>
      </w:r>
      <w:r>
        <w:rPr>
          <w:sz w:val="24"/>
        </w:rPr>
        <w:t>：</w:t>
      </w:r>
    </w:p>
    <w:p>
      <w:pPr>
        <w:pStyle w:val="null3"/>
        <w:jc w:val="both"/>
      </w:pPr>
      <w:r>
        <w:rPr>
          <w:sz w:val="24"/>
        </w:rPr>
        <w:t>负责人或授权代表</w:t>
      </w:r>
      <w:r>
        <w:rPr>
          <w:sz w:val="24"/>
        </w:rPr>
        <w:t>(签字)</w:t>
      </w:r>
      <w:r>
        <w:rPr>
          <w:sz w:val="24"/>
        </w:rPr>
        <w:t>：</w:t>
      </w:r>
    </w:p>
    <w:p>
      <w:pPr>
        <w:pStyle w:val="null3"/>
        <w:jc w:val="both"/>
      </w:pPr>
      <w:r>
        <w:rPr>
          <w:sz w:val="24"/>
        </w:rPr>
        <w:t>日期：</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jc w:val="both"/>
      </w:pPr>
      <w:r>
        <w:rPr>
          <w:sz w:val="24"/>
        </w:rPr>
        <w:t>丁方</w:t>
      </w:r>
      <w:r>
        <w:rPr>
          <w:sz w:val="24"/>
        </w:rPr>
        <w:t>(签章)</w:t>
      </w:r>
      <w:r>
        <w:rPr>
          <w:sz w:val="24"/>
        </w:rPr>
        <w:t>：</w:t>
      </w:r>
    </w:p>
    <w:p>
      <w:pPr>
        <w:pStyle w:val="null3"/>
        <w:jc w:val="both"/>
      </w:pPr>
      <w:r>
        <w:rPr>
          <w:sz w:val="24"/>
        </w:rPr>
        <w:t>负责人或授权代表</w:t>
      </w:r>
      <w:r>
        <w:rPr>
          <w:sz w:val="24"/>
        </w:rPr>
        <w:t>(签字)</w:t>
      </w:r>
      <w:r>
        <w:rPr>
          <w:sz w:val="24"/>
        </w:rPr>
        <w:t>：</w:t>
      </w:r>
    </w:p>
    <w:p>
      <w:pPr>
        <w:pStyle w:val="null3"/>
        <w:jc w:val="both"/>
      </w:pPr>
      <w:r>
        <w:rPr>
          <w:sz w:val="24"/>
        </w:rPr>
        <w:t>日期：</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jc w:val="both"/>
      </w:pPr>
      <w:r>
        <w:rPr>
          <w:sz w:val="24"/>
          <w:b/>
        </w:rPr>
        <w:t>附件：共保各方联系方式及银行账号</w:t>
      </w:r>
    </w:p>
    <w:p>
      <w:pPr>
        <w:pStyle w:val="null3"/>
        <w:jc w:val="both"/>
      </w:pPr>
      <w:r>
        <w:rPr>
          <w:sz w:val="24"/>
          <w:b/>
        </w:rPr>
        <w:t>甲方</w:t>
      </w:r>
      <w:r>
        <w:rPr>
          <w:sz w:val="24"/>
          <w:b/>
        </w:rPr>
        <w:t>(首席承保人)账户信息：</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388"/>
        <w:gridCol w:w="1261"/>
        <w:gridCol w:w="1123"/>
        <w:gridCol w:w="1546"/>
        <w:gridCol w:w="1123"/>
        <w:gridCol w:w="1863"/>
      </w:tblGrid>
      <w:tr>
        <w:tc>
          <w:tcPr>
            <w:tcW w:type="dxa" w:w="13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rPr>
              <w:t>公司名称</w:t>
            </w:r>
          </w:p>
        </w:tc>
        <w:tc>
          <w:tcPr>
            <w:tcW w:type="dxa" w:w="6916"/>
            <w:gridSpan w:val="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承保联系人</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center"/>
            </w:pPr>
          </w:p>
        </w:tc>
        <w:tc>
          <w:tcPr>
            <w:tcW w:type="dxa" w:w="11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固定电话</w:t>
            </w:r>
          </w:p>
        </w:tc>
        <w:tc>
          <w:tcPr>
            <w:tcW w:type="dxa" w:w="15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both"/>
            </w:pPr>
          </w:p>
        </w:tc>
        <w:tc>
          <w:tcPr>
            <w:tcW w:type="dxa" w:w="11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手机</w:t>
            </w:r>
          </w:p>
        </w:tc>
        <w:tc>
          <w:tcPr>
            <w:tcW w:type="dxa" w:w="18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电子邮箱</w:t>
            </w:r>
          </w:p>
        </w:tc>
        <w:tc>
          <w:tcPr>
            <w:tcW w:type="dxa" w:w="6916"/>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both"/>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理赔联系人</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center"/>
            </w:pPr>
          </w:p>
        </w:tc>
        <w:tc>
          <w:tcPr>
            <w:tcW w:type="dxa" w:w="11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固定电话</w:t>
            </w:r>
          </w:p>
        </w:tc>
        <w:tc>
          <w:tcPr>
            <w:tcW w:type="dxa" w:w="15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1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手机</w:t>
            </w:r>
          </w:p>
        </w:tc>
        <w:tc>
          <w:tcPr>
            <w:tcW w:type="dxa" w:w="18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电子邮箱</w:t>
            </w:r>
          </w:p>
        </w:tc>
        <w:tc>
          <w:tcPr>
            <w:tcW w:type="dxa" w:w="6916"/>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保费账户</w:t>
            </w:r>
          </w:p>
        </w:tc>
        <w:tc>
          <w:tcPr>
            <w:tcW w:type="dxa" w:w="6916"/>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账户名称：</w:t>
            </w:r>
          </w:p>
          <w:p>
            <w:pPr>
              <w:pStyle w:val="null3"/>
              <w:ind w:left="105"/>
              <w:jc w:val="both"/>
            </w:pPr>
            <w:r>
              <w:rPr>
                <w:sz w:val="24"/>
              </w:rPr>
              <w:t>开户银行：</w:t>
            </w:r>
          </w:p>
          <w:p>
            <w:pPr>
              <w:pStyle w:val="null3"/>
              <w:ind w:left="105"/>
              <w:jc w:val="both"/>
            </w:pPr>
            <w:r>
              <w:rPr>
                <w:sz w:val="24"/>
              </w:rPr>
              <w:t>银行账户：</w:t>
            </w: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赔款账户</w:t>
            </w:r>
          </w:p>
        </w:tc>
        <w:tc>
          <w:tcPr>
            <w:tcW w:type="dxa" w:w="6916"/>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账户名称：</w:t>
            </w:r>
          </w:p>
          <w:p>
            <w:pPr>
              <w:pStyle w:val="null3"/>
              <w:ind w:left="105"/>
              <w:jc w:val="both"/>
            </w:pPr>
            <w:r>
              <w:rPr>
                <w:sz w:val="24"/>
              </w:rPr>
              <w:t>开户银行：</w:t>
            </w:r>
          </w:p>
          <w:p>
            <w:pPr>
              <w:pStyle w:val="null3"/>
              <w:ind w:left="105"/>
              <w:jc w:val="both"/>
            </w:pPr>
            <w:r>
              <w:rPr>
                <w:sz w:val="24"/>
              </w:rPr>
              <w:t>银行账户：</w:t>
            </w: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费用账户</w:t>
            </w:r>
          </w:p>
        </w:tc>
        <w:tc>
          <w:tcPr>
            <w:tcW w:type="dxa" w:w="6916"/>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账户名称：</w:t>
            </w:r>
          </w:p>
          <w:p>
            <w:pPr>
              <w:pStyle w:val="null3"/>
              <w:ind w:left="105"/>
              <w:jc w:val="both"/>
            </w:pPr>
            <w:r>
              <w:rPr>
                <w:sz w:val="24"/>
              </w:rPr>
              <w:t>开户银行：</w:t>
            </w:r>
          </w:p>
          <w:p>
            <w:pPr>
              <w:pStyle w:val="null3"/>
              <w:ind w:left="105"/>
              <w:jc w:val="both"/>
            </w:pPr>
            <w:r>
              <w:rPr>
                <w:sz w:val="24"/>
              </w:rPr>
              <w:t>银行账户：</w:t>
            </w:r>
          </w:p>
        </w:tc>
      </w:tr>
    </w:tbl>
    <w:p>
      <w:pPr>
        <w:pStyle w:val="null3"/>
        <w:jc w:val="both"/>
      </w:pPr>
      <w:r>
        <w:rPr>
          <w:sz w:val="24"/>
          <w:b/>
        </w:rPr>
        <w:t>乙方</w:t>
      </w:r>
      <w:r>
        <w:rPr>
          <w:sz w:val="24"/>
          <w:b/>
        </w:rPr>
        <w:t>(从共保人)账户信息：</w:t>
      </w:r>
    </w:p>
    <w:tbl>
      <w:tblPr>
        <w:tblW w:w="0" w:type="auto"/>
        <w:tblBorders>
          <w:top w:val="none" w:color="000000" w:sz="4"/>
          <w:left w:val="none" w:color="000000" w:sz="4"/>
          <w:bottom w:val="none" w:color="000000" w:sz="4"/>
          <w:right w:val="none" w:color="000000" w:sz="4"/>
          <w:insideH w:val="none"/>
          <w:insideV w:val="none"/>
        </w:tblBorders>
      </w:tblPr>
      <w:tblGrid>
        <w:gridCol w:w="1388"/>
        <w:gridCol w:w="1261"/>
        <w:gridCol w:w="1123"/>
        <w:gridCol w:w="1546"/>
        <w:gridCol w:w="1123"/>
        <w:gridCol w:w="1863"/>
      </w:tblGrid>
      <w:tr>
        <w:tc>
          <w:tcPr>
            <w:tcW w:type="dxa" w:w="13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rPr>
              <w:t>公司名称</w:t>
            </w:r>
          </w:p>
        </w:tc>
        <w:tc>
          <w:tcPr>
            <w:tcW w:type="dxa" w:w="6916"/>
            <w:gridSpan w:val="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695"/>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承保联系人</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center"/>
            </w:pPr>
          </w:p>
        </w:tc>
        <w:tc>
          <w:tcPr>
            <w:tcW w:type="dxa" w:w="11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固定电话</w:t>
            </w:r>
          </w:p>
        </w:tc>
        <w:tc>
          <w:tcPr>
            <w:tcW w:type="dxa" w:w="15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center"/>
            </w:pPr>
          </w:p>
        </w:tc>
        <w:tc>
          <w:tcPr>
            <w:tcW w:type="dxa" w:w="11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手机</w:t>
            </w:r>
          </w:p>
        </w:tc>
        <w:tc>
          <w:tcPr>
            <w:tcW w:type="dxa" w:w="18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电子邮箱</w:t>
            </w:r>
          </w:p>
        </w:tc>
        <w:tc>
          <w:tcPr>
            <w:tcW w:type="dxa" w:w="6916"/>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理赔联系人</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center"/>
            </w:pPr>
          </w:p>
        </w:tc>
        <w:tc>
          <w:tcPr>
            <w:tcW w:type="dxa" w:w="11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固定电话</w:t>
            </w:r>
          </w:p>
        </w:tc>
        <w:tc>
          <w:tcPr>
            <w:tcW w:type="dxa" w:w="15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1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手机</w:t>
            </w:r>
          </w:p>
        </w:tc>
        <w:tc>
          <w:tcPr>
            <w:tcW w:type="dxa" w:w="18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电子邮箱</w:t>
            </w:r>
          </w:p>
        </w:tc>
        <w:tc>
          <w:tcPr>
            <w:tcW w:type="dxa" w:w="6916"/>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保费账户</w:t>
            </w:r>
          </w:p>
        </w:tc>
        <w:tc>
          <w:tcPr>
            <w:tcW w:type="dxa" w:w="6916"/>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账户名称：</w:t>
            </w:r>
          </w:p>
          <w:p>
            <w:pPr>
              <w:pStyle w:val="null3"/>
              <w:ind w:left="105"/>
              <w:jc w:val="both"/>
            </w:pPr>
            <w:r>
              <w:rPr>
                <w:sz w:val="24"/>
              </w:rPr>
              <w:t>开户银行：</w:t>
            </w:r>
          </w:p>
          <w:p>
            <w:pPr>
              <w:pStyle w:val="null3"/>
              <w:ind w:left="105"/>
              <w:jc w:val="left"/>
            </w:pPr>
            <w:r>
              <w:rPr>
                <w:sz w:val="24"/>
              </w:rPr>
              <w:t>银行账户：</w:t>
            </w: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赔款账户</w:t>
            </w:r>
          </w:p>
        </w:tc>
        <w:tc>
          <w:tcPr>
            <w:tcW w:type="dxa" w:w="6916"/>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账户名称：</w:t>
            </w:r>
          </w:p>
          <w:p>
            <w:pPr>
              <w:pStyle w:val="null3"/>
              <w:ind w:left="105"/>
              <w:jc w:val="both"/>
            </w:pPr>
            <w:r>
              <w:rPr>
                <w:sz w:val="24"/>
              </w:rPr>
              <w:t>开户银行：</w:t>
            </w:r>
          </w:p>
          <w:p>
            <w:pPr>
              <w:pStyle w:val="null3"/>
              <w:ind w:left="105"/>
              <w:jc w:val="left"/>
            </w:pPr>
            <w:r>
              <w:rPr>
                <w:sz w:val="24"/>
              </w:rPr>
              <w:t>银行账户：</w:t>
            </w: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费用账户</w:t>
            </w:r>
          </w:p>
        </w:tc>
        <w:tc>
          <w:tcPr>
            <w:tcW w:type="dxa" w:w="6916"/>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账户名称：</w:t>
            </w:r>
          </w:p>
          <w:p>
            <w:pPr>
              <w:pStyle w:val="null3"/>
              <w:ind w:left="105"/>
              <w:jc w:val="both"/>
            </w:pPr>
            <w:r>
              <w:rPr>
                <w:sz w:val="24"/>
              </w:rPr>
              <w:t>开户银行：</w:t>
            </w:r>
          </w:p>
          <w:p>
            <w:pPr>
              <w:pStyle w:val="null3"/>
              <w:ind w:left="105"/>
              <w:jc w:val="left"/>
            </w:pPr>
            <w:r>
              <w:rPr>
                <w:sz w:val="24"/>
              </w:rPr>
              <w:t>银行账户：</w:t>
            </w:r>
          </w:p>
        </w:tc>
      </w:tr>
    </w:tbl>
    <w:p>
      <w:pPr>
        <w:pStyle w:val="null3"/>
        <w:jc w:val="both"/>
      </w:pPr>
      <w:r>
        <w:rPr>
          <w:sz w:val="24"/>
          <w:b/>
        </w:rPr>
        <w:t>丙方</w:t>
      </w:r>
      <w:r>
        <w:rPr>
          <w:sz w:val="24"/>
          <w:b/>
        </w:rPr>
        <w:t>(从共保人)账户信息：</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388"/>
        <w:gridCol w:w="1261"/>
        <w:gridCol w:w="1123"/>
        <w:gridCol w:w="1546"/>
        <w:gridCol w:w="1123"/>
        <w:gridCol w:w="1863"/>
      </w:tblGrid>
      <w:tr>
        <w:tc>
          <w:tcPr>
            <w:tcW w:type="dxa" w:w="13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rPr>
              <w:t>公司名称</w:t>
            </w:r>
          </w:p>
        </w:tc>
        <w:tc>
          <w:tcPr>
            <w:tcW w:type="dxa" w:w="6916"/>
            <w:gridSpan w:val="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95"/>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承保联系人</w:t>
            </w:r>
          </w:p>
        </w:tc>
        <w:tc>
          <w:tcPr>
            <w:tcW w:type="dxa" w:w="1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center"/>
            </w:pPr>
          </w:p>
        </w:tc>
        <w:tc>
          <w:tcPr>
            <w:tcW w:type="dxa" w:w="11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固定电话</w:t>
            </w:r>
          </w:p>
        </w:tc>
        <w:tc>
          <w:tcPr>
            <w:tcW w:type="dxa" w:w="15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center"/>
            </w:pPr>
          </w:p>
        </w:tc>
        <w:tc>
          <w:tcPr>
            <w:tcW w:type="dxa" w:w="11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手机</w:t>
            </w:r>
          </w:p>
        </w:tc>
        <w:tc>
          <w:tcPr>
            <w:tcW w:type="dxa" w:w="18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电子邮箱</w:t>
            </w:r>
          </w:p>
        </w:tc>
        <w:tc>
          <w:tcPr>
            <w:tcW w:type="dxa" w:w="691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理赔联系人</w:t>
            </w:r>
          </w:p>
        </w:tc>
        <w:tc>
          <w:tcPr>
            <w:tcW w:type="dxa" w:w="1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center"/>
            </w:pPr>
          </w:p>
        </w:tc>
        <w:tc>
          <w:tcPr>
            <w:tcW w:type="dxa" w:w="11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固定电话</w:t>
            </w:r>
          </w:p>
        </w:tc>
        <w:tc>
          <w:tcPr>
            <w:tcW w:type="dxa" w:w="15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1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手机</w:t>
            </w:r>
          </w:p>
        </w:tc>
        <w:tc>
          <w:tcPr>
            <w:tcW w:type="dxa" w:w="18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电子邮箱</w:t>
            </w:r>
          </w:p>
        </w:tc>
        <w:tc>
          <w:tcPr>
            <w:tcW w:type="dxa" w:w="691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保费账户</w:t>
            </w:r>
          </w:p>
        </w:tc>
        <w:tc>
          <w:tcPr>
            <w:tcW w:type="dxa" w:w="691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账户名称：</w:t>
            </w:r>
          </w:p>
          <w:p>
            <w:pPr>
              <w:pStyle w:val="null3"/>
              <w:ind w:left="105"/>
              <w:jc w:val="both"/>
            </w:pPr>
            <w:r>
              <w:rPr>
                <w:sz w:val="24"/>
              </w:rPr>
              <w:t>开户银行：</w:t>
            </w:r>
          </w:p>
          <w:p>
            <w:pPr>
              <w:pStyle w:val="null3"/>
              <w:ind w:left="105"/>
              <w:jc w:val="left"/>
            </w:pPr>
            <w:r>
              <w:rPr>
                <w:sz w:val="24"/>
              </w:rPr>
              <w:t>银行账户：</w:t>
            </w: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赔款账户</w:t>
            </w:r>
          </w:p>
        </w:tc>
        <w:tc>
          <w:tcPr>
            <w:tcW w:type="dxa" w:w="691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账户名称：</w:t>
            </w:r>
          </w:p>
          <w:p>
            <w:pPr>
              <w:pStyle w:val="null3"/>
              <w:ind w:left="105"/>
              <w:jc w:val="both"/>
            </w:pPr>
            <w:r>
              <w:rPr>
                <w:sz w:val="24"/>
              </w:rPr>
              <w:t>开户银行：</w:t>
            </w:r>
          </w:p>
          <w:p>
            <w:pPr>
              <w:pStyle w:val="null3"/>
              <w:ind w:left="105"/>
              <w:jc w:val="left"/>
            </w:pPr>
            <w:r>
              <w:rPr>
                <w:sz w:val="24"/>
              </w:rPr>
              <w:t>银行账户：</w:t>
            </w: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费用账户</w:t>
            </w:r>
          </w:p>
        </w:tc>
        <w:tc>
          <w:tcPr>
            <w:tcW w:type="dxa" w:w="691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账户名称：</w:t>
            </w:r>
          </w:p>
          <w:p>
            <w:pPr>
              <w:pStyle w:val="null3"/>
              <w:ind w:left="105"/>
              <w:jc w:val="both"/>
            </w:pPr>
            <w:r>
              <w:rPr>
                <w:sz w:val="24"/>
              </w:rPr>
              <w:t>开户银行：</w:t>
            </w:r>
          </w:p>
          <w:p>
            <w:pPr>
              <w:pStyle w:val="null3"/>
              <w:ind w:left="105"/>
              <w:jc w:val="left"/>
            </w:pPr>
            <w:r>
              <w:rPr>
                <w:sz w:val="24"/>
              </w:rPr>
              <w:t>银行账户：</w:t>
            </w:r>
          </w:p>
        </w:tc>
      </w:tr>
    </w:tbl>
    <w:p>
      <w:pPr>
        <w:pStyle w:val="null3"/>
      </w:pPr>
      <w:r>
        <w:rPr>
          <w:sz w:val="24"/>
          <w:b/>
        </w:rPr>
        <w:t>丁方</w:t>
      </w:r>
      <w:r>
        <w:rPr>
          <w:sz w:val="24"/>
          <w:b/>
        </w:rPr>
        <w:t>(从共保人)账户信息：</w:t>
      </w:r>
    </w:p>
    <w:tbl>
      <w:tblPr>
        <w:tblW w:w="0" w:type="auto"/>
        <w:tblBorders>
          <w:top w:val="none" w:color="000000" w:sz="4"/>
          <w:left w:val="none" w:color="000000" w:sz="4"/>
          <w:bottom w:val="none" w:color="000000" w:sz="4"/>
          <w:right w:val="none" w:color="000000" w:sz="4"/>
          <w:insideH w:val="none"/>
          <w:insideV w:val="none"/>
        </w:tblBorders>
      </w:tblPr>
      <w:tblGrid>
        <w:gridCol w:w="1388"/>
        <w:gridCol w:w="1261"/>
        <w:gridCol w:w="1123"/>
        <w:gridCol w:w="1546"/>
        <w:gridCol w:w="1123"/>
        <w:gridCol w:w="1863"/>
      </w:tblGrid>
      <w:tr>
        <w:tc>
          <w:tcPr>
            <w:tcW w:type="dxa" w:w="13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rPr>
              <w:t>公司名称</w:t>
            </w:r>
          </w:p>
        </w:tc>
        <w:tc>
          <w:tcPr>
            <w:tcW w:type="dxa" w:w="6916"/>
            <w:gridSpan w:val="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695"/>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承保联系人</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center"/>
            </w:pPr>
          </w:p>
        </w:tc>
        <w:tc>
          <w:tcPr>
            <w:tcW w:type="dxa" w:w="11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固定电话</w:t>
            </w:r>
          </w:p>
        </w:tc>
        <w:tc>
          <w:tcPr>
            <w:tcW w:type="dxa" w:w="15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center"/>
            </w:pPr>
          </w:p>
        </w:tc>
        <w:tc>
          <w:tcPr>
            <w:tcW w:type="dxa" w:w="11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手机</w:t>
            </w:r>
          </w:p>
        </w:tc>
        <w:tc>
          <w:tcPr>
            <w:tcW w:type="dxa" w:w="18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电子邮箱</w:t>
            </w:r>
          </w:p>
        </w:tc>
        <w:tc>
          <w:tcPr>
            <w:tcW w:type="dxa" w:w="6916"/>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理赔联系人</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center"/>
            </w:pPr>
          </w:p>
        </w:tc>
        <w:tc>
          <w:tcPr>
            <w:tcW w:type="dxa" w:w="11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固定电话</w:t>
            </w:r>
          </w:p>
        </w:tc>
        <w:tc>
          <w:tcPr>
            <w:tcW w:type="dxa" w:w="15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1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手机</w:t>
            </w:r>
          </w:p>
        </w:tc>
        <w:tc>
          <w:tcPr>
            <w:tcW w:type="dxa" w:w="18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电子邮箱</w:t>
            </w:r>
          </w:p>
        </w:tc>
        <w:tc>
          <w:tcPr>
            <w:tcW w:type="dxa" w:w="6916"/>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center"/>
            </w:pP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保费账户</w:t>
            </w:r>
          </w:p>
        </w:tc>
        <w:tc>
          <w:tcPr>
            <w:tcW w:type="dxa" w:w="6916"/>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账户名称：</w:t>
            </w:r>
          </w:p>
          <w:p>
            <w:pPr>
              <w:pStyle w:val="null3"/>
              <w:ind w:left="105"/>
              <w:jc w:val="both"/>
            </w:pPr>
            <w:r>
              <w:rPr>
                <w:sz w:val="24"/>
              </w:rPr>
              <w:t>开户银行：</w:t>
            </w:r>
          </w:p>
          <w:p>
            <w:pPr>
              <w:pStyle w:val="null3"/>
              <w:ind w:left="105"/>
              <w:jc w:val="left"/>
            </w:pPr>
            <w:r>
              <w:rPr>
                <w:sz w:val="24"/>
              </w:rPr>
              <w:t>银行账户：</w:t>
            </w: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赔款账户</w:t>
            </w:r>
          </w:p>
        </w:tc>
        <w:tc>
          <w:tcPr>
            <w:tcW w:type="dxa" w:w="6916"/>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账户名称：</w:t>
            </w:r>
          </w:p>
          <w:p>
            <w:pPr>
              <w:pStyle w:val="null3"/>
              <w:ind w:left="105"/>
              <w:jc w:val="both"/>
            </w:pPr>
            <w:r>
              <w:rPr>
                <w:sz w:val="24"/>
              </w:rPr>
              <w:t>开户银行：</w:t>
            </w:r>
          </w:p>
          <w:p>
            <w:pPr>
              <w:pStyle w:val="null3"/>
              <w:ind w:left="105"/>
              <w:jc w:val="left"/>
            </w:pPr>
            <w:r>
              <w:rPr>
                <w:sz w:val="24"/>
              </w:rPr>
              <w:t>银行账户：</w:t>
            </w:r>
          </w:p>
        </w:tc>
      </w:tr>
      <w:tr>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费用账户</w:t>
            </w:r>
          </w:p>
        </w:tc>
        <w:tc>
          <w:tcPr>
            <w:tcW w:type="dxa" w:w="6916"/>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账户名称：</w:t>
            </w:r>
          </w:p>
          <w:p>
            <w:pPr>
              <w:pStyle w:val="null3"/>
              <w:ind w:left="105"/>
              <w:jc w:val="both"/>
            </w:pPr>
            <w:r>
              <w:rPr>
                <w:sz w:val="24"/>
              </w:rPr>
              <w:t>开户银行：</w:t>
            </w:r>
          </w:p>
          <w:p>
            <w:pPr>
              <w:pStyle w:val="null3"/>
              <w:ind w:left="105"/>
              <w:jc w:val="left"/>
            </w:pPr>
            <w:r>
              <w:rPr>
                <w:sz w:val="24"/>
              </w:rPr>
              <w:t>银行账户：</w:t>
            </w:r>
          </w:p>
        </w:tc>
      </w:tr>
    </w:tbl>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442000-2026-01046</w:t>
      </w:r>
    </w:p>
    <w:p>
      <w:pPr>
        <w:pStyle w:val="null3"/>
        <w:jc w:val="center"/>
        <w:outlineLvl w:val="3"/>
      </w:pPr>
      <w:r>
        <w:rPr>
          <w:sz w:val="24"/>
          <w:b/>
        </w:rPr>
        <w:t>采购项目编号：</w:t>
      </w:r>
      <w:r>
        <w:rPr>
          <w:sz w:val="24"/>
          <w:b/>
        </w:rPr>
        <w:t>26CCA39C00367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深圳交易咨询集团有限公司中山分公司</w:t>
      </w:r>
    </w:p>
    <w:p>
      <w:pPr>
        <w:pStyle w:val="null3"/>
        <w:ind w:firstLine="480"/>
      </w:pPr>
      <w:r>
        <w:rPr/>
        <w:t xml:space="preserve"> 你方组织的</w:t>
      </w:r>
      <w:r>
        <w:rPr>
          <w:u w:val="single"/>
        </w:rPr>
        <w:t>“</w:t>
      </w:r>
      <w:r>
        <w:rPr>
          <w:u w:val="single"/>
        </w:rPr>
        <w:t>2026-2028年度中山市巨灾保险采购项目</w:t>
      </w:r>
      <w:r>
        <w:rPr>
          <w:u w:val="single"/>
        </w:rPr>
        <w:t>”</w:t>
      </w:r>
      <w:r>
        <w:rPr/>
        <w:t>项目的招标[采购项目编号为：</w:t>
      </w:r>
      <w:r>
        <w:rPr>
          <w:u w:val="single"/>
        </w:rPr>
        <w:t>26CCA39C00367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2026-2028年度中山市巨灾保险采购项目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深圳交易咨询集团有限公司中山分公司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2026-2028年度中山市巨灾保险采购项目</w:t>
      </w:r>
      <w:r>
        <w:rPr/>
        <w:t>”项目采购[采购项目编号为</w:t>
      </w:r>
      <w:r>
        <w:rPr/>
        <w:t>26CCA39C00367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中山市财政局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深圳交易咨询集团有限公司中山分公司</w:t>
      </w:r>
    </w:p>
    <w:p>
      <w:pPr>
        <w:pStyle w:val="null3"/>
        <w:ind w:firstLine="480"/>
      </w:pPr>
      <w:r>
        <w:rPr/>
        <w:t xml:space="preserve"> 如果我方在贵采购代理机构组织的</w:t>
      </w:r>
      <w:r>
        <w:rPr/>
        <w:t>2026-2028年度中山市巨灾保险采购项目</w:t>
      </w:r>
      <w:r>
        <w:rPr/>
        <w:t>招标中获中标（采购项目编号：</w:t>
      </w:r>
      <w:r>
        <w:rPr/>
        <w:t>26CCA39C00367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深圳交易咨询集团有限公司中山分公司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深圳交易咨询集团有限公司中山分公司</w:t>
      </w:r>
    </w:p>
    <w:p>
      <w:pPr>
        <w:pStyle w:val="null3"/>
        <w:ind w:firstLine="480"/>
      </w:pPr>
      <w:r>
        <w:rPr/>
        <w:t>我单位已登记并准备参与“</w:t>
      </w:r>
      <w:r>
        <w:rPr/>
        <w:t>2026-2028年度中山市巨灾保险采购项目</w:t>
      </w:r>
      <w:r>
        <w:rPr/>
        <w:t>”项目（采购项目编号：</w:t>
      </w:r>
      <w:r>
        <w:rPr/>
        <w:t>26CCA39C00367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