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1B8C38">
      <w:pPr>
        <w:ind w:firstLine="3654" w:firstLineChars="1300"/>
        <w:rPr>
          <w:rFonts w:ascii="宋体" w:hAnsi="宋体"/>
          <w:color w:val="FF0000"/>
          <w:szCs w:val="21"/>
        </w:rPr>
      </w:pPr>
      <w:r>
        <w:rPr>
          <w:rFonts w:hint="eastAsia" w:ascii="宋体" w:hAnsi="宋体" w:eastAsia="黑体"/>
          <w:b/>
          <w:bCs/>
          <w:color w:val="FF0000"/>
          <w:kern w:val="44"/>
          <w:sz w:val="28"/>
          <w:szCs w:val="44"/>
          <w:lang w:val="en-US" w:eastAsia="zh-CN"/>
        </w:rPr>
        <w:t>特别</w:t>
      </w:r>
      <w:r>
        <w:rPr>
          <w:rFonts w:hint="eastAsia" w:ascii="宋体" w:hAnsi="宋体" w:eastAsia="黑体"/>
          <w:b/>
          <w:bCs/>
          <w:color w:val="FF0000"/>
          <w:kern w:val="44"/>
          <w:sz w:val="28"/>
          <w:szCs w:val="44"/>
        </w:rPr>
        <w:t>警示条款</w:t>
      </w:r>
    </w:p>
    <w:p w14:paraId="0F4B023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after="313" w:afterLines="100" w:line="400" w:lineRule="exact"/>
        <w:ind w:firstLine="422" w:firstLineChars="200"/>
        <w:jc w:val="both"/>
        <w:textAlignment w:val="auto"/>
        <w:rPr>
          <w:rFonts w:hint="eastAsia" w:ascii="宋体" w:hAnsi="宋体" w:eastAsia="宋体" w:cs="宋体"/>
          <w:b/>
          <w:bCs/>
          <w:color w:val="FF0000"/>
          <w:sz w:val="21"/>
          <w:szCs w:val="21"/>
          <w:highlight w:val="yellow"/>
          <w:lang w:val="en-US" w:eastAsia="zh-CN"/>
        </w:rPr>
      </w:pPr>
      <w:r>
        <w:rPr>
          <w:rFonts w:hint="eastAsia" w:ascii="宋体" w:hAnsi="宋体" w:eastAsia="宋体" w:cs="宋体"/>
          <w:b/>
          <w:bCs/>
          <w:color w:val="FF0000"/>
          <w:sz w:val="21"/>
          <w:szCs w:val="21"/>
          <w:highlight w:val="yellow"/>
          <w:lang w:val="en-US" w:eastAsia="zh-CN"/>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7711"/>
      </w:tblGrid>
      <w:tr w14:paraId="5494F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1" w:type="dxa"/>
            <w:tcBorders>
              <w:tl2br w:val="nil"/>
              <w:tr2bl w:val="nil"/>
            </w:tcBorders>
            <w:noWrap w:val="0"/>
            <w:vAlign w:val="center"/>
          </w:tcPr>
          <w:p w14:paraId="6195835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序号</w:t>
            </w:r>
          </w:p>
        </w:tc>
        <w:tc>
          <w:tcPr>
            <w:tcW w:w="7711" w:type="dxa"/>
            <w:tcBorders>
              <w:tl2br w:val="nil"/>
              <w:tr2bl w:val="nil"/>
            </w:tcBorders>
            <w:noWrap w:val="0"/>
            <w:vAlign w:val="center"/>
          </w:tcPr>
          <w:p w14:paraId="3A65E5DB">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b/>
                <w:bCs/>
                <w:color w:val="FF0000"/>
                <w:sz w:val="21"/>
                <w:szCs w:val="21"/>
                <w:highlight w:val="none"/>
                <w:lang w:val="en-US" w:eastAsia="zh-CN"/>
              </w:rPr>
              <w:t>供应商参与投标禁止情形</w:t>
            </w:r>
          </w:p>
        </w:tc>
      </w:tr>
      <w:tr w14:paraId="375C7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l2br w:val="nil"/>
              <w:tr2bl w:val="nil"/>
            </w:tcBorders>
            <w:noWrap w:val="0"/>
            <w:vAlign w:val="center"/>
          </w:tcPr>
          <w:p w14:paraId="0DEF095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1</w:t>
            </w:r>
          </w:p>
        </w:tc>
        <w:tc>
          <w:tcPr>
            <w:tcW w:w="7711" w:type="dxa"/>
            <w:tcBorders>
              <w:tl2br w:val="nil"/>
              <w:tr2bl w:val="nil"/>
            </w:tcBorders>
            <w:noWrap w:val="0"/>
            <w:vAlign w:val="center"/>
          </w:tcPr>
          <w:p w14:paraId="6EEEFCF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与其他投标供应商的法定代表人、主要经营负责人、投标授权代表人、项目负责人、主要技术人员为</w:t>
            </w:r>
            <w:r>
              <w:rPr>
                <w:rFonts w:hint="eastAsia" w:ascii="宋体" w:hAnsi="宋体" w:eastAsia="宋体" w:cs="宋体"/>
                <w:b/>
                <w:bCs/>
                <w:color w:val="FF0000"/>
                <w:sz w:val="21"/>
                <w:szCs w:val="21"/>
                <w:highlight w:val="none"/>
                <w:lang w:val="en-US" w:eastAsia="zh-CN"/>
              </w:rPr>
              <w:t>同一人、属同一单位或者在同一单位缴纳社会保险</w:t>
            </w:r>
            <w:r>
              <w:rPr>
                <w:rFonts w:hint="eastAsia" w:ascii="宋体" w:hAnsi="宋体" w:eastAsia="宋体" w:cs="宋体"/>
                <w:color w:val="FF0000"/>
                <w:sz w:val="21"/>
                <w:szCs w:val="21"/>
                <w:highlight w:val="none"/>
                <w:lang w:val="en-US" w:eastAsia="zh-CN"/>
              </w:rPr>
              <w:t>。</w:t>
            </w:r>
          </w:p>
        </w:tc>
      </w:tr>
      <w:tr w14:paraId="730DA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1" w:type="dxa"/>
            <w:tcBorders>
              <w:tl2br w:val="nil"/>
              <w:tr2bl w:val="nil"/>
            </w:tcBorders>
            <w:noWrap w:val="0"/>
            <w:vAlign w:val="center"/>
          </w:tcPr>
          <w:p w14:paraId="5A5736B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2</w:t>
            </w:r>
          </w:p>
        </w:tc>
        <w:tc>
          <w:tcPr>
            <w:tcW w:w="7711" w:type="dxa"/>
            <w:tcBorders>
              <w:tl2br w:val="nil"/>
              <w:tr2bl w:val="nil"/>
            </w:tcBorders>
            <w:noWrap w:val="0"/>
            <w:vAlign w:val="center"/>
          </w:tcPr>
          <w:p w14:paraId="68B1C1C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参与本项目政府采购活动时，与其他投标供应商存在单位负责人为</w:t>
            </w:r>
            <w:r>
              <w:rPr>
                <w:rFonts w:hint="eastAsia" w:ascii="宋体" w:hAnsi="宋体" w:eastAsia="宋体" w:cs="宋体"/>
                <w:b/>
                <w:bCs/>
                <w:color w:val="FF0000"/>
                <w:sz w:val="21"/>
                <w:szCs w:val="21"/>
                <w:highlight w:val="none"/>
                <w:lang w:val="en-US" w:eastAsia="zh-CN"/>
              </w:rPr>
              <w:t>同一人或直接控股、管理关系</w:t>
            </w:r>
            <w:r>
              <w:rPr>
                <w:rFonts w:hint="eastAsia" w:ascii="宋体" w:hAnsi="宋体" w:eastAsia="宋体" w:cs="宋体"/>
                <w:color w:val="FF0000"/>
                <w:sz w:val="21"/>
                <w:szCs w:val="21"/>
                <w:highlight w:val="none"/>
                <w:lang w:val="en-US" w:eastAsia="zh-CN"/>
              </w:rPr>
              <w:t>。</w:t>
            </w:r>
          </w:p>
        </w:tc>
      </w:tr>
      <w:tr w14:paraId="2AA87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l2br w:val="nil"/>
              <w:tr2bl w:val="nil"/>
            </w:tcBorders>
            <w:noWrap w:val="0"/>
            <w:vAlign w:val="center"/>
          </w:tcPr>
          <w:p w14:paraId="4937F24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3</w:t>
            </w:r>
          </w:p>
        </w:tc>
        <w:tc>
          <w:tcPr>
            <w:tcW w:w="7711" w:type="dxa"/>
            <w:tcBorders>
              <w:tl2br w:val="nil"/>
              <w:tr2bl w:val="nil"/>
            </w:tcBorders>
            <w:noWrap w:val="0"/>
            <w:vAlign w:val="center"/>
          </w:tcPr>
          <w:p w14:paraId="5E4B3EA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与其他投标供应商的投标文件或部分投标文件</w:t>
            </w:r>
            <w:r>
              <w:rPr>
                <w:rFonts w:hint="eastAsia" w:ascii="宋体" w:hAnsi="宋体" w:eastAsia="宋体" w:cs="宋体"/>
                <w:b/>
                <w:bCs/>
                <w:color w:val="FF0000"/>
                <w:sz w:val="21"/>
                <w:szCs w:val="21"/>
                <w:highlight w:val="none"/>
                <w:lang w:val="en-US" w:eastAsia="zh-CN"/>
              </w:rPr>
              <w:t>相互混装或存在非正常一致</w:t>
            </w:r>
            <w:r>
              <w:rPr>
                <w:rFonts w:hint="eastAsia" w:ascii="宋体" w:hAnsi="宋体" w:eastAsia="宋体" w:cs="宋体"/>
                <w:color w:val="FF0000"/>
                <w:sz w:val="21"/>
                <w:szCs w:val="21"/>
                <w:highlight w:val="none"/>
                <w:lang w:val="en-US" w:eastAsia="zh-CN"/>
              </w:rPr>
              <w:t>。</w:t>
            </w:r>
          </w:p>
        </w:tc>
      </w:tr>
      <w:tr w14:paraId="0B34F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811" w:type="dxa"/>
            <w:tcBorders>
              <w:tl2br w:val="nil"/>
              <w:tr2bl w:val="nil"/>
            </w:tcBorders>
            <w:noWrap w:val="0"/>
            <w:vAlign w:val="center"/>
          </w:tcPr>
          <w:p w14:paraId="5D168E7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4</w:t>
            </w:r>
          </w:p>
        </w:tc>
        <w:tc>
          <w:tcPr>
            <w:tcW w:w="7711" w:type="dxa"/>
            <w:tcBorders>
              <w:tl2br w:val="nil"/>
              <w:tr2bl w:val="nil"/>
            </w:tcBorders>
            <w:noWrap w:val="0"/>
            <w:vAlign w:val="center"/>
          </w:tcPr>
          <w:p w14:paraId="015CA75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FF0000"/>
                <w:sz w:val="21"/>
                <w:szCs w:val="21"/>
                <w:highlight w:val="none"/>
                <w:lang w:val="en-US" w:eastAsia="zh-CN"/>
              </w:rPr>
              <w:t>与其他投标供应商的投标文件由</w:t>
            </w:r>
            <w:r>
              <w:rPr>
                <w:rFonts w:hint="eastAsia" w:ascii="宋体" w:hAnsi="宋体" w:eastAsia="宋体" w:cs="宋体"/>
                <w:b/>
                <w:bCs/>
                <w:color w:val="FF0000"/>
                <w:sz w:val="21"/>
                <w:szCs w:val="21"/>
                <w:highlight w:val="none"/>
                <w:lang w:val="en-US" w:eastAsia="zh-CN"/>
              </w:rPr>
              <w:t>同一单位或者同一人编制</w:t>
            </w:r>
            <w:r>
              <w:rPr>
                <w:rFonts w:hint="eastAsia" w:ascii="宋体" w:hAnsi="宋体" w:eastAsia="宋体" w:cs="宋体"/>
                <w:color w:val="FF0000"/>
                <w:sz w:val="21"/>
                <w:szCs w:val="21"/>
                <w:highlight w:val="none"/>
                <w:lang w:val="en-US" w:eastAsia="zh-CN"/>
              </w:rPr>
              <w:t>，或者使用</w:t>
            </w:r>
            <w:r>
              <w:rPr>
                <w:rFonts w:hint="eastAsia" w:ascii="宋体" w:hAnsi="宋体" w:eastAsia="宋体" w:cs="宋体"/>
                <w:b/>
                <w:bCs/>
                <w:color w:val="FF0000"/>
                <w:sz w:val="21"/>
                <w:szCs w:val="21"/>
                <w:highlight w:val="none"/>
                <w:lang w:val="en-US" w:eastAsia="zh-CN"/>
              </w:rPr>
              <w:t>同一设备编制</w:t>
            </w:r>
            <w:r>
              <w:rPr>
                <w:rFonts w:hint="eastAsia" w:ascii="宋体" w:hAnsi="宋体" w:eastAsia="宋体" w:cs="宋体"/>
                <w:color w:val="FF0000"/>
                <w:sz w:val="21"/>
                <w:szCs w:val="21"/>
                <w:highlight w:val="none"/>
                <w:lang w:val="en-US" w:eastAsia="zh-CN"/>
              </w:rPr>
              <w:t>（“文件制作机器码”“文件创建标识码”一致）。</w:t>
            </w:r>
          </w:p>
        </w:tc>
      </w:tr>
      <w:tr w14:paraId="5E696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811" w:type="dxa"/>
            <w:tcBorders>
              <w:tl2br w:val="nil"/>
              <w:tr2bl w:val="nil"/>
            </w:tcBorders>
            <w:noWrap w:val="0"/>
            <w:vAlign w:val="center"/>
          </w:tcPr>
          <w:p w14:paraId="705DC58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5</w:t>
            </w:r>
          </w:p>
        </w:tc>
        <w:tc>
          <w:tcPr>
            <w:tcW w:w="7711" w:type="dxa"/>
            <w:tcBorders>
              <w:tl2br w:val="nil"/>
              <w:tr2bl w:val="nil"/>
            </w:tcBorders>
            <w:noWrap w:val="0"/>
            <w:vAlign w:val="center"/>
          </w:tcPr>
          <w:p w14:paraId="0B9036F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提供</w:t>
            </w:r>
            <w:r>
              <w:rPr>
                <w:rFonts w:hint="eastAsia" w:ascii="宋体" w:hAnsi="宋体" w:eastAsia="宋体" w:cs="宋体"/>
                <w:b/>
                <w:bCs/>
                <w:color w:val="FF0000"/>
                <w:sz w:val="21"/>
                <w:szCs w:val="21"/>
                <w:highlight w:val="none"/>
                <w:lang w:val="en-US" w:eastAsia="zh-CN"/>
              </w:rPr>
              <w:t>未经出具机构核实</w:t>
            </w:r>
            <w:r>
              <w:rPr>
                <w:rFonts w:hint="eastAsia" w:ascii="宋体" w:hAnsi="宋体" w:eastAsia="宋体" w:cs="宋体"/>
                <w:color w:val="FF0000"/>
                <w:sz w:val="21"/>
                <w:szCs w:val="21"/>
                <w:highlight w:val="none"/>
                <w:lang w:val="en-US" w:eastAsia="zh-CN"/>
              </w:rPr>
              <w:t>的虚假的检验检测报告、业绩材料、社保缴纳证明、学历学位证书、职称认证证书等材料。</w:t>
            </w:r>
          </w:p>
        </w:tc>
      </w:tr>
      <w:tr w14:paraId="25921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11" w:type="dxa"/>
            <w:tcBorders>
              <w:tl2br w:val="nil"/>
              <w:tr2bl w:val="nil"/>
            </w:tcBorders>
            <w:noWrap w:val="0"/>
            <w:vAlign w:val="center"/>
          </w:tcPr>
          <w:p w14:paraId="0D16869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6</w:t>
            </w:r>
          </w:p>
        </w:tc>
        <w:tc>
          <w:tcPr>
            <w:tcW w:w="7711" w:type="dxa"/>
            <w:tcBorders>
              <w:tl2br w:val="nil"/>
              <w:tr2bl w:val="nil"/>
            </w:tcBorders>
            <w:noWrap w:val="0"/>
            <w:vAlign w:val="center"/>
          </w:tcPr>
          <w:p w14:paraId="3D4F92D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FF0000"/>
                <w:sz w:val="21"/>
                <w:szCs w:val="21"/>
                <w:highlight w:val="none"/>
                <w:lang w:val="en-US" w:eastAsia="zh-CN"/>
              </w:rPr>
              <w:t>擅自将投标密钥</w:t>
            </w:r>
            <w:r>
              <w:rPr>
                <w:rFonts w:hint="eastAsia" w:ascii="宋体" w:hAnsi="宋体" w:eastAsia="宋体" w:cs="宋体"/>
                <w:color w:val="FF0000"/>
                <w:sz w:val="21"/>
                <w:szCs w:val="21"/>
                <w:highlight w:val="none"/>
                <w:lang w:eastAsia="zh-CN"/>
              </w:rPr>
              <w:t>或</w:t>
            </w:r>
            <w:r>
              <w:rPr>
                <w:rFonts w:hint="eastAsia" w:ascii="宋体" w:hAnsi="宋体" w:eastAsia="宋体" w:cs="宋体"/>
                <w:color w:val="FF0000"/>
                <w:sz w:val="21"/>
                <w:szCs w:val="21"/>
                <w:highlight w:val="none"/>
                <w:lang w:val="en-US" w:eastAsia="zh-CN"/>
              </w:rPr>
              <w:t>电子营业执照出借他人使用或未妥善保管。</w:t>
            </w:r>
          </w:p>
        </w:tc>
      </w:tr>
    </w:tbl>
    <w:p w14:paraId="0A28CDE1">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hint="eastAsia" w:ascii="宋体" w:hAnsi="宋体"/>
          <w:color w:val="FF0000"/>
          <w:sz w:val="20"/>
          <w:szCs w:val="20"/>
        </w:rPr>
      </w:pPr>
    </w:p>
    <w:p w14:paraId="7B3A7EDC">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一、</w:t>
      </w:r>
      <w:r>
        <w:rPr>
          <w:rFonts w:hint="eastAsia" w:ascii="宋体" w:hAnsi="宋体"/>
          <w:b/>
          <w:bCs/>
          <w:color w:val="FF0000"/>
          <w:sz w:val="20"/>
          <w:szCs w:val="20"/>
        </w:rPr>
        <w:t>《深圳经济特区政府采购条例》第五十七条</w:t>
      </w:r>
      <w:r>
        <w:rPr>
          <w:rFonts w:hint="eastAsia" w:ascii="宋体" w:hAnsi="宋体"/>
          <w:color w:val="FF0000"/>
          <w:sz w:val="20"/>
          <w:szCs w:val="20"/>
        </w:rPr>
        <w:t xml:space="preserve"> 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14:paraId="3801370B">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（一）在采购活动中应当回避而未回避的；</w:t>
      </w:r>
    </w:p>
    <w:p w14:paraId="505AFFDB">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（二）未按本条例规定签订、履行采购合同，造成严重后果的；</w:t>
      </w:r>
    </w:p>
    <w:p w14:paraId="1607B1B7">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（三）隐瞒真实情况，提供虚假资料的；</w:t>
      </w:r>
    </w:p>
    <w:p w14:paraId="032C7F48">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（四）以非法手段排斥其他供应商参与竞争的；</w:t>
      </w:r>
    </w:p>
    <w:p w14:paraId="089CCE2F">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（五）与其他采购参加人串通投标的；</w:t>
      </w:r>
    </w:p>
    <w:p w14:paraId="54D6D0B7">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（六）恶意投诉的；</w:t>
      </w:r>
    </w:p>
    <w:p w14:paraId="05C500BD">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（七）向采购项目相关人行贿或者提供其他不当利益的；</w:t>
      </w:r>
    </w:p>
    <w:p w14:paraId="65263F5F">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（八）阻碍、抗拒主管部门监督检查的；</w:t>
      </w:r>
    </w:p>
    <w:p w14:paraId="4AED408E">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（九）其他违反本条例规定的行为。</w:t>
      </w:r>
    </w:p>
    <w:p w14:paraId="6BD2B921">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2" w:firstLineChars="200"/>
        <w:textAlignment w:val="auto"/>
        <w:rPr>
          <w:rFonts w:ascii="宋体" w:hAnsi="宋体"/>
          <w:color w:val="FF0000"/>
          <w:sz w:val="20"/>
          <w:szCs w:val="20"/>
        </w:rPr>
      </w:pPr>
      <w:r>
        <w:rPr>
          <w:rFonts w:hint="eastAsia" w:ascii="宋体" w:hAnsi="宋体"/>
          <w:b/>
          <w:bCs/>
          <w:color w:val="FF0000"/>
          <w:sz w:val="20"/>
          <w:szCs w:val="20"/>
        </w:rPr>
        <w:t>二、《深圳经济特区政府采购条例实施细则》第七十五条</w:t>
      </w:r>
      <w:r>
        <w:rPr>
          <w:rFonts w:hint="eastAsia" w:ascii="宋体" w:hAnsi="宋体"/>
          <w:b/>
          <w:bCs/>
          <w:color w:val="FF0000"/>
          <w:sz w:val="20"/>
          <w:szCs w:val="20"/>
          <w:lang w:val="en-US" w:eastAsia="zh-CN"/>
        </w:rPr>
        <w:t xml:space="preserve"> </w:t>
      </w:r>
      <w:r>
        <w:rPr>
          <w:rFonts w:hint="eastAsia" w:ascii="宋体" w:hAnsi="宋体"/>
          <w:color w:val="FF0000"/>
          <w:sz w:val="20"/>
          <w:szCs w:val="20"/>
        </w:rPr>
        <w:t>供应商有下列情形</w:t>
      </w:r>
      <w:r>
        <w:rPr>
          <w:rFonts w:hint="eastAsia" w:ascii="宋体" w:hAnsi="宋体"/>
          <w:color w:val="FF0000"/>
          <w:sz w:val="20"/>
          <w:szCs w:val="20"/>
          <w:lang w:val="en-US" w:eastAsia="zh-CN"/>
        </w:rPr>
        <w:t>之一</w:t>
      </w:r>
      <w:r>
        <w:rPr>
          <w:rFonts w:hint="eastAsia" w:ascii="宋体" w:hAnsi="宋体"/>
          <w:color w:val="FF0000"/>
          <w:sz w:val="20"/>
          <w:szCs w:val="20"/>
        </w:rPr>
        <w:t>的，属于采购条例所称的串通投标行为，按照采购条例第五十七条有关规定处理：（一）投标供应商之间相互约定给予未中标的供应商利益补偿</w:t>
      </w:r>
      <w:r>
        <w:rPr>
          <w:rFonts w:hint="eastAsia" w:ascii="宋体" w:hAnsi="宋体"/>
          <w:color w:val="FF0000"/>
          <w:sz w:val="20"/>
          <w:szCs w:val="20"/>
          <w:lang w:eastAsia="zh-CN"/>
        </w:rPr>
        <w:t>。</w:t>
      </w:r>
      <w:r>
        <w:rPr>
          <w:rFonts w:hint="eastAsia" w:ascii="宋体" w:hAnsi="宋体"/>
          <w:color w:val="FF0000"/>
          <w:sz w:val="20"/>
          <w:szCs w:val="20"/>
        </w:rPr>
        <w:t>（二）不同投标供应商的法定代表人、主要经营负责人、项目投标授权代表人、项目负责人、主要技术人员为同一人、属同一单位或者在同一单位缴纳社会保险</w:t>
      </w:r>
      <w:r>
        <w:rPr>
          <w:rFonts w:hint="eastAsia" w:ascii="宋体" w:hAnsi="宋体"/>
          <w:color w:val="FF0000"/>
          <w:sz w:val="20"/>
          <w:szCs w:val="20"/>
          <w:lang w:eastAsia="zh-CN"/>
        </w:rPr>
        <w:t>。</w:t>
      </w:r>
      <w:r>
        <w:rPr>
          <w:rFonts w:hint="eastAsia" w:ascii="宋体" w:hAnsi="宋体"/>
          <w:color w:val="FF0000"/>
          <w:sz w:val="20"/>
          <w:szCs w:val="20"/>
        </w:rPr>
        <w:t>（三）不同投标供应商的投标文件由同一单位或者同一人编制，或者由同一人分阶段参与编制的</w:t>
      </w:r>
      <w:r>
        <w:rPr>
          <w:rFonts w:hint="eastAsia" w:ascii="宋体" w:hAnsi="宋体"/>
          <w:color w:val="FF0000"/>
          <w:sz w:val="20"/>
          <w:szCs w:val="20"/>
          <w:lang w:eastAsia="zh-CN"/>
        </w:rPr>
        <w:t>。</w:t>
      </w:r>
      <w:r>
        <w:rPr>
          <w:rFonts w:hint="eastAsia" w:ascii="宋体" w:hAnsi="宋体"/>
          <w:color w:val="FF0000"/>
          <w:sz w:val="20"/>
          <w:szCs w:val="20"/>
        </w:rPr>
        <w:t>（四）不同投标供应商的投标文件或部分投标文件相互混装</w:t>
      </w:r>
      <w:r>
        <w:rPr>
          <w:rFonts w:hint="eastAsia" w:ascii="宋体" w:hAnsi="宋体"/>
          <w:color w:val="FF0000"/>
          <w:sz w:val="20"/>
          <w:szCs w:val="20"/>
          <w:lang w:eastAsia="zh-CN"/>
        </w:rPr>
        <w:t>。</w:t>
      </w:r>
      <w:r>
        <w:rPr>
          <w:rFonts w:hint="eastAsia" w:ascii="宋体" w:hAnsi="宋体"/>
          <w:color w:val="FF0000"/>
          <w:sz w:val="20"/>
          <w:szCs w:val="20"/>
        </w:rPr>
        <w:t>（五）不同投标供应商的投标文件内容存在非正常一致</w:t>
      </w:r>
      <w:r>
        <w:rPr>
          <w:rFonts w:hint="eastAsia" w:ascii="宋体" w:hAnsi="宋体"/>
          <w:color w:val="FF0000"/>
          <w:sz w:val="20"/>
          <w:szCs w:val="20"/>
          <w:lang w:eastAsia="zh-CN"/>
        </w:rPr>
        <w:t>。</w:t>
      </w:r>
      <w:r>
        <w:rPr>
          <w:rFonts w:hint="eastAsia" w:ascii="宋体" w:hAnsi="宋体"/>
          <w:color w:val="FF0000"/>
          <w:sz w:val="20"/>
          <w:szCs w:val="20"/>
        </w:rPr>
        <w:t>（六）由同一单位工作人员为两家以上（含两家）供应商进行同一项投标活动的</w:t>
      </w:r>
      <w:r>
        <w:rPr>
          <w:rFonts w:hint="eastAsia" w:ascii="宋体" w:hAnsi="宋体"/>
          <w:color w:val="FF0000"/>
          <w:sz w:val="20"/>
          <w:szCs w:val="20"/>
          <w:lang w:eastAsia="zh-CN"/>
        </w:rPr>
        <w:t>。</w:t>
      </w:r>
      <w:r>
        <w:rPr>
          <w:rFonts w:hint="eastAsia" w:ascii="宋体" w:hAnsi="宋体"/>
          <w:color w:val="FF0000"/>
          <w:sz w:val="20"/>
          <w:szCs w:val="20"/>
        </w:rPr>
        <w:t>（七）主管部门依照法律、法规认定的其他情形。</w:t>
      </w:r>
    </w:p>
    <w:p w14:paraId="08C2813F">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2" w:firstLineChars="200"/>
        <w:textAlignment w:val="auto"/>
        <w:rPr>
          <w:rFonts w:ascii="宋体" w:hAnsi="宋体"/>
          <w:color w:val="FF0000"/>
          <w:sz w:val="20"/>
          <w:szCs w:val="20"/>
        </w:rPr>
      </w:pPr>
      <w:r>
        <w:rPr>
          <w:rFonts w:hint="eastAsia" w:ascii="宋体" w:hAnsi="宋体"/>
          <w:b/>
          <w:bCs/>
          <w:color w:val="FF0000"/>
          <w:sz w:val="20"/>
          <w:szCs w:val="20"/>
        </w:rPr>
        <w:t>三、《深圳经济特区政府采购条例实施细则》第七十七条</w:t>
      </w:r>
      <w:r>
        <w:rPr>
          <w:rFonts w:hint="eastAsia" w:ascii="宋体" w:hAnsi="宋体"/>
          <w:b/>
          <w:bCs/>
          <w:color w:val="FF0000"/>
          <w:sz w:val="20"/>
          <w:szCs w:val="20"/>
          <w:lang w:val="en-US" w:eastAsia="zh-CN"/>
        </w:rPr>
        <w:t xml:space="preserve"> </w:t>
      </w:r>
      <w:r>
        <w:rPr>
          <w:rFonts w:hint="eastAsia" w:ascii="宋体" w:hAnsi="宋体"/>
          <w:color w:val="FF0000"/>
          <w:sz w:val="20"/>
          <w:szCs w:val="20"/>
        </w:rPr>
        <w:t>供应商有下列情形之一的，属于隐瞒真实情况，提供虚假资料，按照采购条例第五十七</w:t>
      </w:r>
      <w:r>
        <w:rPr>
          <w:rFonts w:hint="eastAsia" w:ascii="宋体" w:hAnsi="宋体"/>
          <w:color w:val="FF0000"/>
          <w:sz w:val="20"/>
          <w:szCs w:val="20"/>
          <w:lang w:val="en-US" w:eastAsia="zh-CN"/>
        </w:rPr>
        <w:t>条</w:t>
      </w:r>
      <w:r>
        <w:rPr>
          <w:rFonts w:hint="eastAsia" w:ascii="宋体" w:hAnsi="宋体"/>
          <w:color w:val="FF0000"/>
          <w:sz w:val="20"/>
          <w:szCs w:val="20"/>
        </w:rPr>
        <w:t>的有关规定处理：（一）通过转让或者租借等方式从其他单位获取资格或者资质证书投标的</w:t>
      </w:r>
      <w:r>
        <w:rPr>
          <w:rFonts w:hint="eastAsia" w:ascii="宋体" w:hAnsi="宋体"/>
          <w:color w:val="FF0000"/>
          <w:sz w:val="20"/>
          <w:szCs w:val="20"/>
          <w:lang w:eastAsia="zh-CN"/>
        </w:rPr>
        <w:t>。</w:t>
      </w:r>
      <w:r>
        <w:rPr>
          <w:rFonts w:hint="eastAsia" w:ascii="宋体" w:hAnsi="宋体"/>
          <w:color w:val="FF0000"/>
          <w:sz w:val="20"/>
          <w:szCs w:val="20"/>
        </w:rPr>
        <w:t>（二）由其他单位或者其他单位负责人在投标供应商编制的投标文件上加盖印章或者签字的</w:t>
      </w:r>
      <w:r>
        <w:rPr>
          <w:rFonts w:hint="eastAsia" w:ascii="宋体" w:hAnsi="宋体"/>
          <w:color w:val="FF0000"/>
          <w:sz w:val="20"/>
          <w:szCs w:val="20"/>
          <w:lang w:eastAsia="zh-CN"/>
        </w:rPr>
        <w:t>。</w:t>
      </w:r>
      <w:r>
        <w:rPr>
          <w:rFonts w:hint="eastAsia" w:ascii="宋体" w:hAnsi="宋体"/>
          <w:color w:val="FF0000"/>
          <w:sz w:val="20"/>
          <w:szCs w:val="20"/>
        </w:rPr>
        <w:t>（三）项目负责人或者主要技术人员不是本单位人员的</w:t>
      </w:r>
      <w:r>
        <w:rPr>
          <w:rFonts w:hint="eastAsia" w:ascii="宋体" w:hAnsi="宋体"/>
          <w:color w:val="FF0000"/>
          <w:sz w:val="20"/>
          <w:szCs w:val="20"/>
          <w:lang w:eastAsia="zh-CN"/>
        </w:rPr>
        <w:t>。</w:t>
      </w:r>
      <w:r>
        <w:rPr>
          <w:rFonts w:hint="eastAsia" w:ascii="宋体" w:hAnsi="宋体"/>
          <w:color w:val="FF0000"/>
          <w:sz w:val="20"/>
          <w:szCs w:val="20"/>
        </w:rPr>
        <w:t>（四）投标保证金不是从投标供应商基本账户转出的</w:t>
      </w:r>
      <w:r>
        <w:rPr>
          <w:rFonts w:hint="eastAsia" w:ascii="宋体" w:hAnsi="宋体"/>
          <w:color w:val="FF0000"/>
          <w:sz w:val="20"/>
          <w:szCs w:val="20"/>
          <w:lang w:eastAsia="zh-CN"/>
        </w:rPr>
        <w:t>。</w:t>
      </w:r>
      <w:r>
        <w:rPr>
          <w:rFonts w:hint="eastAsia" w:ascii="宋体" w:hAnsi="宋体"/>
          <w:color w:val="FF0000"/>
          <w:sz w:val="20"/>
          <w:szCs w:val="20"/>
        </w:rPr>
        <w:t>（五）其他隐瞒真实情况、提供虚假资料的行为。</w:t>
      </w:r>
    </w:p>
    <w:p w14:paraId="582A8BF4">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投标供应商不能提供项目负责人或者主要技术人员的劳动合同、社会保险等劳动关系证明材料的，视为存在前款第（三）项规定的情形。</w:t>
      </w:r>
    </w:p>
    <w:p w14:paraId="31D03611">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hint="eastAsia"/>
          <w:b w:val="0"/>
          <w:bCs/>
          <w:color w:val="FF0000"/>
          <w:sz w:val="20"/>
          <w:szCs w:val="20"/>
          <w:lang w:val="en-US" w:eastAsia="zh-CN"/>
        </w:rPr>
      </w:pPr>
      <w:r>
        <w:rPr>
          <w:rFonts w:hint="eastAsia"/>
          <w:b w:val="0"/>
          <w:bCs/>
          <w:color w:val="FF0000"/>
          <w:sz w:val="20"/>
          <w:szCs w:val="20"/>
          <w:lang w:val="en-US" w:eastAsia="zh-CN"/>
        </w:rPr>
        <w:t>四</w:t>
      </w:r>
      <w:r>
        <w:rPr>
          <w:rFonts w:hint="eastAsia" w:ascii="Times New Roman" w:eastAsia="宋体"/>
          <w:b w:val="0"/>
          <w:bCs/>
          <w:color w:val="FF0000"/>
          <w:sz w:val="20"/>
          <w:szCs w:val="20"/>
          <w:lang w:val="en-US" w:eastAsia="zh-CN"/>
        </w:rPr>
        <w:t>、供应商在使用深圳政府采购智慧平台的投标文件制作工具创建投标文件时，该工具将自动在投标文件中记录文件创建标识码，同时提取投标文件制作电脑的网卡MAC地址、硬盘序列号、CPU序列号、主板序列号和工具标识号，经加密生成文件制作机器码并在投标文件中记录。文件制作机器码一致表明不同供应商使用了同一设备编制投标文件，文件创建标识码一致表明不同供应商的投标文件为同一份文件，IP地址一致表明上传投标文件时使用了相同的网络。</w:t>
      </w:r>
    </w:p>
    <w:p w14:paraId="1CF5483D">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hint="eastAsia"/>
          <w:b w:val="0"/>
          <w:bCs/>
          <w:color w:val="FF0000"/>
          <w:sz w:val="20"/>
          <w:szCs w:val="20"/>
          <w:lang w:val="en-US" w:eastAsia="zh-CN"/>
        </w:rPr>
      </w:pPr>
      <w:r>
        <w:rPr>
          <w:rFonts w:hint="eastAsia" w:ascii="Times New Roman" w:eastAsia="宋体"/>
          <w:b w:val="0"/>
          <w:bCs/>
          <w:color w:val="FF0000"/>
          <w:sz w:val="20"/>
          <w:szCs w:val="20"/>
          <w:lang w:val="en-US" w:eastAsia="zh-CN"/>
        </w:rPr>
        <w:t>为避免出现不同供应商投标文件的文件制作机器码、文件创建标识码、IP地址一致的异常情况，建议各供应商编制、上传投标文件时不要使用公共电脑设备或公共网络。</w:t>
      </w:r>
    </w:p>
    <w:p w14:paraId="276816A2">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hint="eastAsia" w:ascii="Times New Roman" w:eastAsia="宋体"/>
          <w:b w:val="0"/>
          <w:bCs/>
          <w:color w:val="FF0000"/>
          <w:sz w:val="20"/>
          <w:szCs w:val="20"/>
          <w:lang w:val="en-US" w:eastAsia="zh-CN"/>
        </w:rPr>
      </w:pPr>
      <w:r>
        <w:rPr>
          <w:rFonts w:hint="eastAsia" w:ascii="Times New Roman" w:eastAsia="宋体"/>
          <w:b w:val="0"/>
          <w:bCs/>
          <w:color w:val="FF0000"/>
          <w:sz w:val="20"/>
          <w:szCs w:val="20"/>
          <w:lang w:val="en-US" w:eastAsia="zh-CN"/>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w:t>
      </w:r>
      <w:r>
        <w:rPr>
          <w:rFonts w:hint="eastAsia" w:ascii="宋体" w:hAnsi="宋体"/>
          <w:color w:val="FF0000"/>
          <w:sz w:val="20"/>
          <w:szCs w:val="20"/>
        </w:rPr>
        <w:t>取消参与本市政府采购资格</w:t>
      </w:r>
      <w:r>
        <w:rPr>
          <w:rFonts w:hint="eastAsia" w:hAnsi="宋体"/>
          <w:color w:val="FF0000"/>
          <w:sz w:val="20"/>
          <w:szCs w:val="20"/>
          <w:lang w:eastAsia="zh-CN"/>
        </w:rPr>
        <w:t>、</w:t>
      </w:r>
      <w:r>
        <w:rPr>
          <w:rFonts w:hint="eastAsia" w:ascii="宋体" w:hAnsi="宋体"/>
          <w:color w:val="FF0000"/>
          <w:sz w:val="20"/>
          <w:szCs w:val="20"/>
        </w:rPr>
        <w:t>依法吊销其营业</w:t>
      </w:r>
      <w:r>
        <w:rPr>
          <w:rFonts w:hint="eastAsia" w:hAnsi="宋体"/>
          <w:color w:val="FF0000"/>
          <w:sz w:val="20"/>
          <w:szCs w:val="20"/>
          <w:lang w:val="en-US" w:eastAsia="zh-CN"/>
        </w:rPr>
        <w:t>执照等行政处罚，</w:t>
      </w:r>
      <w:r>
        <w:rPr>
          <w:rFonts w:hint="eastAsia" w:ascii="宋体" w:hAnsi="宋体"/>
          <w:color w:val="FF0000"/>
          <w:sz w:val="20"/>
          <w:szCs w:val="20"/>
        </w:rPr>
        <w:t>构成犯罪的，依法追究刑事责任</w:t>
      </w:r>
      <w:r>
        <w:rPr>
          <w:rFonts w:hint="eastAsia" w:ascii="Times New Roman" w:eastAsia="宋体"/>
          <w:b w:val="0"/>
          <w:bCs/>
          <w:color w:val="FF0000"/>
          <w:sz w:val="20"/>
          <w:szCs w:val="20"/>
          <w:lang w:val="en-US" w:eastAsia="zh-CN"/>
        </w:rPr>
        <w:t>，请各供应商独立编制、上传投标文件，妥善保管和使用电子秘钥。</w:t>
      </w:r>
    </w:p>
    <w:p w14:paraId="35630620">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22" w:firstLineChars="200"/>
        <w:textAlignment w:val="auto"/>
        <w:rPr>
          <w:rFonts w:hint="eastAsia"/>
          <w:lang w:val="en-US" w:eastAsia="zh-CN"/>
        </w:rPr>
      </w:pPr>
      <w:r>
        <w:rPr>
          <w:rFonts w:hint="eastAsia" w:ascii="Times New Roman" w:eastAsia="宋体"/>
          <w:b/>
          <w:color w:val="FF0000"/>
          <w:lang w:val="en-US" w:eastAsia="zh-CN"/>
        </w:rPr>
        <w:t>五</w:t>
      </w:r>
      <w:r>
        <w:rPr>
          <w:rFonts w:hint="eastAsia"/>
          <w:b/>
          <w:color w:val="FF0000"/>
        </w:rPr>
        <w:t>、请投标供应商阅读《政府采购违法行为风险知悉确认书》（内容详见“投标文件附件（信息不公开部分）”中节点“投标人认为需要加以说明的其他内容（格式自定）”），并经各投标供应商负责人签字并加盖单位公章后，扫描上传至投标文件一并提交。</w:t>
      </w:r>
    </w:p>
    <w:p w14:paraId="2195B3E1">
      <w:pPr>
        <w:pStyle w:val="50"/>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textAlignment w:val="auto"/>
        <w:rPr>
          <w:rFonts w:hint="eastAsia"/>
          <w:b w:val="0"/>
          <w:bCs/>
          <w:color w:val="FF0000"/>
          <w:sz w:val="20"/>
          <w:szCs w:val="20"/>
          <w:lang w:val="en-US" w:eastAsia="zh-CN"/>
        </w:rPr>
      </w:pPr>
    </w:p>
    <w:p w14:paraId="5EE5DFDB">
      <w:pPr>
        <w:pStyle w:val="14"/>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jc w:val="both"/>
        <w:textAlignment w:val="auto"/>
        <w:outlineLvl w:val="1"/>
        <w:rPr>
          <w:rFonts w:hint="eastAsia" w:ascii="黑体" w:hAnsi="宋体" w:eastAsia="黑体" w:cs="黑体"/>
          <w:kern w:val="0"/>
          <w:sz w:val="40"/>
          <w:szCs w:val="40"/>
        </w:rPr>
        <w:sectPr>
          <w:headerReference r:id="rId3" w:type="first"/>
          <w:footerReference r:id="rId4" w:type="default"/>
          <w:footerReference r:id="rId5" w:type="even"/>
          <w:pgSz w:w="11907" w:h="16840"/>
          <w:pgMar w:top="1440" w:right="1417" w:bottom="1440" w:left="1417" w:header="851" w:footer="992" w:gutter="0"/>
          <w:cols w:space="425" w:num="1"/>
          <w:titlePg/>
          <w:docGrid w:linePitch="462" w:charSpace="0"/>
        </w:sectPr>
      </w:pPr>
      <w:r>
        <w:rPr>
          <w:rFonts w:hint="eastAsia" w:ascii="Times New Roman" w:hAnsi="Times New Roman" w:eastAsia="宋体" w:cs="Times New Roman"/>
          <w:b/>
          <w:color w:val="FF0000"/>
          <w:kern w:val="2"/>
          <w:sz w:val="21"/>
          <w:szCs w:val="24"/>
          <w:lang w:val="en-US" w:eastAsia="zh-CN" w:bidi="ar-SA"/>
        </w:rPr>
        <w:t>注：“特别警示条款”和《政府采购违法行为风险知悉确认书》用于对供应商违法行为的提醒，不作为供应商资格性审查及符合性审查条件。</w:t>
      </w:r>
    </w:p>
    <w:p w14:paraId="65CF45CD">
      <w:pPr>
        <w:widowControl/>
        <w:spacing w:beforeAutospacing="1" w:afterAutospacing="1"/>
        <w:jc w:val="center"/>
        <w:outlineLvl w:val="0"/>
        <w:rPr>
          <w:rFonts w:hint="eastAsia" w:ascii="黑体" w:hAnsi="宋体" w:eastAsia="黑体" w:cs="黑体"/>
          <w:kern w:val="0"/>
          <w:sz w:val="40"/>
          <w:szCs w:val="40"/>
        </w:rPr>
      </w:pPr>
      <w:r>
        <w:rPr>
          <w:rFonts w:hint="eastAsia" w:ascii="黑体" w:hAnsi="宋体" w:eastAsia="黑体" w:cs="黑体"/>
          <w:kern w:val="0"/>
          <w:sz w:val="40"/>
          <w:szCs w:val="40"/>
        </w:rPr>
        <w:t>招标文件信息</w:t>
      </w:r>
    </w:p>
    <w:tbl>
      <w:tblPr>
        <w:tblStyle w:val="17"/>
        <w:tblW w:w="4999" w:type="pct"/>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36" w:type="dxa"/>
          <w:left w:w="36" w:type="dxa"/>
          <w:bottom w:w="36" w:type="dxa"/>
          <w:right w:w="36" w:type="dxa"/>
        </w:tblCellMar>
      </w:tblPr>
      <w:tblGrid>
        <w:gridCol w:w="2879"/>
        <w:gridCol w:w="5517"/>
      </w:tblGrid>
      <w:tr w14:paraId="7CBC4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737" w:hRule="atLeast"/>
          <w:tblCellSpacing w:w="0" w:type="dxa"/>
          <w:jc w:val="center"/>
        </w:trPr>
        <w:tc>
          <w:tcPr>
            <w:tcW w:w="1714" w:type="pct"/>
            <w:vAlign w:val="center"/>
          </w:tcPr>
          <w:p w14:paraId="04744D99">
            <w:pPr>
              <w:spacing w:line="290" w:lineRule="exact"/>
              <w:jc w:val="center"/>
              <w:rPr>
                <w:rFonts w:ascii="宋体" w:hAnsi="宋体" w:eastAsia="宋体" w:cs="Times New Roman"/>
                <w:sz w:val="28"/>
                <w:szCs w:val="28"/>
              </w:rPr>
            </w:pPr>
            <w:r>
              <w:rPr>
                <w:rFonts w:ascii="宋体" w:hAnsi="宋体" w:eastAsia="宋体" w:cs="Times New Roman"/>
                <w:sz w:val="28"/>
                <w:szCs w:val="28"/>
              </w:rPr>
              <w:t>项目编号：</w:t>
            </w:r>
          </w:p>
        </w:tc>
        <w:tc>
          <w:tcPr>
            <w:tcW w:w="3285" w:type="pct"/>
            <w:vAlign w:val="center"/>
          </w:tcPr>
          <w:p w14:paraId="302D09E4">
            <w:pPr>
              <w:spacing w:line="290" w:lineRule="exact"/>
              <w:jc w:val="center"/>
              <w:rPr>
                <w:rFonts w:hint="default" w:ascii="宋体" w:hAnsi="宋体" w:eastAsia="宋体" w:cs="Times New Roman"/>
                <w:sz w:val="28"/>
                <w:szCs w:val="28"/>
                <w:lang w:val="en-US" w:eastAsia="zh-CN"/>
              </w:rPr>
            </w:pPr>
            <w:r>
              <w:rPr>
                <w:rFonts w:hint="default" w:ascii="宋体" w:hAnsi="宋体" w:eastAsia="宋体" w:cs="Times New Roman"/>
                <w:sz w:val="28"/>
                <w:szCs w:val="28"/>
                <w:lang w:val="en-US" w:eastAsia="zh-CN"/>
              </w:rPr>
              <w:t>LHAZXCG-2025-00015</w:t>
            </w:r>
          </w:p>
        </w:tc>
      </w:tr>
      <w:tr w14:paraId="711AA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737" w:hRule="atLeast"/>
          <w:tblCellSpacing w:w="0" w:type="dxa"/>
          <w:jc w:val="center"/>
        </w:trPr>
        <w:tc>
          <w:tcPr>
            <w:tcW w:w="1714" w:type="pct"/>
            <w:vAlign w:val="center"/>
          </w:tcPr>
          <w:p w14:paraId="69E9C9F2">
            <w:pPr>
              <w:spacing w:line="290" w:lineRule="exact"/>
              <w:jc w:val="center"/>
              <w:rPr>
                <w:rFonts w:ascii="宋体" w:hAnsi="宋体" w:eastAsia="宋体" w:cs="Times New Roman"/>
                <w:sz w:val="28"/>
                <w:szCs w:val="28"/>
              </w:rPr>
            </w:pPr>
            <w:r>
              <w:rPr>
                <w:rFonts w:ascii="宋体" w:hAnsi="宋体" w:eastAsia="宋体" w:cs="Times New Roman"/>
                <w:sz w:val="28"/>
                <w:szCs w:val="28"/>
              </w:rPr>
              <w:t>项目名称：</w:t>
            </w:r>
          </w:p>
        </w:tc>
        <w:tc>
          <w:tcPr>
            <w:tcW w:w="3285" w:type="pct"/>
            <w:vAlign w:val="center"/>
          </w:tcPr>
          <w:p w14:paraId="57ABFA28">
            <w:pPr>
              <w:spacing w:line="290" w:lineRule="exact"/>
              <w:jc w:val="center"/>
              <w:rPr>
                <w:rFonts w:hint="default" w:ascii="宋体" w:hAnsi="宋体" w:eastAsia="宋体" w:cs="Times New Roman"/>
                <w:sz w:val="28"/>
                <w:szCs w:val="28"/>
                <w:lang w:val="en-US" w:eastAsia="zh-CN"/>
              </w:rPr>
            </w:pPr>
            <w:r>
              <w:rPr>
                <w:rFonts w:hint="default" w:ascii="宋体" w:hAnsi="宋体" w:eastAsia="宋体" w:cs="Times New Roman"/>
                <w:sz w:val="28"/>
                <w:szCs w:val="28"/>
                <w:lang w:val="en-US" w:eastAsia="zh-CN"/>
              </w:rPr>
              <w:t>班级幼儿家具采购</w:t>
            </w:r>
          </w:p>
        </w:tc>
      </w:tr>
      <w:tr w14:paraId="4B44D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737" w:hRule="atLeast"/>
          <w:tblCellSpacing w:w="0" w:type="dxa"/>
          <w:jc w:val="center"/>
        </w:trPr>
        <w:tc>
          <w:tcPr>
            <w:tcW w:w="1714" w:type="pct"/>
            <w:vAlign w:val="center"/>
          </w:tcPr>
          <w:p w14:paraId="030BEA7B">
            <w:pPr>
              <w:spacing w:line="290" w:lineRule="exact"/>
              <w:jc w:val="center"/>
              <w:rPr>
                <w:rFonts w:ascii="宋体" w:hAnsi="宋体" w:eastAsia="宋体" w:cs="Times New Roman"/>
                <w:sz w:val="28"/>
                <w:szCs w:val="28"/>
              </w:rPr>
            </w:pPr>
            <w:r>
              <w:rPr>
                <w:rFonts w:ascii="宋体" w:hAnsi="宋体" w:eastAsia="宋体" w:cs="Times New Roman"/>
                <w:sz w:val="28"/>
                <w:szCs w:val="28"/>
              </w:rPr>
              <w:t>包</w:t>
            </w:r>
            <w:r>
              <w:rPr>
                <w:rFonts w:hint="eastAsia" w:ascii="宋体" w:hAnsi="宋体" w:eastAsia="宋体" w:cs="Times New Roman"/>
                <w:sz w:val="28"/>
                <w:szCs w:val="28"/>
              </w:rPr>
              <w:t xml:space="preserve">    </w:t>
            </w:r>
            <w:r>
              <w:rPr>
                <w:rFonts w:ascii="宋体" w:hAnsi="宋体" w:eastAsia="宋体" w:cs="Times New Roman"/>
                <w:sz w:val="28"/>
                <w:szCs w:val="28"/>
              </w:rPr>
              <w:t>号：</w:t>
            </w:r>
          </w:p>
        </w:tc>
        <w:tc>
          <w:tcPr>
            <w:tcW w:w="3285" w:type="pct"/>
            <w:vAlign w:val="center"/>
          </w:tcPr>
          <w:p w14:paraId="781A177F">
            <w:pPr>
              <w:spacing w:line="290" w:lineRule="exact"/>
              <w:jc w:val="center"/>
              <w:rPr>
                <w:rFonts w:ascii="宋体" w:hAnsi="宋体" w:eastAsia="宋体" w:cs="Times New Roman"/>
                <w:sz w:val="28"/>
                <w:szCs w:val="28"/>
              </w:rPr>
            </w:pPr>
            <w:r>
              <w:rPr>
                <w:rFonts w:ascii="宋体" w:hAnsi="宋体" w:eastAsia="宋体" w:cs="Times New Roman"/>
                <w:sz w:val="28"/>
                <w:szCs w:val="28"/>
              </w:rPr>
              <w:t>A</w:t>
            </w:r>
          </w:p>
        </w:tc>
      </w:tr>
      <w:tr w14:paraId="3EE9A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737" w:hRule="atLeast"/>
          <w:tblCellSpacing w:w="0" w:type="dxa"/>
          <w:jc w:val="center"/>
        </w:trPr>
        <w:tc>
          <w:tcPr>
            <w:tcW w:w="1714" w:type="pct"/>
            <w:vAlign w:val="center"/>
          </w:tcPr>
          <w:p w14:paraId="687BB5FA">
            <w:pPr>
              <w:spacing w:line="290" w:lineRule="exact"/>
              <w:jc w:val="center"/>
              <w:rPr>
                <w:rFonts w:ascii="宋体" w:hAnsi="宋体" w:eastAsia="宋体" w:cs="Times New Roman"/>
                <w:sz w:val="28"/>
                <w:szCs w:val="28"/>
              </w:rPr>
            </w:pPr>
            <w:r>
              <w:rPr>
                <w:rFonts w:ascii="宋体" w:hAnsi="宋体" w:eastAsia="宋体" w:cs="Times New Roman"/>
                <w:sz w:val="28"/>
                <w:szCs w:val="28"/>
              </w:rPr>
              <w:t>项目类型：</w:t>
            </w:r>
          </w:p>
        </w:tc>
        <w:tc>
          <w:tcPr>
            <w:tcW w:w="3285" w:type="pct"/>
            <w:vAlign w:val="center"/>
          </w:tcPr>
          <w:p w14:paraId="46AC2456">
            <w:pPr>
              <w:spacing w:line="290" w:lineRule="exact"/>
              <w:jc w:val="center"/>
              <w:rPr>
                <w:rFonts w:ascii="宋体" w:hAnsi="宋体" w:eastAsia="宋体" w:cs="Times New Roman"/>
                <w:sz w:val="28"/>
                <w:szCs w:val="28"/>
              </w:rPr>
            </w:pPr>
            <w:r>
              <w:rPr>
                <w:rFonts w:hint="eastAsia" w:ascii="宋体" w:hAnsi="宋体" w:eastAsia="宋体" w:cs="Times New Roman"/>
                <w:sz w:val="28"/>
                <w:szCs w:val="28"/>
              </w:rPr>
              <w:t>货物</w:t>
            </w:r>
            <w:r>
              <w:rPr>
                <w:rFonts w:ascii="宋体" w:hAnsi="宋体" w:eastAsia="宋体" w:cs="Times New Roman"/>
                <w:sz w:val="28"/>
                <w:szCs w:val="28"/>
              </w:rPr>
              <w:t>类</w:t>
            </w:r>
          </w:p>
        </w:tc>
      </w:tr>
      <w:tr w14:paraId="69A96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737" w:hRule="atLeast"/>
          <w:tblCellSpacing w:w="0" w:type="dxa"/>
          <w:jc w:val="center"/>
        </w:trPr>
        <w:tc>
          <w:tcPr>
            <w:tcW w:w="1714" w:type="pct"/>
            <w:vAlign w:val="center"/>
          </w:tcPr>
          <w:p w14:paraId="22B3CB99">
            <w:pPr>
              <w:spacing w:line="290" w:lineRule="exact"/>
              <w:jc w:val="center"/>
              <w:rPr>
                <w:rFonts w:ascii="宋体" w:hAnsi="宋体" w:eastAsia="宋体" w:cs="Times New Roman"/>
                <w:sz w:val="28"/>
                <w:szCs w:val="28"/>
              </w:rPr>
            </w:pPr>
            <w:r>
              <w:rPr>
                <w:rFonts w:ascii="宋体" w:hAnsi="宋体" w:eastAsia="宋体" w:cs="Times New Roman"/>
                <w:sz w:val="28"/>
                <w:szCs w:val="28"/>
              </w:rPr>
              <w:t>采购方式：</w:t>
            </w:r>
          </w:p>
        </w:tc>
        <w:tc>
          <w:tcPr>
            <w:tcW w:w="3285" w:type="pct"/>
            <w:vAlign w:val="center"/>
          </w:tcPr>
          <w:p w14:paraId="47481B0F">
            <w:pPr>
              <w:spacing w:line="290" w:lineRule="exact"/>
              <w:jc w:val="center"/>
              <w:rPr>
                <w:rFonts w:ascii="宋体" w:hAnsi="宋体" w:eastAsia="宋体" w:cs="Times New Roman"/>
                <w:sz w:val="28"/>
                <w:szCs w:val="28"/>
              </w:rPr>
            </w:pPr>
            <w:r>
              <w:rPr>
                <w:rFonts w:ascii="宋体" w:hAnsi="宋体" w:eastAsia="宋体" w:cs="Times New Roman"/>
                <w:sz w:val="28"/>
                <w:szCs w:val="28"/>
              </w:rPr>
              <w:t>公开招标</w:t>
            </w:r>
          </w:p>
        </w:tc>
      </w:tr>
      <w:tr w14:paraId="00AC05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737" w:hRule="atLeast"/>
          <w:tblCellSpacing w:w="0" w:type="dxa"/>
          <w:jc w:val="center"/>
        </w:trPr>
        <w:tc>
          <w:tcPr>
            <w:tcW w:w="1714" w:type="pct"/>
            <w:vAlign w:val="center"/>
          </w:tcPr>
          <w:p w14:paraId="644268CC">
            <w:pPr>
              <w:spacing w:line="290" w:lineRule="exact"/>
              <w:jc w:val="center"/>
              <w:rPr>
                <w:rFonts w:ascii="宋体" w:hAnsi="宋体" w:eastAsia="宋体" w:cs="Times New Roman"/>
                <w:sz w:val="28"/>
                <w:szCs w:val="28"/>
              </w:rPr>
            </w:pPr>
            <w:r>
              <w:rPr>
                <w:rFonts w:ascii="宋体" w:hAnsi="宋体" w:eastAsia="宋体" w:cs="Times New Roman"/>
                <w:sz w:val="28"/>
                <w:szCs w:val="28"/>
              </w:rPr>
              <w:t>货币类型：</w:t>
            </w:r>
          </w:p>
        </w:tc>
        <w:tc>
          <w:tcPr>
            <w:tcW w:w="3285" w:type="pct"/>
            <w:vAlign w:val="center"/>
          </w:tcPr>
          <w:p w14:paraId="3D8AE716">
            <w:pPr>
              <w:spacing w:line="290" w:lineRule="exact"/>
              <w:jc w:val="center"/>
              <w:rPr>
                <w:rFonts w:ascii="宋体" w:hAnsi="宋体" w:eastAsia="宋体" w:cs="Times New Roman"/>
                <w:sz w:val="28"/>
                <w:szCs w:val="28"/>
              </w:rPr>
            </w:pPr>
            <w:r>
              <w:rPr>
                <w:rFonts w:ascii="宋体" w:hAnsi="宋体" w:eastAsia="宋体" w:cs="Times New Roman"/>
                <w:sz w:val="28"/>
                <w:szCs w:val="28"/>
              </w:rPr>
              <w:t>人民币</w:t>
            </w:r>
          </w:p>
        </w:tc>
      </w:tr>
      <w:tr w14:paraId="26A04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737" w:hRule="atLeast"/>
          <w:tblCellSpacing w:w="0" w:type="dxa"/>
          <w:jc w:val="center"/>
        </w:trPr>
        <w:tc>
          <w:tcPr>
            <w:tcW w:w="1714" w:type="pct"/>
            <w:vAlign w:val="center"/>
          </w:tcPr>
          <w:p w14:paraId="04AC5492">
            <w:pPr>
              <w:spacing w:line="290" w:lineRule="exact"/>
              <w:jc w:val="center"/>
              <w:rPr>
                <w:rFonts w:ascii="宋体" w:hAnsi="宋体" w:eastAsia="宋体" w:cs="Times New Roman"/>
                <w:sz w:val="28"/>
                <w:szCs w:val="28"/>
              </w:rPr>
            </w:pPr>
            <w:r>
              <w:rPr>
                <w:rFonts w:ascii="宋体" w:hAnsi="宋体" w:eastAsia="宋体" w:cs="Times New Roman"/>
                <w:sz w:val="28"/>
                <w:szCs w:val="28"/>
              </w:rPr>
              <w:t>评标方法：</w:t>
            </w:r>
          </w:p>
        </w:tc>
        <w:tc>
          <w:tcPr>
            <w:tcW w:w="3285" w:type="pct"/>
            <w:vAlign w:val="center"/>
          </w:tcPr>
          <w:p w14:paraId="74B29076">
            <w:pPr>
              <w:spacing w:line="290" w:lineRule="exact"/>
              <w:jc w:val="center"/>
              <w:rPr>
                <w:rFonts w:ascii="宋体" w:hAnsi="宋体" w:eastAsia="宋体" w:cs="Times New Roman"/>
                <w:sz w:val="28"/>
                <w:szCs w:val="28"/>
              </w:rPr>
            </w:pPr>
            <w:r>
              <w:rPr>
                <w:rFonts w:ascii="宋体" w:hAnsi="宋体" w:eastAsia="宋体" w:cs="Times New Roman"/>
                <w:sz w:val="28"/>
                <w:szCs w:val="28"/>
              </w:rPr>
              <w:t>综合评分法</w:t>
            </w:r>
          </w:p>
        </w:tc>
      </w:tr>
    </w:tbl>
    <w:p w14:paraId="5281E4FB">
      <w:pPr>
        <w:tabs>
          <w:tab w:val="left" w:pos="2790"/>
        </w:tabs>
        <w:snapToGrid w:val="0"/>
        <w:spacing w:line="440" w:lineRule="exact"/>
        <w:jc w:val="left"/>
        <w:rPr>
          <w:rFonts w:hint="eastAsia" w:asciiTheme="minorEastAsia" w:hAnsiTheme="minorEastAsia"/>
          <w:sz w:val="30"/>
          <w:szCs w:val="30"/>
        </w:rPr>
      </w:pPr>
    </w:p>
    <w:p w14:paraId="4A95E035">
      <w:pPr>
        <w:tabs>
          <w:tab w:val="left" w:pos="2790"/>
        </w:tabs>
        <w:snapToGrid w:val="0"/>
        <w:jc w:val="center"/>
        <w:outlineLvl w:val="0"/>
        <w:rPr>
          <w:rFonts w:hint="eastAsia" w:ascii="黑体" w:hAnsi="黑体" w:eastAsia="黑体" w:cs="Times New Roman"/>
          <w:sz w:val="40"/>
          <w:szCs w:val="40"/>
        </w:rPr>
      </w:pPr>
      <w:r>
        <w:rPr>
          <w:rFonts w:hint="eastAsia" w:ascii="黑体" w:hAnsi="黑体" w:eastAsia="黑体" w:cs="Times New Roman"/>
          <w:sz w:val="40"/>
          <w:szCs w:val="40"/>
        </w:rPr>
        <w:t>资格性审查表</w:t>
      </w:r>
    </w:p>
    <w:tbl>
      <w:tblPr>
        <w:tblStyle w:val="17"/>
        <w:tblW w:w="946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669"/>
      </w:tblGrid>
      <w:tr w14:paraId="2FCF6B9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00F2E442">
            <w:pPr>
              <w:spacing w:line="290" w:lineRule="exact"/>
              <w:jc w:val="center"/>
              <w:rPr>
                <w:rFonts w:hint="eastAsia" w:ascii="宋体" w:hAnsi="宋体" w:eastAsia="宋体" w:cs="宋体"/>
                <w:szCs w:val="21"/>
              </w:rPr>
            </w:pPr>
            <w:r>
              <w:rPr>
                <w:rFonts w:ascii="宋体" w:hAnsi="宋体" w:eastAsia="宋体" w:cs="Times New Roman"/>
                <w:szCs w:val="21"/>
              </w:rPr>
              <w:t>序号</w:t>
            </w:r>
          </w:p>
        </w:tc>
        <w:tc>
          <w:tcPr>
            <w:tcW w:w="8669"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7B44A116">
            <w:pPr>
              <w:spacing w:line="290" w:lineRule="exact"/>
              <w:jc w:val="center"/>
              <w:rPr>
                <w:rFonts w:hint="eastAsia" w:ascii="宋体" w:hAnsi="宋体" w:eastAsia="宋体" w:cs="宋体"/>
                <w:szCs w:val="21"/>
              </w:rPr>
            </w:pPr>
            <w:r>
              <w:rPr>
                <w:rFonts w:ascii="宋体" w:hAnsi="宋体" w:eastAsia="宋体" w:cs="Times New Roman"/>
                <w:szCs w:val="21"/>
              </w:rPr>
              <w:t>内容</w:t>
            </w:r>
          </w:p>
        </w:tc>
      </w:tr>
      <w:tr w14:paraId="49BD17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3EE9A59B">
            <w:pPr>
              <w:spacing w:line="290" w:lineRule="exact"/>
              <w:jc w:val="center"/>
              <w:rPr>
                <w:rFonts w:hint="eastAsia" w:ascii="宋体" w:hAnsi="宋体" w:eastAsia="宋体" w:cs="宋体"/>
                <w:szCs w:val="21"/>
              </w:rPr>
            </w:pPr>
            <w:r>
              <w:rPr>
                <w:rFonts w:ascii="宋体" w:hAnsi="宋体" w:eastAsia="宋体" w:cs="Times New Roman"/>
                <w:szCs w:val="21"/>
              </w:rPr>
              <w:t>1</w:t>
            </w:r>
          </w:p>
        </w:tc>
        <w:tc>
          <w:tcPr>
            <w:tcW w:w="8669" w:type="dxa"/>
            <w:tcBorders>
              <w:top w:val="single" w:color="000000" w:sz="8" w:space="0"/>
              <w:left w:val="single" w:color="000000" w:sz="8" w:space="0"/>
              <w:bottom w:val="single" w:color="000000" w:sz="8" w:space="0"/>
              <w:right w:val="single" w:color="000000" w:sz="8" w:space="0"/>
            </w:tcBorders>
          </w:tcPr>
          <w:p w14:paraId="696FD1A2">
            <w:pPr>
              <w:spacing w:line="290" w:lineRule="exact"/>
              <w:rPr>
                <w:rFonts w:hint="eastAsia" w:ascii="宋体" w:hAnsi="宋体" w:eastAsia="宋体" w:cs="宋体"/>
                <w:szCs w:val="21"/>
              </w:rPr>
            </w:pPr>
            <w:r>
              <w:rPr>
                <w:rFonts w:ascii="宋体" w:hAnsi="宋体" w:cs="宋体"/>
                <w:kern w:val="0"/>
                <w:szCs w:val="21"/>
                <w:lang w:bidi="ar"/>
              </w:rPr>
              <w:t>投标人不</w:t>
            </w:r>
            <w:r>
              <w:rPr>
                <w:rFonts w:hint="eastAsia" w:ascii="宋体" w:hAnsi="宋体" w:cs="宋体"/>
                <w:kern w:val="0"/>
                <w:szCs w:val="21"/>
                <w:lang w:bidi="ar"/>
              </w:rPr>
              <w:t>符合</w:t>
            </w:r>
            <w:r>
              <w:rPr>
                <w:rFonts w:ascii="宋体" w:hAnsi="宋体" w:cs="宋体"/>
                <w:kern w:val="0"/>
                <w:szCs w:val="21"/>
                <w:lang w:bidi="ar"/>
              </w:rPr>
              <w:t>资格要求，或未提交相应的资格证明资料（详见招标公告</w:t>
            </w:r>
            <w:r>
              <w:rPr>
                <w:rFonts w:hint="eastAsia" w:ascii="宋体" w:hAnsi="宋体"/>
                <w:szCs w:val="21"/>
              </w:rPr>
              <w:t>投标人资格要求，即申请人的资格要求</w:t>
            </w:r>
            <w:r>
              <w:rPr>
                <w:rFonts w:ascii="宋体" w:hAnsi="宋体" w:cs="宋体"/>
                <w:kern w:val="0"/>
                <w:szCs w:val="21"/>
                <w:lang w:bidi="ar"/>
              </w:rPr>
              <w:t>）</w:t>
            </w:r>
          </w:p>
        </w:tc>
      </w:tr>
    </w:tbl>
    <w:p w14:paraId="06AE73D4">
      <w:pPr>
        <w:tabs>
          <w:tab w:val="left" w:pos="2790"/>
        </w:tabs>
        <w:snapToGrid w:val="0"/>
        <w:jc w:val="center"/>
        <w:rPr>
          <w:rFonts w:hint="eastAsia" w:ascii="黑体" w:hAnsi="黑体" w:eastAsia="黑体" w:cs="Times New Roman"/>
          <w:sz w:val="40"/>
          <w:szCs w:val="40"/>
        </w:rPr>
      </w:pPr>
    </w:p>
    <w:p w14:paraId="0EC34338">
      <w:pPr>
        <w:tabs>
          <w:tab w:val="left" w:pos="2790"/>
        </w:tabs>
        <w:snapToGrid w:val="0"/>
        <w:jc w:val="center"/>
        <w:outlineLvl w:val="0"/>
        <w:rPr>
          <w:rFonts w:hint="eastAsia" w:ascii="黑体" w:hAnsi="黑体" w:eastAsia="黑体" w:cs="Times New Roman"/>
          <w:sz w:val="40"/>
          <w:szCs w:val="40"/>
        </w:rPr>
      </w:pPr>
      <w:r>
        <w:rPr>
          <w:rFonts w:hint="eastAsia" w:ascii="黑体" w:hAnsi="黑体" w:eastAsia="黑体" w:cs="Times New Roman"/>
          <w:sz w:val="40"/>
          <w:szCs w:val="40"/>
        </w:rPr>
        <w:t>符合性审查表</w:t>
      </w:r>
    </w:p>
    <w:tbl>
      <w:tblPr>
        <w:tblStyle w:val="17"/>
        <w:tblW w:w="907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84"/>
      </w:tblGrid>
      <w:tr w14:paraId="30482D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61B44BD9">
            <w:pPr>
              <w:widowControl/>
              <w:jc w:val="center"/>
              <w:rPr>
                <w:sz w:val="28"/>
                <w:szCs w:val="28"/>
              </w:rPr>
            </w:pPr>
            <w:r>
              <w:rPr>
                <w:rFonts w:ascii="宋体" w:hAnsi="宋体" w:cs="宋体"/>
                <w:kern w:val="0"/>
                <w:sz w:val="28"/>
                <w:szCs w:val="28"/>
                <w:lang w:bidi="ar"/>
              </w:rPr>
              <w:t>序号</w:t>
            </w:r>
          </w:p>
        </w:tc>
        <w:tc>
          <w:tcPr>
            <w:tcW w:w="828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5FFDF432">
            <w:pPr>
              <w:widowControl/>
              <w:jc w:val="center"/>
              <w:rPr>
                <w:sz w:val="28"/>
                <w:szCs w:val="28"/>
              </w:rPr>
            </w:pPr>
            <w:r>
              <w:rPr>
                <w:rFonts w:ascii="宋体" w:hAnsi="宋体" w:cs="宋体"/>
                <w:kern w:val="0"/>
                <w:sz w:val="28"/>
                <w:szCs w:val="28"/>
                <w:lang w:bidi="ar"/>
              </w:rPr>
              <w:t>内容</w:t>
            </w:r>
          </w:p>
        </w:tc>
      </w:tr>
      <w:tr w14:paraId="6BA80A1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B4A75D">
            <w:pPr>
              <w:widowControl/>
              <w:jc w:val="center"/>
              <w:textAlignment w:val="top"/>
              <w:rPr>
                <w:szCs w:val="21"/>
              </w:rPr>
            </w:pPr>
            <w:r>
              <w:rPr>
                <w:rFonts w:ascii="宋体" w:hAnsi="宋体" w:cs="宋体"/>
                <w:kern w:val="0"/>
                <w:szCs w:val="21"/>
                <w:lang w:bidi="ar"/>
              </w:rPr>
              <w:t>1</w:t>
            </w:r>
          </w:p>
        </w:tc>
        <w:tc>
          <w:tcPr>
            <w:tcW w:w="8284" w:type="dxa"/>
            <w:tcBorders>
              <w:top w:val="single" w:color="000000" w:sz="8" w:space="0"/>
              <w:left w:val="single" w:color="000000" w:sz="8" w:space="0"/>
              <w:bottom w:val="single" w:color="000000" w:sz="8" w:space="0"/>
              <w:right w:val="single" w:color="000000" w:sz="8" w:space="0"/>
            </w:tcBorders>
            <w:shd w:val="clear" w:color="auto" w:fill="auto"/>
            <w:vAlign w:val="top"/>
          </w:tcPr>
          <w:p w14:paraId="3F98771F">
            <w:pPr>
              <w:rPr>
                <w:szCs w:val="21"/>
              </w:rPr>
            </w:pPr>
            <w:r>
              <w:rPr>
                <w:rFonts w:hint="eastAsia"/>
                <w:lang w:val="en-US" w:eastAsia="zh-CN"/>
              </w:rPr>
              <w:t>不得</w:t>
            </w:r>
            <w:r>
              <w:rPr>
                <w:rFonts w:hint="eastAsia"/>
              </w:rPr>
              <w:t>将一个包的内容拆开投标；</w:t>
            </w:r>
          </w:p>
        </w:tc>
      </w:tr>
      <w:tr w14:paraId="23CD312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81A90E">
            <w:pPr>
              <w:widowControl/>
              <w:jc w:val="center"/>
              <w:textAlignment w:val="top"/>
              <w:rPr>
                <w:rFonts w:ascii="宋体" w:hAnsi="宋体" w:cs="宋体"/>
                <w:kern w:val="0"/>
                <w:szCs w:val="21"/>
                <w:lang w:bidi="ar"/>
              </w:rPr>
            </w:pPr>
            <w:r>
              <w:rPr>
                <w:rFonts w:ascii="宋体" w:hAnsi="宋体" w:cs="宋体"/>
                <w:kern w:val="0"/>
                <w:szCs w:val="21"/>
                <w:lang w:bidi="ar"/>
              </w:rPr>
              <w:t>2</w:t>
            </w:r>
          </w:p>
        </w:tc>
        <w:tc>
          <w:tcPr>
            <w:tcW w:w="8284" w:type="dxa"/>
            <w:tcBorders>
              <w:top w:val="single" w:color="000000" w:sz="8" w:space="0"/>
              <w:left w:val="single" w:color="000000" w:sz="8" w:space="0"/>
              <w:bottom w:val="single" w:color="000000" w:sz="8" w:space="0"/>
              <w:right w:val="single" w:color="000000" w:sz="8" w:space="0"/>
            </w:tcBorders>
            <w:shd w:val="clear" w:color="auto" w:fill="auto"/>
            <w:vAlign w:val="top"/>
          </w:tcPr>
          <w:p w14:paraId="7F4E6EFC">
            <w:pPr>
              <w:rPr>
                <w:szCs w:val="21"/>
              </w:rPr>
            </w:pPr>
            <w:r>
              <w:rPr>
                <w:rFonts w:hint="eastAsia"/>
              </w:rPr>
              <w:t>对同一项目投标时，</w:t>
            </w:r>
            <w:r>
              <w:rPr>
                <w:rFonts w:hint="eastAsia"/>
                <w:lang w:val="en-US" w:eastAsia="zh-CN"/>
              </w:rPr>
              <w:t>不得</w:t>
            </w:r>
            <w:r>
              <w:rPr>
                <w:rFonts w:hint="eastAsia"/>
              </w:rPr>
              <w:t>提供两套以上的投标方案（招标文件另有规定的除外）；</w:t>
            </w:r>
          </w:p>
        </w:tc>
      </w:tr>
      <w:tr w14:paraId="1DAF93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455A05">
            <w:pPr>
              <w:widowControl/>
              <w:jc w:val="center"/>
              <w:textAlignment w:val="top"/>
              <w:rPr>
                <w:rFonts w:ascii="宋体" w:hAnsi="宋体" w:cs="宋体"/>
                <w:kern w:val="0"/>
                <w:szCs w:val="21"/>
                <w:lang w:bidi="ar"/>
              </w:rPr>
            </w:pPr>
            <w:r>
              <w:rPr>
                <w:rFonts w:ascii="宋体" w:hAnsi="宋体" w:cs="宋体"/>
                <w:kern w:val="0"/>
                <w:szCs w:val="21"/>
                <w:lang w:bidi="ar"/>
              </w:rPr>
              <w:t>3</w:t>
            </w:r>
          </w:p>
        </w:tc>
        <w:tc>
          <w:tcPr>
            <w:tcW w:w="8284" w:type="dxa"/>
            <w:tcBorders>
              <w:top w:val="single" w:color="000000" w:sz="8" w:space="0"/>
              <w:left w:val="single" w:color="000000" w:sz="8" w:space="0"/>
              <w:bottom w:val="single" w:color="000000" w:sz="8" w:space="0"/>
              <w:right w:val="single" w:color="000000" w:sz="8" w:space="0"/>
            </w:tcBorders>
            <w:shd w:val="clear" w:color="auto" w:fill="auto"/>
            <w:vAlign w:val="top"/>
          </w:tcPr>
          <w:p w14:paraId="153C7E31">
            <w:pPr>
              <w:rPr>
                <w:szCs w:val="21"/>
              </w:rPr>
            </w:pPr>
            <w:r>
              <w:rPr>
                <w:rFonts w:hint="eastAsia"/>
              </w:rPr>
              <w:t>分项报价或投标总价</w:t>
            </w:r>
            <w:r>
              <w:rPr>
                <w:rFonts w:hint="eastAsia"/>
                <w:lang w:val="en-US" w:eastAsia="zh-CN"/>
              </w:rPr>
              <w:t>不得</w:t>
            </w:r>
            <w:r>
              <w:rPr>
                <w:rFonts w:hint="eastAsia"/>
              </w:rPr>
              <w:t>高于相应预算金额（或设定的预算金额下的最高限价）；</w:t>
            </w:r>
          </w:p>
        </w:tc>
      </w:tr>
      <w:tr w14:paraId="04930CD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71C9375">
            <w:pPr>
              <w:widowControl/>
              <w:jc w:val="center"/>
              <w:textAlignment w:val="top"/>
              <w:rPr>
                <w:rFonts w:ascii="宋体" w:hAnsi="宋体" w:cs="宋体"/>
                <w:kern w:val="0"/>
                <w:szCs w:val="21"/>
                <w:lang w:bidi="ar"/>
              </w:rPr>
            </w:pPr>
            <w:r>
              <w:rPr>
                <w:rFonts w:ascii="宋体" w:hAnsi="宋体" w:cs="宋体"/>
                <w:kern w:val="0"/>
                <w:szCs w:val="21"/>
                <w:lang w:bidi="ar"/>
              </w:rPr>
              <w:t>4</w:t>
            </w:r>
          </w:p>
        </w:tc>
        <w:tc>
          <w:tcPr>
            <w:tcW w:w="8284" w:type="dxa"/>
            <w:tcBorders>
              <w:top w:val="single" w:color="000000" w:sz="8" w:space="0"/>
              <w:left w:val="single" w:color="000000" w:sz="8" w:space="0"/>
              <w:bottom w:val="single" w:color="000000" w:sz="8" w:space="0"/>
              <w:right w:val="single" w:color="000000" w:sz="8" w:space="0"/>
            </w:tcBorders>
            <w:shd w:val="clear" w:color="auto" w:fill="auto"/>
            <w:vAlign w:val="top"/>
          </w:tcPr>
          <w:p w14:paraId="5375F91A">
            <w:pPr>
              <w:rPr>
                <w:szCs w:val="21"/>
              </w:rPr>
            </w:pPr>
            <w:r>
              <w:rPr>
                <w:rFonts w:hint="eastAsia"/>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14:paraId="1405869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B51B34F">
            <w:pPr>
              <w:widowControl/>
              <w:jc w:val="center"/>
              <w:textAlignment w:val="top"/>
              <w:rPr>
                <w:rFonts w:ascii="宋体" w:hAnsi="宋体" w:cs="宋体"/>
                <w:kern w:val="0"/>
                <w:szCs w:val="21"/>
                <w:lang w:bidi="ar"/>
              </w:rPr>
            </w:pPr>
            <w:r>
              <w:rPr>
                <w:rFonts w:ascii="宋体" w:hAnsi="宋体" w:cs="宋体"/>
                <w:kern w:val="0"/>
                <w:szCs w:val="21"/>
                <w:lang w:bidi="ar"/>
              </w:rPr>
              <w:t>5</w:t>
            </w:r>
          </w:p>
        </w:tc>
        <w:tc>
          <w:tcPr>
            <w:tcW w:w="8284" w:type="dxa"/>
            <w:tcBorders>
              <w:top w:val="single" w:color="000000" w:sz="8" w:space="0"/>
              <w:left w:val="single" w:color="000000" w:sz="8" w:space="0"/>
              <w:bottom w:val="single" w:color="000000" w:sz="8" w:space="0"/>
              <w:right w:val="single" w:color="000000" w:sz="8" w:space="0"/>
            </w:tcBorders>
            <w:shd w:val="clear" w:color="auto" w:fill="auto"/>
            <w:vAlign w:val="top"/>
          </w:tcPr>
          <w:p w14:paraId="20EEFFF2">
            <w:pPr>
              <w:rPr>
                <w:szCs w:val="21"/>
              </w:rPr>
            </w:pPr>
            <w:r>
              <w:rPr>
                <w:rFonts w:hint="eastAsia"/>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r>
      <w:tr w14:paraId="2237C11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4F03D42">
            <w:pPr>
              <w:widowControl/>
              <w:jc w:val="center"/>
              <w:textAlignment w:val="top"/>
              <w:rPr>
                <w:rFonts w:ascii="宋体" w:hAnsi="宋体" w:cs="宋体"/>
                <w:kern w:val="0"/>
                <w:szCs w:val="21"/>
                <w:lang w:bidi="ar"/>
              </w:rPr>
            </w:pPr>
            <w:r>
              <w:rPr>
                <w:rFonts w:ascii="宋体" w:hAnsi="宋体" w:cs="宋体"/>
                <w:kern w:val="0"/>
                <w:szCs w:val="21"/>
                <w:lang w:bidi="ar"/>
              </w:rPr>
              <w:t>6</w:t>
            </w:r>
          </w:p>
        </w:tc>
        <w:tc>
          <w:tcPr>
            <w:tcW w:w="8284" w:type="dxa"/>
            <w:tcBorders>
              <w:top w:val="single" w:color="000000" w:sz="8" w:space="0"/>
              <w:left w:val="single" w:color="000000" w:sz="8" w:space="0"/>
              <w:bottom w:val="single" w:color="000000" w:sz="8" w:space="0"/>
              <w:right w:val="single" w:color="000000" w:sz="8" w:space="0"/>
            </w:tcBorders>
            <w:shd w:val="clear" w:color="auto" w:fill="auto"/>
            <w:vAlign w:val="top"/>
          </w:tcPr>
          <w:p w14:paraId="52352341">
            <w:pPr>
              <w:rPr>
                <w:szCs w:val="21"/>
              </w:rPr>
            </w:pPr>
            <w:r>
              <w:rPr>
                <w:rFonts w:hint="eastAsia"/>
              </w:rPr>
              <w:t>未按招标文件所提供的样式填写《投标函》；未按招标文件所提供的《政府采购投标及履约承诺函》进行承诺；未按招标文件对投标文件组成的要求提供投标文件；</w:t>
            </w:r>
          </w:p>
        </w:tc>
      </w:tr>
      <w:tr w14:paraId="1EC966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8A0F22C">
            <w:pPr>
              <w:widowControl/>
              <w:jc w:val="center"/>
              <w:textAlignment w:val="top"/>
              <w:rPr>
                <w:rFonts w:ascii="宋体" w:hAnsi="宋体" w:cs="宋体"/>
                <w:kern w:val="0"/>
                <w:szCs w:val="21"/>
                <w:lang w:bidi="ar"/>
              </w:rPr>
            </w:pPr>
            <w:r>
              <w:rPr>
                <w:rFonts w:hint="eastAsia" w:ascii="宋体" w:hAnsi="宋体" w:cs="宋体"/>
                <w:kern w:val="0"/>
                <w:szCs w:val="21"/>
                <w:lang w:bidi="ar"/>
              </w:rPr>
              <w:t>7</w:t>
            </w:r>
          </w:p>
        </w:tc>
        <w:tc>
          <w:tcPr>
            <w:tcW w:w="8284" w:type="dxa"/>
            <w:tcBorders>
              <w:top w:val="single" w:color="000000" w:sz="8" w:space="0"/>
              <w:left w:val="single" w:color="000000" w:sz="8" w:space="0"/>
              <w:bottom w:val="single" w:color="000000" w:sz="8" w:space="0"/>
              <w:right w:val="single" w:color="000000" w:sz="8" w:space="0"/>
            </w:tcBorders>
            <w:shd w:val="clear" w:color="auto" w:fill="auto"/>
            <w:vAlign w:val="top"/>
          </w:tcPr>
          <w:p w14:paraId="78238A95">
            <w:r>
              <w:rPr>
                <w:rFonts w:hint="eastAsia"/>
                <w:color w:val="auto"/>
                <w:lang w:val="en-US" w:eastAsia="zh-CN"/>
              </w:rPr>
              <w:t>采购标的/服务</w:t>
            </w:r>
            <w:r>
              <w:rPr>
                <w:rFonts w:hint="eastAsia" w:ascii="Times New Roman" w:eastAsia="宋体"/>
                <w:color w:val="auto"/>
                <w:lang w:val="en-US" w:eastAsia="zh-CN"/>
              </w:rPr>
              <w:t>清单</w:t>
            </w:r>
            <w:r>
              <w:rPr>
                <w:rFonts w:hint="eastAsia"/>
                <w:color w:val="auto"/>
                <w:lang w:val="en-US" w:eastAsia="zh-CN"/>
              </w:rPr>
              <w:t>/报价等任意一类</w:t>
            </w:r>
            <w:r>
              <w:rPr>
                <w:rFonts w:hint="eastAsia" w:ascii="Times New Roman" w:eastAsia="宋体"/>
                <w:color w:val="auto"/>
                <w:lang w:val="en-US" w:eastAsia="zh-CN"/>
              </w:rPr>
              <w:t>有缺漏项或响应不全</w:t>
            </w:r>
            <w:r>
              <w:rPr>
                <w:rFonts w:hint="eastAsia"/>
                <w:color w:val="auto"/>
                <w:lang w:val="en-US" w:eastAsia="zh-CN"/>
              </w:rPr>
              <w:t>，</w:t>
            </w:r>
            <w:r>
              <w:rPr>
                <w:rFonts w:hint="eastAsia"/>
              </w:rPr>
              <w:t>或者对招标文件规定的项目需求内容或者需求数量进行修改</w:t>
            </w:r>
            <w:r>
              <w:rPr>
                <w:rFonts w:hint="eastAsia"/>
                <w:szCs w:val="21"/>
              </w:rPr>
              <w:t>，评审委员会判定投标响应不满足采购需求</w:t>
            </w:r>
            <w:r>
              <w:rPr>
                <w:rFonts w:hint="eastAsia"/>
              </w:rPr>
              <w:t>；</w:t>
            </w:r>
          </w:p>
        </w:tc>
      </w:tr>
      <w:tr w14:paraId="787DCFD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283C4D9">
            <w:pPr>
              <w:widowControl/>
              <w:jc w:val="center"/>
              <w:textAlignment w:val="top"/>
              <w:rPr>
                <w:rFonts w:ascii="宋体" w:hAnsi="宋体" w:cs="宋体"/>
                <w:kern w:val="0"/>
                <w:szCs w:val="21"/>
                <w:lang w:bidi="ar"/>
              </w:rPr>
            </w:pPr>
            <w:r>
              <w:rPr>
                <w:rFonts w:ascii="宋体" w:hAnsi="宋体" w:cs="宋体"/>
                <w:kern w:val="0"/>
                <w:szCs w:val="21"/>
                <w:lang w:bidi="ar"/>
              </w:rPr>
              <w:t>8</w:t>
            </w:r>
          </w:p>
        </w:tc>
        <w:tc>
          <w:tcPr>
            <w:tcW w:w="8284" w:type="dxa"/>
            <w:tcBorders>
              <w:top w:val="single" w:color="000000" w:sz="8" w:space="0"/>
              <w:left w:val="single" w:color="000000" w:sz="8" w:space="0"/>
              <w:bottom w:val="single" w:color="000000" w:sz="8" w:space="0"/>
              <w:right w:val="single" w:color="000000" w:sz="8" w:space="0"/>
            </w:tcBorders>
            <w:shd w:val="clear" w:color="auto" w:fill="auto"/>
            <w:vAlign w:val="top"/>
          </w:tcPr>
          <w:p w14:paraId="0FC170CB">
            <w:pPr>
              <w:rPr>
                <w:szCs w:val="21"/>
              </w:rPr>
            </w:pPr>
            <w:r>
              <w:rPr>
                <w:rFonts w:hint="eastAsia"/>
              </w:rPr>
              <w:t>投标文件存在列放位置错误，导致属于信息公开情形的没有被公开；</w:t>
            </w:r>
          </w:p>
        </w:tc>
      </w:tr>
      <w:tr w14:paraId="1E83295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B6B40AF">
            <w:pPr>
              <w:widowControl/>
              <w:jc w:val="center"/>
              <w:textAlignment w:val="top"/>
              <w:rPr>
                <w:rFonts w:ascii="宋体" w:hAnsi="宋体" w:cs="宋体"/>
                <w:kern w:val="0"/>
                <w:szCs w:val="21"/>
                <w:lang w:bidi="ar"/>
              </w:rPr>
            </w:pPr>
            <w:r>
              <w:rPr>
                <w:rFonts w:ascii="宋体" w:hAnsi="宋体" w:cs="宋体"/>
                <w:kern w:val="0"/>
                <w:szCs w:val="21"/>
                <w:lang w:bidi="ar"/>
              </w:rPr>
              <w:t>9</w:t>
            </w:r>
          </w:p>
        </w:tc>
        <w:tc>
          <w:tcPr>
            <w:tcW w:w="8284" w:type="dxa"/>
            <w:tcBorders>
              <w:top w:val="single" w:color="000000" w:sz="8" w:space="0"/>
              <w:left w:val="single" w:color="000000" w:sz="8" w:space="0"/>
              <w:bottom w:val="single" w:color="000000" w:sz="8" w:space="0"/>
              <w:right w:val="single" w:color="000000" w:sz="8" w:space="0"/>
            </w:tcBorders>
            <w:shd w:val="clear" w:color="auto" w:fill="auto"/>
            <w:vAlign w:val="top"/>
          </w:tcPr>
          <w:p w14:paraId="32964588">
            <w:pPr>
              <w:rPr>
                <w:szCs w:val="21"/>
              </w:rPr>
            </w:pPr>
            <w:r>
              <w:rPr>
                <w:rFonts w:hint="eastAsia"/>
              </w:rPr>
              <w:t>投标文件电子文档</w:t>
            </w:r>
            <w:r>
              <w:rPr>
                <w:rFonts w:hint="eastAsia"/>
                <w:lang w:val="en-US" w:eastAsia="zh-CN"/>
              </w:rPr>
              <w:t>不得</w:t>
            </w:r>
            <w:r>
              <w:rPr>
                <w:rFonts w:hint="eastAsia"/>
              </w:rPr>
              <w:t>带病毒；</w:t>
            </w:r>
          </w:p>
        </w:tc>
      </w:tr>
      <w:tr w14:paraId="76BFA6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606359E">
            <w:pPr>
              <w:widowControl/>
              <w:jc w:val="center"/>
              <w:textAlignment w:val="top"/>
              <w:rPr>
                <w:rFonts w:ascii="宋体" w:hAnsi="宋体" w:cs="宋体"/>
                <w:kern w:val="0"/>
                <w:szCs w:val="21"/>
                <w:lang w:bidi="ar"/>
              </w:rPr>
            </w:pPr>
            <w:r>
              <w:rPr>
                <w:rFonts w:ascii="宋体" w:hAnsi="宋体" w:cs="宋体"/>
                <w:kern w:val="0"/>
                <w:szCs w:val="21"/>
                <w:lang w:bidi="ar"/>
              </w:rPr>
              <w:t>10</w:t>
            </w:r>
          </w:p>
        </w:tc>
        <w:tc>
          <w:tcPr>
            <w:tcW w:w="8284" w:type="dxa"/>
            <w:tcBorders>
              <w:top w:val="single" w:color="000000" w:sz="8" w:space="0"/>
              <w:left w:val="single" w:color="000000" w:sz="8" w:space="0"/>
              <w:bottom w:val="single" w:color="000000" w:sz="8" w:space="0"/>
              <w:right w:val="single" w:color="000000" w:sz="8" w:space="0"/>
            </w:tcBorders>
            <w:shd w:val="clear" w:color="auto" w:fill="auto"/>
            <w:vAlign w:val="top"/>
          </w:tcPr>
          <w:p w14:paraId="553F41E4">
            <w:pPr>
              <w:rPr>
                <w:szCs w:val="21"/>
              </w:rPr>
            </w:pPr>
            <w:r>
              <w:rPr>
                <w:rFonts w:hint="eastAsia"/>
              </w:rPr>
              <w:t>投标文件用不属于本公司的电子密钥或电子营业执照进行加密的；</w:t>
            </w:r>
          </w:p>
        </w:tc>
      </w:tr>
      <w:tr w14:paraId="5895722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80" w:hRule="atLeast"/>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B15357C">
            <w:pPr>
              <w:widowControl/>
              <w:jc w:val="center"/>
              <w:textAlignment w:val="top"/>
              <w:rPr>
                <w:rFonts w:ascii="宋体" w:hAnsi="宋体" w:cs="宋体"/>
                <w:kern w:val="0"/>
                <w:szCs w:val="21"/>
                <w:lang w:bidi="ar"/>
              </w:rPr>
            </w:pPr>
            <w:r>
              <w:rPr>
                <w:rFonts w:hint="eastAsia" w:ascii="宋体" w:hAnsi="宋体" w:cs="宋体"/>
                <w:kern w:val="0"/>
                <w:szCs w:val="21"/>
                <w:lang w:bidi="ar"/>
              </w:rPr>
              <w:t>11</w:t>
            </w:r>
          </w:p>
        </w:tc>
        <w:tc>
          <w:tcPr>
            <w:tcW w:w="8284" w:type="dxa"/>
            <w:tcBorders>
              <w:top w:val="single" w:color="000000" w:sz="8" w:space="0"/>
              <w:left w:val="single" w:color="000000" w:sz="8" w:space="0"/>
              <w:bottom w:val="single" w:color="000000" w:sz="8" w:space="0"/>
              <w:right w:val="single" w:color="000000" w:sz="8" w:space="0"/>
            </w:tcBorders>
            <w:shd w:val="clear" w:color="auto" w:fill="auto"/>
            <w:vAlign w:val="top"/>
          </w:tcPr>
          <w:p w14:paraId="2BBFF49D">
            <w:pPr>
              <w:widowControl/>
              <w:jc w:val="left"/>
              <w:textAlignment w:val="top"/>
              <w:rPr>
                <w:rFonts w:eastAsia="宋体"/>
                <w:szCs w:val="24"/>
              </w:rPr>
            </w:pPr>
            <w:r>
              <w:rPr>
                <w:rFonts w:hint="eastAsia" w:ascii="Times New Roman" w:hAnsi="Times New Roman" w:eastAsia="宋体" w:cs="Times New Roman"/>
                <w:sz w:val="21"/>
                <w:szCs w:val="24"/>
              </w:rPr>
              <w:t>不同投标供应商投标文件“文件制作机器码”一致</w:t>
            </w:r>
            <w:r>
              <w:rPr>
                <w:rFonts w:hint="eastAsia" w:ascii="Times New Roman" w:hAnsi="Times New Roman" w:eastAsia="宋体" w:cs="Times New Roman"/>
                <w:sz w:val="21"/>
                <w:szCs w:val="24"/>
                <w:lang w:eastAsia="zh-CN"/>
              </w:rPr>
              <w:t>；</w:t>
            </w:r>
          </w:p>
        </w:tc>
      </w:tr>
      <w:tr w14:paraId="7168747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5F3563B">
            <w:pPr>
              <w:widowControl/>
              <w:jc w:val="center"/>
              <w:textAlignment w:val="top"/>
              <w:rPr>
                <w:rFonts w:ascii="宋体" w:hAnsi="宋体" w:cs="宋体"/>
                <w:kern w:val="0"/>
                <w:szCs w:val="21"/>
                <w:lang w:bidi="ar"/>
              </w:rPr>
            </w:pPr>
            <w:r>
              <w:rPr>
                <w:rFonts w:hint="eastAsia" w:ascii="宋体" w:hAnsi="宋体" w:cs="宋体"/>
                <w:kern w:val="0"/>
                <w:szCs w:val="21"/>
                <w:lang w:bidi="ar"/>
              </w:rPr>
              <w:t>12</w:t>
            </w:r>
          </w:p>
        </w:tc>
        <w:tc>
          <w:tcPr>
            <w:tcW w:w="8284" w:type="dxa"/>
            <w:tcBorders>
              <w:top w:val="single" w:color="000000" w:sz="8" w:space="0"/>
              <w:left w:val="single" w:color="000000" w:sz="8" w:space="0"/>
              <w:bottom w:val="single" w:color="000000" w:sz="8" w:space="0"/>
              <w:right w:val="single" w:color="000000" w:sz="8" w:space="0"/>
            </w:tcBorders>
            <w:shd w:val="clear" w:color="auto" w:fill="auto"/>
            <w:vAlign w:val="top"/>
          </w:tcPr>
          <w:p w14:paraId="5AC1D3F7">
            <w:pPr>
              <w:widowControl/>
              <w:jc w:val="left"/>
              <w:textAlignment w:val="top"/>
              <w:rPr>
                <w:rFonts w:eastAsia="宋体"/>
                <w:szCs w:val="24"/>
              </w:rPr>
            </w:pPr>
            <w:r>
              <w:rPr>
                <w:rFonts w:hint="eastAsia" w:ascii="Times New Roman" w:hAnsi="Times New Roman" w:eastAsia="宋体" w:cs="Times New Roman"/>
                <w:sz w:val="21"/>
                <w:szCs w:val="24"/>
              </w:rPr>
              <w:t>不同投标供应商投标文件“文件创建标识码”一致</w:t>
            </w:r>
            <w:r>
              <w:rPr>
                <w:rFonts w:hint="eastAsia" w:ascii="Times New Roman" w:hAnsi="Times New Roman" w:eastAsia="宋体" w:cs="Times New Roman"/>
                <w:sz w:val="21"/>
                <w:szCs w:val="24"/>
                <w:lang w:eastAsia="zh-CN"/>
              </w:rPr>
              <w:t>；</w:t>
            </w:r>
          </w:p>
        </w:tc>
      </w:tr>
      <w:tr w14:paraId="7006053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94E0DE7">
            <w:pPr>
              <w:widowControl/>
              <w:jc w:val="center"/>
              <w:textAlignment w:val="top"/>
              <w:rPr>
                <w:rFonts w:ascii="宋体" w:hAnsi="宋体" w:cs="宋体"/>
                <w:kern w:val="0"/>
                <w:szCs w:val="21"/>
                <w:lang w:bidi="ar"/>
              </w:rPr>
            </w:pPr>
            <w:r>
              <w:rPr>
                <w:rFonts w:hint="eastAsia" w:ascii="宋体" w:hAnsi="宋体" w:cs="宋体"/>
                <w:kern w:val="0"/>
                <w:szCs w:val="21"/>
                <w:lang w:bidi="ar"/>
              </w:rPr>
              <w:t>13</w:t>
            </w:r>
          </w:p>
        </w:tc>
        <w:tc>
          <w:tcPr>
            <w:tcW w:w="8284" w:type="dxa"/>
            <w:tcBorders>
              <w:top w:val="single" w:color="000000" w:sz="8" w:space="0"/>
              <w:left w:val="single" w:color="000000" w:sz="8" w:space="0"/>
              <w:bottom w:val="single" w:color="000000" w:sz="8" w:space="0"/>
              <w:right w:val="single" w:color="000000" w:sz="8" w:space="0"/>
            </w:tcBorders>
            <w:shd w:val="clear" w:color="auto" w:fill="auto"/>
            <w:vAlign w:val="top"/>
          </w:tcPr>
          <w:p w14:paraId="04C2C6DF">
            <w:pPr>
              <w:rPr>
                <w:szCs w:val="21"/>
              </w:rPr>
            </w:pPr>
            <w:r>
              <w:rPr>
                <w:rFonts w:hint="eastAsia"/>
              </w:rPr>
              <w:t>法律、法规、规章、规范性文件规定的其他情形。</w:t>
            </w:r>
          </w:p>
        </w:tc>
      </w:tr>
    </w:tbl>
    <w:p w14:paraId="2E90E4D5">
      <w:pPr>
        <w:tabs>
          <w:tab w:val="left" w:pos="2790"/>
        </w:tabs>
        <w:snapToGrid w:val="0"/>
        <w:jc w:val="left"/>
        <w:rPr>
          <w:sz w:val="24"/>
          <w:szCs w:val="24"/>
        </w:rPr>
      </w:pPr>
    </w:p>
    <w:p w14:paraId="622DC589">
      <w:pPr>
        <w:tabs>
          <w:tab w:val="left" w:pos="2790"/>
        </w:tabs>
        <w:snapToGrid w:val="0"/>
        <w:jc w:val="left"/>
        <w:rPr>
          <w:sz w:val="24"/>
          <w:szCs w:val="24"/>
        </w:rPr>
      </w:pPr>
    </w:p>
    <w:p w14:paraId="3D614797">
      <w:pPr>
        <w:tabs>
          <w:tab w:val="left" w:pos="2790"/>
        </w:tabs>
        <w:snapToGrid w:val="0"/>
        <w:jc w:val="left"/>
        <w:rPr>
          <w:sz w:val="24"/>
          <w:szCs w:val="24"/>
        </w:rPr>
      </w:pPr>
    </w:p>
    <w:p w14:paraId="006D5252">
      <w:pPr>
        <w:tabs>
          <w:tab w:val="left" w:pos="2790"/>
        </w:tabs>
        <w:snapToGrid w:val="0"/>
        <w:jc w:val="left"/>
        <w:rPr>
          <w:sz w:val="24"/>
          <w:szCs w:val="24"/>
        </w:rPr>
      </w:pPr>
    </w:p>
    <w:p w14:paraId="2ECB6B19">
      <w:pPr>
        <w:pStyle w:val="14"/>
        <w:jc w:val="center"/>
        <w:outlineLvl w:val="0"/>
        <w:rPr>
          <w:rFonts w:hint="eastAsia" w:ascii="黑体" w:eastAsia="黑体"/>
          <w:sz w:val="40"/>
          <w:szCs w:val="40"/>
        </w:rPr>
      </w:pPr>
      <w:r>
        <w:rPr>
          <w:rFonts w:hint="eastAsia" w:ascii="黑体" w:hAnsi="黑体" w:eastAsia="黑体"/>
          <w:sz w:val="40"/>
          <w:szCs w:val="40"/>
        </w:rPr>
        <w:t>评标信息</w:t>
      </w:r>
    </w:p>
    <w:tbl>
      <w:tblPr>
        <w:tblStyle w:val="17"/>
        <w:tblW w:w="9141" w:type="dxa"/>
        <w:jc w:val="center"/>
        <w:tblCellSpacing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45" w:type="dxa"/>
          <w:left w:w="45" w:type="dxa"/>
          <w:bottom w:w="45" w:type="dxa"/>
          <w:right w:w="45" w:type="dxa"/>
        </w:tblCellMar>
      </w:tblPr>
      <w:tblGrid>
        <w:gridCol w:w="9141"/>
      </w:tblGrid>
      <w:tr w14:paraId="7B4A5941">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45" w:type="dxa"/>
            <w:left w:w="45" w:type="dxa"/>
            <w:bottom w:w="45" w:type="dxa"/>
            <w:right w:w="45" w:type="dxa"/>
          </w:tblCellMar>
        </w:tblPrEx>
        <w:trPr>
          <w:tblCellSpacing w:w="0" w:type="dxa"/>
          <w:jc w:val="center"/>
        </w:trPr>
        <w:tc>
          <w:tcPr>
            <w:tcW w:w="9078" w:type="dxa"/>
            <w:shd w:val="clear" w:color="auto" w:fill="auto"/>
            <w:vAlign w:val="center"/>
          </w:tcPr>
          <w:p w14:paraId="3584B28F">
            <w:pPr>
              <w:jc w:val="left"/>
              <w:rPr>
                <w:rFonts w:ascii="宋体"/>
                <w:b/>
                <w:bCs/>
                <w:sz w:val="24"/>
              </w:rPr>
            </w:pPr>
            <w:r>
              <w:rPr>
                <w:b/>
                <w:bCs/>
              </w:rPr>
              <w:t>评标方法：综合评分法</w:t>
            </w:r>
          </w:p>
        </w:tc>
      </w:tr>
      <w:tr w14:paraId="28753073">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45" w:type="dxa"/>
            <w:left w:w="45" w:type="dxa"/>
            <w:bottom w:w="45" w:type="dxa"/>
            <w:right w:w="45" w:type="dxa"/>
          </w:tblCellMar>
        </w:tblPrEx>
        <w:trPr>
          <w:tblCellSpacing w:w="0" w:type="dxa"/>
          <w:jc w:val="center"/>
        </w:trPr>
        <w:tc>
          <w:tcPr>
            <w:tcW w:w="9078" w:type="dxa"/>
            <w:shd w:val="clear" w:color="auto" w:fill="auto"/>
            <w:vAlign w:val="center"/>
          </w:tcPr>
          <w:p w14:paraId="3A6738CC">
            <w:pPr>
              <w:ind w:firstLine="420"/>
              <w:rPr>
                <w:rFonts w:eastAsia="宋体"/>
                <w:szCs w:val="21"/>
              </w:rPr>
            </w:pPr>
            <w:r>
              <w:rPr>
                <w:szCs w:val="21"/>
              </w:rPr>
              <w:t>综合评分法，</w:t>
            </w:r>
            <w:r>
              <w:rPr>
                <w:rFonts w:hint="eastAsia"/>
                <w:szCs w:val="21"/>
              </w:rPr>
              <w:t>是指投标文件满足招标文件全部实质性要求，且按照评审因素的量化指标评审得分排名前列</w:t>
            </w:r>
            <w:r>
              <w:rPr>
                <w:szCs w:val="21"/>
              </w:rPr>
              <w:t>的投标人为中标候选人的评标方法。</w:t>
            </w:r>
          </w:p>
          <w:p w14:paraId="614EE6C9">
            <w:pPr>
              <w:ind w:firstLine="420"/>
            </w:pPr>
          </w:p>
          <w:p w14:paraId="289D8C7D">
            <w:pPr>
              <w:ind w:firstLine="420"/>
              <w:rPr>
                <w:szCs w:val="21"/>
              </w:rPr>
            </w:pPr>
            <w:r>
              <w:rPr>
                <w:szCs w:val="21"/>
              </w:rPr>
              <w:t>价格分计算方法：</w:t>
            </w:r>
          </w:p>
          <w:p w14:paraId="499694BF">
            <w:pPr>
              <w:pStyle w:val="14"/>
              <w:spacing w:beforeAutospacing="0" w:afterAutospacing="0"/>
              <w:ind w:left="420"/>
              <w:rPr>
                <w:rFonts w:hint="eastAsia"/>
                <w:sz w:val="21"/>
                <w:szCs w:val="21"/>
              </w:rPr>
            </w:pPr>
            <w:r>
              <w:rPr>
                <w:sz w:val="21"/>
                <w:szCs w:val="21"/>
              </w:rPr>
              <w:t xml:space="preserve">采用低价优先法计算，即满足招标文件要求且投标价格最低的投标报价为评标基准价，其价格分为满分。其他投标人的价格分统一按照下列公式计算： </w:t>
            </w:r>
            <w:r>
              <w:rPr>
                <w:sz w:val="21"/>
                <w:szCs w:val="21"/>
              </w:rPr>
              <w:br w:type="textWrapping"/>
            </w:r>
            <w:r>
              <w:rPr>
                <w:sz w:val="21"/>
                <w:szCs w:val="21"/>
              </w:rPr>
              <w:t xml:space="preserve">投标报价得分=(评标基准价／投标报价)×100 </w:t>
            </w:r>
            <w:r>
              <w:rPr>
                <w:sz w:val="21"/>
                <w:szCs w:val="21"/>
              </w:rPr>
              <w:br w:type="textWrapping"/>
            </w:r>
            <w:r>
              <w:rPr>
                <w:sz w:val="21"/>
                <w:szCs w:val="21"/>
              </w:rPr>
              <w:t xml:space="preserve">评标总得分＝F1×A1＋F2×A2＋……＋Fn×An </w:t>
            </w:r>
            <w:r>
              <w:rPr>
                <w:sz w:val="21"/>
                <w:szCs w:val="21"/>
              </w:rPr>
              <w:br w:type="textWrapping"/>
            </w:r>
            <w:r>
              <w:rPr>
                <w:sz w:val="21"/>
                <w:szCs w:val="21"/>
              </w:rPr>
              <w:t xml:space="preserve">F1、F2……Fn分别为各项评审因素的得分； </w:t>
            </w:r>
            <w:r>
              <w:rPr>
                <w:sz w:val="21"/>
                <w:szCs w:val="21"/>
              </w:rPr>
              <w:br w:type="textWrapping"/>
            </w:r>
            <w:r>
              <w:rPr>
                <w:sz w:val="21"/>
                <w:szCs w:val="21"/>
              </w:rPr>
              <w:t xml:space="preserve">A1、A2、……An 分别为各项评审因素所占的权重(A1＋A2＋……＋An＝1)。 </w:t>
            </w:r>
            <w:r>
              <w:rPr>
                <w:sz w:val="21"/>
                <w:szCs w:val="21"/>
              </w:rPr>
              <w:br w:type="textWrapping"/>
            </w:r>
            <w:r>
              <w:rPr>
                <w:sz w:val="21"/>
                <w:szCs w:val="21"/>
              </w:rPr>
              <w:t>评标过程中，不得去掉报价中的最高报价和最低报价。</w:t>
            </w:r>
          </w:p>
          <w:p w14:paraId="3838CFCB">
            <w:pPr>
              <w:pStyle w:val="14"/>
              <w:spacing w:beforeAutospacing="0" w:afterAutospacing="0"/>
              <w:ind w:left="420"/>
              <w:rPr>
                <w:rFonts w:hint="eastAsia"/>
              </w:rPr>
            </w:pPr>
            <w:r>
              <w:rPr>
                <w:rFonts w:hint="eastAsia"/>
                <w:sz w:val="21"/>
                <w:szCs w:val="21"/>
              </w:rPr>
              <w:t>因落实政府采购政策进行价格调整的，以调整后的价格计算评标基准价和投标报价。</w:t>
            </w:r>
          </w:p>
        </w:tc>
      </w:tr>
    </w:tbl>
    <w:p w14:paraId="676CEF8B"/>
    <w:tbl>
      <w:tblPr>
        <w:tblStyle w:val="17"/>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Layout w:type="autofit"/>
        <w:tblCellMar>
          <w:top w:w="20" w:type="dxa"/>
          <w:left w:w="108" w:type="dxa"/>
          <w:bottom w:w="20" w:type="dxa"/>
          <w:right w:w="108" w:type="dxa"/>
        </w:tblCellMar>
      </w:tblPr>
      <w:tblGrid>
        <w:gridCol w:w="607"/>
        <w:gridCol w:w="652"/>
        <w:gridCol w:w="1473"/>
        <w:gridCol w:w="979"/>
        <w:gridCol w:w="5361"/>
      </w:tblGrid>
      <w:tr w14:paraId="72CEF7A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07"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1F3ACD7">
            <w:pPr>
              <w:snapToGrid w:val="0"/>
              <w:jc w:val="center"/>
              <w:rPr>
                <w:rFonts w:hint="eastAsia" w:ascii="宋体" w:hAnsi="宋体" w:eastAsia="宋体" w:cs="宋体"/>
                <w:b/>
                <w:bCs/>
                <w:szCs w:val="21"/>
                <w:highlight w:val="none"/>
              </w:rPr>
            </w:pPr>
            <w:r>
              <w:rPr>
                <w:rFonts w:hint="eastAsia" w:ascii="宋体" w:hAnsi="宋体" w:eastAsia="宋体" w:cs="宋体"/>
                <w:b/>
                <w:bCs/>
                <w:szCs w:val="21"/>
                <w:highlight w:val="none"/>
              </w:rPr>
              <w:t>序号</w:t>
            </w:r>
          </w:p>
        </w:tc>
        <w:tc>
          <w:tcPr>
            <w:tcW w:w="3104" w:type="dxa"/>
            <w:gridSpan w:val="3"/>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2AB96957">
            <w:pPr>
              <w:snapToGrid w:val="0"/>
              <w:jc w:val="center"/>
              <w:rPr>
                <w:rFonts w:hint="eastAsia" w:ascii="宋体" w:hAnsi="宋体" w:eastAsia="宋体" w:cs="宋体"/>
                <w:b/>
                <w:bCs/>
                <w:szCs w:val="21"/>
                <w:highlight w:val="none"/>
              </w:rPr>
            </w:pPr>
            <w:r>
              <w:rPr>
                <w:rFonts w:hint="eastAsia" w:ascii="宋体" w:hAnsi="宋体" w:eastAsia="宋体" w:cs="宋体"/>
                <w:b/>
                <w:bCs/>
                <w:szCs w:val="21"/>
                <w:highlight w:val="none"/>
              </w:rPr>
              <w:t>评分项</w:t>
            </w:r>
          </w:p>
        </w:tc>
        <w:tc>
          <w:tcPr>
            <w:tcW w:w="5361"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63B4905C">
            <w:pPr>
              <w:snapToGrid w:val="0"/>
              <w:jc w:val="center"/>
              <w:rPr>
                <w:rFonts w:hint="eastAsia" w:ascii="宋体" w:hAnsi="宋体" w:eastAsia="宋体" w:cs="宋体"/>
                <w:b/>
                <w:bCs/>
                <w:szCs w:val="21"/>
                <w:highlight w:val="none"/>
              </w:rPr>
            </w:pPr>
            <w:r>
              <w:rPr>
                <w:rFonts w:hint="eastAsia" w:ascii="宋体" w:hAnsi="宋体" w:eastAsia="宋体" w:cs="宋体"/>
                <w:b/>
                <w:bCs/>
                <w:szCs w:val="21"/>
                <w:highlight w:val="none"/>
              </w:rPr>
              <w:t>权重（%）</w:t>
            </w:r>
          </w:p>
        </w:tc>
      </w:tr>
      <w:tr w14:paraId="68073D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07" w:type="dxa"/>
            <w:tcBorders>
              <w:top w:val="single" w:color="000000" w:sz="8" w:space="0"/>
              <w:left w:val="single" w:color="000000" w:sz="8" w:space="0"/>
              <w:bottom w:val="single" w:color="000000" w:sz="8" w:space="0"/>
              <w:right w:val="single" w:color="000000" w:sz="8" w:space="0"/>
            </w:tcBorders>
            <w:shd w:val="clear" w:color="auto" w:fill="FFFFFF" w:themeFill="background1"/>
          </w:tcPr>
          <w:p w14:paraId="78A50D6F">
            <w:pPr>
              <w:snapToGrid w:val="0"/>
              <w:jc w:val="center"/>
              <w:rPr>
                <w:rFonts w:hint="eastAsia" w:ascii="宋体" w:hAnsi="宋体" w:eastAsia="宋体" w:cs="宋体"/>
                <w:b/>
                <w:bCs/>
                <w:szCs w:val="21"/>
                <w:highlight w:val="none"/>
              </w:rPr>
            </w:pPr>
            <w:r>
              <w:rPr>
                <w:rFonts w:hint="eastAsia" w:ascii="宋体" w:hAnsi="宋体" w:eastAsia="宋体" w:cs="宋体"/>
                <w:b/>
                <w:bCs/>
                <w:szCs w:val="21"/>
                <w:highlight w:val="none"/>
              </w:rPr>
              <w:t>1</w:t>
            </w:r>
          </w:p>
        </w:tc>
        <w:tc>
          <w:tcPr>
            <w:tcW w:w="3104" w:type="dxa"/>
            <w:gridSpan w:val="3"/>
            <w:tcBorders>
              <w:top w:val="single" w:color="000000" w:sz="8" w:space="0"/>
              <w:left w:val="single" w:color="000000" w:sz="8" w:space="0"/>
              <w:bottom w:val="single" w:color="000000" w:sz="8" w:space="0"/>
              <w:right w:val="single" w:color="000000" w:sz="8" w:space="0"/>
            </w:tcBorders>
            <w:shd w:val="clear" w:color="auto" w:fill="FFFFFF" w:themeFill="background1"/>
          </w:tcPr>
          <w:p w14:paraId="1C0C6AA4">
            <w:pPr>
              <w:snapToGrid w:val="0"/>
              <w:jc w:val="center"/>
              <w:rPr>
                <w:rFonts w:hint="eastAsia" w:ascii="宋体" w:hAnsi="宋体" w:eastAsia="宋体" w:cs="宋体"/>
                <w:b/>
                <w:bCs/>
                <w:szCs w:val="21"/>
                <w:highlight w:val="none"/>
              </w:rPr>
            </w:pPr>
            <w:r>
              <w:rPr>
                <w:rFonts w:hint="eastAsia" w:ascii="宋体" w:hAnsi="宋体" w:eastAsia="宋体" w:cs="宋体"/>
                <w:b/>
                <w:bCs/>
                <w:szCs w:val="21"/>
                <w:highlight w:val="none"/>
              </w:rPr>
              <w:t>价格</w:t>
            </w:r>
          </w:p>
        </w:tc>
        <w:tc>
          <w:tcPr>
            <w:tcW w:w="5361" w:type="dxa"/>
            <w:tcBorders>
              <w:top w:val="single" w:color="000000" w:sz="8" w:space="0"/>
              <w:left w:val="single" w:color="000000" w:sz="8" w:space="0"/>
              <w:bottom w:val="single" w:color="000000" w:sz="8" w:space="0"/>
              <w:right w:val="single" w:color="000000" w:sz="8" w:space="0"/>
            </w:tcBorders>
            <w:shd w:val="clear" w:color="auto" w:fill="FFFFFF" w:themeFill="background1"/>
          </w:tcPr>
          <w:p w14:paraId="7AD997A2">
            <w:pPr>
              <w:snapToGrid w:val="0"/>
              <w:jc w:val="center"/>
              <w:rPr>
                <w:rFonts w:hint="eastAsia" w:ascii="宋体" w:hAnsi="宋体" w:eastAsia="宋体" w:cs="宋体"/>
                <w:b/>
                <w:bCs/>
                <w:szCs w:val="21"/>
                <w:highlight w:val="none"/>
              </w:rPr>
            </w:pPr>
            <w:r>
              <w:rPr>
                <w:rFonts w:hint="eastAsia" w:ascii="宋体" w:hAnsi="宋体" w:eastAsia="宋体" w:cs="宋体"/>
                <w:b/>
                <w:bCs/>
                <w:szCs w:val="21"/>
                <w:highlight w:val="none"/>
              </w:rPr>
              <w:t>30</w:t>
            </w:r>
          </w:p>
        </w:tc>
      </w:tr>
      <w:tr w14:paraId="4B3192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07" w:type="dxa"/>
            <w:vMerge w:val="restart"/>
            <w:tcBorders>
              <w:top w:val="single" w:color="000000" w:sz="8" w:space="0"/>
              <w:left w:val="single" w:color="000000" w:sz="8" w:space="0"/>
              <w:bottom w:val="single" w:color="000000" w:sz="8" w:space="0"/>
              <w:right w:val="single" w:color="000000" w:sz="8" w:space="0"/>
            </w:tcBorders>
            <w:shd w:val="clear" w:color="auto" w:fill="FFFFFF" w:themeFill="background1"/>
          </w:tcPr>
          <w:p w14:paraId="155AB652">
            <w:pPr>
              <w:snapToGrid w:val="0"/>
              <w:jc w:val="center"/>
              <w:rPr>
                <w:rFonts w:hint="eastAsia" w:ascii="宋体" w:hAnsi="宋体" w:eastAsia="宋体" w:cs="宋体"/>
                <w:b/>
                <w:bCs/>
                <w:szCs w:val="21"/>
                <w:highlight w:val="none"/>
              </w:rPr>
            </w:pPr>
            <w:r>
              <w:rPr>
                <w:rFonts w:hint="eastAsia" w:ascii="宋体" w:hAnsi="宋体" w:eastAsia="宋体" w:cs="宋体"/>
                <w:b/>
                <w:bCs/>
                <w:szCs w:val="21"/>
                <w:highlight w:val="none"/>
              </w:rPr>
              <w:t>2</w:t>
            </w:r>
          </w:p>
        </w:tc>
        <w:tc>
          <w:tcPr>
            <w:tcW w:w="3104" w:type="dxa"/>
            <w:gridSpan w:val="3"/>
            <w:tcBorders>
              <w:top w:val="single" w:color="000000" w:sz="8" w:space="0"/>
              <w:left w:val="single" w:color="000000" w:sz="8" w:space="0"/>
              <w:bottom w:val="single" w:color="000000" w:sz="8" w:space="0"/>
              <w:right w:val="single" w:color="000000" w:sz="8" w:space="0"/>
            </w:tcBorders>
            <w:shd w:val="clear" w:color="auto" w:fill="FFFFFF" w:themeFill="background1"/>
          </w:tcPr>
          <w:p w14:paraId="2875832D">
            <w:pPr>
              <w:snapToGrid w:val="0"/>
              <w:jc w:val="center"/>
              <w:rPr>
                <w:rFonts w:hint="eastAsia" w:ascii="宋体" w:hAnsi="宋体" w:eastAsia="宋体" w:cs="宋体"/>
                <w:b/>
                <w:bCs/>
                <w:szCs w:val="21"/>
                <w:highlight w:val="none"/>
              </w:rPr>
            </w:pPr>
            <w:r>
              <w:rPr>
                <w:rFonts w:hint="eastAsia" w:ascii="宋体" w:hAnsi="宋体" w:eastAsia="宋体" w:cs="宋体"/>
                <w:b/>
                <w:bCs/>
                <w:szCs w:val="21"/>
                <w:highlight w:val="none"/>
              </w:rPr>
              <w:t>技术部分</w:t>
            </w:r>
          </w:p>
        </w:tc>
        <w:tc>
          <w:tcPr>
            <w:tcW w:w="5361" w:type="dxa"/>
            <w:tcBorders>
              <w:top w:val="single" w:color="000000" w:sz="8" w:space="0"/>
              <w:left w:val="single" w:color="000000" w:sz="8" w:space="0"/>
              <w:bottom w:val="single" w:color="000000" w:sz="8" w:space="0"/>
              <w:right w:val="single" w:color="000000" w:sz="8" w:space="0"/>
            </w:tcBorders>
            <w:shd w:val="clear" w:color="auto" w:fill="FFFFFF" w:themeFill="background1"/>
          </w:tcPr>
          <w:p w14:paraId="17751193">
            <w:pPr>
              <w:snapToGrid w:val="0"/>
              <w:jc w:val="center"/>
              <w:rPr>
                <w:rFonts w:hint="default"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51</w:t>
            </w:r>
          </w:p>
        </w:tc>
      </w:tr>
      <w:tr w14:paraId="75A2943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07"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281010D1">
            <w:pPr>
              <w:snapToGrid w:val="0"/>
              <w:rPr>
                <w:rFonts w:hint="eastAsia" w:ascii="宋体" w:hAnsi="宋体" w:eastAsia="宋体" w:cs="宋体"/>
                <w:b/>
                <w:bCs/>
                <w:szCs w:val="21"/>
                <w:highlight w:val="none"/>
              </w:rPr>
            </w:pPr>
          </w:p>
        </w:tc>
        <w:tc>
          <w:tcPr>
            <w:tcW w:w="652"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14:paraId="0E2D91F9">
            <w:pPr>
              <w:snapToGrid w:val="0"/>
              <w:jc w:val="center"/>
              <w:rPr>
                <w:rFonts w:hint="eastAsia" w:ascii="宋体" w:hAnsi="宋体" w:eastAsia="宋体" w:cs="宋体"/>
                <w:szCs w:val="21"/>
                <w:highlight w:val="none"/>
              </w:rPr>
            </w:pPr>
            <w:r>
              <w:rPr>
                <w:rFonts w:hint="eastAsia" w:ascii="宋体" w:hAnsi="宋体" w:eastAsia="宋体" w:cs="宋体"/>
                <w:szCs w:val="21"/>
                <w:highlight w:val="none"/>
              </w:rPr>
              <w:t>序号</w:t>
            </w:r>
          </w:p>
        </w:tc>
        <w:tc>
          <w:tcPr>
            <w:tcW w:w="1473"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14:paraId="39BEC902">
            <w:pPr>
              <w:snapToGrid w:val="0"/>
              <w:jc w:val="center"/>
              <w:rPr>
                <w:rFonts w:hint="eastAsia" w:ascii="宋体" w:hAnsi="宋体" w:eastAsia="宋体" w:cs="宋体"/>
                <w:szCs w:val="21"/>
                <w:highlight w:val="none"/>
              </w:rPr>
            </w:pPr>
            <w:r>
              <w:rPr>
                <w:rFonts w:hint="eastAsia" w:ascii="宋体" w:hAnsi="宋体" w:eastAsia="宋体" w:cs="宋体"/>
                <w:szCs w:val="21"/>
                <w:highlight w:val="none"/>
              </w:rPr>
              <w:t>评分因素</w:t>
            </w:r>
          </w:p>
        </w:tc>
        <w:tc>
          <w:tcPr>
            <w:tcW w:w="979"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14:paraId="3EF9D48B">
            <w:pPr>
              <w:snapToGrid w:val="0"/>
              <w:jc w:val="center"/>
              <w:rPr>
                <w:rFonts w:hint="eastAsia" w:ascii="宋体" w:hAnsi="宋体" w:eastAsia="宋体" w:cs="宋体"/>
                <w:szCs w:val="21"/>
                <w:highlight w:val="none"/>
              </w:rPr>
            </w:pPr>
            <w:r>
              <w:rPr>
                <w:rFonts w:hint="eastAsia" w:ascii="宋体" w:hAnsi="宋体" w:eastAsia="宋体" w:cs="宋体"/>
                <w:szCs w:val="21"/>
                <w:highlight w:val="none"/>
              </w:rPr>
              <w:t>权重</w:t>
            </w:r>
            <w:r>
              <w:rPr>
                <w:rFonts w:hint="eastAsia" w:ascii="宋体" w:hAnsi="宋体" w:eastAsia="宋体" w:cs="宋体"/>
                <w:bCs/>
                <w:szCs w:val="21"/>
                <w:highlight w:val="none"/>
              </w:rPr>
              <w:t>（%）</w:t>
            </w:r>
          </w:p>
        </w:tc>
        <w:tc>
          <w:tcPr>
            <w:tcW w:w="5361"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14:paraId="7F16E3A2">
            <w:pPr>
              <w:snapToGrid w:val="0"/>
              <w:jc w:val="center"/>
              <w:rPr>
                <w:rFonts w:hint="eastAsia" w:ascii="宋体" w:hAnsi="宋体" w:eastAsia="宋体" w:cs="宋体"/>
                <w:szCs w:val="21"/>
                <w:highlight w:val="none"/>
              </w:rPr>
            </w:pPr>
            <w:r>
              <w:rPr>
                <w:rFonts w:hint="eastAsia" w:ascii="宋体" w:hAnsi="宋体" w:eastAsia="宋体" w:cs="宋体"/>
                <w:szCs w:val="21"/>
                <w:highlight w:val="none"/>
              </w:rPr>
              <w:t>评分准则</w:t>
            </w:r>
          </w:p>
        </w:tc>
      </w:tr>
      <w:tr w14:paraId="6099C00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07"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5985680C">
            <w:pPr>
              <w:snapToGrid w:val="0"/>
              <w:rPr>
                <w:rFonts w:hint="eastAsia" w:ascii="宋体" w:hAnsi="宋体" w:eastAsia="宋体" w:cs="宋体"/>
                <w:b/>
                <w:bCs/>
                <w:szCs w:val="21"/>
                <w:highlight w:val="none"/>
              </w:rPr>
            </w:pPr>
          </w:p>
        </w:tc>
        <w:tc>
          <w:tcPr>
            <w:tcW w:w="652"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2A308AA2">
            <w:pPr>
              <w:jc w:val="center"/>
              <w:rPr>
                <w:rFonts w:hint="eastAsia" w:ascii="宋体" w:hAnsi="宋体" w:eastAsia="宋体" w:cs="宋体"/>
                <w:szCs w:val="21"/>
                <w:highlight w:val="none"/>
              </w:rPr>
            </w:pPr>
            <w:r>
              <w:rPr>
                <w:rFonts w:hint="eastAsia" w:ascii="宋体" w:hAnsi="宋体"/>
                <w:szCs w:val="21"/>
                <w:highlight w:val="none"/>
              </w:rPr>
              <w:t>1</w:t>
            </w:r>
          </w:p>
        </w:tc>
        <w:tc>
          <w:tcPr>
            <w:tcW w:w="147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0815D6BB">
            <w:pPr>
              <w:spacing w:line="240" w:lineRule="exact"/>
              <w:jc w:val="center"/>
              <w:rPr>
                <w:rFonts w:hint="eastAsia" w:ascii="宋体" w:hAnsi="宋体" w:cs="宋体"/>
                <w:kern w:val="0"/>
                <w:szCs w:val="21"/>
                <w:highlight w:val="none"/>
              </w:rPr>
            </w:pPr>
            <w:r>
              <w:rPr>
                <w:rFonts w:hint="eastAsia" w:ascii="宋体" w:hAnsi="宋体"/>
                <w:szCs w:val="21"/>
                <w:highlight w:val="none"/>
              </w:rPr>
              <w:t>技术保障措施</w:t>
            </w:r>
          </w:p>
        </w:tc>
        <w:tc>
          <w:tcPr>
            <w:tcW w:w="97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50FD3602">
            <w:pPr>
              <w:spacing w:line="240" w:lineRule="exact"/>
              <w:jc w:val="center"/>
              <w:rPr>
                <w:rFonts w:hint="default" w:ascii="宋体" w:hAnsi="宋体" w:cs="宋体"/>
                <w:kern w:val="0"/>
                <w:szCs w:val="21"/>
                <w:highlight w:val="none"/>
                <w:lang w:val="en-US" w:eastAsia="zh-CN"/>
              </w:rPr>
            </w:pPr>
            <w:r>
              <w:rPr>
                <w:rFonts w:hint="eastAsia" w:ascii="宋体" w:hAnsi="宋体"/>
                <w:szCs w:val="21"/>
                <w:highlight w:val="none"/>
              </w:rPr>
              <w:t>2</w:t>
            </w:r>
          </w:p>
        </w:tc>
        <w:tc>
          <w:tcPr>
            <w:tcW w:w="5361"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14:paraId="5F234985">
            <w:pPr>
              <w:autoSpaceDE w:val="0"/>
              <w:autoSpaceDN w:val="0"/>
              <w:adjustRightInd w:val="0"/>
              <w:rPr>
                <w:rFonts w:hint="eastAsia" w:ascii="宋体" w:hAnsi="宋体" w:cs="仿宋_GB2312"/>
                <w:szCs w:val="21"/>
                <w:highlight w:val="none"/>
              </w:rPr>
            </w:pPr>
            <w:r>
              <w:rPr>
                <w:rFonts w:hint="eastAsia" w:ascii="宋体" w:hAnsi="宋体" w:cs="仿宋_GB2312"/>
                <w:szCs w:val="21"/>
                <w:highlight w:val="none"/>
              </w:rPr>
              <w:t>评审内容：</w:t>
            </w:r>
          </w:p>
          <w:p w14:paraId="3E0B6487">
            <w:pPr>
              <w:autoSpaceDE w:val="0"/>
              <w:autoSpaceDN w:val="0"/>
              <w:adjustRightInd w:val="0"/>
              <w:rPr>
                <w:rFonts w:hint="eastAsia" w:ascii="宋体" w:hAnsi="宋体" w:cs="仿宋_GB2312"/>
                <w:szCs w:val="21"/>
                <w:highlight w:val="none"/>
              </w:rPr>
            </w:pPr>
            <w:r>
              <w:rPr>
                <w:rFonts w:hint="eastAsia" w:ascii="宋体" w:hAnsi="宋体" w:cs="仿宋_GB2312"/>
                <w:szCs w:val="21"/>
                <w:highlight w:val="none"/>
              </w:rPr>
              <w:t>投标人在投标文件中详细说明技术保障措施</w:t>
            </w:r>
            <w:r>
              <w:rPr>
                <w:rFonts w:hint="eastAsia" w:ascii="宋体" w:hAnsi="宋体" w:cs="仿宋_GB2312"/>
                <w:szCs w:val="21"/>
                <w:highlight w:val="none"/>
                <w:lang w:eastAsia="zh-CN"/>
              </w:rPr>
              <w:t>：</w:t>
            </w:r>
            <w:r>
              <w:rPr>
                <w:rFonts w:hint="eastAsia" w:ascii="宋体" w:hAnsi="宋体" w:cs="仿宋_GB2312"/>
                <w:szCs w:val="21"/>
                <w:highlight w:val="none"/>
              </w:rPr>
              <w:t xml:space="preserve"> </w:t>
            </w:r>
          </w:p>
          <w:p w14:paraId="64CAE2DE">
            <w:pPr>
              <w:autoSpaceDE w:val="0"/>
              <w:autoSpaceDN w:val="0"/>
              <w:adjustRightInd w:val="0"/>
              <w:rPr>
                <w:rFonts w:hint="eastAsia" w:ascii="宋体" w:hAnsi="宋体" w:cs="仿宋_GB2312"/>
                <w:szCs w:val="21"/>
                <w:highlight w:val="none"/>
              </w:rPr>
            </w:pPr>
            <w:r>
              <w:rPr>
                <w:rFonts w:hint="eastAsia" w:ascii="宋体" w:hAnsi="宋体" w:cs="仿宋_GB2312"/>
                <w:szCs w:val="21"/>
                <w:highlight w:val="none"/>
              </w:rPr>
              <w:t>1、</w:t>
            </w:r>
            <w:r>
              <w:rPr>
                <w:rFonts w:hint="eastAsia" w:ascii="宋体" w:hAnsi="宋体"/>
                <w:szCs w:val="21"/>
                <w:highlight w:val="none"/>
              </w:rPr>
              <w:t>技术方案</w:t>
            </w:r>
            <w:r>
              <w:rPr>
                <w:rFonts w:hint="eastAsia" w:ascii="宋体" w:hAnsi="宋体"/>
                <w:szCs w:val="21"/>
                <w:highlight w:val="none"/>
                <w:lang w:eastAsia="zh-CN"/>
              </w:rPr>
              <w:t>；</w:t>
            </w:r>
            <w:r>
              <w:rPr>
                <w:rFonts w:hint="eastAsia" w:ascii="宋体" w:hAnsi="宋体" w:cs="仿宋_GB2312"/>
                <w:szCs w:val="21"/>
                <w:highlight w:val="none"/>
              </w:rPr>
              <w:t xml:space="preserve"> </w:t>
            </w:r>
          </w:p>
          <w:p w14:paraId="4F46AF1B">
            <w:pPr>
              <w:autoSpaceDE w:val="0"/>
              <w:autoSpaceDN w:val="0"/>
              <w:adjustRightInd w:val="0"/>
              <w:rPr>
                <w:rFonts w:hint="eastAsia" w:ascii="宋体" w:hAnsi="宋体" w:cs="仿宋_GB2312"/>
                <w:szCs w:val="21"/>
                <w:highlight w:val="none"/>
              </w:rPr>
            </w:pPr>
            <w:r>
              <w:rPr>
                <w:rFonts w:hint="eastAsia" w:ascii="宋体" w:hAnsi="宋体" w:cs="仿宋_GB2312"/>
                <w:szCs w:val="21"/>
                <w:highlight w:val="none"/>
              </w:rPr>
              <w:t>2、</w:t>
            </w:r>
            <w:r>
              <w:rPr>
                <w:rFonts w:hint="eastAsia" w:ascii="宋体" w:hAnsi="宋体"/>
                <w:szCs w:val="21"/>
                <w:highlight w:val="none"/>
              </w:rPr>
              <w:t>产品供货进度</w:t>
            </w:r>
            <w:r>
              <w:rPr>
                <w:rFonts w:hint="eastAsia" w:ascii="宋体" w:hAnsi="宋体"/>
                <w:szCs w:val="21"/>
                <w:highlight w:val="none"/>
                <w:lang w:eastAsia="zh-CN"/>
              </w:rPr>
              <w:t>；</w:t>
            </w:r>
            <w:r>
              <w:rPr>
                <w:rFonts w:hint="eastAsia" w:ascii="宋体" w:hAnsi="宋体" w:cs="仿宋_GB2312"/>
                <w:szCs w:val="21"/>
                <w:highlight w:val="none"/>
              </w:rPr>
              <w:t xml:space="preserve"> </w:t>
            </w:r>
          </w:p>
          <w:p w14:paraId="5AFAD996">
            <w:pPr>
              <w:autoSpaceDE w:val="0"/>
              <w:autoSpaceDN w:val="0"/>
              <w:adjustRightInd w:val="0"/>
              <w:rPr>
                <w:rFonts w:hint="eastAsia" w:ascii="宋体" w:hAnsi="宋体" w:cs="仿宋_GB2312"/>
                <w:szCs w:val="21"/>
                <w:highlight w:val="none"/>
              </w:rPr>
            </w:pPr>
            <w:r>
              <w:rPr>
                <w:rFonts w:hint="eastAsia" w:ascii="宋体" w:hAnsi="宋体" w:cs="仿宋_GB2312"/>
                <w:szCs w:val="21"/>
                <w:highlight w:val="none"/>
              </w:rPr>
              <w:t>3、</w:t>
            </w:r>
            <w:r>
              <w:rPr>
                <w:rFonts w:hint="eastAsia" w:ascii="宋体" w:hAnsi="宋体"/>
                <w:szCs w:val="21"/>
                <w:highlight w:val="none"/>
              </w:rPr>
              <w:t>安装调试及验收方案</w:t>
            </w:r>
            <w:r>
              <w:rPr>
                <w:rFonts w:hint="eastAsia" w:ascii="宋体" w:hAnsi="宋体"/>
                <w:szCs w:val="21"/>
                <w:highlight w:val="none"/>
                <w:lang w:eastAsia="zh-CN"/>
              </w:rPr>
              <w:t>；</w:t>
            </w:r>
            <w:r>
              <w:rPr>
                <w:rFonts w:hint="eastAsia" w:ascii="宋体" w:hAnsi="宋体" w:cs="仿宋_GB2312"/>
                <w:szCs w:val="21"/>
                <w:highlight w:val="none"/>
              </w:rPr>
              <w:t xml:space="preserve"> </w:t>
            </w:r>
          </w:p>
          <w:p w14:paraId="6222EDEB">
            <w:pPr>
              <w:autoSpaceDE w:val="0"/>
              <w:autoSpaceDN w:val="0"/>
              <w:adjustRightInd w:val="0"/>
              <w:rPr>
                <w:rFonts w:hint="eastAsia" w:ascii="宋体" w:hAnsi="宋体" w:cs="仿宋_GB2312"/>
                <w:szCs w:val="21"/>
                <w:highlight w:val="none"/>
              </w:rPr>
            </w:pPr>
            <w:r>
              <w:rPr>
                <w:rFonts w:hint="eastAsia" w:ascii="宋体" w:hAnsi="宋体" w:cs="仿宋_GB2312"/>
                <w:szCs w:val="21"/>
                <w:highlight w:val="none"/>
              </w:rPr>
              <w:t>4、</w:t>
            </w:r>
            <w:r>
              <w:rPr>
                <w:rFonts w:hint="eastAsia" w:ascii="宋体" w:hAnsi="宋体"/>
                <w:szCs w:val="21"/>
                <w:highlight w:val="none"/>
              </w:rPr>
              <w:t>售后服务计划</w:t>
            </w:r>
            <w:r>
              <w:rPr>
                <w:rFonts w:hint="eastAsia" w:ascii="宋体" w:hAnsi="宋体"/>
                <w:szCs w:val="21"/>
                <w:highlight w:val="none"/>
                <w:lang w:eastAsia="zh-CN"/>
              </w:rPr>
              <w:t>。</w:t>
            </w:r>
            <w:r>
              <w:rPr>
                <w:rFonts w:hint="eastAsia" w:ascii="宋体" w:hAnsi="宋体" w:cs="仿宋_GB2312"/>
                <w:szCs w:val="21"/>
                <w:highlight w:val="none"/>
              </w:rPr>
              <w:t xml:space="preserve"> </w:t>
            </w:r>
          </w:p>
          <w:p w14:paraId="7C0DFE28">
            <w:pPr>
              <w:autoSpaceDE w:val="0"/>
              <w:autoSpaceDN w:val="0"/>
              <w:adjustRightInd w:val="0"/>
              <w:rPr>
                <w:rFonts w:hint="eastAsia" w:ascii="宋体" w:hAnsi="宋体" w:cs="仿宋_GB2312"/>
                <w:szCs w:val="21"/>
                <w:highlight w:val="none"/>
              </w:rPr>
            </w:pPr>
            <w:r>
              <w:rPr>
                <w:rFonts w:hint="eastAsia" w:ascii="宋体" w:hAnsi="宋体" w:cs="仿宋_GB2312"/>
                <w:szCs w:val="21"/>
                <w:highlight w:val="none"/>
              </w:rPr>
              <w:t>评审标准：</w:t>
            </w:r>
          </w:p>
          <w:p w14:paraId="0ACB61A0">
            <w:pPr>
              <w:autoSpaceDE w:val="0"/>
              <w:autoSpaceDN w:val="0"/>
              <w:adjustRightInd w:val="0"/>
              <w:rPr>
                <w:rFonts w:hint="eastAsia" w:ascii="宋体" w:hAnsi="宋体" w:cs="仿宋_GB2312"/>
                <w:szCs w:val="21"/>
                <w:highlight w:val="none"/>
              </w:rPr>
            </w:pPr>
            <w:r>
              <w:rPr>
                <w:rFonts w:hint="eastAsia" w:ascii="宋体" w:hAnsi="宋体" w:cs="仿宋_GB2312"/>
                <w:szCs w:val="21"/>
                <w:highlight w:val="none"/>
              </w:rPr>
              <w:t>同时提供上述四项内容的，得20分</w:t>
            </w:r>
            <w:r>
              <w:rPr>
                <w:rFonts w:hint="eastAsia" w:ascii="宋体" w:hAnsi="宋体" w:cs="仿宋_GB2312"/>
                <w:szCs w:val="21"/>
                <w:highlight w:val="none"/>
                <w:lang w:eastAsia="zh-CN"/>
              </w:rPr>
              <w:t>，缺一项整项不得分</w:t>
            </w:r>
            <w:r>
              <w:rPr>
                <w:rFonts w:hint="eastAsia" w:ascii="宋体" w:hAnsi="宋体" w:cs="仿宋_GB2312"/>
                <w:szCs w:val="21"/>
                <w:highlight w:val="none"/>
              </w:rPr>
              <w:t>。在此基础上，评审小组根据招标文件的采购需求和投标文件响应情况</w:t>
            </w:r>
            <w:r>
              <w:rPr>
                <w:rFonts w:hint="eastAsia" w:ascii="宋体" w:hAnsi="宋体" w:cs="仿宋_GB2312"/>
                <w:szCs w:val="21"/>
                <w:highlight w:val="none"/>
                <w:lang w:eastAsia="zh-CN"/>
              </w:rPr>
              <w:t>，</w:t>
            </w:r>
            <w:r>
              <w:rPr>
                <w:rFonts w:hint="eastAsia" w:ascii="宋体" w:hAnsi="宋体" w:cs="仿宋_GB2312"/>
                <w:szCs w:val="21"/>
                <w:highlight w:val="none"/>
              </w:rPr>
              <w:t xml:space="preserve">对方案的合理性、可行性进行分档评分。 </w:t>
            </w:r>
          </w:p>
          <w:p w14:paraId="6AB1D64D">
            <w:pPr>
              <w:autoSpaceDE w:val="0"/>
              <w:autoSpaceDN w:val="0"/>
              <w:adjustRightInd w:val="0"/>
              <w:rPr>
                <w:rFonts w:hint="eastAsia" w:ascii="宋体" w:hAnsi="宋体" w:cs="仿宋_GB2312"/>
                <w:szCs w:val="21"/>
                <w:highlight w:val="none"/>
              </w:rPr>
            </w:pPr>
            <w:r>
              <w:rPr>
                <w:rFonts w:hint="eastAsia" w:ascii="宋体" w:hAnsi="宋体" w:cs="仿宋_GB2312"/>
                <w:szCs w:val="21"/>
                <w:highlight w:val="none"/>
              </w:rPr>
              <w:t>1、方案整体</w:t>
            </w:r>
            <w:r>
              <w:rPr>
                <w:rFonts w:hint="eastAsia" w:ascii="宋体" w:hAnsi="宋体"/>
                <w:szCs w:val="21"/>
                <w:highlight w:val="none"/>
              </w:rPr>
              <w:t>内容全面、具体、针对性强、科学合理、可操作性强评价为优</w:t>
            </w:r>
            <w:r>
              <w:rPr>
                <w:rFonts w:hint="eastAsia" w:ascii="宋体" w:hAnsi="宋体" w:cs="仿宋_GB2312"/>
                <w:szCs w:val="21"/>
                <w:highlight w:val="none"/>
              </w:rPr>
              <w:t xml:space="preserve">的，得80分； </w:t>
            </w:r>
          </w:p>
          <w:p w14:paraId="3744EB23">
            <w:pPr>
              <w:autoSpaceDE w:val="0"/>
              <w:autoSpaceDN w:val="0"/>
              <w:adjustRightInd w:val="0"/>
              <w:rPr>
                <w:rFonts w:hint="eastAsia" w:ascii="宋体" w:hAnsi="宋体" w:cs="仿宋_GB2312"/>
                <w:szCs w:val="21"/>
                <w:highlight w:val="none"/>
              </w:rPr>
            </w:pPr>
            <w:r>
              <w:rPr>
                <w:rFonts w:hint="eastAsia" w:ascii="宋体" w:hAnsi="宋体" w:cs="仿宋_GB2312"/>
                <w:szCs w:val="21"/>
                <w:highlight w:val="none"/>
              </w:rPr>
              <w:t>2、</w:t>
            </w:r>
            <w:r>
              <w:rPr>
                <w:rFonts w:hint="eastAsia" w:ascii="宋体" w:hAnsi="宋体"/>
                <w:szCs w:val="21"/>
                <w:highlight w:val="none"/>
              </w:rPr>
              <w:t>内容一般、但具有针对性、可操作性评价为</w:t>
            </w:r>
            <w:r>
              <w:rPr>
                <w:rFonts w:hint="eastAsia" w:ascii="宋体" w:hAnsi="宋体" w:cs="仿宋_GB2312"/>
                <w:szCs w:val="21"/>
                <w:highlight w:val="none"/>
              </w:rPr>
              <w:t>良的，得</w:t>
            </w:r>
            <w:r>
              <w:rPr>
                <w:rFonts w:hint="eastAsia" w:ascii="宋体" w:hAnsi="宋体" w:cs="仿宋_GB2312"/>
                <w:szCs w:val="21"/>
                <w:highlight w:val="none"/>
                <w:lang w:val="en-US" w:eastAsia="zh-CN"/>
              </w:rPr>
              <w:t>4</w:t>
            </w:r>
            <w:r>
              <w:rPr>
                <w:rFonts w:hint="eastAsia" w:ascii="宋体" w:hAnsi="宋体" w:cs="仿宋_GB2312"/>
                <w:szCs w:val="21"/>
                <w:highlight w:val="none"/>
              </w:rPr>
              <w:t xml:space="preserve">0分； </w:t>
            </w:r>
          </w:p>
          <w:p w14:paraId="4493E770">
            <w:pPr>
              <w:autoSpaceDE w:val="0"/>
              <w:autoSpaceDN w:val="0"/>
              <w:adjustRightInd w:val="0"/>
              <w:rPr>
                <w:rFonts w:hint="eastAsia" w:ascii="宋体" w:hAnsi="宋体" w:cs="仿宋_GB2312"/>
                <w:szCs w:val="21"/>
                <w:highlight w:val="none"/>
              </w:rPr>
            </w:pPr>
            <w:r>
              <w:rPr>
                <w:rFonts w:hint="eastAsia" w:ascii="宋体" w:hAnsi="宋体" w:cs="仿宋_GB2312"/>
                <w:szCs w:val="21"/>
                <w:highlight w:val="none"/>
              </w:rPr>
              <w:t>3、</w:t>
            </w:r>
            <w:r>
              <w:rPr>
                <w:rFonts w:hint="eastAsia" w:ascii="宋体" w:hAnsi="宋体"/>
                <w:szCs w:val="21"/>
                <w:highlight w:val="none"/>
              </w:rPr>
              <w:t>内容具有一定的针对性和可操作性评价</w:t>
            </w:r>
            <w:r>
              <w:rPr>
                <w:rFonts w:hint="eastAsia" w:ascii="宋体" w:hAnsi="宋体" w:cs="仿宋_GB2312"/>
                <w:szCs w:val="21"/>
                <w:highlight w:val="none"/>
              </w:rPr>
              <w:t>为中的，得</w:t>
            </w:r>
            <w:r>
              <w:rPr>
                <w:rFonts w:hint="eastAsia" w:ascii="宋体" w:hAnsi="宋体" w:cs="仿宋_GB2312"/>
                <w:szCs w:val="21"/>
                <w:highlight w:val="none"/>
                <w:lang w:val="en-US" w:eastAsia="zh-CN"/>
              </w:rPr>
              <w:t>2</w:t>
            </w:r>
            <w:r>
              <w:rPr>
                <w:rFonts w:hint="eastAsia" w:ascii="宋体" w:hAnsi="宋体" w:cs="仿宋_GB2312"/>
                <w:szCs w:val="21"/>
                <w:highlight w:val="none"/>
              </w:rPr>
              <w:t xml:space="preserve">0分； </w:t>
            </w:r>
          </w:p>
          <w:p w14:paraId="3B2F739B">
            <w:pPr>
              <w:autoSpaceDE w:val="0"/>
              <w:autoSpaceDN w:val="0"/>
              <w:adjustRightInd w:val="0"/>
              <w:rPr>
                <w:rFonts w:hint="eastAsia" w:ascii="宋体" w:hAnsi="宋体" w:cs="仿宋_GB2312"/>
                <w:szCs w:val="21"/>
                <w:highlight w:val="none"/>
              </w:rPr>
            </w:pPr>
            <w:r>
              <w:rPr>
                <w:rFonts w:hint="eastAsia" w:ascii="宋体" w:hAnsi="宋体" w:cs="仿宋_GB2312"/>
                <w:szCs w:val="21"/>
                <w:highlight w:val="none"/>
              </w:rPr>
              <w:t xml:space="preserve">4、方案不合理、无针对性、无可操作性，评审为差的，得 0 分。 </w:t>
            </w:r>
          </w:p>
          <w:p w14:paraId="49C2D55D">
            <w:pPr>
              <w:autoSpaceDE w:val="0"/>
              <w:autoSpaceDN w:val="0"/>
              <w:adjustRightInd w:val="0"/>
              <w:rPr>
                <w:rFonts w:hint="eastAsia" w:ascii="宋体" w:hAnsi="宋体" w:cs="仿宋_GB2312"/>
                <w:szCs w:val="21"/>
                <w:highlight w:val="none"/>
              </w:rPr>
            </w:pPr>
            <w:r>
              <w:rPr>
                <w:rFonts w:hint="eastAsia" w:ascii="宋体" w:hAnsi="宋体" w:cs="仿宋_GB2312"/>
                <w:szCs w:val="21"/>
                <w:highlight w:val="none"/>
              </w:rPr>
              <w:t>不提供或提供的不符合要求或提供不清晰导致专家无法判断的均不得分。</w:t>
            </w:r>
          </w:p>
        </w:tc>
      </w:tr>
      <w:tr w14:paraId="3B6A13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trHeight w:val="2645" w:hRule="atLeast"/>
          <w:jc w:val="center"/>
        </w:trPr>
        <w:tc>
          <w:tcPr>
            <w:tcW w:w="607"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1DC80E23">
            <w:pPr>
              <w:snapToGrid w:val="0"/>
              <w:rPr>
                <w:rFonts w:hint="eastAsia" w:ascii="宋体" w:hAnsi="宋体" w:eastAsia="宋体" w:cs="宋体"/>
                <w:b/>
                <w:bCs/>
                <w:szCs w:val="21"/>
                <w:highlight w:val="none"/>
              </w:rPr>
            </w:pPr>
          </w:p>
        </w:tc>
        <w:tc>
          <w:tcPr>
            <w:tcW w:w="652"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5F38A07A">
            <w:pPr>
              <w:jc w:val="center"/>
              <w:rPr>
                <w:rFonts w:hint="eastAsia" w:ascii="宋体" w:hAnsi="宋体" w:eastAsia="宋体" w:cs="宋体"/>
                <w:szCs w:val="21"/>
                <w:highlight w:val="none"/>
                <w:lang w:val="en-US" w:eastAsia="zh-CN"/>
              </w:rPr>
            </w:pPr>
            <w:r>
              <w:rPr>
                <w:rFonts w:hint="eastAsia" w:ascii="宋体" w:hAnsi="宋体" w:eastAsia="宋体"/>
                <w:szCs w:val="21"/>
                <w:highlight w:val="none"/>
                <w:lang w:val="en-US" w:eastAsia="zh-CN"/>
              </w:rPr>
              <w:t>2</w:t>
            </w:r>
          </w:p>
        </w:tc>
        <w:tc>
          <w:tcPr>
            <w:tcW w:w="147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3F1B6D10">
            <w:pPr>
              <w:spacing w:line="240" w:lineRule="exact"/>
              <w:jc w:val="center"/>
              <w:rPr>
                <w:rFonts w:hint="eastAsia" w:ascii="宋体" w:hAnsi="宋体" w:cs="宋体"/>
                <w:kern w:val="0"/>
                <w:szCs w:val="21"/>
                <w:highlight w:val="none"/>
                <w:lang w:val="en-US" w:eastAsia="zh-CN"/>
              </w:rPr>
            </w:pPr>
            <w:r>
              <w:rPr>
                <w:rFonts w:hint="eastAsia" w:ascii="宋体" w:hAnsi="宋体" w:cs="宋体"/>
                <w:kern w:val="0"/>
                <w:szCs w:val="21"/>
                <w:highlight w:val="none"/>
              </w:rPr>
              <w:t>技术规格偏离情况</w:t>
            </w:r>
          </w:p>
        </w:tc>
        <w:tc>
          <w:tcPr>
            <w:tcW w:w="97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640B06DF">
            <w:pPr>
              <w:spacing w:line="240" w:lineRule="exact"/>
              <w:jc w:val="center"/>
              <w:rPr>
                <w:rFonts w:hint="default" w:ascii="宋体" w:hAnsi="宋体" w:cs="宋体"/>
                <w:kern w:val="0"/>
                <w:szCs w:val="21"/>
                <w:highlight w:val="none"/>
                <w:lang w:val="en-US" w:eastAsia="zh-CN"/>
              </w:rPr>
            </w:pPr>
            <w:r>
              <w:rPr>
                <w:rFonts w:hint="eastAsia" w:ascii="宋体" w:hAnsi="宋体" w:cs="宋体"/>
                <w:szCs w:val="21"/>
                <w:highlight w:val="none"/>
              </w:rPr>
              <w:t>39</w:t>
            </w:r>
          </w:p>
        </w:tc>
        <w:tc>
          <w:tcPr>
            <w:tcW w:w="5361"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51AECE5A">
            <w:pPr>
              <w:spacing w:line="240" w:lineRule="exact"/>
              <w:rPr>
                <w:rFonts w:hint="eastAsia" w:ascii="宋体" w:hAnsi="宋体" w:cs="宋体" w:eastAsiaTheme="minorEastAsia"/>
                <w:b/>
                <w:bCs/>
                <w:kern w:val="2"/>
                <w:sz w:val="21"/>
                <w:szCs w:val="21"/>
                <w:highlight w:val="none"/>
                <w:lang w:val="en-US" w:eastAsia="zh-CN" w:bidi="ar-SA"/>
              </w:rPr>
            </w:pPr>
            <w:r>
              <w:rPr>
                <w:rFonts w:hint="eastAsia" w:ascii="宋体" w:hAnsi="宋体" w:cs="宋体" w:eastAsiaTheme="minorEastAsia"/>
                <w:b/>
                <w:bCs/>
                <w:kern w:val="2"/>
                <w:sz w:val="21"/>
                <w:szCs w:val="21"/>
                <w:highlight w:val="none"/>
                <w:lang w:val="en-US" w:eastAsia="zh-CN" w:bidi="ar-SA"/>
              </w:rPr>
              <w:t>考察内容：</w:t>
            </w:r>
          </w:p>
          <w:p w14:paraId="2BFC683A">
            <w:pPr>
              <w:spacing w:line="240" w:lineRule="exact"/>
              <w:rPr>
                <w:rFonts w:hint="eastAsia" w:ascii="宋体" w:hAnsi="宋体" w:cs="宋体" w:eastAsiaTheme="minorEastAsia"/>
                <w:kern w:val="2"/>
                <w:sz w:val="21"/>
                <w:szCs w:val="21"/>
                <w:highlight w:val="none"/>
                <w:lang w:val="en-US" w:eastAsia="zh-CN" w:bidi="ar-SA"/>
              </w:rPr>
            </w:pPr>
            <w:r>
              <w:rPr>
                <w:rFonts w:hint="eastAsia" w:ascii="宋体" w:hAnsi="宋体" w:cs="宋体" w:eastAsiaTheme="minorEastAsia"/>
                <w:kern w:val="2"/>
                <w:sz w:val="21"/>
                <w:szCs w:val="21"/>
                <w:highlight w:val="none"/>
                <w:lang w:val="en-US" w:eastAsia="zh-CN" w:bidi="ar-SA"/>
              </w:rPr>
              <w:t>评审小组根据《技术规格偏离表》（以下简称“偏离表”）响应情况进行打分，全部满足的得100分。一般参数每负偏离一项扣 0.5分，重点技术参数▲项每负偏离一项扣6分，扣完为止。</w:t>
            </w:r>
          </w:p>
          <w:p w14:paraId="6E83F5DA">
            <w:pPr>
              <w:spacing w:line="240" w:lineRule="exact"/>
              <w:rPr>
                <w:rFonts w:hint="eastAsia" w:ascii="宋体" w:hAnsi="宋体" w:cs="宋体" w:eastAsiaTheme="minorEastAsia"/>
                <w:b/>
                <w:bCs/>
                <w:kern w:val="2"/>
                <w:sz w:val="21"/>
                <w:szCs w:val="21"/>
                <w:highlight w:val="none"/>
                <w:lang w:val="en-US" w:eastAsia="zh-CN" w:bidi="ar-SA"/>
              </w:rPr>
            </w:pPr>
            <w:r>
              <w:rPr>
                <w:rFonts w:hint="eastAsia" w:ascii="宋体" w:hAnsi="宋体" w:cs="宋体" w:eastAsiaTheme="minorEastAsia"/>
                <w:b/>
                <w:bCs/>
                <w:kern w:val="2"/>
                <w:sz w:val="21"/>
                <w:szCs w:val="21"/>
                <w:highlight w:val="none"/>
                <w:lang w:val="en-US" w:eastAsia="zh-CN" w:bidi="ar-SA"/>
              </w:rPr>
              <w:t>证明文件：</w:t>
            </w:r>
          </w:p>
          <w:p w14:paraId="16869650">
            <w:pPr>
              <w:spacing w:line="240" w:lineRule="exact"/>
              <w:rPr>
                <w:rFonts w:hint="eastAsia" w:ascii="宋体" w:hAnsi="宋体" w:cs="宋体" w:eastAsiaTheme="minorEastAsia"/>
                <w:kern w:val="2"/>
                <w:sz w:val="21"/>
                <w:szCs w:val="21"/>
                <w:highlight w:val="none"/>
                <w:lang w:val="en-US" w:eastAsia="zh-CN" w:bidi="ar-SA"/>
              </w:rPr>
            </w:pPr>
            <w:r>
              <w:rPr>
                <w:rFonts w:hint="eastAsia" w:ascii="宋体" w:hAnsi="宋体" w:cs="宋体" w:eastAsiaTheme="minorEastAsia"/>
                <w:kern w:val="2"/>
                <w:sz w:val="21"/>
                <w:szCs w:val="21"/>
                <w:highlight w:val="none"/>
                <w:lang w:val="en-US" w:eastAsia="zh-CN" w:bidi="ar-SA"/>
              </w:rPr>
              <w:t>偏离表应如实对应填写所投产品的具体参数。如要求提供“厂家网站截图/说明书/厂家出具的参数文件/检验报告”等证明资料的，需按要求提供相关证明资料；提供的证明资料与所填写内容不一致的，以证明资料为准，原件备查。</w:t>
            </w:r>
          </w:p>
        </w:tc>
      </w:tr>
      <w:tr w14:paraId="52A06E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07"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1666BCED">
            <w:pPr>
              <w:snapToGrid w:val="0"/>
              <w:rPr>
                <w:rFonts w:hint="eastAsia" w:ascii="宋体" w:hAnsi="宋体" w:eastAsia="宋体" w:cs="宋体"/>
                <w:b/>
                <w:bCs/>
                <w:szCs w:val="21"/>
                <w:highlight w:val="none"/>
              </w:rPr>
            </w:pPr>
          </w:p>
        </w:tc>
        <w:tc>
          <w:tcPr>
            <w:tcW w:w="652"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13080A7">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Cs w:val="21"/>
                <w:highlight w:val="none"/>
                <w:lang w:val="en-US" w:eastAsia="zh-CN"/>
              </w:rPr>
              <w:t>3</w:t>
            </w:r>
          </w:p>
        </w:tc>
        <w:tc>
          <w:tcPr>
            <w:tcW w:w="147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51F76C0D">
            <w:pPr>
              <w:jc w:val="center"/>
              <w:rPr>
                <w:rFonts w:hint="eastAsia" w:ascii="宋体" w:hAnsi="宋体" w:cs="宋体"/>
                <w:kern w:val="0"/>
                <w:szCs w:val="21"/>
                <w:highlight w:val="none"/>
                <w:lang w:val="en-US" w:eastAsia="zh-CN"/>
              </w:rPr>
            </w:pPr>
            <w:r>
              <w:rPr>
                <w:rFonts w:hint="eastAsia" w:ascii="宋体" w:hAnsi="宋体"/>
                <w:highlight w:val="none"/>
                <w:lang w:bidi="ar"/>
              </w:rPr>
              <w:t>现场踏勘</w:t>
            </w:r>
          </w:p>
        </w:tc>
        <w:tc>
          <w:tcPr>
            <w:tcW w:w="97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5FA3C2D7">
            <w:pPr>
              <w:spacing w:line="240" w:lineRule="exact"/>
              <w:jc w:val="center"/>
              <w:rPr>
                <w:rFonts w:hint="default" w:ascii="宋体" w:hAnsi="宋体" w:cs="宋体"/>
                <w:kern w:val="0"/>
                <w:szCs w:val="21"/>
                <w:highlight w:val="none"/>
                <w:lang w:val="en-US" w:eastAsia="zh-CN"/>
              </w:rPr>
            </w:pPr>
            <w:r>
              <w:rPr>
                <w:rFonts w:hint="eastAsia" w:ascii="宋体" w:hAnsi="宋体"/>
                <w:szCs w:val="21"/>
                <w:highlight w:val="none"/>
              </w:rPr>
              <w:t>2</w:t>
            </w:r>
          </w:p>
        </w:tc>
        <w:tc>
          <w:tcPr>
            <w:tcW w:w="5361"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14:paraId="7339C424">
            <w:pPr>
              <w:pStyle w:val="8"/>
              <w:rPr>
                <w:rFonts w:hint="eastAsia" w:ascii="宋体" w:hAnsi="宋体" w:cs="仿宋_GB2312" w:eastAsiaTheme="minorEastAsia"/>
                <w:b/>
                <w:bCs/>
                <w:szCs w:val="21"/>
                <w:highlight w:val="none"/>
                <w:lang w:val="en-US" w:eastAsia="zh-CN"/>
              </w:rPr>
            </w:pPr>
            <w:r>
              <w:rPr>
                <w:rFonts w:hint="eastAsia" w:ascii="宋体" w:hAnsi="宋体" w:cs="仿宋_GB2312" w:eastAsiaTheme="minorEastAsia"/>
                <w:b/>
                <w:bCs/>
                <w:szCs w:val="21"/>
                <w:highlight w:val="none"/>
                <w:lang w:val="en-US" w:eastAsia="zh-CN"/>
              </w:rPr>
              <w:t>考察内容：</w:t>
            </w:r>
          </w:p>
          <w:p w14:paraId="565DFD31">
            <w:pPr>
              <w:pStyle w:val="8"/>
              <w:rPr>
                <w:rFonts w:hint="eastAsia" w:ascii="宋体" w:hAnsi="宋体" w:cs="仿宋_GB2312" w:eastAsiaTheme="minorEastAsia"/>
                <w:szCs w:val="21"/>
                <w:highlight w:val="none"/>
                <w:lang w:val="en-US" w:eastAsia="zh-CN"/>
              </w:rPr>
            </w:pPr>
            <w:r>
              <w:rPr>
                <w:rFonts w:hint="eastAsia" w:ascii="宋体" w:hAnsi="宋体" w:cs="仿宋_GB2312" w:eastAsiaTheme="minorEastAsia"/>
                <w:szCs w:val="21"/>
                <w:highlight w:val="none"/>
                <w:lang w:val="en-US" w:eastAsia="zh-CN"/>
              </w:rPr>
              <w:t>为了充分了解采购人需求、实施效果影响、详细需求及任何其他足以影响投标报价的情况，投标人需在本项目采购公告载明的交易（采购）文件获取时间之日起的第三个日历日（招标文件领取时间之日为第一个日历日）</w:t>
            </w:r>
          </w:p>
          <w:p w14:paraId="612E1158">
            <w:pPr>
              <w:pStyle w:val="8"/>
              <w:rPr>
                <w:rFonts w:hint="eastAsia" w:ascii="宋体" w:hAnsi="宋体" w:cs="仿宋_GB2312" w:eastAsiaTheme="minorEastAsia"/>
                <w:szCs w:val="21"/>
                <w:highlight w:val="none"/>
                <w:lang w:val="en-US" w:eastAsia="zh-CN"/>
              </w:rPr>
            </w:pPr>
            <w:r>
              <w:rPr>
                <w:rFonts w:hint="eastAsia" w:ascii="宋体" w:hAnsi="宋体" w:cs="仿宋_GB2312" w:eastAsiaTheme="minorEastAsia"/>
                <w:szCs w:val="21"/>
                <w:highlight w:val="none"/>
                <w:lang w:val="en-US" w:eastAsia="zh-CN"/>
              </w:rPr>
              <w:t>上午 10：00携带公司营业执照、法人证明书、授权书（如有）到幼儿园参加现场统一踏勘。踏勘地点：广东省深圳市龙华区大浪街道龙胜社区春华路四海华亭小区内（深圳市龙华区大浪第二幼教集团四海华亭幼儿园）。</w:t>
            </w:r>
          </w:p>
          <w:p w14:paraId="393E5415">
            <w:pPr>
              <w:pStyle w:val="8"/>
              <w:rPr>
                <w:rFonts w:hint="eastAsia" w:ascii="宋体" w:hAnsi="宋体" w:cs="仿宋_GB2312" w:eastAsiaTheme="minorEastAsia"/>
                <w:szCs w:val="21"/>
                <w:highlight w:val="none"/>
                <w:lang w:val="en-US" w:eastAsia="zh-CN"/>
              </w:rPr>
            </w:pPr>
            <w:r>
              <w:rPr>
                <w:rFonts w:hint="eastAsia" w:ascii="宋体" w:hAnsi="宋体" w:cs="仿宋_GB2312" w:eastAsiaTheme="minorEastAsia"/>
                <w:szCs w:val="21"/>
                <w:highlight w:val="none"/>
                <w:lang w:val="en-US" w:eastAsia="zh-CN"/>
              </w:rPr>
              <w:t xml:space="preserve">联系人： 叶西林 </w:t>
            </w:r>
          </w:p>
          <w:p w14:paraId="7BB3AA2A">
            <w:pPr>
              <w:pStyle w:val="8"/>
              <w:rPr>
                <w:rFonts w:hint="eastAsia" w:ascii="宋体" w:hAnsi="宋体" w:cs="仿宋_GB2312" w:eastAsiaTheme="minorEastAsia"/>
                <w:szCs w:val="21"/>
                <w:highlight w:val="none"/>
                <w:lang w:val="en-US" w:eastAsia="zh-CN"/>
              </w:rPr>
            </w:pPr>
            <w:r>
              <w:rPr>
                <w:rFonts w:hint="eastAsia" w:ascii="宋体" w:hAnsi="宋体" w:cs="仿宋_GB2312" w:eastAsiaTheme="minorEastAsia"/>
                <w:szCs w:val="21"/>
                <w:highlight w:val="none"/>
                <w:lang w:val="en-US" w:eastAsia="zh-CN"/>
              </w:rPr>
              <w:t>联系电话：18820205756</w:t>
            </w:r>
          </w:p>
          <w:p w14:paraId="6E4A8F74">
            <w:pPr>
              <w:spacing w:line="240" w:lineRule="exact"/>
              <w:rPr>
                <w:rFonts w:hint="eastAsia" w:ascii="宋体" w:hAnsi="宋体" w:cs="宋体" w:eastAsiaTheme="minorEastAsia"/>
                <w:b/>
                <w:bCs/>
                <w:kern w:val="2"/>
                <w:sz w:val="21"/>
                <w:szCs w:val="21"/>
                <w:highlight w:val="none"/>
                <w:lang w:val="en-US" w:eastAsia="zh-CN" w:bidi="ar-SA"/>
              </w:rPr>
            </w:pPr>
            <w:r>
              <w:rPr>
                <w:rFonts w:hint="eastAsia" w:ascii="宋体" w:hAnsi="宋体" w:cs="宋体" w:eastAsiaTheme="minorEastAsia"/>
                <w:b/>
                <w:bCs/>
                <w:kern w:val="2"/>
                <w:sz w:val="21"/>
                <w:szCs w:val="21"/>
                <w:highlight w:val="none"/>
                <w:lang w:val="en-US" w:eastAsia="zh-CN" w:bidi="ar-SA"/>
              </w:rPr>
              <w:t>证明文件：</w:t>
            </w:r>
          </w:p>
          <w:p w14:paraId="02659A4E">
            <w:pPr>
              <w:pStyle w:val="8"/>
              <w:rPr>
                <w:rFonts w:hint="eastAsia" w:ascii="宋体" w:hAnsi="宋体" w:cs="仿宋_GB2312" w:eastAsiaTheme="minorEastAsia"/>
                <w:szCs w:val="21"/>
                <w:highlight w:val="none"/>
                <w:lang w:val="en-US" w:eastAsia="zh-CN"/>
              </w:rPr>
            </w:pPr>
            <w:r>
              <w:rPr>
                <w:rFonts w:hint="eastAsia" w:ascii="宋体" w:hAnsi="宋体" w:cs="仿宋_GB2312" w:eastAsiaTheme="minorEastAsia"/>
                <w:szCs w:val="21"/>
                <w:highlight w:val="none"/>
                <w:lang w:val="en-US" w:eastAsia="zh-CN"/>
              </w:rPr>
              <w:t>提供加盖幼儿园公章的踏勘证明扫描件，得100分，未提供或提供的不符合要求或提供不清晰导致专家无法判断的或不在规定日期内获取的均不得分。</w:t>
            </w:r>
          </w:p>
        </w:tc>
      </w:tr>
      <w:tr w14:paraId="757D37F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07"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1073F7D0">
            <w:pPr>
              <w:snapToGrid w:val="0"/>
              <w:rPr>
                <w:rFonts w:hint="eastAsia" w:ascii="宋体" w:hAnsi="宋体" w:eastAsia="宋体" w:cs="宋体"/>
                <w:b/>
                <w:bCs/>
                <w:szCs w:val="21"/>
                <w:highlight w:val="none"/>
              </w:rPr>
            </w:pPr>
          </w:p>
        </w:tc>
        <w:tc>
          <w:tcPr>
            <w:tcW w:w="652"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5D9FBB5E">
            <w:pPr>
              <w:jc w:val="center"/>
              <w:rPr>
                <w:rFonts w:hint="default" w:ascii="宋体" w:hAnsi="宋体" w:eastAsia="宋体" w:cs="宋体"/>
                <w:szCs w:val="21"/>
                <w:highlight w:val="none"/>
                <w:lang w:val="en-US" w:eastAsia="zh-CN"/>
              </w:rPr>
            </w:pPr>
            <w:r>
              <w:rPr>
                <w:rFonts w:hint="eastAsia" w:ascii="宋体" w:hAnsi="宋体" w:eastAsia="宋体" w:cs="宋体"/>
                <w:szCs w:val="21"/>
                <w:highlight w:val="none"/>
                <w:lang w:val="en-US" w:eastAsia="zh-CN"/>
              </w:rPr>
              <w:t>4</w:t>
            </w:r>
          </w:p>
        </w:tc>
        <w:tc>
          <w:tcPr>
            <w:tcW w:w="147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1EDA0505">
            <w:pPr>
              <w:spacing w:line="240" w:lineRule="exact"/>
              <w:jc w:val="center"/>
              <w:rPr>
                <w:rFonts w:hint="eastAsia" w:ascii="宋体" w:hAnsi="宋体" w:cs="宋体"/>
                <w:kern w:val="0"/>
                <w:szCs w:val="21"/>
                <w:highlight w:val="none"/>
              </w:rPr>
            </w:pPr>
            <w:r>
              <w:rPr>
                <w:rFonts w:hint="eastAsia" w:ascii="宋体" w:hAnsi="宋体"/>
                <w:szCs w:val="21"/>
                <w:highlight w:val="none"/>
              </w:rPr>
              <w:t>设计方案及效果图</w:t>
            </w:r>
          </w:p>
        </w:tc>
        <w:tc>
          <w:tcPr>
            <w:tcW w:w="97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2011E0AC">
            <w:pPr>
              <w:spacing w:line="240" w:lineRule="exact"/>
              <w:jc w:val="center"/>
              <w:rPr>
                <w:rFonts w:hint="eastAsia" w:ascii="宋体" w:hAnsi="宋体" w:cs="宋体"/>
                <w:kern w:val="0"/>
                <w:szCs w:val="21"/>
                <w:highlight w:val="none"/>
              </w:rPr>
            </w:pPr>
            <w:r>
              <w:rPr>
                <w:rFonts w:hint="eastAsia" w:ascii="宋体" w:hAnsi="宋体"/>
                <w:szCs w:val="21"/>
                <w:highlight w:val="none"/>
              </w:rPr>
              <w:t>8</w:t>
            </w:r>
          </w:p>
        </w:tc>
        <w:tc>
          <w:tcPr>
            <w:tcW w:w="5361"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14:paraId="567C4694">
            <w:pPr>
              <w:pStyle w:val="8"/>
              <w:rPr>
                <w:rFonts w:hint="eastAsia" w:ascii="宋体" w:hAnsi="宋体" w:cs="宋体"/>
                <w:b/>
                <w:bCs/>
                <w:szCs w:val="21"/>
                <w:highlight w:val="none"/>
              </w:rPr>
            </w:pPr>
            <w:r>
              <w:rPr>
                <w:rFonts w:hint="eastAsia" w:ascii="宋体" w:hAnsi="宋体" w:cs="宋体"/>
                <w:b/>
                <w:bCs/>
                <w:szCs w:val="21"/>
                <w:highlight w:val="none"/>
              </w:rPr>
              <w:t>考察内容：</w:t>
            </w:r>
          </w:p>
          <w:p w14:paraId="5B8FA683">
            <w:pPr>
              <w:pStyle w:val="8"/>
              <w:rPr>
                <w:rFonts w:hint="eastAsia" w:ascii="宋体" w:hAnsi="宋体" w:cs="宋体"/>
                <w:b w:val="0"/>
                <w:bCs w:val="0"/>
                <w:szCs w:val="21"/>
                <w:highlight w:val="none"/>
              </w:rPr>
            </w:pPr>
            <w:r>
              <w:rPr>
                <w:rFonts w:hint="eastAsia" w:ascii="宋体" w:hAnsi="宋体" w:cs="宋体"/>
                <w:b w:val="0"/>
                <w:bCs w:val="0"/>
                <w:szCs w:val="21"/>
                <w:highlight w:val="none"/>
              </w:rPr>
              <w:t>投标人根据采购方项目实际需求，出符合幼儿园文化风格和园本课程相符的设计方案和效果图。所有设计方案需根据现场踏勘实景设计并提供现场勘察实景照片作为对比及证明要求。在投标文件中详细说明设计方案并分别呈现不同户型的小班、中班、大班幼儿家私陈列的鸟瞰图和三维立体效果图，总共提供12张图。每班各一张鸟瞰图、三维立体效果图（图中需体现本次采购货物类型）。评审小组根据设计方案及效果图进行分档评分，从（包括但不限于）安全性（环保、高度、样式）、适宜性（年龄、能力、兴趣）、多样性（层次、开放、灵活）、互动性（自主、参与、联动）等方面进行评价，未提供全景效果图方案或图纸提供不完整（少图或缺图）或图中货物类型不符合本项目幼儿园实际需求的，不得分。 </w:t>
            </w:r>
          </w:p>
          <w:p w14:paraId="4B763498">
            <w:pPr>
              <w:pStyle w:val="8"/>
              <w:rPr>
                <w:rFonts w:hint="eastAsia" w:ascii="宋体" w:hAnsi="宋体" w:cs="宋体"/>
                <w:b w:val="0"/>
                <w:bCs w:val="0"/>
                <w:szCs w:val="21"/>
                <w:highlight w:val="none"/>
              </w:rPr>
            </w:pPr>
            <w:r>
              <w:rPr>
                <w:rFonts w:hint="eastAsia" w:ascii="宋体" w:hAnsi="宋体" w:cs="宋体"/>
                <w:b w:val="0"/>
                <w:bCs w:val="0"/>
                <w:szCs w:val="21"/>
                <w:highlight w:val="none"/>
              </w:rPr>
              <w:t>评分依据：</w:t>
            </w:r>
          </w:p>
          <w:p w14:paraId="1E813EFE">
            <w:pPr>
              <w:pStyle w:val="8"/>
              <w:rPr>
                <w:rFonts w:hint="eastAsia" w:ascii="宋体" w:hAnsi="宋体" w:cs="宋体"/>
                <w:b w:val="0"/>
                <w:bCs w:val="0"/>
                <w:szCs w:val="21"/>
                <w:highlight w:val="none"/>
              </w:rPr>
            </w:pPr>
            <w:r>
              <w:rPr>
                <w:rFonts w:hint="eastAsia" w:ascii="宋体" w:hAnsi="宋体" w:cs="宋体"/>
                <w:b w:val="0"/>
                <w:bCs w:val="0"/>
                <w:szCs w:val="21"/>
                <w:highlight w:val="none"/>
              </w:rPr>
              <w:t>评审小组根据招标文件的采购需求和各投标文件响应情况，按照量化的评审因素指标，在上述基础上进一步评审，进行优良中差分档评分：</w:t>
            </w:r>
          </w:p>
          <w:p w14:paraId="74604710">
            <w:pPr>
              <w:pStyle w:val="8"/>
              <w:rPr>
                <w:rFonts w:hint="eastAsia" w:ascii="宋体" w:hAnsi="宋体" w:cs="宋体"/>
                <w:b w:val="0"/>
                <w:bCs w:val="0"/>
                <w:szCs w:val="21"/>
                <w:highlight w:val="none"/>
              </w:rPr>
            </w:pPr>
            <w:r>
              <w:rPr>
                <w:rFonts w:hint="eastAsia" w:ascii="宋体" w:hAnsi="宋体" w:cs="宋体"/>
                <w:b w:val="0"/>
                <w:bCs w:val="0"/>
                <w:szCs w:val="21"/>
                <w:highlight w:val="none"/>
              </w:rPr>
              <w:t>1、设计方案及效果图符合室内实际尺寸，设计方案详细，效果图外观样式、色调搭配非常协调，区域规划布局非常合理，实用性强，空间利用率高、符合班级需要为优，得100分。</w:t>
            </w:r>
          </w:p>
          <w:p w14:paraId="0B970B84">
            <w:pPr>
              <w:pStyle w:val="8"/>
              <w:rPr>
                <w:rFonts w:hint="eastAsia" w:ascii="宋体" w:hAnsi="宋体" w:cs="宋体"/>
                <w:b w:val="0"/>
                <w:bCs w:val="0"/>
                <w:szCs w:val="21"/>
                <w:highlight w:val="none"/>
              </w:rPr>
            </w:pPr>
            <w:r>
              <w:rPr>
                <w:rFonts w:hint="eastAsia" w:ascii="宋体" w:hAnsi="宋体" w:cs="宋体"/>
                <w:b w:val="0"/>
                <w:bCs w:val="0"/>
                <w:szCs w:val="21"/>
                <w:highlight w:val="none"/>
              </w:rPr>
              <w:t>2、设计方案及效果图符合室内实际尺寸，设计方案较详细，效果图纸外观样式、色调搭配协调，区域规划布局较合理，实用性较强，空间利用率较高、符合班级需要为良，得75分。</w:t>
            </w:r>
          </w:p>
          <w:p w14:paraId="00A5AF1A">
            <w:pPr>
              <w:pStyle w:val="8"/>
              <w:rPr>
                <w:rFonts w:hint="eastAsia" w:ascii="宋体" w:hAnsi="宋体" w:cs="宋体"/>
                <w:b w:val="0"/>
                <w:bCs w:val="0"/>
                <w:szCs w:val="21"/>
                <w:highlight w:val="none"/>
              </w:rPr>
            </w:pPr>
            <w:r>
              <w:rPr>
                <w:rFonts w:hint="eastAsia" w:ascii="宋体" w:hAnsi="宋体" w:cs="宋体"/>
                <w:b w:val="0"/>
                <w:bCs w:val="0"/>
                <w:szCs w:val="21"/>
                <w:highlight w:val="none"/>
              </w:rPr>
              <w:t>3、设计方案及效果图符合室内实际尺寸，设计方案基本详细，效果图纸外观样式、色调搭配一般，区域规划布局一般，实用性一般，空间利用率不高、基本符合班级需要为中，得50分。</w:t>
            </w:r>
          </w:p>
          <w:p w14:paraId="357A1282">
            <w:pPr>
              <w:pStyle w:val="8"/>
              <w:rPr>
                <w:rFonts w:hint="eastAsia" w:ascii="宋体" w:hAnsi="宋体" w:cs="宋体"/>
                <w:b w:val="0"/>
                <w:bCs w:val="0"/>
                <w:szCs w:val="21"/>
                <w:highlight w:val="none"/>
              </w:rPr>
            </w:pPr>
            <w:r>
              <w:rPr>
                <w:rFonts w:hint="eastAsia" w:ascii="宋体" w:hAnsi="宋体" w:cs="宋体"/>
                <w:b w:val="0"/>
                <w:bCs w:val="0"/>
                <w:szCs w:val="21"/>
                <w:highlight w:val="none"/>
              </w:rPr>
              <w:t>4、设计方案及效果图符合室内实际尺寸，设计方案不详细，效果图纸外观样式、色调搭配不一致，区域规划布局不合理，实用性不强，空间利用率不高、不符合班级需要为差，得10分。</w:t>
            </w:r>
          </w:p>
        </w:tc>
      </w:tr>
      <w:tr w14:paraId="2C21A4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07" w:type="dxa"/>
            <w:vMerge w:val="restart"/>
            <w:tcBorders>
              <w:top w:val="single" w:color="000000" w:sz="8" w:space="0"/>
              <w:left w:val="single" w:color="000000" w:sz="8" w:space="0"/>
              <w:right w:val="single" w:color="000000" w:sz="8" w:space="0"/>
            </w:tcBorders>
            <w:shd w:val="clear" w:color="auto" w:fill="FFFFFF" w:themeFill="background1"/>
          </w:tcPr>
          <w:p w14:paraId="5B60EDB5">
            <w:pPr>
              <w:snapToGrid w:val="0"/>
              <w:jc w:val="center"/>
              <w:rPr>
                <w:rFonts w:hint="eastAsia" w:ascii="宋体" w:hAnsi="宋体" w:eastAsia="宋体" w:cs="宋体"/>
                <w:b/>
                <w:bCs/>
                <w:szCs w:val="21"/>
                <w:highlight w:val="none"/>
              </w:rPr>
            </w:pPr>
            <w:r>
              <w:rPr>
                <w:rFonts w:hint="eastAsia" w:ascii="宋体" w:hAnsi="宋体" w:eastAsia="宋体" w:cs="宋体"/>
                <w:b/>
                <w:bCs/>
                <w:szCs w:val="21"/>
                <w:highlight w:val="none"/>
              </w:rPr>
              <w:t>3</w:t>
            </w:r>
          </w:p>
        </w:tc>
        <w:tc>
          <w:tcPr>
            <w:tcW w:w="3104" w:type="dxa"/>
            <w:gridSpan w:val="3"/>
            <w:tcBorders>
              <w:top w:val="single" w:color="000000" w:sz="8" w:space="0"/>
              <w:left w:val="single" w:color="000000" w:sz="8" w:space="0"/>
              <w:bottom w:val="single" w:color="000000" w:sz="8" w:space="0"/>
              <w:right w:val="single" w:color="000000" w:sz="8" w:space="0"/>
            </w:tcBorders>
            <w:shd w:val="clear" w:color="auto" w:fill="FFFFFF" w:themeFill="background1"/>
          </w:tcPr>
          <w:p w14:paraId="4FD6F0B1">
            <w:pPr>
              <w:snapToGrid w:val="0"/>
              <w:jc w:val="center"/>
              <w:rPr>
                <w:rFonts w:hint="eastAsia" w:ascii="宋体" w:hAnsi="宋体" w:eastAsia="宋体" w:cs="宋体"/>
                <w:b/>
                <w:bCs/>
                <w:szCs w:val="21"/>
                <w:highlight w:val="none"/>
              </w:rPr>
            </w:pPr>
            <w:r>
              <w:rPr>
                <w:rFonts w:hint="eastAsia" w:asciiTheme="minorEastAsia" w:hAnsiTheme="minorEastAsia"/>
                <w:b/>
                <w:bCs/>
                <w:szCs w:val="21"/>
                <w:highlight w:val="none"/>
              </w:rPr>
              <w:t>商务</w:t>
            </w:r>
            <w:r>
              <w:rPr>
                <w:rFonts w:hint="eastAsia" w:ascii="宋体" w:hAnsi="宋体" w:eastAsia="宋体" w:cs="宋体"/>
                <w:b/>
                <w:bCs/>
                <w:szCs w:val="21"/>
                <w:highlight w:val="none"/>
              </w:rPr>
              <w:t>部分</w:t>
            </w:r>
          </w:p>
        </w:tc>
        <w:tc>
          <w:tcPr>
            <w:tcW w:w="5361" w:type="dxa"/>
            <w:tcBorders>
              <w:top w:val="single" w:color="000000" w:sz="8" w:space="0"/>
              <w:left w:val="single" w:color="000000" w:sz="8" w:space="0"/>
              <w:bottom w:val="single" w:color="000000" w:sz="8" w:space="0"/>
              <w:right w:val="single" w:color="000000" w:sz="8" w:space="0"/>
            </w:tcBorders>
            <w:shd w:val="clear" w:color="auto" w:fill="FFFFFF" w:themeFill="background1"/>
          </w:tcPr>
          <w:p w14:paraId="24A12D56">
            <w:pPr>
              <w:snapToGrid w:val="0"/>
              <w:jc w:val="center"/>
              <w:rPr>
                <w:rFonts w:hint="default" w:ascii="宋体" w:hAnsi="宋体" w:eastAsia="宋体" w:cs="宋体"/>
                <w:b/>
                <w:bCs/>
                <w:szCs w:val="21"/>
                <w:highlight w:val="none"/>
                <w:lang w:val="en-US" w:eastAsia="zh-CN"/>
              </w:rPr>
            </w:pPr>
            <w:r>
              <w:rPr>
                <w:rFonts w:hint="eastAsia" w:ascii="宋体" w:hAnsi="宋体" w:eastAsia="宋体" w:cs="宋体"/>
                <w:b/>
                <w:bCs/>
                <w:szCs w:val="21"/>
                <w:highlight w:val="none"/>
                <w:lang w:val="en-US" w:eastAsia="zh-CN"/>
              </w:rPr>
              <w:t>14</w:t>
            </w:r>
          </w:p>
        </w:tc>
      </w:tr>
      <w:tr w14:paraId="67BBBAE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07" w:type="dxa"/>
            <w:vMerge w:val="continue"/>
            <w:tcBorders>
              <w:left w:val="single" w:color="000000" w:sz="8" w:space="0"/>
              <w:right w:val="single" w:color="000000" w:sz="8" w:space="0"/>
            </w:tcBorders>
            <w:shd w:val="clear" w:color="auto" w:fill="FFFFFF" w:themeFill="background1"/>
            <w:vAlign w:val="center"/>
          </w:tcPr>
          <w:p w14:paraId="1DCECA19">
            <w:pPr>
              <w:snapToGrid w:val="0"/>
              <w:rPr>
                <w:rFonts w:hint="eastAsia" w:ascii="宋体" w:hAnsi="宋体" w:eastAsia="宋体" w:cs="宋体"/>
                <w:b/>
                <w:bCs/>
                <w:szCs w:val="21"/>
                <w:highlight w:val="none"/>
              </w:rPr>
            </w:pPr>
          </w:p>
        </w:tc>
        <w:tc>
          <w:tcPr>
            <w:tcW w:w="652"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14:paraId="36CFE09A">
            <w:pPr>
              <w:snapToGrid w:val="0"/>
              <w:jc w:val="center"/>
              <w:rPr>
                <w:rFonts w:hint="eastAsia" w:ascii="宋体" w:hAnsi="宋体" w:eastAsia="宋体" w:cs="宋体"/>
                <w:szCs w:val="21"/>
                <w:highlight w:val="none"/>
              </w:rPr>
            </w:pPr>
            <w:r>
              <w:rPr>
                <w:rFonts w:hint="eastAsia" w:ascii="宋体" w:hAnsi="宋体" w:eastAsia="宋体" w:cs="宋体"/>
                <w:szCs w:val="21"/>
                <w:highlight w:val="none"/>
              </w:rPr>
              <w:t>序号</w:t>
            </w:r>
          </w:p>
        </w:tc>
        <w:tc>
          <w:tcPr>
            <w:tcW w:w="1473"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14:paraId="2EDE8D06">
            <w:pPr>
              <w:snapToGrid w:val="0"/>
              <w:jc w:val="center"/>
              <w:rPr>
                <w:rFonts w:hint="eastAsia" w:ascii="宋体" w:hAnsi="宋体" w:eastAsia="宋体" w:cs="宋体"/>
                <w:szCs w:val="21"/>
                <w:highlight w:val="none"/>
              </w:rPr>
            </w:pPr>
            <w:r>
              <w:rPr>
                <w:rFonts w:hint="eastAsia" w:ascii="宋体" w:hAnsi="宋体" w:eastAsia="宋体" w:cs="宋体"/>
                <w:szCs w:val="21"/>
                <w:highlight w:val="none"/>
              </w:rPr>
              <w:t>评分因素</w:t>
            </w:r>
          </w:p>
        </w:tc>
        <w:tc>
          <w:tcPr>
            <w:tcW w:w="979"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14:paraId="1FCE875A">
            <w:pPr>
              <w:snapToGrid w:val="0"/>
              <w:jc w:val="center"/>
              <w:rPr>
                <w:rFonts w:hint="eastAsia" w:ascii="宋体" w:hAnsi="宋体" w:eastAsia="宋体" w:cs="宋体"/>
                <w:szCs w:val="21"/>
                <w:highlight w:val="none"/>
              </w:rPr>
            </w:pPr>
            <w:r>
              <w:rPr>
                <w:rFonts w:hint="eastAsia" w:ascii="宋体" w:hAnsi="宋体" w:eastAsia="宋体" w:cs="宋体"/>
                <w:szCs w:val="21"/>
                <w:highlight w:val="none"/>
              </w:rPr>
              <w:t>权重</w:t>
            </w:r>
            <w:r>
              <w:rPr>
                <w:rFonts w:hint="eastAsia" w:ascii="宋体" w:hAnsi="宋体" w:eastAsia="宋体" w:cs="宋体"/>
                <w:bCs/>
                <w:szCs w:val="21"/>
                <w:highlight w:val="none"/>
              </w:rPr>
              <w:t>（%）</w:t>
            </w:r>
          </w:p>
        </w:tc>
        <w:tc>
          <w:tcPr>
            <w:tcW w:w="5361"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14:paraId="6A0C795F">
            <w:pPr>
              <w:snapToGrid w:val="0"/>
              <w:jc w:val="center"/>
              <w:rPr>
                <w:rFonts w:hint="eastAsia" w:ascii="宋体" w:hAnsi="宋体" w:eastAsia="宋体" w:cs="宋体"/>
                <w:szCs w:val="21"/>
                <w:highlight w:val="none"/>
              </w:rPr>
            </w:pPr>
            <w:r>
              <w:rPr>
                <w:rFonts w:hint="eastAsia" w:ascii="宋体" w:hAnsi="宋体" w:eastAsia="宋体" w:cs="宋体"/>
                <w:szCs w:val="21"/>
                <w:highlight w:val="none"/>
              </w:rPr>
              <w:t>评分准则</w:t>
            </w:r>
          </w:p>
        </w:tc>
      </w:tr>
      <w:tr w14:paraId="03D04E9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07" w:type="dxa"/>
            <w:vMerge w:val="continue"/>
            <w:tcBorders>
              <w:left w:val="single" w:color="000000" w:sz="8" w:space="0"/>
              <w:right w:val="single" w:color="000000" w:sz="8" w:space="0"/>
            </w:tcBorders>
            <w:shd w:val="clear" w:color="auto" w:fill="FFFFFF" w:themeFill="background1"/>
            <w:vAlign w:val="center"/>
          </w:tcPr>
          <w:p w14:paraId="7F18574B">
            <w:pPr>
              <w:snapToGrid w:val="0"/>
              <w:rPr>
                <w:rFonts w:hint="eastAsia" w:ascii="宋体" w:hAnsi="宋体" w:eastAsia="宋体" w:cs="宋体"/>
                <w:b/>
                <w:bCs/>
                <w:szCs w:val="21"/>
                <w:highlight w:val="none"/>
              </w:rPr>
            </w:pPr>
          </w:p>
        </w:tc>
        <w:tc>
          <w:tcPr>
            <w:tcW w:w="652"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2EE093F5">
            <w:pPr>
              <w:jc w:val="center"/>
              <w:rPr>
                <w:rFonts w:hint="eastAsia" w:ascii="宋体" w:hAnsi="宋体" w:cs="宋体"/>
                <w:kern w:val="0"/>
                <w:szCs w:val="21"/>
                <w:highlight w:val="none"/>
                <w:lang w:val="en-US" w:eastAsia="zh-CN"/>
              </w:rPr>
            </w:pPr>
            <w:r>
              <w:rPr>
                <w:rFonts w:hint="eastAsia" w:ascii="宋体" w:hAnsi="宋体" w:cs="宋体"/>
                <w:kern w:val="0"/>
                <w:szCs w:val="21"/>
                <w:highlight w:val="none"/>
                <w:lang w:val="en-US" w:eastAsia="zh-CN"/>
              </w:rPr>
              <w:t>1</w:t>
            </w:r>
          </w:p>
        </w:tc>
        <w:tc>
          <w:tcPr>
            <w:tcW w:w="147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27DF3E5C">
            <w:pPr>
              <w:spacing w:line="240" w:lineRule="exact"/>
              <w:jc w:val="center"/>
              <w:rPr>
                <w:rFonts w:hint="eastAsia" w:ascii="宋体" w:hAnsi="宋体" w:cs="宋体"/>
                <w:kern w:val="0"/>
                <w:szCs w:val="21"/>
                <w:highlight w:val="none"/>
              </w:rPr>
            </w:pPr>
            <w:r>
              <w:rPr>
                <w:rFonts w:hint="eastAsia" w:ascii="宋体" w:hAnsi="宋体" w:cs="宋体"/>
                <w:color w:val="auto"/>
                <w:szCs w:val="21"/>
                <w:highlight w:val="none"/>
              </w:rPr>
              <w:t>环保认证</w:t>
            </w:r>
          </w:p>
        </w:tc>
        <w:tc>
          <w:tcPr>
            <w:tcW w:w="97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0FA9222A">
            <w:pPr>
              <w:spacing w:line="240" w:lineRule="exact"/>
              <w:jc w:val="center"/>
              <w:rPr>
                <w:rFonts w:hint="eastAsia" w:ascii="宋体" w:hAnsi="宋体" w:cs="宋体"/>
                <w:kern w:val="0"/>
                <w:szCs w:val="21"/>
                <w:highlight w:val="none"/>
                <w:lang w:val="en-US" w:eastAsia="zh-CN"/>
              </w:rPr>
            </w:pPr>
            <w:r>
              <w:rPr>
                <w:rFonts w:hint="eastAsia" w:ascii="宋体" w:hAnsi="宋体"/>
                <w:color w:val="auto"/>
                <w:szCs w:val="21"/>
                <w:highlight w:val="none"/>
              </w:rPr>
              <w:t>4</w:t>
            </w:r>
          </w:p>
        </w:tc>
        <w:tc>
          <w:tcPr>
            <w:tcW w:w="5361"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0B563275">
            <w:pPr>
              <w:snapToGrid w:val="0"/>
              <w:jc w:val="left"/>
              <w:rPr>
                <w:rFonts w:hint="eastAsia" w:ascii="宋体" w:hAnsi="宋体" w:cs="仿宋"/>
                <w:b/>
                <w:bCs/>
                <w:kern w:val="0"/>
                <w:szCs w:val="21"/>
                <w:highlight w:val="none"/>
                <w:lang w:val="en-US" w:eastAsia="zh-CN"/>
              </w:rPr>
            </w:pPr>
            <w:r>
              <w:rPr>
                <w:rFonts w:hint="eastAsia" w:ascii="宋体" w:hAnsi="宋体" w:cs="仿宋"/>
                <w:b/>
                <w:bCs/>
                <w:kern w:val="0"/>
                <w:szCs w:val="21"/>
                <w:highlight w:val="none"/>
                <w:lang w:val="en-US" w:eastAsia="zh-CN"/>
              </w:rPr>
              <w:t>考察内容：</w:t>
            </w:r>
          </w:p>
          <w:p w14:paraId="51A90AE4">
            <w:pPr>
              <w:snapToGrid w:val="0"/>
              <w:jc w:val="left"/>
              <w:rPr>
                <w:rFonts w:hint="eastAsia" w:ascii="宋体" w:hAnsi="宋体" w:cs="仿宋"/>
                <w:kern w:val="0"/>
                <w:szCs w:val="21"/>
                <w:highlight w:val="none"/>
                <w:lang w:val="en-US" w:eastAsia="zh-CN"/>
              </w:rPr>
            </w:pPr>
            <w:r>
              <w:rPr>
                <w:rFonts w:hint="eastAsia" w:ascii="宋体" w:hAnsi="宋体" w:cs="仿宋"/>
                <w:kern w:val="0"/>
                <w:szCs w:val="21"/>
                <w:highlight w:val="none"/>
                <w:lang w:val="en-US" w:eastAsia="zh-CN"/>
              </w:rPr>
              <w:t>投标人或所投产品制造商（与分项报价表中“制造商名称”一致）具有有效期内的中国环境标志产品认证证书：</w:t>
            </w:r>
          </w:p>
          <w:p w14:paraId="50B788BA">
            <w:pPr>
              <w:snapToGrid w:val="0"/>
              <w:jc w:val="left"/>
              <w:rPr>
                <w:rFonts w:hint="eastAsia" w:ascii="宋体" w:hAnsi="宋体" w:cs="仿宋"/>
                <w:kern w:val="0"/>
                <w:szCs w:val="21"/>
                <w:highlight w:val="none"/>
                <w:lang w:val="en-US" w:eastAsia="zh-CN"/>
              </w:rPr>
            </w:pPr>
            <w:r>
              <w:rPr>
                <w:rFonts w:hint="eastAsia" w:ascii="宋体" w:hAnsi="宋体" w:cs="仿宋"/>
                <w:kern w:val="0"/>
                <w:szCs w:val="21"/>
                <w:highlight w:val="none"/>
                <w:lang w:val="en-US" w:eastAsia="zh-CN"/>
              </w:rPr>
              <w:t>1.产品认证单元涵盖：实木类家具；</w:t>
            </w:r>
          </w:p>
          <w:p w14:paraId="103B7889">
            <w:pPr>
              <w:snapToGrid w:val="0"/>
              <w:jc w:val="left"/>
              <w:rPr>
                <w:rFonts w:hint="eastAsia" w:ascii="宋体" w:hAnsi="宋体" w:cs="仿宋"/>
                <w:kern w:val="0"/>
                <w:szCs w:val="21"/>
                <w:highlight w:val="none"/>
                <w:lang w:val="en-US" w:eastAsia="zh-CN"/>
              </w:rPr>
            </w:pPr>
            <w:r>
              <w:rPr>
                <w:rFonts w:hint="eastAsia" w:ascii="宋体" w:hAnsi="宋体" w:cs="仿宋"/>
                <w:kern w:val="0"/>
                <w:szCs w:val="21"/>
                <w:highlight w:val="none"/>
                <w:lang w:val="en-US" w:eastAsia="zh-CN"/>
              </w:rPr>
              <w:t>2.产品认证单元涵盖：人造板类家具</w:t>
            </w:r>
            <w:bookmarkStart w:id="113" w:name="_GoBack"/>
            <w:bookmarkEnd w:id="113"/>
            <w:r>
              <w:rPr>
                <w:rFonts w:hint="eastAsia" w:ascii="宋体" w:hAnsi="宋体" w:cs="仿宋"/>
                <w:kern w:val="0"/>
                <w:szCs w:val="21"/>
                <w:highlight w:val="none"/>
                <w:lang w:val="en-US" w:eastAsia="zh-CN"/>
              </w:rPr>
              <w:t>；</w:t>
            </w:r>
          </w:p>
          <w:p w14:paraId="1E1E87D2">
            <w:pPr>
              <w:snapToGrid w:val="0"/>
              <w:jc w:val="left"/>
              <w:rPr>
                <w:rFonts w:hint="eastAsia" w:ascii="宋体" w:hAnsi="宋体" w:cs="仿宋"/>
                <w:kern w:val="0"/>
                <w:szCs w:val="21"/>
                <w:highlight w:val="none"/>
                <w:lang w:val="en-US" w:eastAsia="zh-CN"/>
              </w:rPr>
            </w:pPr>
            <w:r>
              <w:rPr>
                <w:rFonts w:hint="eastAsia" w:ascii="宋体" w:hAnsi="宋体" w:cs="仿宋"/>
                <w:kern w:val="0"/>
                <w:szCs w:val="21"/>
                <w:highlight w:val="none"/>
                <w:lang w:val="en-US" w:eastAsia="zh-CN"/>
              </w:rPr>
              <w:t>每提供一个认证单元得50分，最高得100分。未提供或提供的资料不符合要求的均不得分。</w:t>
            </w:r>
          </w:p>
          <w:p w14:paraId="550FEA97">
            <w:pPr>
              <w:snapToGrid w:val="0"/>
              <w:jc w:val="left"/>
              <w:rPr>
                <w:rFonts w:hint="eastAsia" w:ascii="宋体" w:hAnsi="宋体" w:cs="仿宋"/>
                <w:b/>
                <w:bCs/>
                <w:kern w:val="0"/>
                <w:szCs w:val="21"/>
                <w:highlight w:val="none"/>
                <w:lang w:val="en-US" w:eastAsia="zh-CN"/>
              </w:rPr>
            </w:pPr>
            <w:r>
              <w:rPr>
                <w:rFonts w:hint="eastAsia" w:ascii="宋体" w:hAnsi="宋体" w:cs="仿宋"/>
                <w:b/>
                <w:bCs/>
                <w:kern w:val="0"/>
                <w:szCs w:val="21"/>
                <w:highlight w:val="none"/>
                <w:lang w:val="en-US" w:eastAsia="zh-CN"/>
              </w:rPr>
              <w:t>证明文件：</w:t>
            </w:r>
          </w:p>
          <w:p w14:paraId="5B8E91D8">
            <w:pPr>
              <w:snapToGrid w:val="0"/>
              <w:jc w:val="left"/>
              <w:rPr>
                <w:rFonts w:hint="eastAsia" w:ascii="宋体" w:hAnsi="宋体" w:cs="仿宋"/>
                <w:kern w:val="0"/>
                <w:szCs w:val="21"/>
                <w:highlight w:val="none"/>
                <w:lang w:val="en-US" w:eastAsia="zh-CN"/>
              </w:rPr>
            </w:pPr>
            <w:r>
              <w:rPr>
                <w:rFonts w:hint="eastAsia" w:ascii="宋体" w:hAnsi="宋体" w:cs="仿宋"/>
                <w:kern w:val="0"/>
                <w:szCs w:val="21"/>
                <w:highlight w:val="none"/>
                <w:lang w:val="en-US" w:eastAsia="zh-CN"/>
              </w:rPr>
              <w:t>提供有效期内的体系认证证书扫描件及在全国认证认可信息公共服务平台（认e云） （http://cx.cnca.cn/CertECloud/index/index/page）查询有效的截图，原件备查。（未提供或未按要求提供或提供的 不清晰导致专家无法判断的，不得分）</w:t>
            </w:r>
          </w:p>
        </w:tc>
      </w:tr>
      <w:tr w14:paraId="2A33D86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07" w:type="dxa"/>
            <w:vMerge w:val="continue"/>
            <w:tcBorders>
              <w:left w:val="single" w:color="000000" w:sz="8" w:space="0"/>
              <w:right w:val="single" w:color="000000" w:sz="8" w:space="0"/>
            </w:tcBorders>
            <w:shd w:val="clear" w:color="auto" w:fill="FFFFFF" w:themeFill="background1"/>
            <w:vAlign w:val="center"/>
          </w:tcPr>
          <w:p w14:paraId="7B8C17C6">
            <w:pPr>
              <w:snapToGrid w:val="0"/>
              <w:rPr>
                <w:rFonts w:hint="eastAsia" w:ascii="宋体" w:hAnsi="宋体" w:eastAsia="宋体" w:cs="宋体"/>
                <w:b/>
                <w:bCs/>
                <w:szCs w:val="21"/>
                <w:highlight w:val="none"/>
              </w:rPr>
            </w:pPr>
          </w:p>
        </w:tc>
        <w:tc>
          <w:tcPr>
            <w:tcW w:w="652"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3947842">
            <w:pPr>
              <w:jc w:val="center"/>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2</w:t>
            </w:r>
          </w:p>
        </w:tc>
        <w:tc>
          <w:tcPr>
            <w:tcW w:w="147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45C693A">
            <w:pPr>
              <w:spacing w:line="240" w:lineRule="exact"/>
              <w:jc w:val="center"/>
              <w:rPr>
                <w:rFonts w:hint="eastAsia" w:ascii="宋体" w:hAnsi="宋体" w:cs="宋体"/>
                <w:kern w:val="0"/>
                <w:szCs w:val="21"/>
                <w:highlight w:val="none"/>
              </w:rPr>
            </w:pPr>
            <w:r>
              <w:rPr>
                <w:rFonts w:hint="eastAsia" w:ascii="宋体" w:hAnsi="宋体"/>
                <w:szCs w:val="21"/>
                <w:highlight w:val="none"/>
              </w:rPr>
              <w:t>商务条款偏离情况</w:t>
            </w:r>
          </w:p>
        </w:tc>
        <w:tc>
          <w:tcPr>
            <w:tcW w:w="97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9AC61F1">
            <w:pPr>
              <w:spacing w:line="240" w:lineRule="exact"/>
              <w:jc w:val="center"/>
              <w:rPr>
                <w:rFonts w:hint="eastAsia" w:ascii="宋体" w:hAnsi="宋体" w:cs="宋体"/>
                <w:kern w:val="0"/>
                <w:szCs w:val="21"/>
                <w:highlight w:val="none"/>
                <w:lang w:eastAsia="zh-CN"/>
              </w:rPr>
            </w:pPr>
            <w:r>
              <w:rPr>
                <w:rFonts w:hint="eastAsia" w:ascii="宋体" w:hAnsi="宋体" w:cs="宋体"/>
                <w:szCs w:val="21"/>
                <w:highlight w:val="none"/>
              </w:rPr>
              <w:t>4</w:t>
            </w:r>
          </w:p>
        </w:tc>
        <w:tc>
          <w:tcPr>
            <w:tcW w:w="5361"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88A01B6">
            <w:pPr>
              <w:autoSpaceDE w:val="0"/>
              <w:autoSpaceDN w:val="0"/>
              <w:adjustRightInd w:val="0"/>
              <w:jc w:val="left"/>
              <w:rPr>
                <w:rFonts w:hint="eastAsia" w:ascii="宋体" w:hAnsi="宋体" w:cs="仿宋"/>
                <w:kern w:val="0"/>
                <w:szCs w:val="21"/>
                <w:highlight w:val="none"/>
              </w:rPr>
            </w:pPr>
            <w:r>
              <w:rPr>
                <w:rFonts w:hint="eastAsia" w:ascii="宋体" w:hAnsi="宋体" w:cs="仿宋"/>
                <w:kern w:val="0"/>
                <w:szCs w:val="21"/>
                <w:highlight w:val="none"/>
              </w:rPr>
              <w:t>投标人应如实填写《商务条款偏离情况》，评审小组根据响应情况进行打分，全部满足要求的得100分，除实质性条款外,每负偏离一项扣50分,扣完为止。</w:t>
            </w:r>
          </w:p>
        </w:tc>
      </w:tr>
      <w:tr w14:paraId="4E2B874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07" w:type="dxa"/>
            <w:vMerge w:val="continue"/>
            <w:tcBorders>
              <w:left w:val="single" w:color="000000" w:sz="8" w:space="0"/>
              <w:right w:val="single" w:color="000000" w:sz="8" w:space="0"/>
            </w:tcBorders>
            <w:shd w:val="clear" w:color="auto" w:fill="FFFFFF" w:themeFill="background1"/>
            <w:vAlign w:val="center"/>
          </w:tcPr>
          <w:p w14:paraId="6D33B62D">
            <w:pPr>
              <w:snapToGrid w:val="0"/>
              <w:rPr>
                <w:rFonts w:hint="eastAsia" w:ascii="宋体" w:hAnsi="宋体" w:eastAsia="宋体" w:cs="宋体"/>
                <w:b/>
                <w:bCs/>
                <w:szCs w:val="21"/>
                <w:highlight w:val="none"/>
              </w:rPr>
            </w:pPr>
          </w:p>
        </w:tc>
        <w:tc>
          <w:tcPr>
            <w:tcW w:w="652"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5EEA3039">
            <w:pPr>
              <w:jc w:val="center"/>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3</w:t>
            </w:r>
          </w:p>
        </w:tc>
        <w:tc>
          <w:tcPr>
            <w:tcW w:w="147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3DDA1586">
            <w:pPr>
              <w:spacing w:line="240" w:lineRule="exact"/>
              <w:jc w:val="center"/>
              <w:rPr>
                <w:rFonts w:hint="eastAsia" w:ascii="宋体" w:hAnsi="宋体" w:cs="宋体"/>
                <w:kern w:val="0"/>
                <w:szCs w:val="21"/>
                <w:highlight w:val="none"/>
              </w:rPr>
            </w:pPr>
            <w:r>
              <w:rPr>
                <w:rFonts w:hint="eastAsia" w:ascii="宋体" w:hAnsi="宋体"/>
                <w:szCs w:val="21"/>
                <w:highlight w:val="none"/>
              </w:rPr>
              <w:t>同类项目业绩</w:t>
            </w:r>
          </w:p>
        </w:tc>
        <w:tc>
          <w:tcPr>
            <w:tcW w:w="97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4199002E">
            <w:pPr>
              <w:spacing w:line="240" w:lineRule="exact"/>
              <w:jc w:val="center"/>
              <w:rPr>
                <w:rFonts w:hint="eastAsia" w:ascii="宋体" w:hAnsi="宋体" w:cs="宋体"/>
                <w:kern w:val="0"/>
                <w:szCs w:val="21"/>
                <w:highlight w:val="none"/>
                <w:lang w:val="en-US" w:eastAsia="zh-CN"/>
              </w:rPr>
            </w:pPr>
            <w:r>
              <w:rPr>
                <w:rFonts w:hint="eastAsia" w:ascii="宋体" w:hAnsi="宋体" w:cs="宋体"/>
                <w:szCs w:val="21"/>
                <w:highlight w:val="none"/>
              </w:rPr>
              <w:t>3</w:t>
            </w:r>
          </w:p>
        </w:tc>
        <w:tc>
          <w:tcPr>
            <w:tcW w:w="5361"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3215676D">
            <w:pPr>
              <w:snapToGrid w:val="0"/>
              <w:jc w:val="left"/>
              <w:rPr>
                <w:rFonts w:hint="eastAsia" w:ascii="宋体" w:hAnsi="宋体" w:cs="仿宋"/>
                <w:b/>
                <w:bCs/>
                <w:kern w:val="0"/>
                <w:szCs w:val="21"/>
                <w:highlight w:val="none"/>
                <w:lang w:val="en-US" w:eastAsia="zh-CN"/>
              </w:rPr>
            </w:pPr>
            <w:r>
              <w:rPr>
                <w:rFonts w:hint="eastAsia" w:ascii="宋体" w:hAnsi="宋体" w:cs="仿宋"/>
                <w:b/>
                <w:bCs/>
                <w:kern w:val="0"/>
                <w:szCs w:val="21"/>
                <w:highlight w:val="none"/>
                <w:lang w:val="en-US" w:eastAsia="zh-CN"/>
              </w:rPr>
              <w:t>考察内容：</w:t>
            </w:r>
          </w:p>
          <w:p w14:paraId="43013B4B">
            <w:pPr>
              <w:snapToGrid w:val="0"/>
              <w:jc w:val="left"/>
              <w:rPr>
                <w:rFonts w:hint="eastAsia" w:ascii="宋体" w:hAnsi="宋体" w:cs="仿宋"/>
                <w:b/>
                <w:bCs/>
                <w:kern w:val="0"/>
                <w:szCs w:val="21"/>
                <w:highlight w:val="none"/>
                <w:lang w:val="en-US" w:eastAsia="zh-CN"/>
              </w:rPr>
            </w:pPr>
            <w:r>
              <w:rPr>
                <w:rFonts w:hint="eastAsia" w:ascii="宋体" w:hAnsi="宋体" w:cs="宋体"/>
                <w:szCs w:val="21"/>
                <w:highlight w:val="none"/>
              </w:rPr>
              <w:t>2023年1月 1 日至本项目投标截止之日（以合同落款时间为准）投标人具有幼儿园</w:t>
            </w:r>
            <w:r>
              <w:rPr>
                <w:rFonts w:hint="eastAsia" w:ascii="宋体" w:hAnsi="宋体" w:cs="宋体"/>
                <w:szCs w:val="21"/>
                <w:highlight w:val="none"/>
                <w:lang w:eastAsia="zh-CN"/>
              </w:rPr>
              <w:t>班级幼儿</w:t>
            </w:r>
            <w:r>
              <w:rPr>
                <w:rFonts w:hint="eastAsia" w:ascii="宋体" w:hAnsi="宋体" w:cs="宋体"/>
                <w:szCs w:val="21"/>
                <w:highlight w:val="none"/>
              </w:rPr>
              <w:t xml:space="preserve">家具中标项目经验,每提供 </w:t>
            </w:r>
            <w:r>
              <w:rPr>
                <w:rFonts w:hint="eastAsia" w:ascii="宋体" w:hAnsi="宋体" w:cs="宋体"/>
                <w:szCs w:val="21"/>
                <w:highlight w:val="none"/>
                <w:lang w:val="en-US" w:eastAsia="zh-CN"/>
              </w:rPr>
              <w:t>1</w:t>
            </w:r>
            <w:r>
              <w:rPr>
                <w:rFonts w:hint="eastAsia" w:ascii="宋体" w:hAnsi="宋体" w:cs="宋体"/>
                <w:szCs w:val="21"/>
                <w:highlight w:val="none"/>
              </w:rPr>
              <w:t xml:space="preserve">个有效业绩得 </w:t>
            </w:r>
            <w:r>
              <w:rPr>
                <w:rFonts w:hint="eastAsia" w:ascii="宋体" w:hAnsi="宋体" w:cs="宋体"/>
                <w:szCs w:val="21"/>
                <w:highlight w:val="none"/>
                <w:lang w:val="en-US" w:eastAsia="zh-CN"/>
              </w:rPr>
              <w:t>34</w:t>
            </w:r>
            <w:r>
              <w:rPr>
                <w:rFonts w:hint="eastAsia" w:ascii="宋体" w:hAnsi="宋体" w:cs="宋体"/>
                <w:szCs w:val="21"/>
                <w:highlight w:val="none"/>
              </w:rPr>
              <w:t xml:space="preserve"> 分，最高得</w:t>
            </w:r>
            <w:r>
              <w:rPr>
                <w:rFonts w:hint="eastAsia" w:ascii="宋体" w:hAnsi="宋体" w:cs="宋体"/>
                <w:szCs w:val="21"/>
                <w:highlight w:val="none"/>
                <w:lang w:val="en-US" w:eastAsia="zh-CN"/>
              </w:rPr>
              <w:t>100</w:t>
            </w:r>
            <w:r>
              <w:rPr>
                <w:rFonts w:hint="eastAsia" w:ascii="宋体" w:hAnsi="宋体" w:cs="宋体"/>
                <w:szCs w:val="21"/>
                <w:highlight w:val="none"/>
              </w:rPr>
              <w:t>分，未提供的不得分。</w:t>
            </w:r>
            <w:r>
              <w:rPr>
                <w:rFonts w:hint="eastAsia" w:ascii="宋体" w:hAnsi="宋体" w:cs="仿宋"/>
                <w:b/>
                <w:bCs/>
                <w:kern w:val="0"/>
                <w:szCs w:val="21"/>
                <w:highlight w:val="none"/>
                <w:lang w:val="en-US" w:eastAsia="zh-CN"/>
              </w:rPr>
              <w:t>证明文件：</w:t>
            </w:r>
          </w:p>
          <w:p w14:paraId="6C6AB78C">
            <w:pPr>
              <w:snapToGrid w:val="0"/>
              <w:spacing w:line="300" w:lineRule="auto"/>
              <w:rPr>
                <w:rFonts w:hint="eastAsia" w:ascii="宋体" w:hAnsi="宋体" w:cs="仿宋" w:eastAsiaTheme="minorEastAsia"/>
                <w:kern w:val="0"/>
                <w:szCs w:val="21"/>
                <w:highlight w:val="none"/>
                <w:lang w:val="en-US" w:eastAsia="zh-CN"/>
              </w:rPr>
            </w:pPr>
            <w:r>
              <w:rPr>
                <w:rFonts w:hint="eastAsia" w:ascii="宋体" w:hAnsi="宋体" w:cs="宋体"/>
                <w:szCs w:val="21"/>
                <w:highlight w:val="none"/>
              </w:rPr>
              <w:t>提供中标通知书和合同关键页</w:t>
            </w:r>
            <w:r>
              <w:rPr>
                <w:rFonts w:hint="eastAsia" w:ascii="宋体" w:hAnsi="宋体" w:cs="宋体"/>
                <w:szCs w:val="21"/>
                <w:highlight w:val="none"/>
                <w:lang w:eastAsia="zh-CN"/>
              </w:rPr>
              <w:t>扫描件</w:t>
            </w:r>
            <w:r>
              <w:rPr>
                <w:rFonts w:hint="eastAsia" w:ascii="宋体" w:hAnsi="宋体" w:cs="宋体"/>
                <w:szCs w:val="21"/>
                <w:highlight w:val="none"/>
              </w:rPr>
              <w:t>，原件备查。未提供或提供的不符合要求或提供不清晰导致专家无法判断的均不得分</w:t>
            </w:r>
            <w:r>
              <w:rPr>
                <w:rFonts w:hint="eastAsia" w:ascii="宋体" w:hAnsi="宋体" w:cs="宋体"/>
                <w:szCs w:val="21"/>
                <w:highlight w:val="none"/>
                <w:lang w:eastAsia="zh-CN"/>
              </w:rPr>
              <w:t>。</w:t>
            </w:r>
          </w:p>
        </w:tc>
      </w:tr>
      <w:tr w14:paraId="24F2F7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07" w:type="dxa"/>
            <w:vMerge w:val="continue"/>
            <w:tcBorders>
              <w:left w:val="single" w:color="000000" w:sz="8" w:space="0"/>
              <w:right w:val="single" w:color="000000" w:sz="8" w:space="0"/>
            </w:tcBorders>
            <w:shd w:val="clear" w:color="auto" w:fill="FFFFFF" w:themeFill="background1"/>
            <w:vAlign w:val="center"/>
          </w:tcPr>
          <w:p w14:paraId="3E0CB5EF">
            <w:pPr>
              <w:snapToGrid w:val="0"/>
              <w:rPr>
                <w:rFonts w:hint="eastAsia" w:ascii="宋体" w:hAnsi="宋体" w:eastAsia="宋体" w:cs="宋体"/>
                <w:b/>
                <w:bCs/>
                <w:szCs w:val="21"/>
                <w:highlight w:val="none"/>
              </w:rPr>
            </w:pPr>
          </w:p>
        </w:tc>
        <w:tc>
          <w:tcPr>
            <w:tcW w:w="652"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075CD50C">
            <w:pPr>
              <w:jc w:val="center"/>
              <w:rPr>
                <w:rFonts w:hint="default" w:ascii="宋体" w:hAnsi="宋体" w:cs="宋体"/>
                <w:kern w:val="0"/>
                <w:szCs w:val="21"/>
                <w:highlight w:val="none"/>
                <w:lang w:val="en-US" w:eastAsia="zh-CN"/>
              </w:rPr>
            </w:pPr>
            <w:r>
              <w:rPr>
                <w:rFonts w:hint="eastAsia" w:ascii="宋体" w:hAnsi="宋体" w:cs="宋体"/>
                <w:kern w:val="0"/>
                <w:szCs w:val="21"/>
                <w:highlight w:val="none"/>
                <w:lang w:val="en-US" w:eastAsia="zh-CN"/>
              </w:rPr>
              <w:t>4</w:t>
            </w:r>
          </w:p>
        </w:tc>
        <w:tc>
          <w:tcPr>
            <w:tcW w:w="147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5DC0F40D">
            <w:pPr>
              <w:jc w:val="center"/>
              <w:rPr>
                <w:rFonts w:hint="eastAsia" w:ascii="宋体" w:hAnsi="宋体" w:cs="宋体"/>
                <w:kern w:val="0"/>
                <w:szCs w:val="21"/>
                <w:highlight w:val="none"/>
              </w:rPr>
            </w:pPr>
            <w:r>
              <w:rPr>
                <w:rFonts w:hint="eastAsia" w:ascii="宋体" w:hAnsi="宋体"/>
                <w:szCs w:val="21"/>
                <w:highlight w:val="none"/>
              </w:rPr>
              <w:t>履约评价情况</w:t>
            </w:r>
          </w:p>
        </w:tc>
        <w:tc>
          <w:tcPr>
            <w:tcW w:w="97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4F14C129">
            <w:pPr>
              <w:spacing w:line="240" w:lineRule="exact"/>
              <w:jc w:val="center"/>
              <w:rPr>
                <w:rFonts w:hint="eastAsia" w:ascii="宋体" w:hAnsi="宋体" w:cs="宋体"/>
                <w:kern w:val="0"/>
                <w:szCs w:val="21"/>
                <w:highlight w:val="none"/>
                <w:lang w:val="en-US" w:eastAsia="zh-CN"/>
              </w:rPr>
            </w:pPr>
            <w:r>
              <w:rPr>
                <w:rFonts w:hint="eastAsia" w:ascii="宋体" w:hAnsi="宋体"/>
                <w:szCs w:val="21"/>
                <w:highlight w:val="none"/>
              </w:rPr>
              <w:t>3</w:t>
            </w:r>
          </w:p>
        </w:tc>
        <w:tc>
          <w:tcPr>
            <w:tcW w:w="5361" w:type="dxa"/>
            <w:tcBorders>
              <w:top w:val="single" w:color="000000" w:sz="8" w:space="0"/>
              <w:left w:val="single" w:color="000000" w:sz="8" w:space="0"/>
              <w:bottom w:val="single" w:color="000000" w:sz="8" w:space="0"/>
              <w:right w:val="single" w:color="000000" w:sz="8" w:space="0"/>
            </w:tcBorders>
            <w:shd w:val="clear" w:color="auto" w:fill="FFFFFF" w:themeFill="background1"/>
            <w:vAlign w:val="top"/>
          </w:tcPr>
          <w:p w14:paraId="06A53D9B">
            <w:pPr>
              <w:snapToGrid w:val="0"/>
              <w:jc w:val="left"/>
              <w:rPr>
                <w:rFonts w:hint="eastAsia" w:ascii="宋体" w:hAnsi="宋体" w:cs="仿宋"/>
                <w:b/>
                <w:bCs/>
                <w:kern w:val="0"/>
                <w:szCs w:val="21"/>
                <w:highlight w:val="none"/>
                <w:lang w:val="en-US" w:eastAsia="zh-CN"/>
              </w:rPr>
            </w:pPr>
            <w:r>
              <w:rPr>
                <w:rFonts w:hint="eastAsia" w:ascii="宋体" w:hAnsi="宋体" w:cs="仿宋"/>
                <w:b/>
                <w:bCs/>
                <w:kern w:val="0"/>
                <w:szCs w:val="21"/>
                <w:highlight w:val="none"/>
                <w:lang w:val="en-US" w:eastAsia="zh-CN"/>
              </w:rPr>
              <w:t>考察内容：</w:t>
            </w:r>
          </w:p>
          <w:p w14:paraId="5FB315B0">
            <w:pPr>
              <w:snapToGrid w:val="0"/>
              <w:jc w:val="left"/>
              <w:rPr>
                <w:rFonts w:hint="eastAsia" w:ascii="宋体" w:hAnsi="宋体" w:cs="宋体"/>
                <w:szCs w:val="21"/>
                <w:highlight w:val="none"/>
              </w:rPr>
            </w:pPr>
            <w:r>
              <w:rPr>
                <w:rFonts w:hint="eastAsia" w:cs="宋体"/>
                <w:szCs w:val="21"/>
                <w:highlight w:val="none"/>
              </w:rPr>
              <w:t>投标人具有上述同类项目经验并经评审委员会认定为有效</w:t>
            </w:r>
            <w:r>
              <w:rPr>
                <w:rFonts w:hint="eastAsia" w:cs="宋体"/>
                <w:szCs w:val="21"/>
                <w:highlight w:val="none"/>
                <w:lang w:eastAsia="zh-CN"/>
              </w:rPr>
              <w:t>得分</w:t>
            </w:r>
            <w:r>
              <w:rPr>
                <w:rFonts w:hint="eastAsia" w:cs="宋体"/>
                <w:szCs w:val="21"/>
                <w:highlight w:val="none"/>
              </w:rPr>
              <w:t>的业绩，同时经用户单位考核评价为优或满意的同等最高评价每提供</w:t>
            </w:r>
            <w:r>
              <w:rPr>
                <w:rFonts w:hint="eastAsia" w:ascii="宋体" w:hAnsi="宋体" w:cs="宋体"/>
                <w:szCs w:val="21"/>
                <w:highlight w:val="none"/>
              </w:rPr>
              <w:t xml:space="preserve"> 1 项得 </w:t>
            </w:r>
            <w:r>
              <w:rPr>
                <w:rFonts w:hint="eastAsia" w:ascii="宋体" w:hAnsi="宋体" w:cs="宋体"/>
                <w:szCs w:val="21"/>
                <w:highlight w:val="none"/>
                <w:lang w:val="en-US" w:eastAsia="zh-CN"/>
              </w:rPr>
              <w:t>34</w:t>
            </w:r>
            <w:r>
              <w:rPr>
                <w:rFonts w:hint="eastAsia" w:ascii="宋体" w:hAnsi="宋体" w:cs="宋体"/>
                <w:szCs w:val="21"/>
                <w:highlight w:val="none"/>
              </w:rPr>
              <w:t xml:space="preserve"> 分</w:t>
            </w:r>
            <w:r>
              <w:rPr>
                <w:rFonts w:hint="eastAsia" w:cs="宋体"/>
                <w:szCs w:val="21"/>
                <w:highlight w:val="none"/>
              </w:rPr>
              <w:t>，</w:t>
            </w:r>
            <w:r>
              <w:rPr>
                <w:rFonts w:hint="eastAsia" w:ascii="宋体" w:hAnsi="宋体" w:cs="宋体"/>
                <w:szCs w:val="21"/>
                <w:highlight w:val="none"/>
              </w:rPr>
              <w:t xml:space="preserve">满分 </w:t>
            </w:r>
            <w:r>
              <w:rPr>
                <w:rFonts w:hint="eastAsia" w:ascii="宋体" w:hAnsi="宋体" w:cs="宋体"/>
                <w:szCs w:val="21"/>
                <w:highlight w:val="none"/>
                <w:lang w:val="en-US" w:eastAsia="zh-CN"/>
              </w:rPr>
              <w:t>100</w:t>
            </w:r>
            <w:r>
              <w:rPr>
                <w:rFonts w:hint="eastAsia" w:ascii="宋体" w:hAnsi="宋体" w:cs="宋体"/>
                <w:szCs w:val="21"/>
                <w:highlight w:val="none"/>
              </w:rPr>
              <w:t>分。</w:t>
            </w:r>
          </w:p>
          <w:p w14:paraId="1D4CC092">
            <w:pPr>
              <w:snapToGrid w:val="0"/>
              <w:jc w:val="left"/>
              <w:rPr>
                <w:rFonts w:hint="eastAsia" w:ascii="宋体" w:hAnsi="宋体" w:cs="仿宋"/>
                <w:b/>
                <w:bCs/>
                <w:kern w:val="0"/>
                <w:szCs w:val="21"/>
                <w:highlight w:val="none"/>
                <w:lang w:val="en-US" w:eastAsia="zh-CN"/>
              </w:rPr>
            </w:pPr>
            <w:r>
              <w:rPr>
                <w:rFonts w:hint="eastAsia" w:ascii="宋体" w:hAnsi="宋体" w:cs="仿宋"/>
                <w:b/>
                <w:bCs/>
                <w:kern w:val="0"/>
                <w:szCs w:val="21"/>
                <w:highlight w:val="none"/>
                <w:lang w:val="en-US" w:eastAsia="zh-CN"/>
              </w:rPr>
              <w:t>证明文件：</w:t>
            </w:r>
          </w:p>
          <w:p w14:paraId="2AE7335A">
            <w:pPr>
              <w:snapToGrid w:val="0"/>
              <w:spacing w:line="300" w:lineRule="auto"/>
              <w:rPr>
                <w:rFonts w:hint="eastAsia" w:ascii="宋体" w:hAnsi="宋体" w:cs="仿宋" w:eastAsiaTheme="minorEastAsia"/>
                <w:kern w:val="0"/>
                <w:szCs w:val="21"/>
                <w:highlight w:val="none"/>
                <w:lang w:val="en-US" w:eastAsia="zh-CN"/>
              </w:rPr>
            </w:pPr>
            <w:r>
              <w:rPr>
                <w:rFonts w:hint="eastAsia" w:ascii="宋体" w:hAnsi="宋体" w:cs="宋体"/>
                <w:szCs w:val="21"/>
                <w:highlight w:val="none"/>
              </w:rPr>
              <w:t>提供盖有用户单位公章的履约评价扫描件，</w:t>
            </w:r>
            <w:r>
              <w:rPr>
                <w:rFonts w:hint="eastAsia" w:cs="宋体"/>
                <w:szCs w:val="21"/>
                <w:highlight w:val="none"/>
              </w:rPr>
              <w:t>原件备查。不提供或提供的不符合要求或提供不清晰导致专家无法判断的均不得分。</w:t>
            </w:r>
          </w:p>
        </w:tc>
      </w:tr>
      <w:tr w14:paraId="3E02357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07" w:type="dxa"/>
            <w:vMerge w:val="restart"/>
            <w:tcBorders>
              <w:top w:val="single" w:color="000000" w:sz="8" w:space="0"/>
              <w:left w:val="single" w:color="000000" w:sz="8" w:space="0"/>
              <w:bottom w:val="single" w:color="000000" w:sz="8" w:space="0"/>
              <w:right w:val="single" w:color="000000" w:sz="8" w:space="0"/>
            </w:tcBorders>
            <w:shd w:val="clear" w:color="auto" w:fill="FFFFFF" w:themeFill="background1"/>
          </w:tcPr>
          <w:p w14:paraId="23086447">
            <w:pPr>
              <w:snapToGrid w:val="0"/>
              <w:jc w:val="center"/>
              <w:rPr>
                <w:rFonts w:hint="eastAsia" w:ascii="宋体" w:hAnsi="宋体" w:eastAsia="宋体" w:cs="宋体"/>
                <w:b/>
                <w:bCs/>
                <w:szCs w:val="21"/>
                <w:highlight w:val="none"/>
              </w:rPr>
            </w:pPr>
            <w:r>
              <w:rPr>
                <w:rFonts w:hint="eastAsia" w:ascii="宋体" w:hAnsi="宋体" w:eastAsia="宋体" w:cs="宋体"/>
                <w:b/>
                <w:bCs/>
                <w:szCs w:val="21"/>
                <w:highlight w:val="none"/>
              </w:rPr>
              <w:t>4</w:t>
            </w:r>
          </w:p>
        </w:tc>
        <w:tc>
          <w:tcPr>
            <w:tcW w:w="3104" w:type="dxa"/>
            <w:gridSpan w:val="3"/>
            <w:tcBorders>
              <w:top w:val="single" w:color="000000" w:sz="8" w:space="0"/>
              <w:left w:val="single" w:color="000000" w:sz="8" w:space="0"/>
              <w:bottom w:val="single" w:color="000000" w:sz="8" w:space="0"/>
              <w:right w:val="single" w:color="000000" w:sz="8" w:space="0"/>
            </w:tcBorders>
            <w:shd w:val="clear" w:color="auto" w:fill="FFFFFF" w:themeFill="background1"/>
          </w:tcPr>
          <w:p w14:paraId="0E773059">
            <w:pPr>
              <w:snapToGrid w:val="0"/>
              <w:jc w:val="center"/>
              <w:rPr>
                <w:rFonts w:hint="eastAsia" w:ascii="宋体" w:hAnsi="宋体" w:eastAsia="宋体" w:cs="宋体"/>
                <w:b/>
                <w:bCs/>
                <w:szCs w:val="21"/>
                <w:highlight w:val="none"/>
              </w:rPr>
            </w:pPr>
            <w:r>
              <w:rPr>
                <w:rFonts w:hint="eastAsia" w:ascii="宋体" w:hAnsi="宋体" w:eastAsia="宋体" w:cs="宋体"/>
                <w:b/>
                <w:bCs/>
                <w:szCs w:val="21"/>
                <w:highlight w:val="none"/>
              </w:rPr>
              <w:t>其他部分</w:t>
            </w:r>
          </w:p>
        </w:tc>
        <w:tc>
          <w:tcPr>
            <w:tcW w:w="5361" w:type="dxa"/>
            <w:tcBorders>
              <w:top w:val="single" w:color="000000" w:sz="8" w:space="0"/>
              <w:left w:val="single" w:color="000000" w:sz="8" w:space="0"/>
              <w:bottom w:val="single" w:color="000000" w:sz="8" w:space="0"/>
              <w:right w:val="single" w:color="000000" w:sz="8" w:space="0"/>
            </w:tcBorders>
            <w:shd w:val="clear" w:color="auto" w:fill="FFFFFF" w:themeFill="background1"/>
          </w:tcPr>
          <w:p w14:paraId="192C2A2C">
            <w:pPr>
              <w:snapToGrid w:val="0"/>
              <w:jc w:val="center"/>
              <w:rPr>
                <w:rFonts w:hint="eastAsia" w:ascii="宋体" w:hAnsi="宋体" w:eastAsia="宋体" w:cs="宋体"/>
                <w:b/>
                <w:bCs/>
                <w:szCs w:val="21"/>
                <w:highlight w:val="none"/>
              </w:rPr>
            </w:pPr>
            <w:r>
              <w:rPr>
                <w:rFonts w:hint="eastAsia" w:ascii="宋体" w:hAnsi="宋体" w:eastAsia="宋体" w:cs="宋体"/>
                <w:b/>
                <w:bCs/>
                <w:szCs w:val="21"/>
                <w:highlight w:val="none"/>
              </w:rPr>
              <w:t>5</w:t>
            </w:r>
          </w:p>
        </w:tc>
      </w:tr>
      <w:tr w14:paraId="78209A3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07"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0269EB20">
            <w:pPr>
              <w:snapToGrid w:val="0"/>
              <w:rPr>
                <w:rFonts w:hint="eastAsia" w:ascii="宋体" w:hAnsi="宋体" w:eastAsia="宋体" w:cs="宋体"/>
                <w:b/>
                <w:bCs/>
                <w:szCs w:val="21"/>
                <w:highlight w:val="none"/>
              </w:rPr>
            </w:pPr>
          </w:p>
        </w:tc>
        <w:tc>
          <w:tcPr>
            <w:tcW w:w="652"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14:paraId="4A64BD94">
            <w:pPr>
              <w:snapToGrid w:val="0"/>
              <w:jc w:val="center"/>
              <w:rPr>
                <w:rFonts w:hint="eastAsia" w:ascii="宋体" w:hAnsi="宋体" w:eastAsia="宋体" w:cs="宋体"/>
                <w:szCs w:val="21"/>
                <w:highlight w:val="none"/>
              </w:rPr>
            </w:pPr>
            <w:r>
              <w:rPr>
                <w:rFonts w:hint="eastAsia" w:ascii="宋体" w:hAnsi="宋体" w:eastAsia="宋体" w:cs="宋体"/>
                <w:szCs w:val="21"/>
                <w:highlight w:val="none"/>
              </w:rPr>
              <w:t>序号</w:t>
            </w:r>
          </w:p>
        </w:tc>
        <w:tc>
          <w:tcPr>
            <w:tcW w:w="1473"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14:paraId="7B3E0E28">
            <w:pPr>
              <w:snapToGrid w:val="0"/>
              <w:jc w:val="center"/>
              <w:rPr>
                <w:rFonts w:hint="eastAsia" w:ascii="宋体" w:hAnsi="宋体" w:eastAsia="宋体" w:cs="宋体"/>
                <w:szCs w:val="21"/>
                <w:highlight w:val="none"/>
              </w:rPr>
            </w:pPr>
            <w:r>
              <w:rPr>
                <w:rFonts w:hint="eastAsia" w:ascii="宋体" w:hAnsi="宋体" w:eastAsia="宋体" w:cs="宋体"/>
                <w:szCs w:val="21"/>
                <w:highlight w:val="none"/>
              </w:rPr>
              <w:t>评分因素</w:t>
            </w:r>
          </w:p>
        </w:tc>
        <w:tc>
          <w:tcPr>
            <w:tcW w:w="979"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14:paraId="4114A384">
            <w:pPr>
              <w:snapToGrid w:val="0"/>
              <w:jc w:val="center"/>
              <w:rPr>
                <w:rFonts w:hint="eastAsia" w:ascii="宋体" w:hAnsi="宋体" w:eastAsia="宋体" w:cs="宋体"/>
                <w:szCs w:val="21"/>
                <w:highlight w:val="none"/>
              </w:rPr>
            </w:pPr>
            <w:r>
              <w:rPr>
                <w:rFonts w:hint="eastAsia" w:ascii="宋体" w:hAnsi="宋体" w:eastAsia="宋体" w:cs="宋体"/>
                <w:szCs w:val="21"/>
                <w:highlight w:val="none"/>
              </w:rPr>
              <w:t>权重</w:t>
            </w:r>
            <w:r>
              <w:rPr>
                <w:rFonts w:hint="eastAsia" w:ascii="宋体" w:hAnsi="宋体" w:eastAsia="宋体" w:cs="宋体"/>
                <w:bCs/>
                <w:szCs w:val="21"/>
                <w:highlight w:val="none"/>
              </w:rPr>
              <w:t>（%）</w:t>
            </w:r>
          </w:p>
        </w:tc>
        <w:tc>
          <w:tcPr>
            <w:tcW w:w="5361" w:type="dxa"/>
            <w:tcBorders>
              <w:top w:val="outset" w:color="000000" w:sz="6" w:space="0"/>
              <w:left w:val="outset" w:color="000000" w:sz="6" w:space="0"/>
              <w:bottom w:val="outset" w:color="000000" w:sz="6" w:space="0"/>
              <w:right w:val="outset" w:color="000000" w:sz="6" w:space="0"/>
            </w:tcBorders>
            <w:shd w:val="clear" w:color="auto" w:fill="FFFFFF" w:themeFill="background1"/>
            <w:vAlign w:val="center"/>
          </w:tcPr>
          <w:p w14:paraId="08EB75AE">
            <w:pPr>
              <w:snapToGrid w:val="0"/>
              <w:jc w:val="center"/>
              <w:rPr>
                <w:rFonts w:hint="eastAsia" w:ascii="宋体" w:hAnsi="宋体" w:eastAsia="宋体" w:cs="宋体"/>
                <w:szCs w:val="21"/>
                <w:highlight w:val="none"/>
              </w:rPr>
            </w:pPr>
            <w:r>
              <w:rPr>
                <w:rFonts w:hint="eastAsia" w:ascii="宋体" w:hAnsi="宋体" w:eastAsia="宋体" w:cs="宋体"/>
                <w:szCs w:val="21"/>
                <w:highlight w:val="none"/>
              </w:rPr>
              <w:t>评分准则</w:t>
            </w:r>
          </w:p>
        </w:tc>
      </w:tr>
      <w:tr w14:paraId="5E10B6A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jc w:val="center"/>
        </w:trPr>
        <w:tc>
          <w:tcPr>
            <w:tcW w:w="607" w:type="dxa"/>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47D43E5">
            <w:pPr>
              <w:snapToGrid w:val="0"/>
              <w:rPr>
                <w:rFonts w:hint="eastAsia" w:ascii="宋体" w:hAnsi="宋体" w:eastAsia="宋体" w:cs="宋体"/>
                <w:b/>
                <w:bCs/>
                <w:szCs w:val="21"/>
                <w:highlight w:val="none"/>
              </w:rPr>
            </w:pPr>
          </w:p>
        </w:tc>
        <w:tc>
          <w:tcPr>
            <w:tcW w:w="652"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01CD7042">
            <w:pPr>
              <w:snapToGrid w:val="0"/>
              <w:jc w:val="center"/>
              <w:rPr>
                <w:rFonts w:hint="eastAsia" w:ascii="宋体" w:hAnsi="宋体" w:eastAsia="宋体" w:cs="宋体"/>
                <w:szCs w:val="21"/>
                <w:highlight w:val="none"/>
              </w:rPr>
            </w:pPr>
            <w:r>
              <w:rPr>
                <w:rFonts w:hint="eastAsia" w:ascii="宋体" w:hAnsi="宋体" w:eastAsia="宋体" w:cs="宋体"/>
                <w:szCs w:val="21"/>
                <w:highlight w:val="none"/>
              </w:rPr>
              <w:t>1</w:t>
            </w:r>
          </w:p>
        </w:tc>
        <w:tc>
          <w:tcPr>
            <w:tcW w:w="147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52F93803">
            <w:pPr>
              <w:snapToGrid w:val="0"/>
              <w:jc w:val="center"/>
              <w:rPr>
                <w:rFonts w:hint="eastAsia" w:ascii="宋体" w:hAnsi="宋体" w:eastAsia="宋体" w:cs="宋体"/>
                <w:szCs w:val="21"/>
                <w:highlight w:val="none"/>
              </w:rPr>
            </w:pPr>
            <w:r>
              <w:rPr>
                <w:rFonts w:hint="eastAsia" w:ascii="宋体" w:hAnsi="宋体" w:eastAsia="宋体" w:cs="宋体"/>
                <w:szCs w:val="21"/>
                <w:highlight w:val="none"/>
              </w:rPr>
              <w:t>诚信情况</w:t>
            </w:r>
          </w:p>
        </w:tc>
        <w:tc>
          <w:tcPr>
            <w:tcW w:w="97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14:paraId="770EEE9C">
            <w:pPr>
              <w:snapToGrid w:val="0"/>
              <w:jc w:val="center"/>
              <w:rPr>
                <w:rFonts w:hint="eastAsia" w:ascii="宋体" w:hAnsi="宋体" w:eastAsia="宋体" w:cs="宋体"/>
                <w:szCs w:val="21"/>
                <w:highlight w:val="none"/>
              </w:rPr>
            </w:pPr>
            <w:r>
              <w:rPr>
                <w:rFonts w:hint="eastAsia" w:ascii="宋体" w:hAnsi="宋体" w:eastAsia="宋体" w:cs="宋体"/>
                <w:szCs w:val="21"/>
                <w:highlight w:val="none"/>
              </w:rPr>
              <w:t>5</w:t>
            </w:r>
          </w:p>
        </w:tc>
        <w:tc>
          <w:tcPr>
            <w:tcW w:w="5361" w:type="dxa"/>
            <w:tcBorders>
              <w:top w:val="single" w:color="000000" w:sz="8" w:space="0"/>
              <w:left w:val="single" w:color="000000" w:sz="8" w:space="0"/>
              <w:bottom w:val="single" w:color="000000" w:sz="8" w:space="0"/>
              <w:right w:val="single" w:color="000000" w:sz="8" w:space="0"/>
            </w:tcBorders>
            <w:shd w:val="clear" w:color="auto" w:fill="FFFFFF" w:themeFill="background1"/>
          </w:tcPr>
          <w:p w14:paraId="1AB0C56D">
            <w:pPr>
              <w:pStyle w:val="9"/>
              <w:wordWrap w:val="0"/>
              <w:spacing w:line="240" w:lineRule="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投标人存在《深圳市财政局政府采购供应商信用信息管理办法》（深财规〔2023〕3号）列明的一般行政处罚信息、一般违法失信记录信息的，本项不得分，不存在上述情形的本项得100分。投标人无需提供任何证明材料，评标过程中由工作人员向评审委员会提供有关供应商诚信查询结果。</w:t>
            </w:r>
          </w:p>
          <w:p w14:paraId="4A43E415">
            <w:pPr>
              <w:pStyle w:val="9"/>
              <w:wordWrap w:val="0"/>
              <w:spacing w:line="240" w:lineRule="auto"/>
              <w:rPr>
                <w:rFonts w:hint="eastAsia" w:ascii="宋体" w:hAnsi="宋体" w:eastAsia="宋体" w:cs="宋体"/>
                <w:b w:val="0"/>
                <w:bCs w:val="0"/>
                <w:kern w:val="2"/>
                <w:sz w:val="21"/>
                <w:szCs w:val="21"/>
                <w:highlight w:val="none"/>
                <w:lang w:val="en-US" w:eastAsia="zh-CN" w:bidi="ar-SA"/>
              </w:rPr>
            </w:pPr>
            <w:r>
              <w:rPr>
                <w:rFonts w:hint="eastAsia" w:ascii="宋体" w:hAnsi="宋体" w:eastAsia="宋体" w:cs="宋体"/>
                <w:b w:val="0"/>
                <w:bCs w:val="0"/>
                <w:kern w:val="2"/>
                <w:sz w:val="21"/>
                <w:szCs w:val="21"/>
                <w:highlight w:val="none"/>
                <w:lang w:val="en-US" w:eastAsia="zh-CN" w:bidi="ar-SA"/>
              </w:rPr>
              <w:t>查询渠道：通过“信用中国”（www.creditchina.gov.cn，下载信用信息报告）、“中国政府采购网”（www.ccgp.gov.cn）、以及“深圳市政府采购监管网”（http://zfcg.sz.gov.cn）查询供应商信用信息，信用信息以开标当日的查询结果为准。</w:t>
            </w:r>
          </w:p>
        </w:tc>
      </w:tr>
    </w:tbl>
    <w:p w14:paraId="05DFEBD4">
      <w:pPr>
        <w:jc w:val="center"/>
        <w:rPr>
          <w:b/>
          <w:sz w:val="120"/>
          <w:szCs w:val="120"/>
        </w:rPr>
      </w:pPr>
    </w:p>
    <w:p w14:paraId="34915A07">
      <w:pPr>
        <w:pStyle w:val="9"/>
        <w:rPr>
          <w:rFonts w:hint="eastAsia"/>
          <w:b/>
          <w:sz w:val="120"/>
          <w:szCs w:val="120"/>
        </w:rPr>
      </w:pPr>
    </w:p>
    <w:p w14:paraId="12902AF1">
      <w:pPr>
        <w:pStyle w:val="9"/>
        <w:rPr>
          <w:rFonts w:hint="eastAsia"/>
          <w:b/>
          <w:sz w:val="120"/>
          <w:szCs w:val="120"/>
        </w:rPr>
      </w:pPr>
    </w:p>
    <w:p w14:paraId="13BEC48A">
      <w:pPr>
        <w:jc w:val="center"/>
        <w:rPr>
          <w:b/>
          <w:sz w:val="120"/>
          <w:szCs w:val="120"/>
        </w:rPr>
      </w:pPr>
      <w:r>
        <w:rPr>
          <w:rFonts w:hint="eastAsia"/>
          <w:b/>
          <w:sz w:val="120"/>
          <w:szCs w:val="120"/>
        </w:rPr>
        <w:t>自行采购</w:t>
      </w:r>
    </w:p>
    <w:p w14:paraId="59A58787">
      <w:pPr>
        <w:jc w:val="center"/>
        <w:rPr>
          <w:b/>
          <w:sz w:val="120"/>
          <w:szCs w:val="120"/>
        </w:rPr>
      </w:pPr>
      <w:r>
        <w:rPr>
          <w:rFonts w:hint="eastAsia"/>
          <w:b/>
          <w:sz w:val="120"/>
          <w:szCs w:val="120"/>
        </w:rPr>
        <w:t>招标文件</w:t>
      </w:r>
    </w:p>
    <w:p w14:paraId="501CB863">
      <w:pPr>
        <w:jc w:val="center"/>
        <w:rPr>
          <w:b/>
          <w:sz w:val="52"/>
          <w:szCs w:val="52"/>
        </w:rPr>
      </w:pPr>
      <w:r>
        <w:rPr>
          <w:rFonts w:hint="eastAsia"/>
          <w:b/>
          <w:sz w:val="52"/>
          <w:szCs w:val="52"/>
        </w:rPr>
        <w:t>（货物类）</w:t>
      </w:r>
    </w:p>
    <w:p w14:paraId="12EB1028"/>
    <w:p w14:paraId="7C6B3C1F"/>
    <w:p w14:paraId="7B0B9129"/>
    <w:p w14:paraId="4B182477"/>
    <w:p w14:paraId="68A6CE36"/>
    <w:p w14:paraId="2590481D"/>
    <w:p w14:paraId="37FD1DC9"/>
    <w:p w14:paraId="3C5EF1A2"/>
    <w:p w14:paraId="4221237C"/>
    <w:p w14:paraId="65CBFD11"/>
    <w:p w14:paraId="1F7F9881"/>
    <w:p w14:paraId="46583B93"/>
    <w:p w14:paraId="6F4ECE61">
      <w:pPr>
        <w:jc w:val="center"/>
        <w:rPr>
          <w:b/>
          <w:sz w:val="44"/>
          <w:szCs w:val="44"/>
        </w:rPr>
      </w:pPr>
      <w:r>
        <w:rPr>
          <w:rFonts w:hint="eastAsia" w:ascii="宋体" w:hAnsi="宋体"/>
          <w:b/>
          <w:sz w:val="44"/>
          <w:szCs w:val="44"/>
        </w:rPr>
        <w:t>深圳公共资源交易中心</w:t>
      </w:r>
    </w:p>
    <w:p w14:paraId="3F3DA40D">
      <w:pPr>
        <w:jc w:val="center"/>
        <w:rPr>
          <w:b/>
          <w:sz w:val="44"/>
          <w:szCs w:val="44"/>
        </w:rPr>
      </w:pPr>
      <w:r>
        <w:rPr>
          <w:rFonts w:hint="eastAsia" w:ascii="宋体" w:hAnsi="宋体"/>
          <w:b/>
          <w:sz w:val="44"/>
          <w:szCs w:val="44"/>
        </w:rPr>
        <w:t>（</w:t>
      </w:r>
      <w:r>
        <w:rPr>
          <w:b/>
          <w:sz w:val="44"/>
          <w:szCs w:val="44"/>
        </w:rPr>
        <w:t>20</w:t>
      </w:r>
      <w:r>
        <w:rPr>
          <w:rFonts w:hint="eastAsia"/>
          <w:b/>
          <w:sz w:val="44"/>
          <w:szCs w:val="44"/>
        </w:rPr>
        <w:t>24</w:t>
      </w:r>
      <w:r>
        <w:rPr>
          <w:rFonts w:hint="eastAsia" w:ascii="宋体" w:hAnsi="宋体"/>
          <w:b/>
          <w:sz w:val="44"/>
          <w:szCs w:val="44"/>
        </w:rPr>
        <w:t>）</w:t>
      </w:r>
    </w:p>
    <w:p w14:paraId="26AE1923">
      <w:pPr>
        <w:ind w:firstLine="6786" w:firstLineChars="1300"/>
        <w:jc w:val="center"/>
        <w:rPr>
          <w:bCs/>
          <w:color w:val="FF0000"/>
        </w:rPr>
      </w:pPr>
      <w:r>
        <w:rPr>
          <w:rFonts w:hint="eastAsia"/>
          <w:b/>
          <w:color w:val="FF0000"/>
          <w:sz w:val="52"/>
          <w:szCs w:val="52"/>
        </w:rPr>
        <w:br w:type="page"/>
      </w:r>
    </w:p>
    <w:p w14:paraId="72FBB3BD">
      <w:pPr>
        <w:snapToGrid w:val="0"/>
        <w:spacing w:line="360" w:lineRule="exact"/>
        <w:jc w:val="left"/>
        <w:rPr>
          <w:rFonts w:hint="eastAsia" w:ascii="宋体" w:hAnsi="宋体" w:eastAsia="宋体" w:cs="宋体"/>
          <w:color w:val="000000"/>
          <w:kern w:val="0"/>
          <w:sz w:val="24"/>
          <w:szCs w:val="24"/>
        </w:rPr>
      </w:pPr>
    </w:p>
    <w:p w14:paraId="7DBA14F2">
      <w:pPr>
        <w:snapToGrid w:val="0"/>
        <w:spacing w:line="360" w:lineRule="exact"/>
        <w:jc w:val="left"/>
        <w:rPr>
          <w:rFonts w:hint="eastAsia" w:ascii="宋体" w:hAnsi="宋体" w:eastAsia="宋体" w:cs="宋体"/>
          <w:color w:val="000000"/>
          <w:kern w:val="0"/>
          <w:sz w:val="24"/>
          <w:szCs w:val="24"/>
        </w:rPr>
      </w:pPr>
    </w:p>
    <w:p w14:paraId="1EB1DEEA">
      <w:pPr>
        <w:snapToGrid w:val="0"/>
        <w:spacing w:line="360" w:lineRule="exact"/>
        <w:jc w:val="left"/>
        <w:rPr>
          <w:rFonts w:hint="eastAsia" w:ascii="宋体" w:hAnsi="宋体" w:eastAsia="宋体" w:cs="宋体"/>
          <w:color w:val="000000"/>
          <w:kern w:val="0"/>
          <w:sz w:val="24"/>
          <w:szCs w:val="24"/>
        </w:rPr>
      </w:pPr>
    </w:p>
    <w:p w14:paraId="0A197B93">
      <w:pPr>
        <w:jc w:val="center"/>
        <w:outlineLvl w:val="0"/>
        <w:rPr>
          <w:rFonts w:ascii="Arial" w:hAnsi="Arial" w:eastAsia="宋体" w:cs="Times New Roman"/>
          <w:b/>
          <w:bCs/>
          <w:kern w:val="44"/>
          <w:sz w:val="32"/>
          <w:szCs w:val="32"/>
        </w:rPr>
      </w:pPr>
      <w:r>
        <w:rPr>
          <w:rFonts w:hint="eastAsia" w:ascii="Arial" w:hAnsi="Arial" w:eastAsia="宋体" w:cs="Times New Roman"/>
          <w:b/>
          <w:bCs/>
          <w:kern w:val="44"/>
          <w:sz w:val="32"/>
          <w:szCs w:val="32"/>
        </w:rPr>
        <w:t>目   录</w:t>
      </w:r>
    </w:p>
    <w:p w14:paraId="0184A4A2">
      <w:pPr>
        <w:rPr>
          <w:b/>
          <w:sz w:val="24"/>
          <w:szCs w:val="24"/>
        </w:rPr>
      </w:pPr>
      <w:r>
        <w:rPr>
          <w:rFonts w:hint="eastAsia"/>
          <w:b/>
          <w:sz w:val="24"/>
          <w:szCs w:val="24"/>
        </w:rPr>
        <w:t>第一册  专用条款</w:t>
      </w:r>
    </w:p>
    <w:p w14:paraId="14244BE1">
      <w:pPr>
        <w:ind w:left="630" w:leftChars="300" w:firstLine="411" w:firstLineChars="196"/>
        <w:rPr>
          <w:rFonts w:hint="eastAsia" w:ascii="宋体" w:hAnsi="宋体"/>
          <w:szCs w:val="21"/>
        </w:rPr>
      </w:pPr>
      <w:r>
        <w:rPr>
          <w:rFonts w:hint="eastAsia" w:ascii="宋体" w:hAnsi="宋体"/>
          <w:szCs w:val="21"/>
        </w:rPr>
        <w:tab/>
      </w:r>
      <w:r>
        <w:rPr>
          <w:rFonts w:hint="eastAsia" w:ascii="宋体" w:hAnsi="宋体"/>
          <w:szCs w:val="21"/>
        </w:rPr>
        <w:t>关键信息</w:t>
      </w:r>
    </w:p>
    <w:p w14:paraId="2DA8F147">
      <w:pPr>
        <w:ind w:left="630" w:leftChars="300" w:firstLine="411" w:firstLineChars="196"/>
        <w:rPr>
          <w:rFonts w:hint="eastAsia" w:ascii="宋体" w:hAnsi="宋体"/>
          <w:szCs w:val="21"/>
        </w:rPr>
      </w:pPr>
      <w:r>
        <w:rPr>
          <w:rFonts w:hint="eastAsia" w:ascii="宋体" w:hAnsi="宋体"/>
          <w:szCs w:val="21"/>
        </w:rPr>
        <w:t>第一章  招标公告</w:t>
      </w:r>
    </w:p>
    <w:p w14:paraId="5F12086A">
      <w:pPr>
        <w:ind w:left="630" w:leftChars="300" w:firstLine="411" w:firstLineChars="196"/>
        <w:rPr>
          <w:rFonts w:hint="eastAsia" w:ascii="宋体" w:hAnsi="宋体"/>
          <w:szCs w:val="21"/>
        </w:rPr>
      </w:pPr>
      <w:r>
        <w:rPr>
          <w:rFonts w:hint="eastAsia" w:ascii="宋体" w:hAnsi="宋体"/>
          <w:szCs w:val="21"/>
        </w:rPr>
        <w:t>第二章  对通用条款的补充内容及其他关键信息</w:t>
      </w:r>
    </w:p>
    <w:p w14:paraId="6319DCF4">
      <w:pPr>
        <w:ind w:left="630" w:leftChars="300" w:firstLine="411" w:firstLineChars="196"/>
        <w:rPr>
          <w:rFonts w:hint="eastAsia" w:ascii="宋体" w:hAnsi="宋体"/>
          <w:szCs w:val="21"/>
        </w:rPr>
      </w:pPr>
      <w:r>
        <w:rPr>
          <w:rFonts w:hint="eastAsia" w:ascii="宋体" w:hAnsi="宋体"/>
          <w:szCs w:val="21"/>
        </w:rPr>
        <w:t xml:space="preserve">第三章 </w:t>
      </w:r>
      <w:r>
        <w:rPr>
          <w:rFonts w:ascii="宋体" w:hAnsi="宋体"/>
          <w:szCs w:val="21"/>
        </w:rPr>
        <w:t xml:space="preserve"> </w:t>
      </w:r>
      <w:r>
        <w:rPr>
          <w:rFonts w:hint="eastAsia" w:ascii="宋体" w:hAnsi="宋体"/>
          <w:szCs w:val="21"/>
        </w:rPr>
        <w:t>用户需求书</w:t>
      </w:r>
    </w:p>
    <w:p w14:paraId="1DA34C90">
      <w:pPr>
        <w:ind w:left="630" w:leftChars="300" w:firstLine="411" w:firstLineChars="196"/>
        <w:rPr>
          <w:rFonts w:hint="eastAsia" w:ascii="宋体" w:hAnsi="宋体"/>
          <w:szCs w:val="21"/>
        </w:rPr>
      </w:pPr>
      <w:r>
        <w:rPr>
          <w:rFonts w:hint="eastAsia" w:ascii="宋体" w:hAnsi="宋体"/>
          <w:szCs w:val="21"/>
        </w:rPr>
        <w:t xml:space="preserve">第四章 </w:t>
      </w:r>
      <w:r>
        <w:rPr>
          <w:rFonts w:ascii="宋体" w:hAnsi="宋体"/>
          <w:szCs w:val="21"/>
        </w:rPr>
        <w:t xml:space="preserve"> </w:t>
      </w:r>
      <w:r>
        <w:rPr>
          <w:rFonts w:hint="eastAsia" w:ascii="宋体" w:hAnsi="宋体"/>
          <w:szCs w:val="21"/>
        </w:rPr>
        <w:t>投标文件组成要求及格式</w:t>
      </w:r>
    </w:p>
    <w:p w14:paraId="33EFDBC7">
      <w:pPr>
        <w:ind w:left="630" w:leftChars="300" w:firstLine="411" w:firstLineChars="196"/>
        <w:rPr>
          <w:rFonts w:hint="eastAsia" w:ascii="宋体" w:hAnsi="宋体"/>
          <w:szCs w:val="21"/>
        </w:rPr>
      </w:pPr>
      <w:r>
        <w:rPr>
          <w:rFonts w:hint="eastAsia" w:ascii="宋体" w:hAnsi="宋体"/>
          <w:szCs w:val="21"/>
        </w:rPr>
        <w:t>第五章  合同条款及格式</w:t>
      </w:r>
    </w:p>
    <w:p w14:paraId="45D703F0">
      <w:pPr>
        <w:rPr>
          <w:b/>
          <w:sz w:val="24"/>
        </w:rPr>
      </w:pPr>
    </w:p>
    <w:p w14:paraId="269250C1">
      <w:pPr>
        <w:rPr>
          <w:b/>
          <w:sz w:val="24"/>
          <w:szCs w:val="24"/>
        </w:rPr>
      </w:pPr>
      <w:r>
        <w:rPr>
          <w:rFonts w:hint="eastAsia"/>
          <w:b/>
          <w:sz w:val="24"/>
          <w:szCs w:val="24"/>
        </w:rPr>
        <w:t>第二册  通用条款</w:t>
      </w:r>
    </w:p>
    <w:p w14:paraId="19BA99E4">
      <w:pPr>
        <w:ind w:left="630" w:leftChars="300" w:firstLine="411" w:firstLineChars="196"/>
        <w:rPr>
          <w:rFonts w:hint="eastAsia" w:ascii="宋体" w:hAnsi="宋体"/>
          <w:szCs w:val="21"/>
        </w:rPr>
      </w:pPr>
      <w:r>
        <w:rPr>
          <w:rFonts w:hint="eastAsia" w:ascii="宋体" w:hAnsi="宋体"/>
          <w:szCs w:val="21"/>
        </w:rPr>
        <w:t>第一章  总则</w:t>
      </w:r>
    </w:p>
    <w:p w14:paraId="2114D5AD">
      <w:pPr>
        <w:ind w:left="630" w:leftChars="300" w:firstLine="411" w:firstLineChars="196"/>
        <w:rPr>
          <w:rFonts w:hint="eastAsia" w:ascii="宋体" w:hAnsi="宋体"/>
          <w:szCs w:val="21"/>
        </w:rPr>
      </w:pPr>
      <w:r>
        <w:rPr>
          <w:rFonts w:hint="eastAsia" w:ascii="宋体" w:hAnsi="宋体"/>
          <w:szCs w:val="21"/>
        </w:rPr>
        <w:t>第二章  招标文件</w:t>
      </w:r>
    </w:p>
    <w:p w14:paraId="7C321730">
      <w:pPr>
        <w:ind w:left="630" w:leftChars="300" w:firstLine="411" w:firstLineChars="196"/>
        <w:rPr>
          <w:rFonts w:hint="eastAsia" w:ascii="宋体" w:hAnsi="宋体"/>
          <w:szCs w:val="21"/>
        </w:rPr>
      </w:pPr>
      <w:r>
        <w:rPr>
          <w:rFonts w:hint="eastAsia" w:ascii="宋体" w:hAnsi="宋体"/>
          <w:szCs w:val="21"/>
        </w:rPr>
        <w:t>第三章  投标文件的编制</w:t>
      </w:r>
    </w:p>
    <w:p w14:paraId="6F4C6817">
      <w:pPr>
        <w:ind w:left="630" w:leftChars="300" w:firstLine="411" w:firstLineChars="196"/>
        <w:rPr>
          <w:rFonts w:hint="eastAsia" w:ascii="宋体" w:hAnsi="宋体"/>
          <w:szCs w:val="21"/>
        </w:rPr>
      </w:pPr>
      <w:r>
        <w:rPr>
          <w:rFonts w:hint="eastAsia" w:ascii="宋体" w:hAnsi="宋体"/>
          <w:szCs w:val="21"/>
        </w:rPr>
        <w:t>第四章  投标文件的递交</w:t>
      </w:r>
    </w:p>
    <w:p w14:paraId="48FDA847">
      <w:pPr>
        <w:ind w:left="630" w:leftChars="300" w:firstLine="411" w:firstLineChars="196"/>
        <w:rPr>
          <w:rFonts w:hint="eastAsia" w:ascii="宋体" w:hAnsi="宋体"/>
          <w:szCs w:val="21"/>
        </w:rPr>
      </w:pPr>
      <w:r>
        <w:rPr>
          <w:rFonts w:hint="eastAsia" w:ascii="宋体" w:hAnsi="宋体"/>
          <w:szCs w:val="21"/>
        </w:rPr>
        <w:t>第五章  开标</w:t>
      </w:r>
    </w:p>
    <w:p w14:paraId="076B348B">
      <w:pPr>
        <w:ind w:left="630" w:leftChars="300" w:firstLine="411" w:firstLineChars="196"/>
        <w:rPr>
          <w:rFonts w:hint="eastAsia" w:ascii="宋体" w:hAnsi="宋体"/>
          <w:szCs w:val="21"/>
        </w:rPr>
      </w:pPr>
      <w:r>
        <w:rPr>
          <w:rFonts w:hint="eastAsia" w:ascii="宋体" w:hAnsi="宋体"/>
          <w:szCs w:val="21"/>
        </w:rPr>
        <w:t>第六章  评审要求</w:t>
      </w:r>
    </w:p>
    <w:p w14:paraId="42648A48">
      <w:pPr>
        <w:ind w:left="630" w:leftChars="300" w:firstLine="411" w:firstLineChars="196"/>
        <w:rPr>
          <w:rFonts w:hint="eastAsia" w:ascii="宋体" w:hAnsi="宋体"/>
          <w:szCs w:val="21"/>
        </w:rPr>
      </w:pPr>
      <w:r>
        <w:rPr>
          <w:rFonts w:hint="eastAsia" w:ascii="宋体" w:hAnsi="宋体"/>
          <w:szCs w:val="21"/>
        </w:rPr>
        <w:t>第七章  评审程序及评审方法</w:t>
      </w:r>
    </w:p>
    <w:p w14:paraId="3B68C7F8">
      <w:pPr>
        <w:ind w:left="630" w:leftChars="300" w:firstLine="411" w:firstLineChars="196"/>
        <w:rPr>
          <w:rFonts w:hint="eastAsia" w:ascii="宋体" w:hAnsi="宋体"/>
          <w:szCs w:val="21"/>
        </w:rPr>
      </w:pPr>
      <w:r>
        <w:rPr>
          <w:rFonts w:hint="eastAsia" w:ascii="宋体" w:hAnsi="宋体"/>
          <w:szCs w:val="21"/>
        </w:rPr>
        <w:t>第八章  定标及公示</w:t>
      </w:r>
    </w:p>
    <w:p w14:paraId="79C5C1EE">
      <w:pPr>
        <w:ind w:left="630" w:leftChars="300" w:firstLine="411" w:firstLineChars="196"/>
        <w:rPr>
          <w:rFonts w:hint="eastAsia" w:ascii="宋体" w:hAnsi="宋体"/>
          <w:szCs w:val="21"/>
        </w:rPr>
      </w:pPr>
      <w:r>
        <w:rPr>
          <w:rFonts w:hint="eastAsia" w:ascii="宋体" w:hAnsi="宋体"/>
          <w:szCs w:val="21"/>
        </w:rPr>
        <w:t>第九章  公开招标失败的后续处理</w:t>
      </w:r>
    </w:p>
    <w:p w14:paraId="42DBF592">
      <w:pPr>
        <w:ind w:left="630" w:leftChars="300" w:firstLine="411" w:firstLineChars="196"/>
        <w:rPr>
          <w:rFonts w:hint="eastAsia" w:ascii="宋体" w:hAnsi="宋体"/>
          <w:szCs w:val="21"/>
        </w:rPr>
      </w:pPr>
      <w:r>
        <w:rPr>
          <w:rFonts w:hint="eastAsia" w:ascii="宋体" w:hAnsi="宋体"/>
          <w:szCs w:val="21"/>
        </w:rPr>
        <w:t>第十章  合同的授予与备案</w:t>
      </w:r>
    </w:p>
    <w:p w14:paraId="1B561F82">
      <w:r>
        <w:rPr>
          <w:rFonts w:hint="eastAsia"/>
        </w:rPr>
        <w:t xml:space="preserve">          第十一章  质疑处理</w:t>
      </w:r>
    </w:p>
    <w:p w14:paraId="63CC33A4"/>
    <w:p w14:paraId="61C9B88B"/>
    <w:p w14:paraId="37B8EECC">
      <w:pPr>
        <w:widowControl/>
        <w:jc w:val="left"/>
      </w:pPr>
      <w:r>
        <w:br w:type="page"/>
      </w:r>
    </w:p>
    <w:p w14:paraId="23AD1BF2">
      <w:pPr>
        <w:pStyle w:val="2"/>
        <w:spacing w:after="78"/>
        <w:jc w:val="center"/>
        <w:rPr>
          <w:sz w:val="32"/>
          <w:szCs w:val="32"/>
        </w:rPr>
      </w:pPr>
      <w:r>
        <w:rPr>
          <w:rFonts w:hint="eastAsia"/>
          <w:sz w:val="32"/>
          <w:szCs w:val="32"/>
        </w:rPr>
        <w:t>第一册  专用条款</w:t>
      </w:r>
    </w:p>
    <w:p w14:paraId="352637D1">
      <w:pPr>
        <w:keepNext/>
        <w:keepLines/>
        <w:adjustRightInd w:val="0"/>
        <w:spacing w:before="260" w:after="260"/>
        <w:jc w:val="center"/>
        <w:textAlignment w:val="baseline"/>
        <w:outlineLvl w:val="1"/>
        <w:rPr>
          <w:rFonts w:hint="eastAsia" w:ascii="宋体" w:hAnsi="宋体" w:eastAsia="宋体" w:cs="Times New Roman"/>
          <w:b/>
          <w:bCs/>
          <w:kern w:val="0"/>
          <w:sz w:val="28"/>
          <w:szCs w:val="28"/>
        </w:rPr>
      </w:pPr>
      <w:r>
        <w:rPr>
          <w:rFonts w:hint="eastAsia" w:ascii="宋体" w:hAnsi="宋体" w:eastAsia="宋体" w:cs="Times New Roman"/>
          <w:b/>
          <w:bCs/>
          <w:kern w:val="0"/>
          <w:sz w:val="28"/>
          <w:szCs w:val="28"/>
        </w:rPr>
        <w:t>第一章  招标公告</w:t>
      </w:r>
    </w:p>
    <w:p w14:paraId="00639ECF">
      <w:pPr>
        <w:spacing w:line="360" w:lineRule="auto"/>
        <w:rPr>
          <w:rFonts w:hint="eastAsia" w:ascii="宋体" w:hAnsi="宋体" w:cs="宋体"/>
          <w:b/>
          <w:bCs/>
          <w:kern w:val="0"/>
          <w:szCs w:val="21"/>
        </w:rPr>
      </w:pPr>
      <w:r>
        <w:rPr>
          <w:rFonts w:hint="eastAsia" w:ascii="宋体" w:hAnsi="宋体" w:cs="宋体"/>
          <w:b/>
          <w:bCs/>
          <w:kern w:val="0"/>
          <w:szCs w:val="21"/>
        </w:rPr>
        <w:t>申请人的资格要求：</w:t>
      </w:r>
    </w:p>
    <w:p w14:paraId="6F2C2E09">
      <w:pPr>
        <w:ind w:firstLine="630" w:firstLineChars="300"/>
        <w:rPr>
          <w:rFonts w:hint="eastAsia" w:ascii="宋体" w:hAnsi="宋体" w:eastAsia="宋体" w:cs="宋体"/>
          <w:kern w:val="0"/>
          <w:szCs w:val="21"/>
          <w:lang w:eastAsia="zh-CN"/>
        </w:rPr>
      </w:pPr>
      <w:r>
        <w:rPr>
          <w:rFonts w:hint="eastAsia" w:ascii="宋体" w:hAnsi="宋体" w:cs="宋体"/>
          <w:kern w:val="0"/>
          <w:szCs w:val="21"/>
        </w:rPr>
        <w:t>1</w:t>
      </w:r>
      <w:r>
        <w:rPr>
          <w:rFonts w:ascii="宋体" w:hAnsi="宋体" w:cs="宋体"/>
          <w:kern w:val="0"/>
          <w:szCs w:val="21"/>
        </w:rPr>
        <w:t>.</w:t>
      </w:r>
      <w:r>
        <w:rPr>
          <w:rFonts w:hint="eastAsia" w:ascii="宋体" w:hAnsi="宋体" w:eastAsia="宋体" w:cs="宋体"/>
          <w:sz w:val="21"/>
          <w:szCs w:val="21"/>
          <w:highlight w:val="none"/>
          <w:lang w:eastAsia="zh-CN"/>
        </w:rPr>
        <w:t>具有独立承担民事责任的能力（提供营业执照或事业单位法人证书等证明资料扫描件，原件备查，分公司参与投标的，须提供分公司营业执照、其所属集团(或总公司)等具有独立法人资格的组织</w:t>
      </w:r>
      <w:r>
        <w:rPr>
          <w:rFonts w:hint="eastAsia" w:ascii="宋体" w:hAnsi="宋体" w:cs="宋体"/>
          <w:sz w:val="21"/>
          <w:szCs w:val="21"/>
          <w:highlight w:val="none"/>
          <w:lang w:eastAsia="zh-CN"/>
        </w:rPr>
        <w:t>的营业执照及其</w:t>
      </w:r>
      <w:r>
        <w:rPr>
          <w:rFonts w:hint="eastAsia" w:ascii="宋体" w:hAnsi="宋体" w:eastAsia="宋体" w:cs="宋体"/>
          <w:sz w:val="21"/>
          <w:szCs w:val="21"/>
          <w:highlight w:val="none"/>
          <w:lang w:eastAsia="zh-CN"/>
        </w:rPr>
        <w:t>出具的载明愿为其参与本项目投标的行为以及履约等行为承担民事责任的加盖总公司公章的授权函）</w:t>
      </w:r>
      <w:r>
        <w:rPr>
          <w:rFonts w:hint="eastAsia" w:ascii="宋体" w:hAnsi="宋体" w:cs="宋体"/>
          <w:sz w:val="21"/>
          <w:szCs w:val="21"/>
          <w:highlight w:val="none"/>
          <w:lang w:eastAsia="zh-CN"/>
        </w:rPr>
        <w:t>；</w:t>
      </w:r>
    </w:p>
    <w:p w14:paraId="10EBFF6A">
      <w:pPr>
        <w:keepNext w:val="0"/>
        <w:keepLines w:val="0"/>
        <w:pageBreakBefore w:val="0"/>
        <w:widowControl w:val="0"/>
        <w:numPr>
          <w:ilvl w:val="0"/>
          <w:numId w:val="0"/>
        </w:numPr>
        <w:kinsoku/>
        <w:wordWrap/>
        <w:overflowPunct/>
        <w:topLinePunct w:val="0"/>
        <w:autoSpaceDE/>
        <w:autoSpaceDN/>
        <w:bidi w:val="0"/>
        <w:adjustRightInd/>
        <w:snapToGrid/>
        <w:ind w:firstLine="630" w:firstLineChars="300"/>
        <w:textAlignment w:val="auto"/>
        <w:rPr>
          <w:rFonts w:hint="default" w:ascii="宋体" w:hAnsi="宋体" w:eastAsia="宋体" w:cs="宋体"/>
          <w:sz w:val="21"/>
          <w:szCs w:val="21"/>
          <w:highlight w:val="none"/>
          <w:lang w:val="en-US" w:eastAsia="zh-CN"/>
        </w:rPr>
      </w:pPr>
      <w:r>
        <w:rPr>
          <w:rFonts w:hint="eastAsia" w:ascii="宋体" w:hAnsi="宋体" w:cs="宋体"/>
          <w:color w:val="FF0000"/>
          <w:kern w:val="0"/>
          <w:szCs w:val="21"/>
        </w:rPr>
        <w:t>2.</w:t>
      </w:r>
      <w:bookmarkStart w:id="0" w:name="OLE_LINK9"/>
      <w:r>
        <w:rPr>
          <w:rFonts w:hint="eastAsia" w:ascii="宋体" w:hAnsi="宋体" w:cs="宋体"/>
          <w:color w:val="FF0000"/>
          <w:kern w:val="0"/>
          <w:szCs w:val="21"/>
        </w:rPr>
        <w:t>本项</w:t>
      </w:r>
      <w:bookmarkStart w:id="1" w:name="OLE_LINK8"/>
      <w:r>
        <w:rPr>
          <w:rFonts w:hint="eastAsia" w:ascii="宋体" w:hAnsi="宋体" w:cs="宋体"/>
          <w:color w:val="FF0000"/>
          <w:kern w:val="0"/>
          <w:szCs w:val="21"/>
        </w:rPr>
        <w:t>目不接受联合体投标</w:t>
      </w:r>
      <w:bookmarkEnd w:id="1"/>
      <w:r>
        <w:rPr>
          <w:rFonts w:hint="eastAsia" w:ascii="宋体" w:hAnsi="宋体" w:cs="宋体"/>
          <w:color w:val="FF0000"/>
          <w:kern w:val="0"/>
          <w:szCs w:val="21"/>
          <w:lang w:val="en-US" w:eastAsia="zh-CN"/>
        </w:rPr>
        <w:t>，</w:t>
      </w:r>
      <w:bookmarkStart w:id="2" w:name="OLE_LINK7"/>
      <w:r>
        <w:rPr>
          <w:rFonts w:hint="eastAsia" w:ascii="宋体" w:hAnsi="宋体" w:cs="宋体"/>
          <w:color w:val="FF0000"/>
          <w:kern w:val="0"/>
          <w:szCs w:val="21"/>
        </w:rPr>
        <w:t>不接受投标人选用进口产品参与投标，详见招标文件</w:t>
      </w:r>
      <w:r>
        <w:rPr>
          <w:rFonts w:hint="eastAsia" w:ascii="宋体" w:hAnsi="宋体" w:cs="宋体"/>
          <w:color w:val="FF0000"/>
          <w:kern w:val="0"/>
          <w:szCs w:val="21"/>
          <w:lang w:eastAsia="zh-CN"/>
        </w:rPr>
        <w:t>“</w:t>
      </w:r>
      <w:r>
        <w:rPr>
          <w:rFonts w:hint="eastAsia" w:ascii="宋体" w:hAnsi="宋体" w:cs="宋体"/>
          <w:color w:val="FF0000"/>
          <w:kern w:val="0"/>
          <w:szCs w:val="21"/>
          <w:lang w:val="en-US" w:eastAsia="zh-CN"/>
        </w:rPr>
        <w:t>第三章 用户需求书</w:t>
      </w:r>
      <w:r>
        <w:rPr>
          <w:rFonts w:hint="eastAsia" w:ascii="宋体" w:hAnsi="宋体" w:cs="宋体"/>
          <w:color w:val="FF0000"/>
          <w:kern w:val="0"/>
          <w:szCs w:val="21"/>
        </w:rPr>
        <w:t>”</w:t>
      </w:r>
      <w:bookmarkEnd w:id="2"/>
      <w:r>
        <w:rPr>
          <w:rFonts w:hint="eastAsia" w:ascii="宋体" w:hAnsi="宋体" w:cs="宋体"/>
          <w:color w:val="FF0000"/>
          <w:kern w:val="0"/>
          <w:szCs w:val="21"/>
        </w:rPr>
        <w:t>；</w:t>
      </w:r>
      <w:bookmarkEnd w:id="0"/>
    </w:p>
    <w:p w14:paraId="5C136764">
      <w:pPr>
        <w:ind w:firstLine="630" w:firstLineChars="300"/>
        <w:rPr>
          <w:rFonts w:ascii="宋体" w:hAnsi="宋体" w:cs="宋体"/>
          <w:kern w:val="0"/>
          <w:szCs w:val="21"/>
        </w:rPr>
      </w:pPr>
      <w:r>
        <w:rPr>
          <w:rFonts w:hint="eastAsia" w:ascii="宋体" w:hAnsi="宋体" w:cs="宋体"/>
          <w:kern w:val="0"/>
          <w:szCs w:val="21"/>
        </w:rPr>
        <w:t>3</w:t>
      </w:r>
      <w:r>
        <w:rPr>
          <w:rFonts w:ascii="宋体" w:hAnsi="宋体" w:cs="宋体"/>
          <w:kern w:val="0"/>
          <w:szCs w:val="21"/>
        </w:rPr>
        <w:t>.</w:t>
      </w:r>
      <w:r>
        <w:rPr>
          <w:rFonts w:hint="eastAsia" w:ascii="宋体" w:hAnsi="宋体" w:cs="宋体"/>
          <w:kern w:val="0"/>
          <w:szCs w:val="21"/>
        </w:rPr>
        <w:t>参与本项目政府采购活动时不存在被有关部门禁止参与政府采购活动且在有效期内的情况（由供应商在《政府采购投标及履约承诺函》中作出声明）；</w:t>
      </w:r>
    </w:p>
    <w:p w14:paraId="690B670E">
      <w:pPr>
        <w:ind w:firstLine="630" w:firstLineChars="300"/>
        <w:rPr>
          <w:rFonts w:ascii="宋体" w:hAnsi="宋体" w:cs="宋体"/>
          <w:kern w:val="0"/>
          <w:szCs w:val="21"/>
        </w:rPr>
      </w:pPr>
      <w:r>
        <w:rPr>
          <w:rFonts w:hint="eastAsia" w:ascii="宋体" w:hAnsi="宋体" w:cs="宋体"/>
          <w:kern w:val="0"/>
          <w:szCs w:val="21"/>
          <w:lang w:val="en-US" w:eastAsia="zh-CN"/>
        </w:rPr>
        <w:t>4</w:t>
      </w:r>
      <w:r>
        <w:rPr>
          <w:rFonts w:ascii="宋体" w:hAnsi="宋体" w:cs="宋体"/>
          <w:kern w:val="0"/>
          <w:szCs w:val="21"/>
        </w:rPr>
        <w:t>.</w:t>
      </w:r>
      <w:r>
        <w:rPr>
          <w:rFonts w:hint="eastAsia" w:ascii="宋体" w:hAnsi="宋体" w:cs="宋体"/>
          <w:kern w:val="0"/>
          <w:szCs w:val="21"/>
        </w:rPr>
        <w:t>具备《中华人民共和国政府采购法》第二十二条第一款的条件（由供应商在《政府采购投标及履约承诺函》中作出声明）；</w:t>
      </w:r>
    </w:p>
    <w:p w14:paraId="5B6AD65A">
      <w:pPr>
        <w:ind w:firstLine="630" w:firstLineChars="300"/>
        <w:rPr>
          <w:rFonts w:hint="eastAsia" w:ascii="宋体" w:hAnsi="宋体" w:cs="宋体"/>
          <w:kern w:val="0"/>
          <w:szCs w:val="21"/>
          <w:lang w:val="en-US" w:eastAsia="zh-CN"/>
        </w:rPr>
      </w:pPr>
      <w:r>
        <w:rPr>
          <w:rFonts w:hint="eastAsia" w:ascii="宋体" w:hAnsi="宋体" w:cs="宋体"/>
          <w:kern w:val="0"/>
          <w:szCs w:val="21"/>
          <w:lang w:val="en-US" w:eastAsia="zh-CN"/>
        </w:rPr>
        <w:t>5</w:t>
      </w:r>
      <w:r>
        <w:rPr>
          <w:rFonts w:ascii="宋体" w:hAnsi="宋体" w:cs="宋体"/>
          <w:kern w:val="0"/>
          <w:szCs w:val="21"/>
        </w:rPr>
        <w:t>.</w:t>
      </w:r>
      <w:r>
        <w:rPr>
          <w:rFonts w:hint="eastAsia" w:ascii="宋体" w:hAnsi="宋体" w:cs="宋体"/>
          <w:kern w:val="0"/>
          <w:szCs w:val="21"/>
        </w:rPr>
        <w:t>未被列入失信被执行人、重大税收违法案件当事人名单、政府采购严重违法失信行为记录名单（由供应商在《政府采购投标及履约承诺函》中作出声明）</w:t>
      </w:r>
      <w:r>
        <w:rPr>
          <w:rFonts w:hint="eastAsia" w:ascii="宋体" w:hAnsi="宋体" w:cs="宋体"/>
          <w:kern w:val="0"/>
          <w:szCs w:val="21"/>
          <w:lang w:val="en-US" w:eastAsia="zh-CN"/>
        </w:rPr>
        <w:t>；</w:t>
      </w:r>
    </w:p>
    <w:p w14:paraId="62EDBE8D">
      <w:pPr>
        <w:ind w:firstLine="630" w:firstLineChars="300"/>
        <w:rPr>
          <w:rFonts w:hint="default" w:ascii="宋体" w:hAnsi="宋体" w:cs="宋体"/>
          <w:color w:val="FF0000"/>
          <w:kern w:val="0"/>
          <w:szCs w:val="21"/>
          <w:lang w:val="en-US" w:eastAsia="zh-CN"/>
        </w:rPr>
      </w:pPr>
      <w:r>
        <w:rPr>
          <w:rFonts w:hint="eastAsia" w:ascii="宋体" w:hAnsi="宋体" w:cs="宋体"/>
          <w:color w:val="FF0000"/>
          <w:kern w:val="0"/>
          <w:szCs w:val="21"/>
          <w:lang w:val="en-US" w:eastAsia="zh-CN"/>
        </w:rPr>
        <w:t>6.不存在《深圳市财政局政府采购供应商信用信息管理办法》（深财规〔2023〕3号）列明的严重违法失信行为</w:t>
      </w:r>
      <w:r>
        <w:rPr>
          <w:rFonts w:hint="eastAsia" w:ascii="宋体" w:hAnsi="宋体" w:cs="宋体"/>
          <w:color w:val="FF0000"/>
          <w:kern w:val="0"/>
          <w:szCs w:val="21"/>
        </w:rPr>
        <w:t>（由供应商在《政府采购投标及履约承诺函》中作出声明）</w:t>
      </w:r>
      <w:r>
        <w:rPr>
          <w:rFonts w:hint="eastAsia" w:ascii="宋体" w:hAnsi="宋体" w:cs="宋体"/>
          <w:color w:val="FF0000"/>
          <w:kern w:val="0"/>
          <w:szCs w:val="21"/>
          <w:lang w:eastAsia="zh-CN"/>
        </w:rPr>
        <w:t>；</w:t>
      </w:r>
      <w:r>
        <w:rPr>
          <w:rFonts w:hint="eastAsia" w:ascii="宋体" w:hAnsi="宋体" w:cs="宋体"/>
          <w:color w:val="FF0000"/>
          <w:kern w:val="0"/>
          <w:szCs w:val="21"/>
          <w:lang w:val="en-US" w:eastAsia="zh-CN"/>
        </w:rPr>
        <w:t>;</w:t>
      </w:r>
    </w:p>
    <w:p w14:paraId="429CC173">
      <w:pPr>
        <w:ind w:firstLine="630" w:firstLineChars="300"/>
        <w:rPr>
          <w:rFonts w:hint="eastAsia" w:ascii="宋体" w:hAnsi="宋体" w:eastAsia="宋体" w:cs="宋体"/>
          <w:kern w:val="0"/>
          <w:szCs w:val="21"/>
          <w:lang w:eastAsia="zh-CN"/>
        </w:rPr>
      </w:pPr>
      <w:r>
        <w:rPr>
          <w:rFonts w:hint="eastAsia" w:ascii="宋体" w:hAnsi="宋体" w:cs="宋体"/>
          <w:kern w:val="0"/>
          <w:szCs w:val="21"/>
          <w:lang w:val="en-US" w:eastAsia="zh-CN"/>
        </w:rPr>
        <w:t>7</w:t>
      </w:r>
      <w:r>
        <w:rPr>
          <w:rFonts w:hint="eastAsia" w:ascii="宋体" w:hAnsi="宋体" w:cs="宋体"/>
          <w:kern w:val="0"/>
          <w:szCs w:val="21"/>
        </w:rPr>
        <w:t>.为采购项目提供整体设计、规范编制或者项目管理、监理、检测等服务的供应商，不得再参加该采购项目的其他采购活动（由供应商在《政府采购投标及履约承诺函》中作出声明）</w:t>
      </w:r>
      <w:r>
        <w:rPr>
          <w:rFonts w:hint="eastAsia" w:ascii="宋体" w:hAnsi="宋体" w:cs="宋体"/>
          <w:kern w:val="0"/>
          <w:szCs w:val="21"/>
          <w:lang w:val="en-US" w:eastAsia="zh-CN"/>
        </w:rPr>
        <w:t>；</w:t>
      </w:r>
    </w:p>
    <w:p w14:paraId="55877C37">
      <w:pPr>
        <w:ind w:firstLine="630" w:firstLineChars="300"/>
        <w:rPr>
          <w:rFonts w:hint="eastAsia" w:ascii="宋体" w:hAnsi="宋体" w:cs="宋体"/>
          <w:kern w:val="0"/>
          <w:szCs w:val="21"/>
          <w:highlight w:val="yellow"/>
        </w:rPr>
      </w:pPr>
      <w:r>
        <w:rPr>
          <w:rFonts w:hint="eastAsia" w:ascii="宋体" w:hAnsi="宋体" w:cs="宋体"/>
          <w:kern w:val="0"/>
          <w:szCs w:val="21"/>
          <w:highlight w:val="yellow"/>
        </w:rPr>
        <w:t>8.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相关信息）。</w:t>
      </w:r>
    </w:p>
    <w:p w14:paraId="2EF190A4">
      <w:pPr>
        <w:ind w:firstLine="630" w:firstLineChars="300"/>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9</w:t>
      </w:r>
      <w:r>
        <w:rPr>
          <w:rFonts w:hint="eastAsia" w:ascii="宋体" w:hAnsi="宋体" w:cs="宋体"/>
          <w:color w:val="auto"/>
          <w:kern w:val="0"/>
          <w:szCs w:val="21"/>
          <w:highlight w:val="none"/>
        </w:rPr>
        <w:t>.本项目是（否）专门面向中小企业采购：</w:t>
      </w:r>
      <w:r>
        <w:rPr>
          <w:rFonts w:hint="eastAsia" w:ascii="宋体" w:hAnsi="宋体" w:cs="宋体"/>
          <w:b/>
          <w:bCs/>
          <w:color w:val="FF0000"/>
          <w:kern w:val="0"/>
          <w:szCs w:val="21"/>
          <w:highlight w:val="yellow"/>
        </w:rPr>
        <w:t>是，供应商提供的货物全部由符合政策要求的中小微企业、残疾人福利性</w:t>
      </w:r>
      <w:r>
        <w:rPr>
          <w:rFonts w:hint="eastAsia" w:ascii="宋体" w:hAnsi="宋体" w:cs="宋体"/>
          <w:b/>
          <w:bCs/>
          <w:color w:val="FF0000"/>
          <w:kern w:val="0"/>
          <w:szCs w:val="21"/>
          <w:highlight w:val="yellow"/>
          <w:lang w:val="en-US" w:eastAsia="zh-CN"/>
        </w:rPr>
        <w:t>单位或</w:t>
      </w:r>
      <w:r>
        <w:rPr>
          <w:rFonts w:hint="eastAsia" w:ascii="宋体" w:hAnsi="宋体" w:cs="宋体"/>
          <w:b/>
          <w:bCs/>
          <w:color w:val="FF0000"/>
          <w:kern w:val="0"/>
          <w:szCs w:val="21"/>
          <w:highlight w:val="yellow"/>
        </w:rPr>
        <w:t>监狱企业制造（由供应商在《中小企业声明函、残疾人福利性单位声明函及监狱企业声明函》中作出声明</w:t>
      </w:r>
      <w:r>
        <w:rPr>
          <w:rFonts w:hint="eastAsia" w:ascii="宋体" w:hAnsi="宋体" w:cs="宋体"/>
          <w:b/>
          <w:bCs/>
          <w:color w:val="FF0000"/>
          <w:kern w:val="0"/>
          <w:szCs w:val="21"/>
          <w:highlight w:val="yellow"/>
          <w:lang w:eastAsia="zh-CN"/>
        </w:rPr>
        <w:t>；</w:t>
      </w:r>
      <w:r>
        <w:rPr>
          <w:rFonts w:hint="eastAsia" w:ascii="宋体" w:hAnsi="宋体" w:cs="宋体"/>
          <w:b/>
          <w:bCs/>
          <w:color w:val="FF0000"/>
          <w:kern w:val="0"/>
          <w:szCs w:val="21"/>
          <w:highlight w:val="yellow"/>
          <w:lang w:val="en-US" w:eastAsia="zh-CN"/>
        </w:rPr>
        <w:t>未提供声明函或声明函不符合政策要求的，按资格审查不通过处理</w:t>
      </w:r>
      <w:r>
        <w:rPr>
          <w:rFonts w:hint="eastAsia" w:ascii="宋体" w:hAnsi="宋体" w:cs="宋体"/>
          <w:b/>
          <w:bCs/>
          <w:color w:val="FF0000"/>
          <w:kern w:val="0"/>
          <w:szCs w:val="21"/>
          <w:highlight w:val="yellow"/>
        </w:rPr>
        <w:t>）。</w:t>
      </w:r>
    </w:p>
    <w:p w14:paraId="2112832D">
      <w:pPr>
        <w:wordWrap w:val="0"/>
        <w:ind w:firstLine="420" w:firstLineChars="200"/>
        <w:rPr>
          <w:rFonts w:hint="eastAsia" w:ascii="宋体" w:hAnsi="宋体" w:cs="宋体"/>
          <w:kern w:val="0"/>
          <w:szCs w:val="21"/>
        </w:rPr>
      </w:pPr>
      <w:r>
        <w:rPr>
          <w:rFonts w:hint="eastAsia" w:ascii="宋体" w:hAnsi="宋体" w:cs="宋体"/>
          <w:kern w:val="0"/>
          <w:szCs w:val="21"/>
        </w:rPr>
        <w:t>注：（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p>
    <w:p w14:paraId="67C54ADC">
      <w:pPr>
        <w:ind w:firstLine="420" w:firstLineChars="200"/>
        <w:rPr>
          <w:rFonts w:hint="eastAsia" w:ascii="宋体" w:hAnsi="宋体"/>
        </w:rPr>
      </w:pPr>
      <w:r>
        <w:rPr>
          <w:rFonts w:hint="eastAsia" w:ascii="宋体" w:hAnsi="宋体"/>
        </w:rPr>
        <w:t>（2）供应商投标（上传投标文件）必须先行办理注册手续，具体请按照本公告“六、其他补充事宜</w:t>
      </w:r>
      <w:r>
        <w:rPr>
          <w:rFonts w:ascii="宋体" w:hAnsi="宋体"/>
        </w:rPr>
        <w:t>”</w:t>
      </w:r>
      <w:r>
        <w:rPr>
          <w:rFonts w:hint="eastAsia" w:ascii="宋体" w:hAnsi="宋体"/>
        </w:rPr>
        <w:t>相关内容指引办理。</w:t>
      </w:r>
    </w:p>
    <w:p w14:paraId="17C39386">
      <w:pPr>
        <w:snapToGrid w:val="0"/>
        <w:spacing w:line="300" w:lineRule="auto"/>
        <w:ind w:firstLine="480" w:firstLineChars="200"/>
        <w:rPr>
          <w:rFonts w:ascii="Arial" w:hAnsi="Arial" w:eastAsia="宋体" w:cs="Times New Roman"/>
          <w:sz w:val="24"/>
          <w:szCs w:val="24"/>
        </w:rPr>
      </w:pPr>
    </w:p>
    <w:p w14:paraId="00F549B9">
      <w:pPr>
        <w:spacing w:after="78" w:afterLines="25"/>
        <w:jc w:val="center"/>
        <w:rPr>
          <w:b/>
          <w:color w:val="FF0000"/>
          <w:sz w:val="30"/>
          <w:szCs w:val="30"/>
        </w:rPr>
      </w:pPr>
      <w:r>
        <w:rPr>
          <w:rFonts w:hint="eastAsia" w:ascii="Arial" w:hAnsi="Arial" w:eastAsia="宋体" w:cs="Times New Roman"/>
          <w:b/>
          <w:color w:val="FF0000"/>
          <w:sz w:val="30"/>
          <w:szCs w:val="30"/>
        </w:rPr>
        <w:t>完整公告内容以网站公布信息为准，详见：深圳政府采购自行采购系统</w:t>
      </w:r>
      <w:r>
        <w:rPr>
          <w:rFonts w:hint="eastAsia"/>
          <w:b/>
          <w:color w:val="FF0000"/>
          <w:sz w:val="30"/>
          <w:szCs w:val="30"/>
        </w:rPr>
        <w:t>网（https://zxcg.szggzy.com/home/index.html）</w:t>
      </w:r>
    </w:p>
    <w:p w14:paraId="20FCC166">
      <w:pPr>
        <w:spacing w:after="78" w:afterLines="25"/>
        <w:rPr>
          <w:rFonts w:ascii="Arial" w:hAnsi="Arial" w:eastAsia="宋体" w:cs="Times New Roman"/>
          <w:b/>
          <w:color w:val="FF0000"/>
          <w:sz w:val="30"/>
          <w:szCs w:val="30"/>
        </w:rPr>
      </w:pPr>
    </w:p>
    <w:p w14:paraId="71A0780B">
      <w:pPr>
        <w:keepNext/>
        <w:keepLines/>
        <w:spacing w:before="260" w:after="260" w:line="416" w:lineRule="auto"/>
        <w:jc w:val="center"/>
        <w:outlineLvl w:val="1"/>
        <w:rPr>
          <w:rFonts w:hint="eastAsia" w:ascii="宋体" w:hAnsi="宋体" w:eastAsia="宋体" w:cs="Times New Roman"/>
          <w:b/>
          <w:bCs/>
          <w:kern w:val="0"/>
          <w:sz w:val="28"/>
          <w:szCs w:val="28"/>
        </w:rPr>
      </w:pPr>
      <w:r>
        <w:rPr>
          <w:rFonts w:hint="eastAsia" w:ascii="宋体" w:hAnsi="宋体" w:eastAsia="宋体" w:cs="Times New Roman"/>
          <w:b/>
          <w:bCs/>
          <w:kern w:val="0"/>
          <w:sz w:val="28"/>
          <w:szCs w:val="28"/>
        </w:rPr>
        <w:t xml:space="preserve">第二章 </w:t>
      </w:r>
      <w:bookmarkStart w:id="3" w:name="_Hlk71926094"/>
      <w:r>
        <w:rPr>
          <w:rFonts w:hint="eastAsia" w:ascii="宋体" w:hAnsi="宋体" w:eastAsia="宋体" w:cs="Times New Roman"/>
          <w:b/>
          <w:bCs/>
          <w:kern w:val="0"/>
          <w:sz w:val="28"/>
          <w:szCs w:val="28"/>
        </w:rPr>
        <w:t>对通用条款的补充内容及其他关键信息</w:t>
      </w:r>
      <w:bookmarkEnd w:id="3"/>
    </w:p>
    <w:p w14:paraId="073C0752">
      <w:pPr>
        <w:keepNext/>
        <w:keepLines/>
        <w:adjustRightInd w:val="0"/>
        <w:spacing w:before="156" w:beforeLines="50" w:after="156" w:afterLines="50"/>
        <w:jc w:val="center"/>
        <w:textAlignment w:val="baseline"/>
        <w:outlineLvl w:val="2"/>
        <w:rPr>
          <w:rFonts w:hint="eastAsia" w:ascii="宋体" w:hAnsi="宋体" w:eastAsia="宋体" w:cs="Times New Roman"/>
          <w:b/>
          <w:bCs/>
          <w:kern w:val="0"/>
          <w:sz w:val="24"/>
          <w:szCs w:val="24"/>
        </w:rPr>
      </w:pPr>
      <w:bookmarkStart w:id="4" w:name="_Toc73518117"/>
      <w:bookmarkStart w:id="5" w:name="_Toc73521635"/>
      <w:bookmarkStart w:id="6" w:name="_Toc73521547"/>
      <w:bookmarkStart w:id="7" w:name="_Toc101074876"/>
      <w:bookmarkStart w:id="8" w:name="_Toc100052364"/>
      <w:bookmarkStart w:id="9" w:name="_Toc73517639"/>
      <w:bookmarkStart w:id="10" w:name="_Toc60631620"/>
      <w:bookmarkStart w:id="11" w:name="_Toc60560625"/>
      <w:r>
        <w:rPr>
          <w:rFonts w:hint="eastAsia" w:ascii="宋体" w:hAnsi="宋体" w:eastAsia="宋体" w:cs="Times New Roman"/>
          <w:b/>
          <w:bCs/>
          <w:kern w:val="0"/>
          <w:sz w:val="24"/>
          <w:szCs w:val="24"/>
        </w:rPr>
        <w:t>一、对通用条款的补充内容</w:t>
      </w:r>
    </w:p>
    <w:tbl>
      <w:tblPr>
        <w:tblStyle w:val="17"/>
        <w:tblW w:w="952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78"/>
        <w:gridCol w:w="1755"/>
        <w:gridCol w:w="6795"/>
      </w:tblGrid>
      <w:tr w14:paraId="093CB0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02DC9AA0">
            <w:pPr>
              <w:jc w:val="center"/>
              <w:rPr>
                <w:rFonts w:hint="eastAsia" w:ascii="宋体" w:hAnsi="宋体"/>
                <w:b/>
                <w:bCs/>
              </w:rPr>
            </w:pPr>
            <w:r>
              <w:rPr>
                <w:rFonts w:hint="eastAsia" w:ascii="宋体" w:hAnsi="宋体"/>
                <w:b/>
                <w:bCs/>
              </w:rPr>
              <w:t>通用条款序号</w:t>
            </w:r>
          </w:p>
        </w:tc>
        <w:tc>
          <w:tcPr>
            <w:tcW w:w="1755" w:type="dxa"/>
            <w:vAlign w:val="center"/>
          </w:tcPr>
          <w:p w14:paraId="27DE729A">
            <w:pPr>
              <w:jc w:val="center"/>
              <w:rPr>
                <w:rFonts w:hint="eastAsia" w:ascii="宋体" w:hAnsi="宋体"/>
                <w:b/>
                <w:bCs/>
              </w:rPr>
            </w:pPr>
            <w:r>
              <w:rPr>
                <w:rFonts w:hint="eastAsia" w:ascii="宋体" w:hAnsi="宋体"/>
                <w:b/>
                <w:bCs/>
              </w:rPr>
              <w:t>涉及事项</w:t>
            </w:r>
          </w:p>
        </w:tc>
        <w:tc>
          <w:tcPr>
            <w:tcW w:w="6795" w:type="dxa"/>
            <w:vAlign w:val="center"/>
          </w:tcPr>
          <w:p w14:paraId="2BF2399E">
            <w:pPr>
              <w:jc w:val="center"/>
              <w:rPr>
                <w:rFonts w:hint="eastAsia" w:ascii="宋体" w:hAnsi="宋体"/>
                <w:b/>
                <w:bCs/>
              </w:rPr>
            </w:pPr>
            <w:r>
              <w:rPr>
                <w:rFonts w:hint="eastAsia" w:ascii="宋体" w:hAnsi="宋体"/>
                <w:b/>
                <w:bCs/>
              </w:rPr>
              <w:t xml:space="preserve">具 </w:t>
            </w:r>
            <w:r>
              <w:rPr>
                <w:rFonts w:ascii="宋体" w:hAnsi="宋体"/>
                <w:b/>
                <w:bCs/>
              </w:rPr>
              <w:t xml:space="preserve"> </w:t>
            </w:r>
            <w:r>
              <w:rPr>
                <w:rFonts w:hint="eastAsia" w:ascii="宋体" w:hAnsi="宋体"/>
                <w:b/>
                <w:bCs/>
              </w:rPr>
              <w:t xml:space="preserve">体 </w:t>
            </w:r>
            <w:r>
              <w:rPr>
                <w:rFonts w:ascii="宋体" w:hAnsi="宋体"/>
                <w:b/>
                <w:bCs/>
              </w:rPr>
              <w:t xml:space="preserve"> </w:t>
            </w:r>
            <w:r>
              <w:rPr>
                <w:rFonts w:hint="eastAsia" w:ascii="宋体" w:hAnsi="宋体"/>
                <w:b/>
                <w:bCs/>
              </w:rPr>
              <w:t xml:space="preserve">补 </w:t>
            </w:r>
            <w:r>
              <w:rPr>
                <w:rFonts w:ascii="宋体" w:hAnsi="宋体"/>
                <w:b/>
                <w:bCs/>
              </w:rPr>
              <w:t xml:space="preserve"> </w:t>
            </w:r>
            <w:r>
              <w:rPr>
                <w:rFonts w:hint="eastAsia" w:ascii="宋体" w:hAnsi="宋体"/>
                <w:b/>
                <w:bCs/>
              </w:rPr>
              <w:t xml:space="preserve">充 </w:t>
            </w:r>
            <w:r>
              <w:rPr>
                <w:rFonts w:ascii="宋体" w:hAnsi="宋体"/>
                <w:b/>
                <w:bCs/>
              </w:rPr>
              <w:t xml:space="preserve"> </w:t>
            </w:r>
            <w:r>
              <w:rPr>
                <w:rFonts w:hint="eastAsia" w:ascii="宋体" w:hAnsi="宋体"/>
                <w:b/>
                <w:bCs/>
              </w:rPr>
              <w:t xml:space="preserve">内 </w:t>
            </w:r>
            <w:r>
              <w:rPr>
                <w:rFonts w:ascii="宋体" w:hAnsi="宋体"/>
                <w:b/>
                <w:bCs/>
              </w:rPr>
              <w:t xml:space="preserve"> </w:t>
            </w:r>
            <w:r>
              <w:rPr>
                <w:rFonts w:hint="eastAsia" w:ascii="宋体" w:hAnsi="宋体"/>
                <w:b/>
                <w:bCs/>
              </w:rPr>
              <w:t>容</w:t>
            </w:r>
          </w:p>
        </w:tc>
      </w:tr>
      <w:tr w14:paraId="3919AE1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1F700583">
            <w:pPr>
              <w:jc w:val="center"/>
              <w:rPr>
                <w:rFonts w:hint="eastAsia" w:ascii="宋体" w:hAnsi="宋体"/>
              </w:rPr>
            </w:pPr>
            <w:r>
              <w:rPr>
                <w:rFonts w:hint="eastAsia" w:ascii="宋体" w:hAnsi="宋体"/>
              </w:rPr>
              <w:t>3</w:t>
            </w:r>
            <w:r>
              <w:rPr>
                <w:rFonts w:ascii="宋体" w:hAnsi="宋体"/>
              </w:rPr>
              <w:t>.1</w:t>
            </w:r>
          </w:p>
        </w:tc>
        <w:tc>
          <w:tcPr>
            <w:tcW w:w="1755" w:type="dxa"/>
            <w:vAlign w:val="center"/>
          </w:tcPr>
          <w:p w14:paraId="5C3BC7DF">
            <w:pPr>
              <w:jc w:val="center"/>
            </w:pPr>
            <w:r>
              <w:rPr>
                <w:rFonts w:hint="eastAsia"/>
              </w:rPr>
              <w:t>采购人</w:t>
            </w:r>
          </w:p>
        </w:tc>
        <w:tc>
          <w:tcPr>
            <w:tcW w:w="6795" w:type="dxa"/>
            <w:vAlign w:val="center"/>
          </w:tcPr>
          <w:p w14:paraId="3B04F365">
            <w:pPr>
              <w:jc w:val="left"/>
              <w:rPr>
                <w:rFonts w:hint="eastAsia" w:ascii="宋体" w:hAnsi="宋体"/>
              </w:rPr>
            </w:pPr>
            <w:r>
              <w:rPr>
                <w:rFonts w:hint="eastAsia" w:ascii="宋体" w:hAnsi="宋体"/>
              </w:rPr>
              <w:t>深圳市龙华区大浪第二幼教集团明理幼儿园</w:t>
            </w:r>
          </w:p>
        </w:tc>
      </w:tr>
      <w:tr w14:paraId="54F4D5E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314BCCF7">
            <w:pPr>
              <w:jc w:val="center"/>
              <w:rPr>
                <w:rFonts w:hint="eastAsia" w:ascii="宋体" w:hAnsi="宋体"/>
              </w:rPr>
            </w:pPr>
            <w:r>
              <w:rPr>
                <w:rFonts w:hint="eastAsia" w:ascii="宋体" w:hAnsi="宋体"/>
              </w:rPr>
              <w:t>3</w:t>
            </w:r>
            <w:r>
              <w:rPr>
                <w:rFonts w:ascii="宋体" w:hAnsi="宋体"/>
              </w:rPr>
              <w:t>.2</w:t>
            </w:r>
          </w:p>
        </w:tc>
        <w:tc>
          <w:tcPr>
            <w:tcW w:w="1755" w:type="dxa"/>
            <w:vAlign w:val="center"/>
          </w:tcPr>
          <w:p w14:paraId="129CEF24">
            <w:pPr>
              <w:jc w:val="center"/>
              <w:rPr>
                <w:rFonts w:hint="eastAsia" w:ascii="宋体" w:hAnsi="宋体"/>
              </w:rPr>
            </w:pPr>
            <w:r>
              <w:rPr>
                <w:rFonts w:hint="eastAsia" w:ascii="宋体" w:hAnsi="宋体"/>
              </w:rPr>
              <w:t>政府集中采购机构</w:t>
            </w:r>
          </w:p>
        </w:tc>
        <w:tc>
          <w:tcPr>
            <w:tcW w:w="6795" w:type="dxa"/>
            <w:vAlign w:val="center"/>
          </w:tcPr>
          <w:p w14:paraId="7B8D85A1">
            <w:pPr>
              <w:jc w:val="left"/>
              <w:rPr>
                <w:rFonts w:hint="eastAsia" w:ascii="宋体" w:hAnsi="宋体"/>
              </w:rPr>
            </w:pPr>
            <w:r>
              <w:rPr>
                <w:rFonts w:hint="eastAsia" w:ascii="宋体" w:hAnsi="宋体" w:eastAsia="宋体" w:cs="Arial"/>
                <w:szCs w:val="21"/>
              </w:rPr>
              <w:t>本文件所述的“政府集中采购机构”</w:t>
            </w:r>
            <w:r>
              <w:rPr>
                <w:rFonts w:ascii="宋体" w:hAnsi="宋体" w:eastAsia="宋体" w:cs="Arial"/>
                <w:szCs w:val="21"/>
              </w:rPr>
              <w:t>指</w:t>
            </w:r>
            <w:r>
              <w:rPr>
                <w:rFonts w:hint="eastAsia" w:ascii="宋体" w:hAnsi="宋体" w:eastAsia="宋体" w:cs="Arial"/>
                <w:b/>
                <w:bCs/>
                <w:szCs w:val="21"/>
              </w:rPr>
              <w:t>深圳公共资源交易中心</w:t>
            </w:r>
            <w:r>
              <w:rPr>
                <w:rFonts w:hint="eastAsia" w:ascii="Arial" w:hAnsi="Arial" w:eastAsia="宋体" w:cs="Times New Roman"/>
                <w:szCs w:val="24"/>
              </w:rPr>
              <w:t>。本项目具体由深圳公共资源交易中心（深圳交易集团有限公司龙华分公司）执行</w:t>
            </w:r>
            <w:r>
              <w:rPr>
                <w:rFonts w:hint="eastAsia" w:ascii="Arial" w:hAnsi="Arial" w:eastAsia="宋体" w:cs="Times New Roman"/>
                <w:bCs/>
                <w:szCs w:val="24"/>
              </w:rPr>
              <w:t>。</w:t>
            </w:r>
          </w:p>
        </w:tc>
      </w:tr>
      <w:tr w14:paraId="603EAD1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223CEE97">
            <w:pPr>
              <w:jc w:val="center"/>
              <w:rPr>
                <w:rFonts w:hint="eastAsia" w:ascii="宋体" w:hAnsi="宋体"/>
              </w:rPr>
            </w:pPr>
            <w:r>
              <w:rPr>
                <w:rFonts w:hint="eastAsia" w:ascii="宋体" w:hAnsi="宋体"/>
              </w:rPr>
              <w:t>5</w:t>
            </w:r>
            <w:r>
              <w:rPr>
                <w:rFonts w:ascii="宋体" w:hAnsi="宋体"/>
              </w:rPr>
              <w:t>.3</w:t>
            </w:r>
          </w:p>
        </w:tc>
        <w:tc>
          <w:tcPr>
            <w:tcW w:w="1755" w:type="dxa"/>
            <w:vAlign w:val="center"/>
          </w:tcPr>
          <w:p w14:paraId="6EA406B5">
            <w:pPr>
              <w:jc w:val="center"/>
              <w:rPr>
                <w:rFonts w:hint="eastAsia" w:ascii="宋体" w:hAnsi="宋体"/>
              </w:rPr>
            </w:pPr>
            <w:r>
              <w:rPr>
                <w:rFonts w:hint="eastAsia" w:ascii="宋体" w:hAnsi="宋体"/>
              </w:rPr>
              <w:t>联合体投标</w:t>
            </w:r>
          </w:p>
        </w:tc>
        <w:tc>
          <w:tcPr>
            <w:tcW w:w="6795" w:type="dxa"/>
            <w:vAlign w:val="center"/>
          </w:tcPr>
          <w:p w14:paraId="590C8FA5">
            <w:pPr>
              <w:jc w:val="left"/>
              <w:rPr>
                <w:rFonts w:ascii="Arial" w:hAnsi="Arial" w:eastAsia="宋体" w:cs="Times New Roman"/>
                <w:szCs w:val="24"/>
                <w:highlight w:val="none"/>
              </w:rPr>
            </w:pPr>
            <w:r>
              <w:rPr>
                <w:rFonts w:hint="eastAsia" w:ascii="Arial" w:hAnsi="Arial" w:eastAsia="宋体" w:cs="Times New Roman"/>
                <w:szCs w:val="24"/>
                <w:highlight w:val="none"/>
              </w:rPr>
              <w:t>不接受</w:t>
            </w:r>
          </w:p>
        </w:tc>
      </w:tr>
      <w:tr w14:paraId="633843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29A387EC">
            <w:pPr>
              <w:jc w:val="center"/>
              <w:rPr>
                <w:rFonts w:hint="eastAsia" w:ascii="宋体" w:hAnsi="宋体"/>
              </w:rPr>
            </w:pPr>
            <w:r>
              <w:rPr>
                <w:rFonts w:hint="eastAsia" w:ascii="宋体" w:hAnsi="宋体"/>
              </w:rPr>
              <w:t>9</w:t>
            </w:r>
          </w:p>
        </w:tc>
        <w:tc>
          <w:tcPr>
            <w:tcW w:w="1755" w:type="dxa"/>
            <w:vAlign w:val="center"/>
          </w:tcPr>
          <w:p w14:paraId="46D63A0B">
            <w:pPr>
              <w:jc w:val="center"/>
              <w:rPr>
                <w:rFonts w:hint="eastAsia" w:ascii="宋体" w:hAnsi="宋体"/>
                <w:b/>
                <w:bCs/>
                <w:highlight w:val="yellow"/>
              </w:rPr>
            </w:pPr>
            <w:r>
              <w:rPr>
                <w:rFonts w:hint="eastAsia" w:ascii="宋体" w:hAnsi="宋体"/>
              </w:rPr>
              <w:t>踏勘现场</w:t>
            </w:r>
          </w:p>
        </w:tc>
        <w:tc>
          <w:tcPr>
            <w:tcW w:w="6795" w:type="dxa"/>
            <w:vAlign w:val="center"/>
          </w:tcPr>
          <w:p w14:paraId="13123FB2">
            <w:pPr>
              <w:jc w:val="left"/>
              <w:rPr>
                <w:rFonts w:hint="eastAsia" w:ascii="Arial" w:hAnsi="Arial" w:cs="Times New Roman" w:eastAsiaTheme="minorEastAsia"/>
                <w:szCs w:val="24"/>
                <w:highlight w:val="none"/>
                <w:lang w:eastAsia="zh-CN"/>
              </w:rPr>
            </w:pPr>
            <w:r>
              <w:rPr>
                <w:rFonts w:hint="eastAsia" w:ascii="Arial" w:hAnsi="Arial" w:eastAsia="宋体" w:cs="Times New Roman"/>
                <w:szCs w:val="24"/>
                <w:highlight w:val="none"/>
                <w:lang w:eastAsia="zh-CN"/>
              </w:rPr>
              <w:t>详见</w:t>
            </w:r>
            <w:r>
              <w:rPr>
                <w:rFonts w:hint="eastAsia"/>
                <w:lang w:eastAsia="zh-CN"/>
              </w:rPr>
              <w:t>“</w:t>
            </w:r>
            <w:r>
              <w:rPr>
                <w:rFonts w:hint="eastAsia" w:ascii="宋体" w:hAnsi="宋体" w:eastAsia="宋体" w:cs="宋体"/>
                <w:b/>
                <w:bCs/>
                <w:szCs w:val="21"/>
                <w:lang w:eastAsia="zh-CN"/>
              </w:rPr>
              <w:t>现场踏勘</w:t>
            </w:r>
            <w:r>
              <w:rPr>
                <w:rFonts w:hint="eastAsia"/>
                <w:lang w:eastAsia="zh-CN"/>
              </w:rPr>
              <w:t>”要求</w:t>
            </w:r>
          </w:p>
        </w:tc>
      </w:tr>
      <w:tr w14:paraId="6BC6CB7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5C5A8EE9">
            <w:pPr>
              <w:jc w:val="center"/>
              <w:rPr>
                <w:rFonts w:hint="eastAsia" w:ascii="宋体" w:hAnsi="宋体"/>
              </w:rPr>
            </w:pPr>
            <w:r>
              <w:rPr>
                <w:rFonts w:hint="eastAsia" w:ascii="宋体" w:hAnsi="宋体"/>
              </w:rPr>
              <w:t>1</w:t>
            </w:r>
            <w:r>
              <w:rPr>
                <w:rFonts w:ascii="宋体" w:hAnsi="宋体"/>
              </w:rPr>
              <w:t>0</w:t>
            </w:r>
          </w:p>
        </w:tc>
        <w:tc>
          <w:tcPr>
            <w:tcW w:w="1755" w:type="dxa"/>
            <w:vAlign w:val="center"/>
          </w:tcPr>
          <w:p w14:paraId="5D107D1E">
            <w:pPr>
              <w:jc w:val="center"/>
              <w:rPr>
                <w:rFonts w:hint="eastAsia" w:ascii="宋体" w:hAnsi="宋体"/>
              </w:rPr>
            </w:pPr>
            <w:r>
              <w:rPr>
                <w:rFonts w:hint="eastAsia" w:ascii="宋体" w:hAnsi="宋体"/>
              </w:rPr>
              <w:t>标前会议</w:t>
            </w:r>
          </w:p>
        </w:tc>
        <w:tc>
          <w:tcPr>
            <w:tcW w:w="6795" w:type="dxa"/>
            <w:vAlign w:val="center"/>
          </w:tcPr>
          <w:p w14:paraId="5C0AA458">
            <w:pPr>
              <w:jc w:val="left"/>
              <w:rPr>
                <w:rFonts w:hint="eastAsia" w:ascii="Arial" w:hAnsi="Arial" w:eastAsia="宋体" w:cs="Times New Roman"/>
                <w:szCs w:val="24"/>
                <w:highlight w:val="none"/>
              </w:rPr>
            </w:pPr>
            <w:r>
              <w:rPr>
                <w:rFonts w:hint="eastAsia" w:ascii="Arial" w:hAnsi="Arial" w:eastAsia="宋体" w:cs="Times New Roman"/>
                <w:szCs w:val="24"/>
                <w:highlight w:val="none"/>
                <w:lang w:eastAsia="zh-CN"/>
              </w:rPr>
              <w:t>不</w:t>
            </w:r>
            <w:r>
              <w:rPr>
                <w:rFonts w:hint="eastAsia" w:ascii="Arial" w:hAnsi="Arial" w:eastAsia="宋体" w:cs="Times New Roman"/>
                <w:szCs w:val="24"/>
                <w:highlight w:val="none"/>
              </w:rPr>
              <w:t>组织</w:t>
            </w:r>
          </w:p>
        </w:tc>
      </w:tr>
      <w:tr w14:paraId="350C4DF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53AB651F">
            <w:pPr>
              <w:jc w:val="center"/>
              <w:rPr>
                <w:rFonts w:hint="eastAsia" w:ascii="宋体" w:hAnsi="宋体"/>
              </w:rPr>
            </w:pPr>
            <w:r>
              <w:rPr>
                <w:rFonts w:hint="eastAsia" w:ascii="宋体" w:hAnsi="宋体"/>
              </w:rPr>
              <w:t>1</w:t>
            </w:r>
            <w:r>
              <w:rPr>
                <w:rFonts w:ascii="宋体" w:hAnsi="宋体"/>
              </w:rPr>
              <w:t>2</w:t>
            </w:r>
            <w:r>
              <w:rPr>
                <w:rFonts w:hint="eastAsia" w:ascii="宋体" w:hAnsi="宋体"/>
              </w:rPr>
              <w:t>/1</w:t>
            </w:r>
            <w:r>
              <w:rPr>
                <w:rFonts w:ascii="宋体" w:hAnsi="宋体"/>
              </w:rPr>
              <w:t>3</w:t>
            </w:r>
          </w:p>
        </w:tc>
        <w:tc>
          <w:tcPr>
            <w:tcW w:w="1755" w:type="dxa"/>
            <w:vAlign w:val="center"/>
          </w:tcPr>
          <w:p w14:paraId="30E60ECA">
            <w:pPr>
              <w:jc w:val="center"/>
              <w:rPr>
                <w:rFonts w:hint="eastAsia" w:ascii="宋体" w:hAnsi="宋体"/>
              </w:rPr>
            </w:pPr>
            <w:r>
              <w:rPr>
                <w:rFonts w:hint="eastAsia" w:ascii="宋体" w:hAnsi="宋体"/>
              </w:rPr>
              <w:t>招标文件的澄清和修改</w:t>
            </w:r>
          </w:p>
        </w:tc>
        <w:tc>
          <w:tcPr>
            <w:tcW w:w="6795" w:type="dxa"/>
            <w:vAlign w:val="center"/>
          </w:tcPr>
          <w:p w14:paraId="5AD75A7D">
            <w:pPr>
              <w:jc w:val="left"/>
              <w:rPr>
                <w:rFonts w:hint="eastAsia" w:ascii="宋体" w:hAnsi="宋体"/>
              </w:rPr>
            </w:pPr>
            <w:r>
              <w:rPr>
                <w:rFonts w:hint="eastAsia" w:ascii="宋体" w:hAnsi="宋体"/>
              </w:rPr>
              <w:t>不晚于投标截止日三日前，投标人有义务在招标期间在政府集中采购机构网站浏览与本项目有关的澄清和修改信息。</w:t>
            </w:r>
          </w:p>
        </w:tc>
      </w:tr>
      <w:tr w14:paraId="57E75F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34490C5B">
            <w:pPr>
              <w:jc w:val="center"/>
              <w:rPr>
                <w:rFonts w:hint="eastAsia" w:ascii="宋体" w:hAnsi="宋体"/>
              </w:rPr>
            </w:pPr>
            <w:r>
              <w:rPr>
                <w:rFonts w:hint="eastAsia" w:ascii="宋体" w:hAnsi="宋体"/>
              </w:rPr>
              <w:t>2</w:t>
            </w:r>
            <w:r>
              <w:rPr>
                <w:rFonts w:ascii="宋体" w:hAnsi="宋体"/>
              </w:rPr>
              <w:t>0</w:t>
            </w:r>
          </w:p>
        </w:tc>
        <w:tc>
          <w:tcPr>
            <w:tcW w:w="1755" w:type="dxa"/>
            <w:vAlign w:val="center"/>
          </w:tcPr>
          <w:p w14:paraId="2E83C25B">
            <w:pPr>
              <w:jc w:val="center"/>
              <w:rPr>
                <w:rFonts w:hint="eastAsia" w:ascii="宋体" w:hAnsi="宋体"/>
              </w:rPr>
            </w:pPr>
            <w:r>
              <w:rPr>
                <w:rFonts w:hint="eastAsia" w:ascii="宋体" w:hAnsi="宋体"/>
              </w:rPr>
              <w:t>投标有效期</w:t>
            </w:r>
          </w:p>
        </w:tc>
        <w:tc>
          <w:tcPr>
            <w:tcW w:w="6795" w:type="dxa"/>
            <w:vAlign w:val="center"/>
          </w:tcPr>
          <w:p w14:paraId="023244FB">
            <w:pPr>
              <w:jc w:val="left"/>
              <w:rPr>
                <w:rFonts w:hint="eastAsia" w:ascii="宋体" w:hAnsi="宋体"/>
              </w:rPr>
            </w:pPr>
            <w:r>
              <w:rPr>
                <w:rFonts w:hint="eastAsia" w:ascii="宋体" w:hAnsi="宋体"/>
              </w:rPr>
              <w:t>120日历天（从投标截止之日算起）</w:t>
            </w:r>
          </w:p>
        </w:tc>
      </w:tr>
      <w:tr w14:paraId="438AA7B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5D5A6668">
            <w:pPr>
              <w:jc w:val="center"/>
              <w:rPr>
                <w:rFonts w:hint="eastAsia" w:ascii="宋体" w:hAnsi="宋体"/>
              </w:rPr>
            </w:pPr>
            <w:r>
              <w:rPr>
                <w:rFonts w:hint="eastAsia" w:ascii="宋体" w:hAnsi="宋体"/>
              </w:rPr>
              <w:t>2</w:t>
            </w:r>
            <w:r>
              <w:rPr>
                <w:rFonts w:ascii="宋体" w:hAnsi="宋体"/>
              </w:rPr>
              <w:t>2</w:t>
            </w:r>
          </w:p>
        </w:tc>
        <w:tc>
          <w:tcPr>
            <w:tcW w:w="1755" w:type="dxa"/>
            <w:vAlign w:val="center"/>
          </w:tcPr>
          <w:p w14:paraId="4A2FB2E6">
            <w:pPr>
              <w:jc w:val="center"/>
              <w:rPr>
                <w:rFonts w:hint="eastAsia" w:ascii="宋体" w:hAnsi="宋体"/>
              </w:rPr>
            </w:pPr>
            <w:r>
              <w:rPr>
                <w:rFonts w:hint="eastAsia" w:ascii="宋体" w:hAnsi="宋体"/>
              </w:rPr>
              <w:t>投标人的替代方案</w:t>
            </w:r>
          </w:p>
        </w:tc>
        <w:tc>
          <w:tcPr>
            <w:tcW w:w="6795" w:type="dxa"/>
            <w:vAlign w:val="center"/>
          </w:tcPr>
          <w:p w14:paraId="1CE0B4C7">
            <w:pPr>
              <w:jc w:val="left"/>
              <w:rPr>
                <w:rFonts w:hint="eastAsia" w:ascii="宋体" w:hAnsi="宋体"/>
              </w:rPr>
            </w:pPr>
            <w:r>
              <w:rPr>
                <w:rFonts w:hint="eastAsia" w:ascii="宋体" w:hAnsi="宋体"/>
              </w:rPr>
              <w:t>不接受</w:t>
            </w:r>
          </w:p>
        </w:tc>
      </w:tr>
      <w:tr w14:paraId="1614211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6A39A668">
            <w:pPr>
              <w:jc w:val="center"/>
              <w:rPr>
                <w:rFonts w:hint="eastAsia" w:ascii="宋体" w:hAnsi="宋体"/>
              </w:rPr>
            </w:pPr>
            <w:r>
              <w:rPr>
                <w:rFonts w:hint="eastAsia" w:ascii="宋体" w:hAnsi="宋体"/>
              </w:rPr>
              <w:t>2</w:t>
            </w:r>
            <w:r>
              <w:rPr>
                <w:rFonts w:ascii="宋体" w:hAnsi="宋体"/>
              </w:rPr>
              <w:t>5</w:t>
            </w:r>
          </w:p>
        </w:tc>
        <w:tc>
          <w:tcPr>
            <w:tcW w:w="1755" w:type="dxa"/>
            <w:vAlign w:val="center"/>
          </w:tcPr>
          <w:p w14:paraId="735F9720">
            <w:pPr>
              <w:jc w:val="center"/>
              <w:rPr>
                <w:rFonts w:hint="eastAsia" w:ascii="宋体" w:hAnsi="宋体"/>
              </w:rPr>
            </w:pPr>
            <w:r>
              <w:rPr>
                <w:rFonts w:hint="eastAsia" w:ascii="宋体" w:hAnsi="宋体"/>
              </w:rPr>
              <w:t>投标文件的大小</w:t>
            </w:r>
          </w:p>
        </w:tc>
        <w:tc>
          <w:tcPr>
            <w:tcW w:w="6795" w:type="dxa"/>
            <w:vAlign w:val="center"/>
          </w:tcPr>
          <w:p w14:paraId="0F0A103E">
            <w:pPr>
              <w:jc w:val="left"/>
              <w:rPr>
                <w:rFonts w:hint="eastAsia" w:ascii="宋体" w:hAnsi="宋体"/>
              </w:rPr>
            </w:pPr>
            <w:r>
              <w:rPr>
                <w:rFonts w:hint="eastAsia" w:ascii="宋体" w:hAnsi="宋体"/>
              </w:rPr>
              <w:t>投标文件大小不得超过100MB</w:t>
            </w:r>
          </w:p>
        </w:tc>
      </w:tr>
      <w:tr w14:paraId="7EC8922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490D7876">
            <w:pPr>
              <w:jc w:val="center"/>
              <w:rPr>
                <w:rFonts w:hint="eastAsia" w:ascii="宋体" w:hAnsi="宋体"/>
              </w:rPr>
            </w:pPr>
            <w:r>
              <w:rPr>
                <w:rFonts w:hint="eastAsia" w:ascii="宋体" w:hAnsi="宋体"/>
              </w:rPr>
              <w:t>2</w:t>
            </w:r>
            <w:r>
              <w:rPr>
                <w:rFonts w:ascii="宋体" w:hAnsi="宋体"/>
              </w:rPr>
              <w:t>6</w:t>
            </w:r>
          </w:p>
        </w:tc>
        <w:tc>
          <w:tcPr>
            <w:tcW w:w="1755" w:type="dxa"/>
            <w:vAlign w:val="center"/>
          </w:tcPr>
          <w:p w14:paraId="3EF14581">
            <w:pPr>
              <w:jc w:val="center"/>
              <w:rPr>
                <w:rFonts w:hint="eastAsia" w:ascii="宋体" w:hAnsi="宋体"/>
              </w:rPr>
            </w:pPr>
            <w:r>
              <w:rPr>
                <w:rFonts w:hint="eastAsia" w:ascii="宋体" w:hAnsi="宋体"/>
              </w:rPr>
              <w:t>样品、现场演示、方案讲解</w:t>
            </w:r>
          </w:p>
        </w:tc>
        <w:tc>
          <w:tcPr>
            <w:tcW w:w="6795" w:type="dxa"/>
            <w:vAlign w:val="center"/>
          </w:tcPr>
          <w:p w14:paraId="7B86E8D3">
            <w:pPr>
              <w:jc w:val="left"/>
              <w:rPr>
                <w:rFonts w:hint="eastAsia" w:ascii="宋体" w:hAnsi="宋体" w:eastAsiaTheme="minorEastAsia"/>
                <w:lang w:val="en-US" w:eastAsia="zh-CN"/>
              </w:rPr>
            </w:pPr>
            <w:r>
              <w:rPr>
                <w:rFonts w:hint="eastAsia" w:ascii="宋体" w:hAnsi="宋体"/>
                <w:lang w:val="en-US" w:eastAsia="zh-CN"/>
              </w:rPr>
              <w:t>无</w:t>
            </w:r>
          </w:p>
        </w:tc>
      </w:tr>
      <w:tr w14:paraId="6938FC3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36A1909D">
            <w:pPr>
              <w:jc w:val="center"/>
              <w:rPr>
                <w:rFonts w:hint="eastAsia" w:ascii="宋体" w:hAnsi="宋体"/>
              </w:rPr>
            </w:pPr>
            <w:r>
              <w:rPr>
                <w:rFonts w:hint="eastAsia" w:ascii="宋体" w:hAnsi="宋体"/>
              </w:rPr>
              <w:t>3</w:t>
            </w:r>
            <w:r>
              <w:rPr>
                <w:rFonts w:ascii="宋体" w:hAnsi="宋体"/>
              </w:rPr>
              <w:t>7</w:t>
            </w:r>
          </w:p>
        </w:tc>
        <w:tc>
          <w:tcPr>
            <w:tcW w:w="1755" w:type="dxa"/>
            <w:vAlign w:val="center"/>
          </w:tcPr>
          <w:p w14:paraId="360530F3">
            <w:pPr>
              <w:jc w:val="center"/>
              <w:rPr>
                <w:rFonts w:hint="eastAsia" w:ascii="宋体" w:hAnsi="宋体"/>
              </w:rPr>
            </w:pPr>
            <w:r>
              <w:rPr>
                <w:rFonts w:hint="eastAsia" w:ascii="宋体" w:hAnsi="宋体"/>
              </w:rPr>
              <w:t>评审方法</w:t>
            </w:r>
          </w:p>
        </w:tc>
        <w:tc>
          <w:tcPr>
            <w:tcW w:w="6795" w:type="dxa"/>
            <w:vAlign w:val="center"/>
          </w:tcPr>
          <w:p w14:paraId="59F964A8">
            <w:pPr>
              <w:jc w:val="left"/>
              <w:rPr>
                <w:rFonts w:hint="eastAsia" w:ascii="宋体" w:hAnsi="宋体"/>
              </w:rPr>
            </w:pPr>
            <w:r>
              <w:rPr>
                <w:rFonts w:ascii="宋体" w:hAnsi="宋体"/>
                <w:b/>
                <w:bCs/>
              </w:rPr>
              <w:t>综合评分法</w:t>
            </w:r>
          </w:p>
        </w:tc>
      </w:tr>
      <w:tr w14:paraId="26AC19B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24AC6E0B">
            <w:pPr>
              <w:jc w:val="center"/>
              <w:rPr>
                <w:rFonts w:hint="eastAsia" w:ascii="宋体" w:hAnsi="宋体"/>
              </w:rPr>
            </w:pPr>
            <w:r>
              <w:rPr>
                <w:rFonts w:hint="eastAsia" w:ascii="宋体" w:hAnsi="宋体"/>
              </w:rPr>
              <w:t>3</w:t>
            </w:r>
            <w:r>
              <w:rPr>
                <w:rFonts w:ascii="宋体" w:hAnsi="宋体"/>
              </w:rPr>
              <w:t>8</w:t>
            </w:r>
          </w:p>
        </w:tc>
        <w:tc>
          <w:tcPr>
            <w:tcW w:w="1755" w:type="dxa"/>
            <w:vAlign w:val="center"/>
          </w:tcPr>
          <w:p w14:paraId="168B3A1E">
            <w:pPr>
              <w:jc w:val="center"/>
              <w:rPr>
                <w:rFonts w:hint="eastAsia" w:ascii="宋体" w:hAnsi="宋体"/>
              </w:rPr>
            </w:pPr>
            <w:r>
              <w:rPr>
                <w:rFonts w:hint="eastAsia" w:ascii="宋体" w:hAnsi="宋体"/>
              </w:rPr>
              <w:t>定标方法</w:t>
            </w:r>
          </w:p>
        </w:tc>
        <w:tc>
          <w:tcPr>
            <w:tcW w:w="6795" w:type="dxa"/>
            <w:vAlign w:val="center"/>
          </w:tcPr>
          <w:p w14:paraId="134F3A58">
            <w:pPr>
              <w:jc w:val="left"/>
              <w:rPr>
                <w:rFonts w:hint="eastAsia" w:ascii="宋体" w:hAnsi="宋体"/>
                <w:b/>
                <w:bCs/>
                <w:highlight w:val="yellow"/>
              </w:rPr>
            </w:pPr>
            <w:r>
              <w:rPr>
                <w:rFonts w:hint="eastAsia" w:ascii="宋体" w:hAnsi="宋体" w:eastAsia="宋体" w:cs="Times New Roman"/>
                <w:b/>
                <w:bCs/>
                <w:szCs w:val="21"/>
                <w:highlight w:val="none"/>
              </w:rPr>
              <w:t>非评定分离</w:t>
            </w:r>
          </w:p>
        </w:tc>
      </w:tr>
      <w:tr w14:paraId="3105424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14:paraId="2FF5520B">
            <w:pPr>
              <w:jc w:val="center"/>
              <w:rPr>
                <w:rFonts w:hint="eastAsia" w:ascii="宋体" w:hAnsi="宋体"/>
              </w:rPr>
            </w:pPr>
            <w:r>
              <w:rPr>
                <w:rFonts w:hint="eastAsia" w:ascii="宋体" w:hAnsi="宋体"/>
              </w:rPr>
              <w:t>4</w:t>
            </w:r>
            <w:r>
              <w:rPr>
                <w:rFonts w:ascii="宋体" w:hAnsi="宋体"/>
              </w:rPr>
              <w:t>6</w:t>
            </w:r>
          </w:p>
        </w:tc>
        <w:tc>
          <w:tcPr>
            <w:tcW w:w="1755" w:type="dxa"/>
            <w:vAlign w:val="center"/>
          </w:tcPr>
          <w:p w14:paraId="04F53EE4">
            <w:pPr>
              <w:jc w:val="center"/>
              <w:rPr>
                <w:rFonts w:hint="eastAsia" w:ascii="宋体" w:hAnsi="宋体"/>
              </w:rPr>
            </w:pPr>
            <w:r>
              <w:rPr>
                <w:rFonts w:hint="eastAsia" w:ascii="宋体" w:hAnsi="宋体"/>
              </w:rPr>
              <w:t>履约担保</w:t>
            </w:r>
          </w:p>
        </w:tc>
        <w:tc>
          <w:tcPr>
            <w:tcW w:w="6795" w:type="dxa"/>
            <w:vAlign w:val="center"/>
          </w:tcPr>
          <w:p w14:paraId="74F338F4">
            <w:pPr>
              <w:jc w:val="left"/>
              <w:rPr>
                <w:rFonts w:hint="eastAsia" w:ascii="宋体" w:hAnsi="宋体"/>
              </w:rPr>
            </w:pPr>
            <w:r>
              <w:rPr>
                <w:rFonts w:hint="eastAsia" w:ascii="宋体" w:hAnsi="宋体"/>
              </w:rPr>
              <w:t>不需要</w:t>
            </w:r>
          </w:p>
        </w:tc>
      </w:tr>
      <w:bookmarkEnd w:id="4"/>
      <w:bookmarkEnd w:id="5"/>
      <w:bookmarkEnd w:id="6"/>
      <w:bookmarkEnd w:id="7"/>
      <w:bookmarkEnd w:id="8"/>
      <w:bookmarkEnd w:id="9"/>
      <w:bookmarkEnd w:id="10"/>
      <w:bookmarkEnd w:id="11"/>
    </w:tbl>
    <w:p w14:paraId="60BC8F52">
      <w:pPr>
        <w:widowControl/>
        <w:jc w:val="center"/>
        <w:rPr>
          <w:szCs w:val="21"/>
        </w:rPr>
      </w:pPr>
      <w:r>
        <w:rPr>
          <w:rFonts w:hint="eastAsia"/>
          <w:szCs w:val="21"/>
        </w:rPr>
        <w:t>备注：本表是通用条款相关条款的补充和明确，如与通用条款内容相冲突的，以本表为准。</w:t>
      </w:r>
    </w:p>
    <w:p w14:paraId="79A3DFB8">
      <w:pPr>
        <w:keepNext/>
        <w:keepLines/>
        <w:adjustRightInd w:val="0"/>
        <w:spacing w:before="156" w:beforeLines="50" w:after="156" w:afterLines="50"/>
        <w:jc w:val="center"/>
        <w:textAlignment w:val="baseline"/>
        <w:outlineLvl w:val="2"/>
        <w:rPr>
          <w:rFonts w:hint="eastAsia" w:ascii="宋体" w:hAnsi="宋体" w:eastAsia="宋体" w:cs="Times New Roman"/>
          <w:b/>
          <w:bCs/>
          <w:kern w:val="0"/>
          <w:sz w:val="24"/>
          <w:szCs w:val="24"/>
        </w:rPr>
      </w:pPr>
      <w:r>
        <w:rPr>
          <w:rFonts w:hint="eastAsia" w:ascii="宋体" w:hAnsi="宋体" w:eastAsia="宋体" w:cs="Times New Roman"/>
          <w:b/>
          <w:bCs/>
          <w:kern w:val="0"/>
          <w:sz w:val="24"/>
          <w:szCs w:val="24"/>
        </w:rPr>
        <w:t>二、其他关键信息</w:t>
      </w:r>
    </w:p>
    <w:p w14:paraId="2711A444">
      <w:pPr>
        <w:tabs>
          <w:tab w:val="left" w:pos="720"/>
        </w:tabs>
        <w:rPr>
          <w:rFonts w:hint="eastAsia" w:ascii="黑体" w:hAnsi="宋体" w:eastAsia="黑体"/>
          <w:sz w:val="24"/>
        </w:rPr>
      </w:pPr>
      <w:r>
        <w:rPr>
          <w:rFonts w:hint="eastAsia" w:ascii="黑体" w:hAnsi="宋体" w:eastAsia="黑体"/>
          <w:sz w:val="24"/>
        </w:rPr>
        <w:t>（一）</w:t>
      </w:r>
      <w:r>
        <w:rPr>
          <w:rFonts w:hint="eastAsia" w:ascii="黑体" w:hAnsi="宋体" w:eastAsia="黑体"/>
          <w:bCs/>
          <w:sz w:val="24"/>
        </w:rPr>
        <w:t>与“对通用条款的补充内容”章节相关的事项</w:t>
      </w:r>
    </w:p>
    <w:p w14:paraId="1A85EED5">
      <w:pPr>
        <w:tabs>
          <w:tab w:val="left" w:pos="720"/>
        </w:tabs>
        <w:rPr>
          <w:rFonts w:hint="eastAsia" w:ascii="黑体" w:hAnsi="宋体" w:eastAsia="黑体"/>
          <w:bCs/>
          <w:sz w:val="24"/>
        </w:rPr>
      </w:pPr>
      <w:r>
        <w:rPr>
          <w:rFonts w:hint="eastAsia" w:ascii="黑体" w:hAnsi="宋体" w:eastAsia="黑体"/>
          <w:bCs/>
          <w:sz w:val="24"/>
        </w:rPr>
        <w:t>1、评标定标信息</w:t>
      </w:r>
    </w:p>
    <w:p w14:paraId="603CFE15">
      <w:pPr>
        <w:jc w:val="center"/>
      </w:pPr>
      <w:r>
        <w:rPr>
          <w:rFonts w:hint="eastAsia"/>
          <w:b/>
        </w:rPr>
        <w:t>非评定分离项目</w:t>
      </w:r>
    </w:p>
    <w:tbl>
      <w:tblPr>
        <w:tblStyle w:val="18"/>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4"/>
        <w:gridCol w:w="3235"/>
        <w:gridCol w:w="2450"/>
      </w:tblGrid>
      <w:tr w14:paraId="1CEDD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14:paraId="682106F1">
            <w:pPr>
              <w:jc w:val="center"/>
            </w:pPr>
            <w:r>
              <w:rPr>
                <w:rFonts w:hint="eastAsia"/>
              </w:rPr>
              <w:t>评标方法</w:t>
            </w:r>
          </w:p>
        </w:tc>
        <w:tc>
          <w:tcPr>
            <w:tcW w:w="3235" w:type="dxa"/>
          </w:tcPr>
          <w:p w14:paraId="4D87EE41">
            <w:pPr>
              <w:jc w:val="center"/>
              <w:rPr>
                <w:rFonts w:eastAsia="宋体"/>
              </w:rPr>
            </w:pPr>
            <w:r>
              <w:rPr>
                <w:rFonts w:hint="eastAsia"/>
              </w:rPr>
              <w:sym w:font="Wingdings" w:char="00FE"/>
            </w:r>
            <w:r>
              <w:rPr>
                <w:rFonts w:hint="eastAsia"/>
              </w:rPr>
              <w:t>综合评分法</w:t>
            </w:r>
          </w:p>
        </w:tc>
        <w:tc>
          <w:tcPr>
            <w:tcW w:w="2450" w:type="dxa"/>
          </w:tcPr>
          <w:p w14:paraId="7E4CF265">
            <w:pPr>
              <w:jc w:val="center"/>
            </w:pPr>
            <w:r>
              <w:rPr>
                <w:rFonts w:hint="eastAsia" w:ascii="Times New Roman" w:eastAsia="宋体"/>
              </w:rPr>
              <w:sym w:font="Wingdings" w:char="00A8"/>
            </w:r>
            <w:r>
              <w:rPr>
                <w:rFonts w:hint="eastAsia" w:ascii="Times New Roman" w:eastAsia="宋体"/>
              </w:rPr>
              <w:t>最低价法</w:t>
            </w:r>
          </w:p>
        </w:tc>
      </w:tr>
      <w:tr w14:paraId="157D0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14:paraId="1A4E1D38">
            <w:pPr>
              <w:jc w:val="center"/>
            </w:pPr>
            <w:r>
              <w:rPr>
                <w:rFonts w:hint="eastAsia"/>
              </w:rPr>
              <w:t>候选中标供应商家数</w:t>
            </w:r>
          </w:p>
        </w:tc>
        <w:tc>
          <w:tcPr>
            <w:tcW w:w="3235" w:type="dxa"/>
          </w:tcPr>
          <w:p w14:paraId="29CAF401">
            <w:pPr>
              <w:jc w:val="center"/>
              <w:rPr>
                <w:rFonts w:eastAsia="宋体"/>
              </w:rPr>
            </w:pPr>
            <w:r>
              <w:rPr>
                <w:rFonts w:hint="eastAsia" w:eastAsia="宋体"/>
              </w:rPr>
              <w:t>3</w:t>
            </w:r>
          </w:p>
        </w:tc>
        <w:tc>
          <w:tcPr>
            <w:tcW w:w="2450" w:type="dxa"/>
          </w:tcPr>
          <w:p w14:paraId="5D2761E9">
            <w:pPr>
              <w:jc w:val="center"/>
            </w:pPr>
            <w:r>
              <w:rPr>
                <w:rFonts w:hint="eastAsia"/>
              </w:rPr>
              <w:t>3</w:t>
            </w:r>
          </w:p>
        </w:tc>
      </w:tr>
      <w:tr w14:paraId="26FDD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14:paraId="66ADE603">
            <w:pPr>
              <w:jc w:val="center"/>
            </w:pPr>
            <w:r>
              <w:rPr>
                <w:rFonts w:hint="eastAsia"/>
              </w:rPr>
              <w:t>中标供应商家数</w:t>
            </w:r>
          </w:p>
        </w:tc>
        <w:tc>
          <w:tcPr>
            <w:tcW w:w="3235" w:type="dxa"/>
          </w:tcPr>
          <w:p w14:paraId="684FD0F0">
            <w:pPr>
              <w:jc w:val="center"/>
            </w:pPr>
            <w:r>
              <w:rPr>
                <w:rFonts w:hint="eastAsia"/>
              </w:rPr>
              <w:t>1</w:t>
            </w:r>
          </w:p>
        </w:tc>
        <w:tc>
          <w:tcPr>
            <w:tcW w:w="2450" w:type="dxa"/>
          </w:tcPr>
          <w:p w14:paraId="634151EA">
            <w:pPr>
              <w:jc w:val="center"/>
            </w:pPr>
            <w:r>
              <w:rPr>
                <w:rFonts w:hint="eastAsia"/>
              </w:rPr>
              <w:t>1</w:t>
            </w:r>
          </w:p>
        </w:tc>
      </w:tr>
    </w:tbl>
    <w:p w14:paraId="13F82AC4">
      <w:pPr>
        <w:numPr>
          <w:ilvl w:val="0"/>
          <w:numId w:val="1"/>
        </w:numPr>
        <w:spacing w:line="240" w:lineRule="atLeast"/>
        <w:rPr>
          <w:rFonts w:hint="eastAsia" w:ascii="宋体" w:hAnsi="宋体" w:eastAsia="宋体" w:cs="宋体"/>
          <w:b/>
          <w:bCs/>
          <w:szCs w:val="21"/>
          <w:lang w:eastAsia="zh-CN"/>
        </w:rPr>
      </w:pPr>
      <w:r>
        <w:rPr>
          <w:rFonts w:hint="eastAsia" w:ascii="宋体" w:hAnsi="宋体" w:eastAsia="宋体" w:cs="宋体"/>
          <w:b/>
          <w:bCs/>
          <w:szCs w:val="21"/>
          <w:lang w:eastAsia="zh-CN"/>
        </w:rPr>
        <w:t>现场踏勘：</w:t>
      </w:r>
    </w:p>
    <w:p w14:paraId="27601980">
      <w:pPr>
        <w:pStyle w:val="9"/>
        <w:numPr>
          <w:ilvl w:val="0"/>
          <w:numId w:val="0"/>
        </w:numPr>
        <w:rPr>
          <w:rFonts w:hint="eastAsia" w:asciiTheme="minorHAnsi" w:hAnsiTheme="minorHAnsi" w:eastAsiaTheme="minorEastAsia" w:cstheme="minorBidi"/>
          <w:b w:val="0"/>
          <w:bCs w:val="0"/>
          <w:kern w:val="2"/>
          <w:sz w:val="21"/>
          <w:szCs w:val="22"/>
          <w:lang w:val="en-US" w:eastAsia="zh-CN" w:bidi="ar-SA"/>
        </w:rPr>
      </w:pPr>
      <w:r>
        <w:rPr>
          <w:rFonts w:hint="eastAsia" w:asciiTheme="minorHAnsi" w:hAnsiTheme="minorHAnsi" w:eastAsiaTheme="minorEastAsia" w:cstheme="minorBidi"/>
          <w:b w:val="0"/>
          <w:bCs w:val="0"/>
          <w:kern w:val="2"/>
          <w:sz w:val="21"/>
          <w:szCs w:val="22"/>
          <w:lang w:val="en-US" w:eastAsia="zh-CN" w:bidi="ar-SA"/>
        </w:rPr>
        <w:t>（1）“本项目安排踏勘现场，投标人需在</w:t>
      </w:r>
      <w:r>
        <w:rPr>
          <w:rFonts w:hint="eastAsia" w:asciiTheme="minorHAnsi" w:hAnsiTheme="minorHAnsi" w:eastAsiaTheme="minorEastAsia" w:cstheme="minorBidi"/>
          <w:b/>
          <w:bCs/>
          <w:kern w:val="2"/>
          <w:sz w:val="21"/>
          <w:szCs w:val="22"/>
          <w:lang w:val="en-US" w:eastAsia="zh-CN" w:bidi="ar-SA"/>
        </w:rPr>
        <w:t>本项目采购公告载明的交易（采购）文件获取时间之日起的第三个日历日（招标文件领取时间之日为第一个日历日）上午 10：00</w:t>
      </w:r>
      <w:r>
        <w:rPr>
          <w:rFonts w:hint="eastAsia" w:asciiTheme="minorHAnsi" w:hAnsiTheme="minorHAnsi" w:eastAsiaTheme="minorEastAsia" w:cstheme="minorBidi"/>
          <w:b w:val="0"/>
          <w:bCs w:val="0"/>
          <w:kern w:val="2"/>
          <w:sz w:val="21"/>
          <w:szCs w:val="22"/>
          <w:lang w:val="en-US" w:eastAsia="zh-CN" w:bidi="ar-SA"/>
        </w:rPr>
        <w:t>携带</w:t>
      </w:r>
      <w:r>
        <w:rPr>
          <w:rFonts w:hint="eastAsia" w:asciiTheme="minorHAnsi" w:hAnsiTheme="minorHAnsi" w:eastAsiaTheme="minorEastAsia" w:cstheme="minorBidi"/>
          <w:b/>
          <w:bCs/>
          <w:kern w:val="2"/>
          <w:sz w:val="21"/>
          <w:szCs w:val="22"/>
          <w:highlight w:val="yellow"/>
          <w:lang w:val="en-US" w:eastAsia="zh-CN" w:bidi="ar-SA"/>
        </w:rPr>
        <w:t>公司营业执照、法人证明书、授权书（如有）</w:t>
      </w:r>
      <w:r>
        <w:rPr>
          <w:rFonts w:hint="eastAsia" w:asciiTheme="minorHAnsi" w:hAnsiTheme="minorHAnsi" w:eastAsiaTheme="minorEastAsia" w:cstheme="minorBidi"/>
          <w:b w:val="0"/>
          <w:bCs w:val="0"/>
          <w:kern w:val="2"/>
          <w:sz w:val="21"/>
          <w:szCs w:val="22"/>
          <w:lang w:val="en-US" w:eastAsia="zh-CN" w:bidi="ar-SA"/>
        </w:rPr>
        <w:t>到</w:t>
      </w:r>
      <w:r>
        <w:rPr>
          <w:rFonts w:hint="eastAsia" w:asciiTheme="minorHAnsi" w:hAnsiTheme="minorHAnsi" w:eastAsiaTheme="minorEastAsia" w:cstheme="minorBidi"/>
          <w:b/>
          <w:bCs/>
          <w:kern w:val="2"/>
          <w:sz w:val="21"/>
          <w:szCs w:val="22"/>
          <w:highlight w:val="yellow"/>
          <w:lang w:val="en-US" w:eastAsia="zh-CN" w:bidi="ar-SA"/>
        </w:rPr>
        <w:t>广东省深圳市龙华区大浪街道龙胜社区春华路四海华亭小区内</w:t>
      </w:r>
      <w:r>
        <w:rPr>
          <w:rFonts w:hint="eastAsia" w:cstheme="minorBidi"/>
          <w:b/>
          <w:bCs/>
          <w:kern w:val="2"/>
          <w:sz w:val="21"/>
          <w:szCs w:val="22"/>
          <w:highlight w:val="yellow"/>
          <w:lang w:val="en-US" w:eastAsia="zh-CN" w:bidi="ar-SA"/>
        </w:rPr>
        <w:t>（</w:t>
      </w:r>
      <w:r>
        <w:rPr>
          <w:rFonts w:hint="eastAsia" w:ascii="宋体" w:hAnsi="宋体"/>
          <w:highlight w:val="yellow"/>
        </w:rPr>
        <w:t>深圳市龙华区大浪第二幼教集团</w:t>
      </w:r>
      <w:r>
        <w:rPr>
          <w:rFonts w:hint="eastAsia" w:ascii="宋体" w:hAnsi="宋体"/>
          <w:highlight w:val="yellow"/>
          <w:lang w:eastAsia="zh-CN"/>
        </w:rPr>
        <w:t>四海华亭幼儿园</w:t>
      </w:r>
      <w:r>
        <w:rPr>
          <w:rFonts w:hint="eastAsia" w:cstheme="minorBidi"/>
          <w:b/>
          <w:bCs/>
          <w:kern w:val="2"/>
          <w:sz w:val="21"/>
          <w:szCs w:val="22"/>
          <w:highlight w:val="yellow"/>
          <w:lang w:val="en-US" w:eastAsia="zh-CN" w:bidi="ar-SA"/>
        </w:rPr>
        <w:t>）</w:t>
      </w:r>
      <w:r>
        <w:rPr>
          <w:rFonts w:hint="eastAsia" w:asciiTheme="minorHAnsi" w:hAnsiTheme="minorHAnsi" w:eastAsiaTheme="minorEastAsia" w:cstheme="minorBidi"/>
          <w:b w:val="0"/>
          <w:bCs w:val="0"/>
          <w:kern w:val="2"/>
          <w:sz w:val="21"/>
          <w:szCs w:val="22"/>
          <w:lang w:val="en-US" w:eastAsia="zh-CN" w:bidi="ar-SA"/>
        </w:rPr>
        <w:t>；联系人：</w:t>
      </w:r>
      <w:r>
        <w:rPr>
          <w:rFonts w:hint="eastAsia" w:cstheme="minorBidi"/>
          <w:b w:val="0"/>
          <w:bCs w:val="0"/>
          <w:kern w:val="2"/>
          <w:sz w:val="21"/>
          <w:szCs w:val="22"/>
          <w:lang w:val="en-US" w:eastAsia="zh-CN" w:bidi="ar-SA"/>
        </w:rPr>
        <w:t>叶老师</w:t>
      </w:r>
      <w:r>
        <w:rPr>
          <w:rFonts w:hint="eastAsia" w:asciiTheme="minorHAnsi" w:hAnsiTheme="minorHAnsi" w:eastAsiaTheme="minorEastAsia" w:cstheme="minorBidi"/>
          <w:b w:val="0"/>
          <w:bCs w:val="0"/>
          <w:kern w:val="2"/>
          <w:sz w:val="21"/>
          <w:szCs w:val="22"/>
          <w:lang w:val="en-US" w:eastAsia="zh-CN" w:bidi="ar-SA"/>
        </w:rPr>
        <w:t>，联系电话：</w:t>
      </w:r>
      <w:bookmarkStart w:id="12" w:name="OLE_LINK1"/>
      <w:r>
        <w:rPr>
          <w:rFonts w:hint="eastAsia" w:asciiTheme="minorHAnsi" w:hAnsiTheme="minorHAnsi" w:eastAsiaTheme="minorEastAsia" w:cstheme="minorBidi"/>
          <w:b w:val="0"/>
          <w:bCs w:val="0"/>
          <w:kern w:val="2"/>
          <w:sz w:val="21"/>
          <w:szCs w:val="22"/>
          <w:lang w:val="en-US" w:eastAsia="zh-CN" w:bidi="ar-SA"/>
        </w:rPr>
        <w:t>18820205756</w:t>
      </w:r>
      <w:bookmarkEnd w:id="12"/>
      <w:r>
        <w:rPr>
          <w:rFonts w:hint="eastAsia" w:asciiTheme="minorHAnsi" w:hAnsiTheme="minorHAnsi" w:eastAsiaTheme="minorEastAsia" w:cstheme="minorBidi"/>
          <w:b w:val="0"/>
          <w:bCs w:val="0"/>
          <w:kern w:val="2"/>
          <w:sz w:val="21"/>
          <w:szCs w:val="22"/>
          <w:lang w:val="en-US" w:eastAsia="zh-CN" w:bidi="ar-SA"/>
        </w:rPr>
        <w:t>”；</w:t>
      </w:r>
    </w:p>
    <w:p w14:paraId="575FC873">
      <w:pPr>
        <w:pStyle w:val="9"/>
        <w:numPr>
          <w:ilvl w:val="0"/>
          <w:numId w:val="0"/>
        </w:numPr>
        <w:rPr>
          <w:rFonts w:hint="eastAsia"/>
          <w:lang w:eastAsia="zh-CN"/>
        </w:rPr>
      </w:pPr>
      <w:r>
        <w:rPr>
          <w:rFonts w:hint="eastAsia" w:asciiTheme="minorHAnsi" w:hAnsiTheme="minorHAnsi" w:eastAsiaTheme="minorEastAsia" w:cstheme="minorBidi"/>
          <w:b w:val="0"/>
          <w:bCs w:val="0"/>
          <w:kern w:val="2"/>
          <w:sz w:val="21"/>
          <w:szCs w:val="22"/>
          <w:lang w:val="en-US" w:eastAsia="zh-CN" w:bidi="ar-SA"/>
        </w:rPr>
        <w:t>请各投标人准时参加，逾期不再单独安排。</w:t>
      </w:r>
    </w:p>
    <w:p w14:paraId="742D6CF4">
      <w:pPr>
        <w:spacing w:line="240" w:lineRule="atLeast"/>
        <w:rPr>
          <w:rFonts w:hint="eastAsia" w:ascii="宋体" w:hAnsi="宋体" w:eastAsia="宋体" w:cs="宋体"/>
          <w:b/>
          <w:bCs/>
          <w:szCs w:val="21"/>
        </w:rPr>
      </w:pPr>
    </w:p>
    <w:p w14:paraId="4803FB75">
      <w:pPr>
        <w:tabs>
          <w:tab w:val="left" w:pos="720"/>
        </w:tabs>
        <w:rPr>
          <w:rFonts w:hint="eastAsia" w:ascii="黑体" w:hAnsi="宋体" w:eastAsia="黑体"/>
          <w:sz w:val="24"/>
        </w:rPr>
      </w:pPr>
      <w:r>
        <w:rPr>
          <w:rFonts w:hint="eastAsia" w:ascii="黑体" w:hAnsi="宋体" w:eastAsia="黑体"/>
          <w:sz w:val="24"/>
        </w:rPr>
        <w:t>（二）其他事项</w:t>
      </w:r>
    </w:p>
    <w:p w14:paraId="3E1D9058">
      <w:pPr>
        <w:tabs>
          <w:tab w:val="left" w:pos="720"/>
        </w:tabs>
        <w:rPr>
          <w:rFonts w:hint="eastAsia" w:ascii="黑体" w:hAnsi="宋体" w:eastAsia="黑体"/>
          <w:sz w:val="24"/>
        </w:rPr>
      </w:pPr>
      <w:r>
        <w:rPr>
          <w:rFonts w:hint="eastAsia" w:ascii="黑体" w:hAnsi="宋体" w:eastAsia="黑体"/>
          <w:sz w:val="24"/>
        </w:rPr>
        <w:t>1、关于享受优惠政策的主体、价格扣除比例及采购标的所属行业</w:t>
      </w:r>
    </w:p>
    <w:p w14:paraId="2D1ED9FC">
      <w:pPr>
        <w:ind w:firstLine="413" w:firstLineChars="196"/>
        <w:rPr>
          <w:rFonts w:hint="eastAsia" w:ascii="宋体" w:hAnsi="宋体"/>
          <w:color w:val="FF0000"/>
        </w:rPr>
      </w:pPr>
      <w:r>
        <w:rPr>
          <w:rFonts w:hint="eastAsia" w:ascii="宋体" w:hAnsi="宋体"/>
          <w:b/>
          <w:bCs/>
          <w:color w:val="FF0000"/>
          <w:highlight w:val="yellow"/>
        </w:rPr>
        <w:t>（1）</w:t>
      </w:r>
      <w:r>
        <w:rPr>
          <w:rFonts w:hint="eastAsia"/>
          <w:b/>
          <w:bCs/>
          <w:color w:val="FF0000"/>
          <w:highlight w:val="yellow"/>
        </w:rPr>
        <w:t>专门面向中小企业采购的项目（包括联合体或分包预留中小企业份额的项目），不再执行价格扣除比例。</w:t>
      </w:r>
    </w:p>
    <w:p w14:paraId="0B01DD86">
      <w:pPr>
        <w:ind w:firstLine="411" w:firstLineChars="196"/>
        <w:rPr>
          <w:rFonts w:ascii="Arial" w:hAnsi="Arial" w:eastAsia="宋体" w:cs="Times New Roman"/>
          <w:b/>
          <w:color w:val="0000FF"/>
          <w:szCs w:val="21"/>
          <w:highlight w:val="yellow"/>
        </w:rPr>
      </w:pPr>
      <w:r>
        <w:rPr>
          <w:rFonts w:hint="eastAsia" w:ascii="宋体" w:hAnsi="宋体"/>
          <w:highlight w:val="none"/>
        </w:rPr>
        <w:t>（2）</w:t>
      </w:r>
      <w:r>
        <w:rPr>
          <w:rFonts w:hint="eastAsia"/>
          <w:highlight w:val="none"/>
        </w:rPr>
        <w:t>非</w:t>
      </w:r>
      <w:r>
        <w:rPr>
          <w:rFonts w:hint="eastAsia" w:ascii="Times New Roman" w:eastAsia="宋体"/>
          <w:highlight w:val="none"/>
        </w:rPr>
        <w:t>专门面向中小企业采购的项目，</w:t>
      </w:r>
      <w:r>
        <w:rPr>
          <w:rFonts w:hint="eastAsia"/>
          <w:highlight w:val="none"/>
        </w:rPr>
        <w:t>应</w:t>
      </w:r>
      <w:r>
        <w:rPr>
          <w:rFonts w:hint="eastAsia" w:ascii="Times New Roman" w:eastAsia="宋体"/>
          <w:highlight w:val="none"/>
        </w:rPr>
        <w:t>执行价格扣除比例</w:t>
      </w:r>
      <w:r>
        <w:rPr>
          <w:rFonts w:hint="eastAsia"/>
          <w:highlight w:val="none"/>
        </w:rPr>
        <w:t>：</w:t>
      </w:r>
      <w:r>
        <w:rPr>
          <w:rFonts w:hint="eastAsia" w:ascii="宋体" w:hAnsi="宋体"/>
          <w:highlight w:val="none"/>
        </w:rPr>
        <w:t>投标人提供的货物（以招标文件用户需求书“货物需求明细”的“货物名称”一栏为准）全部均由优惠主体制造的，对其投标总价给予</w:t>
      </w:r>
      <w:r>
        <w:rPr>
          <w:rFonts w:hint="eastAsia" w:ascii="宋体" w:hAnsi="宋体"/>
          <w:b/>
          <w:bCs/>
          <w:highlight w:val="none"/>
          <w:u w:val="single"/>
        </w:rPr>
        <w:t xml:space="preserve"> </w:t>
      </w:r>
      <w:r>
        <w:rPr>
          <w:rFonts w:hint="eastAsia" w:ascii="宋体" w:hAnsi="宋体"/>
          <w:b/>
          <w:bCs/>
          <w:highlight w:val="none"/>
          <w:u w:val="single"/>
          <w:lang w:val="en-US" w:eastAsia="zh-CN"/>
        </w:rPr>
        <w:t>/</w:t>
      </w:r>
      <w:r>
        <w:rPr>
          <w:rFonts w:hint="eastAsia" w:ascii="宋体" w:hAnsi="宋体" w:eastAsia="宋体" w:cs="Times New Roman"/>
          <w:b/>
          <w:bCs/>
          <w:sz w:val="24"/>
          <w:szCs w:val="24"/>
          <w:highlight w:val="none"/>
          <w:u w:val="single"/>
        </w:rPr>
        <w:t xml:space="preserve"> </w:t>
      </w:r>
      <w:r>
        <w:rPr>
          <w:rFonts w:hint="eastAsia" w:ascii="宋体" w:hAnsi="宋体"/>
          <w:b/>
          <w:bCs/>
          <w:highlight w:val="none"/>
        </w:rPr>
        <w:t>的</w:t>
      </w:r>
      <w:r>
        <w:rPr>
          <w:rFonts w:hint="eastAsia" w:ascii="宋体" w:hAnsi="宋体"/>
          <w:highlight w:val="none"/>
        </w:rPr>
        <w:t>扣除，用扣除后的价格参与评审。满足多项优惠政策的企业，不重复享受多项价格扣除政策。</w:t>
      </w:r>
      <w:r>
        <w:rPr>
          <w:rFonts w:hint="eastAsia" w:ascii="Arial" w:hAnsi="Arial" w:eastAsia="宋体" w:cs="Times New Roman"/>
          <w:b/>
          <w:szCs w:val="21"/>
          <w:highlight w:val="none"/>
        </w:rPr>
        <w:t>政策调整后价格仅作为评审依据，不作为中标价格。</w:t>
      </w:r>
    </w:p>
    <w:p w14:paraId="5CC6DB01">
      <w:pPr>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备注：</w:t>
      </w:r>
      <w:r>
        <w:rPr>
          <w:rFonts w:hint="eastAsia" w:asciiTheme="minorEastAsia" w:hAnsiTheme="minorEastAsia" w:cstheme="minorEastAsia"/>
          <w:b/>
          <w:bCs/>
          <w:szCs w:val="21"/>
        </w:rPr>
        <w:t>（a）</w:t>
      </w:r>
      <w:r>
        <w:rPr>
          <w:rFonts w:hint="eastAsia" w:asciiTheme="minorEastAsia" w:hAnsiTheme="minorEastAsia" w:cstheme="minorEastAsia"/>
          <w:szCs w:val="21"/>
        </w:rPr>
        <w:t>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rPr>
          <w:rFonts w:hint="eastAsia" w:ascii="宋体" w:hAnsi="宋体"/>
        </w:rPr>
        <w:t>根据《财政部 司法部关于政府采购支持监狱企业发展有关问题的通知》(财库〔2014〕68号)，在政府采购活动中，监狱企业视同小型、微型企业；根据《关于促进残疾人就业政府采购政策的通知》(财库〔2017〕141号)，在政府采购活动中，残疾人福利性单位视同小型、微型企业；</w:t>
      </w:r>
      <w:r>
        <w:rPr>
          <w:rFonts w:hint="eastAsia" w:asciiTheme="minorEastAsia" w:hAnsiTheme="minorEastAsia" w:cstheme="minorEastAsia"/>
          <w:b/>
          <w:bCs/>
          <w:szCs w:val="21"/>
        </w:rPr>
        <w:t>(b)</w:t>
      </w:r>
      <w:r>
        <w:rPr>
          <w:rFonts w:hint="eastAsia" w:asciiTheme="minorEastAsia" w:hAnsiTheme="minorEastAsia" w:cstheme="minorEastAsia"/>
          <w:szCs w:val="21"/>
        </w:rPr>
        <w:t>优惠主体制造是指货物由优惠主体生产且使用该优惠主体商号或者注册商标；投标人提供的货物既有优惠主体制造货物，又有非优惠主体制造货物的，不给予价格扣除。</w:t>
      </w:r>
    </w:p>
    <w:p w14:paraId="54C5C5F4">
      <w:pPr>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（3）</w:t>
      </w:r>
      <w:bookmarkStart w:id="13" w:name="_Hlk71970739"/>
      <w:r>
        <w:rPr>
          <w:rFonts w:hint="eastAsia" w:asciiTheme="minorEastAsia" w:hAnsiTheme="minorEastAsia" w:cstheme="minorEastAsia"/>
          <w:szCs w:val="21"/>
        </w:rPr>
        <w:t>中小企业参加政府采购活动，应当按照国务院批准的《中小企业划型标准规定》（工信部联企业〔2011〕300号）、《金融业企业划型标准规定》（银发〔2015〕309号）和《财政部 工业和信息化部关于印发〈政府采购促进中小企业发展管理办法〉的通知》（财库〔2020〕46号）的规定，出具《中小企业声明函》，《中小企业声明函》中相关企业（货物制造商）所属行业应当与采购标的所属行业相一致，标的所属行业以招标文件第一册第三章用户需求书“货物清单明细”的“标的所属行业”一栏为准。</w:t>
      </w:r>
      <w:bookmarkEnd w:id="13"/>
    </w:p>
    <w:p w14:paraId="6E56A630">
      <w:pPr>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4）小型企业、微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三章“投标文件格式、附件”中“四、投标人情况及资格证明文件”章节提供的格式）。</w:t>
      </w:r>
    </w:p>
    <w:p w14:paraId="7A5058D1">
      <w:pPr>
        <w:tabs>
          <w:tab w:val="left" w:pos="720"/>
        </w:tabs>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（5）享受价格扣除获得政府采购合同的，小微企业不得将合同分包给大中型企业。</w:t>
      </w:r>
    </w:p>
    <w:p w14:paraId="1F296C22">
      <w:pPr>
        <w:tabs>
          <w:tab w:val="left" w:pos="720"/>
        </w:tabs>
        <w:ind w:firstLine="480" w:firstLineChars="200"/>
        <w:rPr>
          <w:rFonts w:hint="eastAsia" w:ascii="黑体" w:hAnsi="宋体" w:eastAsia="黑体"/>
          <w:sz w:val="24"/>
        </w:rPr>
      </w:pPr>
    </w:p>
    <w:p w14:paraId="2F52E995">
      <w:pPr>
        <w:tabs>
          <w:tab w:val="left" w:pos="720"/>
        </w:tabs>
        <w:rPr>
          <w:rFonts w:hint="eastAsia" w:ascii="宋体" w:hAnsi="宋体"/>
          <w:b/>
          <w:bCs/>
          <w:color w:val="FF0000"/>
        </w:rPr>
      </w:pPr>
      <w:r>
        <w:rPr>
          <w:rFonts w:hint="eastAsia" w:ascii="宋体" w:hAnsi="宋体" w:eastAsia="宋体" w:cs="宋体"/>
          <w:b/>
          <w:bCs/>
          <w:szCs w:val="24"/>
        </w:rPr>
        <w:t>2.</w:t>
      </w:r>
      <w:r>
        <w:rPr>
          <w:rFonts w:ascii="宋体" w:hAnsi="宋体"/>
          <w:b/>
          <w:bCs/>
          <w:color w:val="FF0000"/>
        </w:rPr>
        <w:t>本项目为代理服务项目，将向中标</w:t>
      </w:r>
      <w:r>
        <w:rPr>
          <w:rFonts w:hint="eastAsia" w:ascii="宋体" w:hAnsi="宋体"/>
          <w:b/>
          <w:bCs/>
          <w:color w:val="FF0000"/>
        </w:rPr>
        <w:t>（成交）</w:t>
      </w:r>
      <w:r>
        <w:rPr>
          <w:rFonts w:ascii="宋体" w:hAnsi="宋体"/>
          <w:b/>
          <w:bCs/>
          <w:color w:val="FF0000"/>
        </w:rPr>
        <w:t>供应商收取代理服务费</w:t>
      </w:r>
      <w:r>
        <w:rPr>
          <w:rFonts w:hint="eastAsia" w:ascii="宋体" w:hAnsi="宋体"/>
          <w:b/>
          <w:bCs/>
          <w:color w:val="FF0000"/>
        </w:rPr>
        <w:t>。</w:t>
      </w:r>
    </w:p>
    <w:p w14:paraId="166DF01A">
      <w:pPr>
        <w:widowControl/>
        <w:ind w:firstLine="420"/>
        <w:jc w:val="left"/>
        <w:rPr>
          <w:rFonts w:hint="eastAsia" w:ascii="宋体" w:hAnsi="宋体"/>
          <w:color w:val="FF0000"/>
          <w:szCs w:val="21"/>
        </w:rPr>
      </w:pPr>
      <w:r>
        <w:rPr>
          <w:rFonts w:hint="eastAsia" w:ascii="宋体" w:hAnsi="宋体"/>
          <w:color w:val="FF0000"/>
          <w:szCs w:val="21"/>
        </w:rPr>
        <w:t>中标（成交）供应商在领取《中标（成交）通知书》之前须向深圳公共资源交易中心（深圳交易集团有限公司龙华分公司）交纳代理服务费。若因中标（成交）供应商交纳代理服务费所产生的时间影响到合同签订的，由中标（成交）供应商自行承担责任。代理服务费标准参照下列标准收取。本项目类型为</w:t>
      </w:r>
      <w:r>
        <w:rPr>
          <w:rFonts w:hint="eastAsia" w:ascii="宋体" w:hAnsi="宋体"/>
          <w:b/>
          <w:bCs/>
          <w:color w:val="FF0000"/>
          <w:szCs w:val="21"/>
          <w:u w:val="single"/>
        </w:rPr>
        <w:t>货物采购</w:t>
      </w:r>
      <w:r>
        <w:rPr>
          <w:rFonts w:hint="eastAsia" w:ascii="宋体" w:hAnsi="宋体"/>
          <w:color w:val="FF0000"/>
          <w:szCs w:val="21"/>
        </w:rPr>
        <w:t>：</w:t>
      </w:r>
    </w:p>
    <w:p w14:paraId="710014B2">
      <w:pPr>
        <w:widowControl/>
        <w:ind w:firstLine="420"/>
        <w:jc w:val="left"/>
        <w:rPr>
          <w:rFonts w:hint="eastAsia" w:ascii="宋体" w:hAnsi="宋体"/>
          <w:color w:val="FF0000"/>
          <w:szCs w:val="21"/>
        </w:rPr>
      </w:pPr>
      <w:r>
        <w:rPr>
          <w:rFonts w:hint="eastAsia" w:ascii="宋体" w:hAnsi="宋体"/>
          <w:color w:val="FF0000"/>
          <w:szCs w:val="21"/>
        </w:rPr>
        <w:t>（1）代理服务费以《中标（成交）通知书》确定的中标（成交）金额作为计算基数，按差额定率累进法计算。</w:t>
      </w:r>
    </w:p>
    <w:p w14:paraId="04150BFD">
      <w:pPr>
        <w:widowControl/>
        <w:ind w:firstLine="420"/>
        <w:jc w:val="left"/>
        <w:rPr>
          <w:rFonts w:hint="eastAsia" w:ascii="宋体" w:hAnsi="宋体"/>
          <w:color w:val="FF0000"/>
          <w:szCs w:val="21"/>
        </w:rPr>
      </w:pPr>
      <w:r>
        <w:rPr>
          <w:rFonts w:hint="eastAsia" w:ascii="宋体" w:hAnsi="宋体"/>
          <w:color w:val="FF0000"/>
          <w:szCs w:val="21"/>
        </w:rPr>
        <w:t>（2）中标（成交）金额的各部分费率如下表：</w:t>
      </w:r>
    </w:p>
    <w:tbl>
      <w:tblPr>
        <w:tblStyle w:val="1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1799"/>
        <w:gridCol w:w="1799"/>
        <w:gridCol w:w="1799"/>
      </w:tblGrid>
      <w:tr w14:paraId="74B93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125" w:type="dxa"/>
            <w:vAlign w:val="center"/>
          </w:tcPr>
          <w:p w14:paraId="4BCBF758">
            <w:pPr>
              <w:widowControl/>
              <w:ind w:firstLine="420"/>
              <w:jc w:val="left"/>
              <w:rPr>
                <w:rFonts w:hint="eastAsia" w:ascii="宋体" w:hAnsi="宋体"/>
                <w:color w:val="FF0000"/>
                <w:szCs w:val="21"/>
              </w:rPr>
            </w:pPr>
            <w:r>
              <w:rPr>
                <w:rFonts w:hint="eastAsia" w:ascii="宋体" w:hAnsi="宋体"/>
                <w:color w:val="FF0000"/>
                <w:szCs w:val="21"/>
              </w:rPr>
              <w:t>中标（成交）金额</w:t>
            </w:r>
          </w:p>
        </w:tc>
        <w:tc>
          <w:tcPr>
            <w:tcW w:w="1799" w:type="dxa"/>
            <w:vAlign w:val="center"/>
          </w:tcPr>
          <w:p w14:paraId="52AF1FC6">
            <w:pPr>
              <w:widowControl/>
              <w:ind w:firstLine="420"/>
              <w:jc w:val="left"/>
              <w:rPr>
                <w:rFonts w:hint="eastAsia" w:ascii="宋体" w:hAnsi="宋体"/>
                <w:color w:val="FF0000"/>
                <w:szCs w:val="21"/>
              </w:rPr>
            </w:pPr>
            <w:r>
              <w:rPr>
                <w:rFonts w:hint="eastAsia" w:ascii="宋体" w:hAnsi="宋体"/>
                <w:color w:val="FF0000"/>
                <w:szCs w:val="21"/>
              </w:rPr>
              <w:t>货物采购</w:t>
            </w:r>
          </w:p>
        </w:tc>
        <w:tc>
          <w:tcPr>
            <w:tcW w:w="1799" w:type="dxa"/>
            <w:vAlign w:val="center"/>
          </w:tcPr>
          <w:p w14:paraId="168F74B6">
            <w:pPr>
              <w:widowControl/>
              <w:ind w:firstLine="420"/>
              <w:jc w:val="left"/>
              <w:rPr>
                <w:rFonts w:hint="eastAsia" w:ascii="宋体" w:hAnsi="宋体"/>
                <w:color w:val="FF0000"/>
                <w:szCs w:val="21"/>
              </w:rPr>
            </w:pPr>
            <w:r>
              <w:rPr>
                <w:rFonts w:hint="eastAsia" w:ascii="宋体" w:hAnsi="宋体"/>
                <w:color w:val="FF0000"/>
                <w:szCs w:val="21"/>
              </w:rPr>
              <w:t>服务采购</w:t>
            </w:r>
          </w:p>
        </w:tc>
        <w:tc>
          <w:tcPr>
            <w:tcW w:w="1799" w:type="dxa"/>
            <w:vAlign w:val="center"/>
          </w:tcPr>
          <w:p w14:paraId="4C3FA7A1">
            <w:pPr>
              <w:widowControl/>
              <w:ind w:firstLine="420"/>
              <w:jc w:val="left"/>
              <w:rPr>
                <w:rFonts w:hint="eastAsia" w:ascii="宋体" w:hAnsi="宋体"/>
                <w:color w:val="FF0000"/>
                <w:szCs w:val="21"/>
              </w:rPr>
            </w:pPr>
            <w:r>
              <w:rPr>
                <w:rFonts w:hint="eastAsia" w:ascii="宋体" w:hAnsi="宋体"/>
                <w:color w:val="FF0000"/>
                <w:szCs w:val="21"/>
              </w:rPr>
              <w:t>工程采购</w:t>
            </w:r>
          </w:p>
        </w:tc>
      </w:tr>
      <w:tr w14:paraId="64199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603A74D9">
            <w:pPr>
              <w:widowControl/>
              <w:ind w:firstLine="420"/>
              <w:jc w:val="left"/>
              <w:rPr>
                <w:rFonts w:hint="eastAsia" w:ascii="宋体" w:hAnsi="宋体"/>
                <w:color w:val="FF0000"/>
                <w:szCs w:val="21"/>
              </w:rPr>
            </w:pPr>
            <w:r>
              <w:rPr>
                <w:rFonts w:hint="eastAsia" w:ascii="宋体" w:hAnsi="宋体"/>
                <w:color w:val="FF0000"/>
                <w:szCs w:val="21"/>
              </w:rPr>
              <w:t>100万元以下</w:t>
            </w:r>
          </w:p>
        </w:tc>
        <w:tc>
          <w:tcPr>
            <w:tcW w:w="1799" w:type="dxa"/>
            <w:vAlign w:val="center"/>
          </w:tcPr>
          <w:p w14:paraId="6F0C0E05">
            <w:pPr>
              <w:widowControl/>
              <w:ind w:firstLine="420"/>
              <w:jc w:val="left"/>
              <w:rPr>
                <w:rFonts w:hint="eastAsia" w:ascii="宋体" w:hAnsi="宋体"/>
                <w:color w:val="FF0000"/>
                <w:szCs w:val="21"/>
              </w:rPr>
            </w:pPr>
            <w:r>
              <w:rPr>
                <w:rFonts w:hint="eastAsia" w:ascii="宋体" w:hAnsi="宋体"/>
                <w:color w:val="FF0000"/>
                <w:szCs w:val="21"/>
              </w:rPr>
              <w:t>1.5%</w:t>
            </w:r>
          </w:p>
        </w:tc>
        <w:tc>
          <w:tcPr>
            <w:tcW w:w="1799" w:type="dxa"/>
            <w:vAlign w:val="center"/>
          </w:tcPr>
          <w:p w14:paraId="16F12740">
            <w:pPr>
              <w:widowControl/>
              <w:ind w:firstLine="420"/>
              <w:jc w:val="left"/>
              <w:rPr>
                <w:rFonts w:hint="eastAsia" w:ascii="宋体" w:hAnsi="宋体"/>
                <w:color w:val="FF0000"/>
                <w:szCs w:val="21"/>
              </w:rPr>
            </w:pPr>
            <w:r>
              <w:rPr>
                <w:rFonts w:hint="eastAsia" w:ascii="宋体" w:hAnsi="宋体"/>
                <w:color w:val="FF0000"/>
                <w:szCs w:val="21"/>
              </w:rPr>
              <w:t>1.5%</w:t>
            </w:r>
          </w:p>
        </w:tc>
        <w:tc>
          <w:tcPr>
            <w:tcW w:w="1799" w:type="dxa"/>
            <w:vAlign w:val="center"/>
          </w:tcPr>
          <w:p w14:paraId="750A3D4A">
            <w:pPr>
              <w:widowControl/>
              <w:ind w:firstLine="420"/>
              <w:jc w:val="left"/>
              <w:rPr>
                <w:rFonts w:hint="eastAsia" w:ascii="宋体" w:hAnsi="宋体"/>
                <w:color w:val="FF0000"/>
                <w:szCs w:val="21"/>
              </w:rPr>
            </w:pPr>
            <w:r>
              <w:rPr>
                <w:rFonts w:hint="eastAsia" w:ascii="宋体" w:hAnsi="宋体"/>
                <w:color w:val="FF0000"/>
                <w:szCs w:val="21"/>
              </w:rPr>
              <w:t>1.0%</w:t>
            </w:r>
          </w:p>
        </w:tc>
      </w:tr>
      <w:tr w14:paraId="54658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0B6F82D9">
            <w:pPr>
              <w:widowControl/>
              <w:ind w:firstLine="420"/>
              <w:jc w:val="left"/>
              <w:rPr>
                <w:rFonts w:hint="eastAsia" w:ascii="宋体" w:hAnsi="宋体"/>
                <w:color w:val="FF0000"/>
                <w:szCs w:val="21"/>
              </w:rPr>
            </w:pPr>
            <w:r>
              <w:rPr>
                <w:rFonts w:hint="eastAsia" w:ascii="宋体" w:hAnsi="宋体"/>
                <w:color w:val="FF0000"/>
                <w:szCs w:val="21"/>
              </w:rPr>
              <w:t>100万元（含）-500万元</w:t>
            </w:r>
          </w:p>
        </w:tc>
        <w:tc>
          <w:tcPr>
            <w:tcW w:w="1799" w:type="dxa"/>
            <w:vAlign w:val="center"/>
          </w:tcPr>
          <w:p w14:paraId="7EA64F9B">
            <w:pPr>
              <w:widowControl/>
              <w:ind w:firstLine="420"/>
              <w:jc w:val="left"/>
              <w:rPr>
                <w:rFonts w:hint="eastAsia" w:ascii="宋体" w:hAnsi="宋体"/>
                <w:color w:val="FF0000"/>
                <w:szCs w:val="21"/>
              </w:rPr>
            </w:pPr>
            <w:r>
              <w:rPr>
                <w:rFonts w:hint="eastAsia" w:ascii="宋体" w:hAnsi="宋体"/>
                <w:color w:val="FF0000"/>
                <w:szCs w:val="21"/>
              </w:rPr>
              <w:t>1.1%</w:t>
            </w:r>
          </w:p>
        </w:tc>
        <w:tc>
          <w:tcPr>
            <w:tcW w:w="1799" w:type="dxa"/>
            <w:vAlign w:val="center"/>
          </w:tcPr>
          <w:p w14:paraId="07147FDB">
            <w:pPr>
              <w:widowControl/>
              <w:ind w:firstLine="420"/>
              <w:jc w:val="left"/>
              <w:rPr>
                <w:rFonts w:hint="eastAsia" w:ascii="宋体" w:hAnsi="宋体"/>
                <w:color w:val="FF0000"/>
                <w:szCs w:val="21"/>
              </w:rPr>
            </w:pPr>
            <w:r>
              <w:rPr>
                <w:rFonts w:hint="eastAsia" w:ascii="宋体" w:hAnsi="宋体"/>
                <w:color w:val="FF0000"/>
                <w:szCs w:val="21"/>
              </w:rPr>
              <w:t>0.8%</w:t>
            </w:r>
          </w:p>
        </w:tc>
        <w:tc>
          <w:tcPr>
            <w:tcW w:w="1799" w:type="dxa"/>
            <w:vAlign w:val="center"/>
          </w:tcPr>
          <w:p w14:paraId="1F34F700">
            <w:pPr>
              <w:widowControl/>
              <w:ind w:firstLine="420"/>
              <w:jc w:val="left"/>
              <w:rPr>
                <w:rFonts w:hint="eastAsia" w:ascii="宋体" w:hAnsi="宋体"/>
                <w:color w:val="FF0000"/>
                <w:szCs w:val="21"/>
              </w:rPr>
            </w:pPr>
            <w:r>
              <w:rPr>
                <w:rFonts w:hint="eastAsia" w:ascii="宋体" w:hAnsi="宋体"/>
                <w:color w:val="FF0000"/>
                <w:szCs w:val="21"/>
              </w:rPr>
              <w:t>0.7%</w:t>
            </w:r>
          </w:p>
        </w:tc>
      </w:tr>
      <w:tr w14:paraId="5EEAA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6707F00B">
            <w:pPr>
              <w:widowControl/>
              <w:ind w:firstLine="420"/>
              <w:jc w:val="left"/>
              <w:rPr>
                <w:rFonts w:hint="eastAsia" w:ascii="宋体" w:hAnsi="宋体"/>
                <w:color w:val="FF0000"/>
                <w:szCs w:val="21"/>
              </w:rPr>
            </w:pPr>
            <w:r>
              <w:rPr>
                <w:rFonts w:hint="eastAsia" w:ascii="宋体" w:hAnsi="宋体"/>
                <w:color w:val="FF0000"/>
                <w:szCs w:val="21"/>
              </w:rPr>
              <w:t>500万元（含）-1000万元</w:t>
            </w:r>
          </w:p>
        </w:tc>
        <w:tc>
          <w:tcPr>
            <w:tcW w:w="1799" w:type="dxa"/>
            <w:vAlign w:val="center"/>
          </w:tcPr>
          <w:p w14:paraId="5BBC6A31">
            <w:pPr>
              <w:widowControl/>
              <w:ind w:firstLine="420"/>
              <w:jc w:val="left"/>
              <w:rPr>
                <w:rFonts w:hint="eastAsia" w:ascii="宋体" w:hAnsi="宋体"/>
                <w:color w:val="FF0000"/>
                <w:szCs w:val="21"/>
              </w:rPr>
            </w:pPr>
            <w:r>
              <w:rPr>
                <w:rFonts w:hint="eastAsia" w:ascii="宋体" w:hAnsi="宋体"/>
                <w:color w:val="FF0000"/>
                <w:szCs w:val="21"/>
              </w:rPr>
              <w:t>0.8%</w:t>
            </w:r>
          </w:p>
        </w:tc>
        <w:tc>
          <w:tcPr>
            <w:tcW w:w="1799" w:type="dxa"/>
            <w:vAlign w:val="center"/>
          </w:tcPr>
          <w:p w14:paraId="3BF41B0E">
            <w:pPr>
              <w:widowControl/>
              <w:ind w:firstLine="420"/>
              <w:jc w:val="left"/>
              <w:rPr>
                <w:rFonts w:hint="eastAsia" w:ascii="宋体" w:hAnsi="宋体"/>
                <w:color w:val="FF0000"/>
                <w:szCs w:val="21"/>
              </w:rPr>
            </w:pPr>
            <w:r>
              <w:rPr>
                <w:rFonts w:hint="eastAsia" w:ascii="宋体" w:hAnsi="宋体"/>
                <w:color w:val="FF0000"/>
                <w:szCs w:val="21"/>
              </w:rPr>
              <w:t>0.45%</w:t>
            </w:r>
          </w:p>
        </w:tc>
        <w:tc>
          <w:tcPr>
            <w:tcW w:w="1799" w:type="dxa"/>
            <w:vAlign w:val="center"/>
          </w:tcPr>
          <w:p w14:paraId="7606C624">
            <w:pPr>
              <w:widowControl/>
              <w:ind w:firstLine="420"/>
              <w:jc w:val="left"/>
              <w:rPr>
                <w:rFonts w:hint="eastAsia" w:ascii="宋体" w:hAnsi="宋体"/>
                <w:color w:val="FF0000"/>
                <w:szCs w:val="21"/>
              </w:rPr>
            </w:pPr>
            <w:r>
              <w:rPr>
                <w:rFonts w:hint="eastAsia" w:ascii="宋体" w:hAnsi="宋体"/>
                <w:color w:val="FF0000"/>
                <w:szCs w:val="21"/>
              </w:rPr>
              <w:t>0.55%</w:t>
            </w:r>
          </w:p>
        </w:tc>
      </w:tr>
      <w:tr w14:paraId="67C4D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04A84A7B">
            <w:pPr>
              <w:widowControl/>
              <w:ind w:firstLine="420"/>
              <w:jc w:val="left"/>
              <w:rPr>
                <w:rFonts w:hint="eastAsia" w:ascii="宋体" w:hAnsi="宋体"/>
                <w:color w:val="FF0000"/>
                <w:szCs w:val="21"/>
              </w:rPr>
            </w:pPr>
            <w:r>
              <w:rPr>
                <w:rFonts w:hint="eastAsia" w:ascii="宋体" w:hAnsi="宋体"/>
                <w:color w:val="FF0000"/>
                <w:szCs w:val="21"/>
              </w:rPr>
              <w:t>1000万元（含）-5000万元</w:t>
            </w:r>
          </w:p>
        </w:tc>
        <w:tc>
          <w:tcPr>
            <w:tcW w:w="1799" w:type="dxa"/>
            <w:vAlign w:val="center"/>
          </w:tcPr>
          <w:p w14:paraId="1BE05306">
            <w:pPr>
              <w:widowControl/>
              <w:ind w:firstLine="420"/>
              <w:jc w:val="left"/>
              <w:rPr>
                <w:rFonts w:hint="eastAsia" w:ascii="宋体" w:hAnsi="宋体"/>
                <w:color w:val="FF0000"/>
                <w:szCs w:val="21"/>
              </w:rPr>
            </w:pPr>
            <w:r>
              <w:rPr>
                <w:rFonts w:hint="eastAsia" w:ascii="宋体" w:hAnsi="宋体"/>
                <w:color w:val="FF0000"/>
                <w:szCs w:val="21"/>
              </w:rPr>
              <w:t>0.5%</w:t>
            </w:r>
          </w:p>
        </w:tc>
        <w:tc>
          <w:tcPr>
            <w:tcW w:w="1799" w:type="dxa"/>
            <w:vAlign w:val="center"/>
          </w:tcPr>
          <w:p w14:paraId="08ADF3D4">
            <w:pPr>
              <w:widowControl/>
              <w:ind w:firstLine="420"/>
              <w:jc w:val="left"/>
              <w:rPr>
                <w:rFonts w:hint="eastAsia" w:ascii="宋体" w:hAnsi="宋体"/>
                <w:color w:val="FF0000"/>
                <w:szCs w:val="21"/>
              </w:rPr>
            </w:pPr>
            <w:r>
              <w:rPr>
                <w:rFonts w:hint="eastAsia" w:ascii="宋体" w:hAnsi="宋体"/>
                <w:color w:val="FF0000"/>
                <w:szCs w:val="21"/>
              </w:rPr>
              <w:t>0.25%</w:t>
            </w:r>
          </w:p>
        </w:tc>
        <w:tc>
          <w:tcPr>
            <w:tcW w:w="1799" w:type="dxa"/>
            <w:vAlign w:val="center"/>
          </w:tcPr>
          <w:p w14:paraId="3DC4E427">
            <w:pPr>
              <w:widowControl/>
              <w:ind w:firstLine="420"/>
              <w:jc w:val="left"/>
              <w:rPr>
                <w:rFonts w:hint="eastAsia" w:ascii="宋体" w:hAnsi="宋体"/>
                <w:color w:val="FF0000"/>
                <w:szCs w:val="21"/>
              </w:rPr>
            </w:pPr>
            <w:r>
              <w:rPr>
                <w:rFonts w:hint="eastAsia" w:ascii="宋体" w:hAnsi="宋体"/>
                <w:color w:val="FF0000"/>
                <w:szCs w:val="21"/>
              </w:rPr>
              <w:t>0.35%</w:t>
            </w:r>
          </w:p>
        </w:tc>
      </w:tr>
      <w:tr w14:paraId="49466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4106190E">
            <w:pPr>
              <w:widowControl/>
              <w:ind w:firstLine="420"/>
              <w:jc w:val="left"/>
              <w:rPr>
                <w:rFonts w:hint="eastAsia" w:ascii="宋体" w:hAnsi="宋体"/>
                <w:color w:val="FF0000"/>
                <w:szCs w:val="21"/>
              </w:rPr>
            </w:pPr>
            <w:r>
              <w:rPr>
                <w:rFonts w:hint="eastAsia" w:ascii="宋体" w:hAnsi="宋体"/>
                <w:color w:val="FF0000"/>
                <w:szCs w:val="21"/>
              </w:rPr>
              <w:t>5000万元（含）-1亿元</w:t>
            </w:r>
          </w:p>
        </w:tc>
        <w:tc>
          <w:tcPr>
            <w:tcW w:w="1799" w:type="dxa"/>
            <w:vAlign w:val="center"/>
          </w:tcPr>
          <w:p w14:paraId="0386D928">
            <w:pPr>
              <w:widowControl/>
              <w:ind w:firstLine="420"/>
              <w:jc w:val="left"/>
              <w:rPr>
                <w:rFonts w:hint="eastAsia" w:ascii="宋体" w:hAnsi="宋体"/>
                <w:color w:val="FF0000"/>
                <w:szCs w:val="21"/>
              </w:rPr>
            </w:pPr>
            <w:r>
              <w:rPr>
                <w:rFonts w:hint="eastAsia" w:ascii="宋体" w:hAnsi="宋体"/>
                <w:color w:val="FF0000"/>
                <w:szCs w:val="21"/>
              </w:rPr>
              <w:t>0.25%</w:t>
            </w:r>
          </w:p>
        </w:tc>
        <w:tc>
          <w:tcPr>
            <w:tcW w:w="1799" w:type="dxa"/>
            <w:vAlign w:val="center"/>
          </w:tcPr>
          <w:p w14:paraId="04A4B7FA">
            <w:pPr>
              <w:widowControl/>
              <w:ind w:firstLine="420"/>
              <w:jc w:val="left"/>
              <w:rPr>
                <w:rFonts w:hint="eastAsia" w:ascii="宋体" w:hAnsi="宋体"/>
                <w:color w:val="FF0000"/>
                <w:szCs w:val="21"/>
              </w:rPr>
            </w:pPr>
            <w:r>
              <w:rPr>
                <w:rFonts w:hint="eastAsia" w:ascii="宋体" w:hAnsi="宋体"/>
                <w:color w:val="FF0000"/>
                <w:szCs w:val="21"/>
              </w:rPr>
              <w:t>0.1%</w:t>
            </w:r>
          </w:p>
        </w:tc>
        <w:tc>
          <w:tcPr>
            <w:tcW w:w="1799" w:type="dxa"/>
            <w:vAlign w:val="center"/>
          </w:tcPr>
          <w:p w14:paraId="11F174A2">
            <w:pPr>
              <w:widowControl/>
              <w:ind w:firstLine="420"/>
              <w:jc w:val="left"/>
              <w:rPr>
                <w:rFonts w:hint="eastAsia" w:ascii="宋体" w:hAnsi="宋体"/>
                <w:color w:val="FF0000"/>
                <w:szCs w:val="21"/>
              </w:rPr>
            </w:pPr>
            <w:r>
              <w:rPr>
                <w:rFonts w:hint="eastAsia" w:ascii="宋体" w:hAnsi="宋体"/>
                <w:color w:val="FF0000"/>
                <w:szCs w:val="21"/>
              </w:rPr>
              <w:t>0.2%</w:t>
            </w:r>
          </w:p>
        </w:tc>
      </w:tr>
      <w:tr w14:paraId="741B8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0C3A4890">
            <w:pPr>
              <w:widowControl/>
              <w:ind w:firstLine="420"/>
              <w:jc w:val="left"/>
              <w:rPr>
                <w:rFonts w:hint="eastAsia" w:ascii="宋体" w:hAnsi="宋体"/>
                <w:color w:val="FF0000"/>
                <w:szCs w:val="21"/>
              </w:rPr>
            </w:pPr>
            <w:r>
              <w:rPr>
                <w:rFonts w:hint="eastAsia" w:ascii="宋体" w:hAnsi="宋体"/>
                <w:color w:val="FF0000"/>
                <w:szCs w:val="21"/>
              </w:rPr>
              <w:t>1亿元（含）-5亿元</w:t>
            </w:r>
          </w:p>
        </w:tc>
        <w:tc>
          <w:tcPr>
            <w:tcW w:w="1799" w:type="dxa"/>
            <w:vAlign w:val="center"/>
          </w:tcPr>
          <w:p w14:paraId="7EEE4413">
            <w:pPr>
              <w:widowControl/>
              <w:ind w:firstLine="420"/>
              <w:jc w:val="left"/>
              <w:rPr>
                <w:rFonts w:hint="eastAsia" w:ascii="宋体" w:hAnsi="宋体"/>
                <w:color w:val="FF0000"/>
                <w:szCs w:val="21"/>
              </w:rPr>
            </w:pPr>
            <w:r>
              <w:rPr>
                <w:rFonts w:hint="eastAsia" w:ascii="宋体" w:hAnsi="宋体"/>
                <w:color w:val="FF0000"/>
                <w:szCs w:val="21"/>
              </w:rPr>
              <w:t>0.05%</w:t>
            </w:r>
          </w:p>
        </w:tc>
        <w:tc>
          <w:tcPr>
            <w:tcW w:w="1799" w:type="dxa"/>
            <w:vAlign w:val="center"/>
          </w:tcPr>
          <w:p w14:paraId="25405812">
            <w:pPr>
              <w:widowControl/>
              <w:ind w:firstLine="420"/>
              <w:jc w:val="left"/>
              <w:rPr>
                <w:rFonts w:hint="eastAsia" w:ascii="宋体" w:hAnsi="宋体"/>
                <w:color w:val="FF0000"/>
                <w:szCs w:val="21"/>
              </w:rPr>
            </w:pPr>
            <w:r>
              <w:rPr>
                <w:rFonts w:hint="eastAsia" w:ascii="宋体" w:hAnsi="宋体"/>
                <w:color w:val="FF0000"/>
                <w:szCs w:val="21"/>
              </w:rPr>
              <w:t>0.05%</w:t>
            </w:r>
          </w:p>
        </w:tc>
        <w:tc>
          <w:tcPr>
            <w:tcW w:w="1799" w:type="dxa"/>
            <w:vAlign w:val="center"/>
          </w:tcPr>
          <w:p w14:paraId="73BF6908">
            <w:pPr>
              <w:widowControl/>
              <w:ind w:firstLine="420"/>
              <w:jc w:val="left"/>
              <w:rPr>
                <w:rFonts w:hint="eastAsia" w:ascii="宋体" w:hAnsi="宋体"/>
                <w:color w:val="FF0000"/>
                <w:szCs w:val="21"/>
              </w:rPr>
            </w:pPr>
            <w:r>
              <w:rPr>
                <w:rFonts w:hint="eastAsia" w:ascii="宋体" w:hAnsi="宋体"/>
                <w:color w:val="FF0000"/>
                <w:szCs w:val="21"/>
              </w:rPr>
              <w:t>0.05%</w:t>
            </w:r>
          </w:p>
        </w:tc>
      </w:tr>
      <w:tr w14:paraId="0E9A2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1EE3ACD0">
            <w:pPr>
              <w:widowControl/>
              <w:ind w:firstLine="420"/>
              <w:jc w:val="left"/>
              <w:rPr>
                <w:rFonts w:hint="eastAsia" w:ascii="宋体" w:hAnsi="宋体"/>
                <w:color w:val="FF0000"/>
                <w:szCs w:val="21"/>
              </w:rPr>
            </w:pPr>
            <w:r>
              <w:rPr>
                <w:rFonts w:hint="eastAsia" w:ascii="宋体" w:hAnsi="宋体"/>
                <w:color w:val="FF0000"/>
                <w:szCs w:val="21"/>
              </w:rPr>
              <w:t>5亿元（含）-10亿元</w:t>
            </w:r>
          </w:p>
        </w:tc>
        <w:tc>
          <w:tcPr>
            <w:tcW w:w="1799" w:type="dxa"/>
            <w:vAlign w:val="center"/>
          </w:tcPr>
          <w:p w14:paraId="216133AA">
            <w:pPr>
              <w:widowControl/>
              <w:ind w:firstLine="420"/>
              <w:jc w:val="left"/>
              <w:rPr>
                <w:rFonts w:hint="eastAsia" w:ascii="宋体" w:hAnsi="宋体"/>
                <w:color w:val="FF0000"/>
                <w:szCs w:val="21"/>
              </w:rPr>
            </w:pPr>
            <w:r>
              <w:rPr>
                <w:rFonts w:hint="eastAsia" w:ascii="宋体" w:hAnsi="宋体"/>
                <w:color w:val="FF0000"/>
                <w:szCs w:val="21"/>
              </w:rPr>
              <w:t>0.035%</w:t>
            </w:r>
          </w:p>
        </w:tc>
        <w:tc>
          <w:tcPr>
            <w:tcW w:w="1799" w:type="dxa"/>
            <w:vAlign w:val="center"/>
          </w:tcPr>
          <w:p w14:paraId="22B82A36">
            <w:pPr>
              <w:widowControl/>
              <w:ind w:firstLine="420"/>
              <w:jc w:val="left"/>
              <w:rPr>
                <w:rFonts w:hint="eastAsia" w:ascii="宋体" w:hAnsi="宋体"/>
                <w:color w:val="FF0000"/>
                <w:szCs w:val="21"/>
              </w:rPr>
            </w:pPr>
            <w:r>
              <w:rPr>
                <w:rFonts w:hint="eastAsia" w:ascii="宋体" w:hAnsi="宋体"/>
                <w:color w:val="FF0000"/>
                <w:szCs w:val="21"/>
              </w:rPr>
              <w:t>0.035%</w:t>
            </w:r>
          </w:p>
        </w:tc>
        <w:tc>
          <w:tcPr>
            <w:tcW w:w="1799" w:type="dxa"/>
            <w:vAlign w:val="center"/>
          </w:tcPr>
          <w:p w14:paraId="282DC7BD">
            <w:pPr>
              <w:widowControl/>
              <w:ind w:firstLine="420"/>
              <w:jc w:val="left"/>
              <w:rPr>
                <w:rFonts w:hint="eastAsia" w:ascii="宋体" w:hAnsi="宋体"/>
                <w:color w:val="FF0000"/>
                <w:szCs w:val="21"/>
              </w:rPr>
            </w:pPr>
            <w:r>
              <w:rPr>
                <w:rFonts w:hint="eastAsia" w:ascii="宋体" w:hAnsi="宋体"/>
                <w:color w:val="FF0000"/>
                <w:szCs w:val="21"/>
              </w:rPr>
              <w:t>0.035%</w:t>
            </w:r>
          </w:p>
        </w:tc>
      </w:tr>
      <w:tr w14:paraId="688195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6BA50349">
            <w:pPr>
              <w:widowControl/>
              <w:ind w:firstLine="420"/>
              <w:jc w:val="left"/>
              <w:rPr>
                <w:rFonts w:hint="eastAsia" w:ascii="宋体" w:hAnsi="宋体"/>
                <w:color w:val="FF0000"/>
                <w:szCs w:val="21"/>
              </w:rPr>
            </w:pPr>
            <w:r>
              <w:rPr>
                <w:rFonts w:hint="eastAsia" w:ascii="宋体" w:hAnsi="宋体"/>
                <w:color w:val="FF0000"/>
                <w:szCs w:val="21"/>
              </w:rPr>
              <w:t>10亿元（含）-50亿元</w:t>
            </w:r>
          </w:p>
        </w:tc>
        <w:tc>
          <w:tcPr>
            <w:tcW w:w="1799" w:type="dxa"/>
            <w:vAlign w:val="center"/>
          </w:tcPr>
          <w:p w14:paraId="632CD209">
            <w:pPr>
              <w:widowControl/>
              <w:ind w:firstLine="420"/>
              <w:jc w:val="left"/>
              <w:rPr>
                <w:rFonts w:hint="eastAsia" w:ascii="宋体" w:hAnsi="宋体"/>
                <w:color w:val="FF0000"/>
                <w:szCs w:val="21"/>
              </w:rPr>
            </w:pPr>
            <w:r>
              <w:rPr>
                <w:rFonts w:hint="eastAsia" w:ascii="宋体" w:hAnsi="宋体"/>
                <w:color w:val="FF0000"/>
                <w:szCs w:val="21"/>
              </w:rPr>
              <w:t>0.008%</w:t>
            </w:r>
          </w:p>
        </w:tc>
        <w:tc>
          <w:tcPr>
            <w:tcW w:w="1799" w:type="dxa"/>
            <w:vAlign w:val="center"/>
          </w:tcPr>
          <w:p w14:paraId="7DD4340F">
            <w:pPr>
              <w:widowControl/>
              <w:ind w:firstLine="420"/>
              <w:jc w:val="left"/>
              <w:rPr>
                <w:rFonts w:hint="eastAsia" w:ascii="宋体" w:hAnsi="宋体"/>
                <w:color w:val="FF0000"/>
                <w:szCs w:val="21"/>
              </w:rPr>
            </w:pPr>
            <w:r>
              <w:rPr>
                <w:rFonts w:hint="eastAsia" w:ascii="宋体" w:hAnsi="宋体"/>
                <w:color w:val="FF0000"/>
                <w:szCs w:val="21"/>
              </w:rPr>
              <w:t>0.008%</w:t>
            </w:r>
          </w:p>
        </w:tc>
        <w:tc>
          <w:tcPr>
            <w:tcW w:w="1799" w:type="dxa"/>
            <w:vAlign w:val="center"/>
          </w:tcPr>
          <w:p w14:paraId="4099C8CD">
            <w:pPr>
              <w:widowControl/>
              <w:ind w:firstLine="420"/>
              <w:jc w:val="left"/>
              <w:rPr>
                <w:rFonts w:hint="eastAsia" w:ascii="宋体" w:hAnsi="宋体"/>
                <w:color w:val="FF0000"/>
                <w:szCs w:val="21"/>
              </w:rPr>
            </w:pPr>
            <w:r>
              <w:rPr>
                <w:rFonts w:hint="eastAsia" w:ascii="宋体" w:hAnsi="宋体"/>
                <w:color w:val="FF0000"/>
                <w:szCs w:val="21"/>
              </w:rPr>
              <w:t>0.008%</w:t>
            </w:r>
          </w:p>
        </w:tc>
      </w:tr>
      <w:tr w14:paraId="173F8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46F5A40A">
            <w:pPr>
              <w:widowControl/>
              <w:ind w:firstLine="420"/>
              <w:jc w:val="left"/>
              <w:rPr>
                <w:rFonts w:hint="eastAsia" w:ascii="宋体" w:hAnsi="宋体"/>
                <w:color w:val="FF0000"/>
                <w:szCs w:val="21"/>
              </w:rPr>
            </w:pPr>
            <w:r>
              <w:rPr>
                <w:rFonts w:hint="eastAsia" w:ascii="宋体" w:hAnsi="宋体"/>
                <w:color w:val="FF0000"/>
                <w:szCs w:val="21"/>
              </w:rPr>
              <w:t>50亿元（含）-100亿元</w:t>
            </w:r>
          </w:p>
        </w:tc>
        <w:tc>
          <w:tcPr>
            <w:tcW w:w="1799" w:type="dxa"/>
            <w:vAlign w:val="center"/>
          </w:tcPr>
          <w:p w14:paraId="03479B16">
            <w:pPr>
              <w:widowControl/>
              <w:ind w:firstLine="420"/>
              <w:jc w:val="left"/>
              <w:rPr>
                <w:rFonts w:hint="eastAsia" w:ascii="宋体" w:hAnsi="宋体"/>
                <w:color w:val="FF0000"/>
                <w:szCs w:val="21"/>
              </w:rPr>
            </w:pPr>
            <w:r>
              <w:rPr>
                <w:rFonts w:hint="eastAsia" w:ascii="宋体" w:hAnsi="宋体"/>
                <w:color w:val="FF0000"/>
                <w:szCs w:val="21"/>
              </w:rPr>
              <w:t>0.006%</w:t>
            </w:r>
          </w:p>
        </w:tc>
        <w:tc>
          <w:tcPr>
            <w:tcW w:w="1799" w:type="dxa"/>
            <w:vAlign w:val="center"/>
          </w:tcPr>
          <w:p w14:paraId="09CC6F9D">
            <w:pPr>
              <w:widowControl/>
              <w:ind w:firstLine="420"/>
              <w:jc w:val="left"/>
              <w:rPr>
                <w:rFonts w:hint="eastAsia" w:ascii="宋体" w:hAnsi="宋体"/>
                <w:color w:val="FF0000"/>
                <w:szCs w:val="21"/>
              </w:rPr>
            </w:pPr>
            <w:r>
              <w:rPr>
                <w:rFonts w:hint="eastAsia" w:ascii="宋体" w:hAnsi="宋体"/>
                <w:color w:val="FF0000"/>
                <w:szCs w:val="21"/>
              </w:rPr>
              <w:t>0.006%</w:t>
            </w:r>
          </w:p>
        </w:tc>
        <w:tc>
          <w:tcPr>
            <w:tcW w:w="1799" w:type="dxa"/>
            <w:vAlign w:val="center"/>
          </w:tcPr>
          <w:p w14:paraId="657F7294">
            <w:pPr>
              <w:widowControl/>
              <w:ind w:firstLine="420"/>
              <w:jc w:val="left"/>
              <w:rPr>
                <w:rFonts w:hint="eastAsia" w:ascii="宋体" w:hAnsi="宋体"/>
                <w:color w:val="FF0000"/>
                <w:szCs w:val="21"/>
              </w:rPr>
            </w:pPr>
            <w:r>
              <w:rPr>
                <w:rFonts w:hint="eastAsia" w:ascii="宋体" w:hAnsi="宋体"/>
                <w:color w:val="FF0000"/>
                <w:szCs w:val="21"/>
              </w:rPr>
              <w:t>0.006%</w:t>
            </w:r>
          </w:p>
        </w:tc>
      </w:tr>
      <w:tr w14:paraId="60B77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61FB94F0">
            <w:pPr>
              <w:widowControl/>
              <w:ind w:firstLine="420"/>
              <w:jc w:val="left"/>
              <w:rPr>
                <w:rFonts w:hint="eastAsia" w:ascii="宋体" w:hAnsi="宋体"/>
                <w:color w:val="FF0000"/>
                <w:szCs w:val="21"/>
              </w:rPr>
            </w:pPr>
            <w:r>
              <w:rPr>
                <w:rFonts w:hint="eastAsia" w:ascii="宋体" w:hAnsi="宋体"/>
                <w:color w:val="FF0000"/>
                <w:szCs w:val="21"/>
              </w:rPr>
              <w:t>100亿元（含）以上</w:t>
            </w:r>
          </w:p>
        </w:tc>
        <w:tc>
          <w:tcPr>
            <w:tcW w:w="1799" w:type="dxa"/>
            <w:vAlign w:val="center"/>
          </w:tcPr>
          <w:p w14:paraId="350E8264">
            <w:pPr>
              <w:widowControl/>
              <w:ind w:firstLine="420"/>
              <w:jc w:val="left"/>
              <w:rPr>
                <w:rFonts w:hint="eastAsia" w:ascii="宋体" w:hAnsi="宋体"/>
                <w:color w:val="FF0000"/>
                <w:szCs w:val="21"/>
              </w:rPr>
            </w:pPr>
            <w:r>
              <w:rPr>
                <w:rFonts w:hint="eastAsia" w:ascii="宋体" w:hAnsi="宋体"/>
                <w:color w:val="FF0000"/>
                <w:szCs w:val="21"/>
              </w:rPr>
              <w:t>0.004%</w:t>
            </w:r>
          </w:p>
        </w:tc>
        <w:tc>
          <w:tcPr>
            <w:tcW w:w="1799" w:type="dxa"/>
            <w:vAlign w:val="center"/>
          </w:tcPr>
          <w:p w14:paraId="490C303A">
            <w:pPr>
              <w:widowControl/>
              <w:ind w:firstLine="420"/>
              <w:jc w:val="left"/>
              <w:rPr>
                <w:rFonts w:hint="eastAsia" w:ascii="宋体" w:hAnsi="宋体"/>
                <w:color w:val="FF0000"/>
                <w:szCs w:val="21"/>
              </w:rPr>
            </w:pPr>
            <w:r>
              <w:rPr>
                <w:rFonts w:hint="eastAsia" w:ascii="宋体" w:hAnsi="宋体"/>
                <w:color w:val="FF0000"/>
                <w:szCs w:val="21"/>
              </w:rPr>
              <w:t>0.004%</w:t>
            </w:r>
          </w:p>
        </w:tc>
        <w:tc>
          <w:tcPr>
            <w:tcW w:w="1799" w:type="dxa"/>
            <w:vAlign w:val="center"/>
          </w:tcPr>
          <w:p w14:paraId="7ED3AD63">
            <w:pPr>
              <w:widowControl/>
              <w:ind w:firstLine="420"/>
              <w:jc w:val="left"/>
              <w:rPr>
                <w:rFonts w:hint="eastAsia" w:ascii="宋体" w:hAnsi="宋体"/>
                <w:color w:val="FF0000"/>
                <w:szCs w:val="21"/>
              </w:rPr>
            </w:pPr>
            <w:r>
              <w:rPr>
                <w:rFonts w:hint="eastAsia" w:ascii="宋体" w:hAnsi="宋体"/>
                <w:color w:val="FF0000"/>
                <w:szCs w:val="21"/>
              </w:rPr>
              <w:t>0.004%</w:t>
            </w:r>
          </w:p>
        </w:tc>
      </w:tr>
    </w:tbl>
    <w:p w14:paraId="67BB17DF">
      <w:pPr>
        <w:widowControl/>
        <w:ind w:firstLine="420"/>
        <w:jc w:val="left"/>
        <w:rPr>
          <w:rFonts w:hint="eastAsia" w:ascii="宋体" w:hAnsi="宋体"/>
          <w:color w:val="FF0000"/>
          <w:szCs w:val="21"/>
        </w:rPr>
      </w:pPr>
      <w:r>
        <w:rPr>
          <w:rFonts w:hint="eastAsia" w:ascii="宋体" w:hAnsi="宋体"/>
          <w:color w:val="FF0000"/>
          <w:szCs w:val="21"/>
        </w:rPr>
        <w:t>备注：1.每宗交易代理服务费不低于 5000 元；</w:t>
      </w:r>
    </w:p>
    <w:p w14:paraId="1A399A5E">
      <w:pPr>
        <w:widowControl/>
        <w:ind w:firstLine="420"/>
        <w:jc w:val="left"/>
        <w:rPr>
          <w:rFonts w:hint="eastAsia" w:ascii="宋体" w:hAnsi="宋体"/>
          <w:color w:val="FF0000"/>
          <w:szCs w:val="21"/>
        </w:rPr>
      </w:pPr>
      <w:r>
        <w:rPr>
          <w:rFonts w:hint="eastAsia" w:ascii="宋体" w:hAnsi="宋体"/>
          <w:color w:val="FF0000"/>
          <w:szCs w:val="21"/>
        </w:rPr>
        <w:t>2.对于报总价的采购类项目，中标（成交）价为中标（成交）金额；对于报单价或折扣或费率的采购类项目，中标（成交）价为预算上限金额或经委托方与代理方确定的支付上限金额。</w:t>
      </w:r>
    </w:p>
    <w:p w14:paraId="7FC82660">
      <w:pPr>
        <w:widowControl/>
        <w:ind w:firstLine="420"/>
        <w:jc w:val="left"/>
        <w:rPr>
          <w:rFonts w:hint="eastAsia" w:ascii="宋体" w:hAnsi="宋体"/>
          <w:color w:val="FF0000"/>
          <w:szCs w:val="21"/>
        </w:rPr>
      </w:pPr>
      <w:r>
        <w:rPr>
          <w:rFonts w:hint="eastAsia" w:ascii="宋体" w:hAnsi="宋体"/>
          <w:color w:val="FF0000"/>
          <w:szCs w:val="21"/>
        </w:rPr>
        <w:t>如某货物采购项目，中标（成交）金额为600万元，总共交纳的代理服务费的具体计算过程如下：</w:t>
      </w:r>
    </w:p>
    <w:p w14:paraId="176024A0">
      <w:pPr>
        <w:widowControl/>
        <w:ind w:firstLine="420"/>
        <w:jc w:val="left"/>
        <w:rPr>
          <w:rFonts w:hint="eastAsia" w:ascii="宋体" w:hAnsi="宋体"/>
          <w:color w:val="FF0000"/>
          <w:szCs w:val="21"/>
        </w:rPr>
      </w:pPr>
      <w:r>
        <w:rPr>
          <w:rFonts w:hint="eastAsia" w:ascii="宋体" w:hAnsi="宋体"/>
          <w:color w:val="FF0000"/>
          <w:szCs w:val="21"/>
        </w:rPr>
        <w:t>标准代理服务费＝（100万以下部分的代理服务费）+（100万～500万部分的代理服务费）+（500万～600万部分的代理服务费）＝100万元×1.5%+（500-100）万元×1.1%+（600-500）万元×0.8%=1.5万元+4.4万元+0.8万元＝6.7万元</w:t>
      </w:r>
    </w:p>
    <w:p w14:paraId="06B078D8">
      <w:pPr>
        <w:widowControl/>
        <w:ind w:firstLine="420"/>
        <w:jc w:val="left"/>
        <w:rPr>
          <w:rFonts w:hint="eastAsia" w:ascii="宋体" w:hAnsi="宋体" w:eastAsia="黑体" w:cs="Times New Roman"/>
          <w:bCs/>
          <w:kern w:val="44"/>
          <w:szCs w:val="21"/>
        </w:rPr>
      </w:pPr>
      <w:r>
        <w:rPr>
          <w:rFonts w:hint="eastAsia" w:ascii="宋体" w:hAnsi="宋体"/>
          <w:color w:val="FF0000"/>
          <w:szCs w:val="21"/>
        </w:rPr>
        <w:t>（3）中标（成交）供应商成交后，必须按规定采用银行对公转账方式向深圳交易集团有限公司直接交纳代理服务费，交纳信息及要求按照缴款（付款）通知书执行。</w:t>
      </w:r>
    </w:p>
    <w:p w14:paraId="26850E10">
      <w:pPr>
        <w:widowControl/>
        <w:ind w:firstLine="420"/>
        <w:jc w:val="left"/>
        <w:rPr>
          <w:rFonts w:hint="eastAsia" w:ascii="宋体" w:hAnsi="宋体"/>
          <w:color w:val="FF0000"/>
          <w:szCs w:val="21"/>
        </w:rPr>
      </w:pPr>
    </w:p>
    <w:p w14:paraId="18DC8D33">
      <w:pPr>
        <w:widowControl/>
        <w:ind w:firstLine="420"/>
        <w:jc w:val="left"/>
        <w:rPr>
          <w:rFonts w:hint="eastAsia" w:ascii="宋体" w:hAnsi="宋体" w:eastAsia="黑体" w:cs="Times New Roman"/>
          <w:bCs/>
          <w:kern w:val="44"/>
          <w:szCs w:val="21"/>
        </w:rPr>
      </w:pPr>
    </w:p>
    <w:p w14:paraId="23031B7A">
      <w:pPr>
        <w:widowControl/>
        <w:jc w:val="left"/>
        <w:rPr>
          <w:rFonts w:hint="eastAsia" w:ascii="宋体" w:hAnsi="宋体" w:eastAsia="黑体" w:cs="Times New Roman"/>
          <w:bCs/>
          <w:kern w:val="44"/>
          <w:sz w:val="28"/>
          <w:szCs w:val="44"/>
        </w:rPr>
      </w:pPr>
      <w:r>
        <w:rPr>
          <w:rFonts w:ascii="宋体" w:hAnsi="宋体" w:eastAsia="黑体" w:cs="Times New Roman"/>
          <w:bCs/>
          <w:kern w:val="44"/>
          <w:sz w:val="28"/>
          <w:szCs w:val="44"/>
        </w:rPr>
        <w:br w:type="page"/>
      </w:r>
    </w:p>
    <w:p w14:paraId="240F1402">
      <w:pPr>
        <w:keepNext/>
        <w:keepLines/>
        <w:adjustRightInd w:val="0"/>
        <w:spacing w:before="260" w:after="260"/>
        <w:jc w:val="center"/>
        <w:textAlignment w:val="baseline"/>
        <w:outlineLvl w:val="1"/>
        <w:rPr>
          <w:rFonts w:hint="eastAsia" w:ascii="宋体" w:hAnsi="宋体" w:eastAsia="宋体" w:cs="Times New Roman"/>
          <w:b/>
          <w:bCs/>
          <w:kern w:val="0"/>
          <w:sz w:val="28"/>
          <w:szCs w:val="28"/>
        </w:rPr>
      </w:pPr>
      <w:r>
        <w:rPr>
          <w:rFonts w:hint="eastAsia" w:ascii="宋体" w:hAnsi="宋体" w:eastAsia="宋体" w:cs="Times New Roman"/>
          <w:b/>
          <w:bCs/>
          <w:kern w:val="0"/>
          <w:sz w:val="28"/>
          <w:szCs w:val="28"/>
        </w:rPr>
        <w:t>第三章 用户需求书</w:t>
      </w:r>
    </w:p>
    <w:p w14:paraId="105F1346">
      <w:pPr>
        <w:keepNext/>
        <w:keepLines/>
        <w:tabs>
          <w:tab w:val="left" w:pos="1680"/>
        </w:tabs>
        <w:spacing w:before="260" w:after="78" w:afterLines="25"/>
        <w:jc w:val="center"/>
        <w:outlineLvl w:val="2"/>
        <w:rPr>
          <w:rFonts w:ascii="Arial" w:hAnsi="Arial" w:eastAsia="宋体" w:cs="Times New Roman"/>
          <w:b/>
          <w:sz w:val="32"/>
          <w:szCs w:val="32"/>
        </w:rPr>
      </w:pPr>
      <w:r>
        <w:rPr>
          <w:rFonts w:hint="eastAsia" w:ascii="Arial" w:hAnsi="Arial" w:eastAsia="宋体" w:cs="Times New Roman"/>
          <w:b/>
          <w:sz w:val="32"/>
          <w:szCs w:val="32"/>
        </w:rPr>
        <w:t>一、项目基本信息</w:t>
      </w:r>
    </w:p>
    <w:tbl>
      <w:tblPr>
        <w:tblStyle w:val="17"/>
        <w:tblW w:w="8931" w:type="dxa"/>
        <w:jc w:val="center"/>
        <w:tblLayout w:type="fixed"/>
        <w:tblCellMar>
          <w:top w:w="15" w:type="dxa"/>
          <w:left w:w="15" w:type="dxa"/>
          <w:bottom w:w="15" w:type="dxa"/>
          <w:right w:w="15" w:type="dxa"/>
        </w:tblCellMar>
      </w:tblPr>
      <w:tblGrid>
        <w:gridCol w:w="710"/>
        <w:gridCol w:w="2693"/>
        <w:gridCol w:w="2906"/>
        <w:gridCol w:w="2622"/>
      </w:tblGrid>
      <w:tr w14:paraId="6D73D75B">
        <w:tblPrEx>
          <w:tblCellMar>
            <w:top w:w="15" w:type="dxa"/>
            <w:left w:w="15" w:type="dxa"/>
            <w:bottom w:w="15" w:type="dxa"/>
            <w:right w:w="15" w:type="dxa"/>
          </w:tblCellMar>
        </w:tblPrEx>
        <w:trPr>
          <w:trHeight w:val="552" w:hRule="atLeast"/>
          <w:jc w:val="center"/>
        </w:trPr>
        <w:tc>
          <w:tcPr>
            <w:tcW w:w="710" w:type="dxa"/>
            <w:tcBorders>
              <w:top w:val="single" w:color="000000" w:sz="4" w:space="0"/>
              <w:left w:val="single" w:color="000000" w:sz="4" w:space="0"/>
              <w:bottom w:val="single" w:color="000000" w:sz="4" w:space="0"/>
              <w:right w:val="single" w:color="auto" w:sz="4" w:space="0"/>
            </w:tcBorders>
            <w:shd w:val="clear" w:color="auto" w:fill="C6D9F0" w:themeFill="text2" w:themeFillTint="33"/>
            <w:vAlign w:val="center"/>
          </w:tcPr>
          <w:p w14:paraId="5B0404D4">
            <w:pPr>
              <w:jc w:val="center"/>
            </w:pPr>
            <w:r>
              <w:rPr>
                <w:rFonts w:hint="eastAsia"/>
              </w:rPr>
              <w:t>序号</w:t>
            </w:r>
          </w:p>
        </w:tc>
        <w:tc>
          <w:tcPr>
            <w:tcW w:w="2693" w:type="dxa"/>
            <w:tcBorders>
              <w:top w:val="single" w:color="000000" w:sz="4" w:space="0"/>
              <w:left w:val="single" w:color="auto" w:sz="4" w:space="0"/>
              <w:bottom w:val="single" w:color="000000" w:sz="4" w:space="0"/>
              <w:right w:val="single" w:color="000000" w:sz="4" w:space="0"/>
            </w:tcBorders>
            <w:shd w:val="clear" w:color="auto" w:fill="C6D9F0" w:themeFill="text2" w:themeFillTint="33"/>
            <w:vAlign w:val="center"/>
          </w:tcPr>
          <w:p w14:paraId="1B4051F3">
            <w:pPr>
              <w:jc w:val="center"/>
            </w:pPr>
            <w:r>
              <w:rPr>
                <w:rFonts w:hint="eastAsia"/>
              </w:rPr>
              <w:t>项目编号</w:t>
            </w:r>
          </w:p>
        </w:tc>
        <w:tc>
          <w:tcPr>
            <w:tcW w:w="2906" w:type="dxa"/>
            <w:tcBorders>
              <w:top w:val="single" w:color="000000" w:sz="4" w:space="0"/>
              <w:left w:val="single" w:color="000000" w:sz="4" w:space="0"/>
              <w:bottom w:val="single" w:color="000000" w:sz="4" w:space="0"/>
              <w:right w:val="single" w:color="000000" w:sz="4" w:space="0"/>
            </w:tcBorders>
            <w:shd w:val="clear" w:color="auto" w:fill="C6D9F0" w:themeFill="text2" w:themeFillTint="33"/>
            <w:vAlign w:val="center"/>
          </w:tcPr>
          <w:p w14:paraId="3F23BD62">
            <w:pPr>
              <w:jc w:val="center"/>
            </w:pPr>
            <w:r>
              <w:rPr>
                <w:rFonts w:hint="eastAsia"/>
              </w:rPr>
              <w:t>采购项目名称</w:t>
            </w:r>
          </w:p>
        </w:tc>
        <w:tc>
          <w:tcPr>
            <w:tcW w:w="2622" w:type="dxa"/>
            <w:tcBorders>
              <w:top w:val="single" w:color="000000" w:sz="4" w:space="0"/>
              <w:left w:val="single" w:color="000000" w:sz="4" w:space="0"/>
              <w:bottom w:val="single" w:color="000000" w:sz="4" w:space="0"/>
              <w:right w:val="single" w:color="000000" w:sz="4" w:space="0"/>
            </w:tcBorders>
            <w:shd w:val="clear" w:color="auto" w:fill="C6D9F0" w:themeFill="text2" w:themeFillTint="33"/>
            <w:vAlign w:val="center"/>
          </w:tcPr>
          <w:p w14:paraId="10000F6D">
            <w:pPr>
              <w:jc w:val="center"/>
            </w:pPr>
            <w:r>
              <w:rPr>
                <w:rFonts w:hint="eastAsia" w:asciiTheme="minorEastAsia" w:hAnsiTheme="minorEastAsia"/>
                <w:sz w:val="24"/>
                <w:szCs w:val="24"/>
              </w:rPr>
              <w:t>财政预算限额（元）</w:t>
            </w:r>
          </w:p>
        </w:tc>
      </w:tr>
      <w:tr w14:paraId="3C3DC168">
        <w:tblPrEx>
          <w:tblCellMar>
            <w:top w:w="15" w:type="dxa"/>
            <w:left w:w="15" w:type="dxa"/>
            <w:bottom w:w="15" w:type="dxa"/>
            <w:right w:w="15" w:type="dxa"/>
          </w:tblCellMar>
        </w:tblPrEx>
        <w:trPr>
          <w:trHeight w:val="286" w:hRule="atLeast"/>
          <w:jc w:val="center"/>
        </w:trPr>
        <w:tc>
          <w:tcPr>
            <w:tcW w:w="710" w:type="dxa"/>
            <w:tcBorders>
              <w:top w:val="single" w:color="000000" w:sz="4" w:space="0"/>
              <w:left w:val="single" w:color="000000" w:sz="4" w:space="0"/>
              <w:bottom w:val="single" w:color="000000" w:sz="4" w:space="0"/>
              <w:right w:val="single" w:color="auto" w:sz="4" w:space="0"/>
            </w:tcBorders>
            <w:vAlign w:val="center"/>
          </w:tcPr>
          <w:p w14:paraId="57B56F16">
            <w:pPr>
              <w:jc w:val="center"/>
              <w:rPr>
                <w:rFonts w:hint="eastAsia" w:asciiTheme="minorEastAsia" w:hAnsiTheme="minorEastAsia"/>
                <w:sz w:val="24"/>
                <w:szCs w:val="24"/>
              </w:rPr>
            </w:pPr>
            <w:r>
              <w:rPr>
                <w:rFonts w:hint="eastAsia" w:asciiTheme="minorEastAsia" w:hAnsiTheme="minorEastAsia"/>
                <w:sz w:val="24"/>
                <w:szCs w:val="24"/>
              </w:rPr>
              <w:t>1</w:t>
            </w:r>
          </w:p>
        </w:tc>
        <w:tc>
          <w:tcPr>
            <w:tcW w:w="2693" w:type="dxa"/>
            <w:tcBorders>
              <w:top w:val="single" w:color="000000" w:sz="4" w:space="0"/>
              <w:left w:val="single" w:color="auto" w:sz="4" w:space="0"/>
              <w:bottom w:val="single" w:color="000000" w:sz="4" w:space="0"/>
              <w:right w:val="single" w:color="000000" w:sz="4" w:space="0"/>
            </w:tcBorders>
            <w:vAlign w:val="center"/>
          </w:tcPr>
          <w:p w14:paraId="1D0BD52A">
            <w:pPr>
              <w:jc w:val="center"/>
              <w:rPr>
                <w:rFonts w:hint="default" w:asciiTheme="minorEastAsia" w:hAnsiTheme="minorEastAsia" w:eastAsiaTheme="minorEastAsia"/>
                <w:sz w:val="24"/>
                <w:szCs w:val="24"/>
                <w:lang w:val="en-US" w:eastAsia="zh-CN"/>
              </w:rPr>
            </w:pPr>
            <w:r>
              <w:rPr>
                <w:rFonts w:hint="default" w:asciiTheme="minorEastAsia" w:hAnsiTheme="minorEastAsia" w:eastAsiaTheme="minorEastAsia"/>
                <w:sz w:val="24"/>
                <w:szCs w:val="24"/>
                <w:lang w:val="en-US" w:eastAsia="zh-CN"/>
              </w:rPr>
              <w:t>LHAZXCG-2025-00015</w:t>
            </w:r>
          </w:p>
        </w:tc>
        <w:tc>
          <w:tcPr>
            <w:tcW w:w="2906" w:type="dxa"/>
            <w:tcBorders>
              <w:top w:val="single" w:color="000000" w:sz="4" w:space="0"/>
              <w:left w:val="single" w:color="000000" w:sz="4" w:space="0"/>
              <w:right w:val="single" w:color="000000" w:sz="4" w:space="0"/>
            </w:tcBorders>
            <w:vAlign w:val="center"/>
          </w:tcPr>
          <w:p w14:paraId="19B1A379">
            <w:pPr>
              <w:jc w:val="center"/>
              <w:rPr>
                <w:rFonts w:hint="eastAsia" w:eastAsia="宋体"/>
                <w:lang w:eastAsia="zh-CN"/>
              </w:rPr>
            </w:pPr>
            <w:r>
              <w:rPr>
                <w:rFonts w:hint="eastAsia" w:eastAsia="宋体"/>
                <w:lang w:eastAsia="zh-CN"/>
              </w:rPr>
              <w:t>班级幼儿家具采购</w:t>
            </w:r>
          </w:p>
        </w:tc>
        <w:tc>
          <w:tcPr>
            <w:tcW w:w="2622" w:type="dxa"/>
            <w:vMerge w:val="restart"/>
            <w:tcBorders>
              <w:top w:val="single" w:color="000000" w:sz="4" w:space="0"/>
              <w:left w:val="single" w:color="000000" w:sz="4" w:space="0"/>
              <w:right w:val="single" w:color="000000" w:sz="4" w:space="0"/>
            </w:tcBorders>
            <w:vAlign w:val="center"/>
          </w:tcPr>
          <w:p w14:paraId="3DB3F9C6">
            <w:pPr>
              <w:jc w:val="center"/>
              <w:rPr>
                <w:rFonts w:hint="default" w:asciiTheme="minorEastAsia" w:hAnsiTheme="minorEastAsia" w:eastAsiaTheme="minorEastAsia"/>
                <w:sz w:val="24"/>
                <w:szCs w:val="24"/>
                <w:lang w:val="en-US" w:eastAsia="zh-CN"/>
              </w:rPr>
            </w:pPr>
            <w:r>
              <w:rPr>
                <w:rFonts w:hint="default" w:asciiTheme="minorEastAsia" w:hAnsiTheme="minorEastAsia" w:eastAsiaTheme="minorEastAsia"/>
                <w:sz w:val="24"/>
                <w:szCs w:val="24"/>
                <w:lang w:val="en-US" w:eastAsia="zh-CN"/>
              </w:rPr>
              <w:t>438321</w:t>
            </w:r>
          </w:p>
        </w:tc>
      </w:tr>
      <w:tr w14:paraId="060069AB">
        <w:tblPrEx>
          <w:tblCellMar>
            <w:top w:w="15" w:type="dxa"/>
            <w:left w:w="15" w:type="dxa"/>
            <w:bottom w:w="15" w:type="dxa"/>
            <w:right w:w="15" w:type="dxa"/>
          </w:tblCellMar>
        </w:tblPrEx>
        <w:trPr>
          <w:trHeight w:val="172" w:hRule="atLeast"/>
          <w:jc w:val="center"/>
        </w:trPr>
        <w:tc>
          <w:tcPr>
            <w:tcW w:w="6309" w:type="dxa"/>
            <w:gridSpan w:val="3"/>
            <w:tcBorders>
              <w:top w:val="single" w:color="000000" w:sz="4" w:space="0"/>
              <w:left w:val="single" w:color="000000" w:sz="4" w:space="0"/>
              <w:bottom w:val="single" w:color="auto" w:sz="4" w:space="0"/>
              <w:right w:val="single" w:color="000000" w:sz="4" w:space="0"/>
            </w:tcBorders>
            <w:vAlign w:val="center"/>
          </w:tcPr>
          <w:p w14:paraId="3DD76668">
            <w:pPr>
              <w:jc w:val="center"/>
            </w:pPr>
            <w:r>
              <w:rPr>
                <w:rFonts w:hint="eastAsia"/>
              </w:rPr>
              <w:t>合计（元）</w:t>
            </w:r>
          </w:p>
        </w:tc>
        <w:tc>
          <w:tcPr>
            <w:tcW w:w="2622" w:type="dxa"/>
            <w:vMerge w:val="continue"/>
            <w:tcBorders>
              <w:left w:val="single" w:color="000000" w:sz="4" w:space="0"/>
              <w:bottom w:val="single" w:color="auto" w:sz="4" w:space="0"/>
              <w:right w:val="single" w:color="000000" w:sz="4" w:space="0"/>
            </w:tcBorders>
            <w:vAlign w:val="center"/>
          </w:tcPr>
          <w:p w14:paraId="35FA4702">
            <w:pPr>
              <w:jc w:val="center"/>
              <w:rPr>
                <w:rFonts w:hint="eastAsia" w:asciiTheme="minorEastAsia" w:hAnsiTheme="minorEastAsia"/>
                <w:sz w:val="24"/>
                <w:szCs w:val="24"/>
              </w:rPr>
            </w:pPr>
          </w:p>
        </w:tc>
      </w:tr>
    </w:tbl>
    <w:p w14:paraId="3670063D">
      <w:pPr>
        <w:rPr>
          <w:sz w:val="24"/>
          <w:szCs w:val="24"/>
        </w:rPr>
      </w:pPr>
      <w:r>
        <w:rPr>
          <w:rFonts w:hint="eastAsia" w:ascii="Arial" w:hAnsi="Arial" w:eastAsia="宋体" w:cs="Times New Roman"/>
          <w:b/>
          <w:color w:val="FF0000"/>
          <w:sz w:val="24"/>
          <w:szCs w:val="24"/>
        </w:rPr>
        <w:t>本项目控制金额为人民币438321</w:t>
      </w:r>
      <w:r>
        <w:rPr>
          <w:rFonts w:hint="eastAsia" w:ascii="Arial" w:hAnsi="Arial" w:eastAsia="宋体" w:cs="Times New Roman"/>
          <w:b/>
          <w:color w:val="0000FF"/>
          <w:sz w:val="24"/>
          <w:szCs w:val="24"/>
        </w:rPr>
        <w:t>元</w:t>
      </w:r>
      <w:r>
        <w:rPr>
          <w:rFonts w:hint="eastAsia" w:ascii="Arial" w:hAnsi="Arial" w:eastAsia="宋体" w:cs="Times New Roman"/>
          <w:b/>
          <w:color w:val="FF0000"/>
          <w:sz w:val="24"/>
          <w:szCs w:val="24"/>
        </w:rPr>
        <w:t>，投标报价超出控制金额将作投标无效处理。</w:t>
      </w:r>
    </w:p>
    <w:p w14:paraId="1EF11270">
      <w:pPr>
        <w:keepNext/>
        <w:keepLines/>
        <w:tabs>
          <w:tab w:val="left" w:pos="1680"/>
        </w:tabs>
        <w:spacing w:before="260" w:after="78" w:afterLines="25"/>
        <w:jc w:val="center"/>
        <w:outlineLvl w:val="2"/>
        <w:rPr>
          <w:rFonts w:ascii="Arial" w:hAnsi="Arial" w:eastAsia="宋体" w:cs="Times New Roman"/>
          <w:b/>
          <w:sz w:val="32"/>
          <w:szCs w:val="32"/>
        </w:rPr>
      </w:pPr>
      <w:r>
        <w:rPr>
          <w:rFonts w:hint="eastAsia" w:ascii="Arial" w:hAnsi="Arial" w:eastAsia="宋体" w:cs="Times New Roman"/>
          <w:b/>
          <w:sz w:val="32"/>
          <w:szCs w:val="32"/>
        </w:rPr>
        <w:t>二、</w:t>
      </w:r>
      <w:r>
        <w:rPr>
          <w:rFonts w:hint="eastAsia" w:ascii="Arial" w:hAnsi="Arial" w:eastAsia="宋体" w:cs="Times New Roman"/>
          <w:b/>
          <w:color w:val="FF0000"/>
          <w:sz w:val="32"/>
          <w:szCs w:val="32"/>
        </w:rPr>
        <w:t>★</w:t>
      </w:r>
      <w:r>
        <w:rPr>
          <w:rFonts w:hint="eastAsia" w:ascii="Arial" w:hAnsi="Arial" w:eastAsia="宋体" w:cs="Times New Roman"/>
          <w:b/>
          <w:sz w:val="32"/>
          <w:szCs w:val="32"/>
        </w:rPr>
        <w:t>货物需求明细</w:t>
      </w:r>
    </w:p>
    <w:p w14:paraId="4482C00A">
      <w:r>
        <w:rPr>
          <w:rFonts w:hint="eastAsia" w:ascii="宋体" w:hAnsi="宋体"/>
          <w:b/>
          <w:color w:val="FF0000"/>
          <w:sz w:val="32"/>
          <w:szCs w:val="32"/>
        </w:rPr>
        <w:t>本项目核心产品为：</w:t>
      </w:r>
      <w:r>
        <w:rPr>
          <w:rFonts w:hint="eastAsia" w:ascii="宋体" w:hAnsi="宋体"/>
          <w:b/>
          <w:color w:val="FF0000"/>
          <w:sz w:val="32"/>
          <w:szCs w:val="32"/>
          <w:u w:val="single"/>
        </w:rPr>
        <w:t xml:space="preserve"> 穿衣镜收纳柜 </w:t>
      </w:r>
    </w:p>
    <w:tbl>
      <w:tblPr>
        <w:tblStyle w:val="1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1"/>
        <w:gridCol w:w="1358"/>
        <w:gridCol w:w="546"/>
        <w:gridCol w:w="552"/>
        <w:gridCol w:w="668"/>
        <w:gridCol w:w="1085"/>
        <w:gridCol w:w="829"/>
        <w:gridCol w:w="986"/>
        <w:gridCol w:w="986"/>
        <w:gridCol w:w="986"/>
      </w:tblGrid>
      <w:tr w14:paraId="57966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306" w:type="pct"/>
            <w:vMerge w:val="restart"/>
            <w:noWrap w:val="0"/>
            <w:vAlign w:val="center"/>
          </w:tcPr>
          <w:p w14:paraId="3F1DF147">
            <w:pPr>
              <w:jc w:val="center"/>
              <w:rPr>
                <w:bCs/>
                <w:szCs w:val="21"/>
              </w:rPr>
            </w:pPr>
            <w:r>
              <w:rPr>
                <w:rFonts w:hint="eastAsia"/>
                <w:bCs/>
                <w:szCs w:val="21"/>
              </w:rPr>
              <w:t>序号</w:t>
            </w:r>
          </w:p>
        </w:tc>
        <w:tc>
          <w:tcPr>
            <w:tcW w:w="797" w:type="pct"/>
            <w:vMerge w:val="restart"/>
            <w:noWrap w:val="0"/>
            <w:vAlign w:val="center"/>
          </w:tcPr>
          <w:p w14:paraId="5E9170D4">
            <w:pPr>
              <w:jc w:val="center"/>
              <w:rPr>
                <w:rFonts w:hint="eastAsia"/>
                <w:bCs/>
                <w:szCs w:val="21"/>
              </w:rPr>
            </w:pPr>
            <w:r>
              <w:rPr>
                <w:rFonts w:hint="eastAsia"/>
                <w:bCs/>
                <w:szCs w:val="21"/>
              </w:rPr>
              <w:t>货物名称</w:t>
            </w:r>
          </w:p>
        </w:tc>
        <w:tc>
          <w:tcPr>
            <w:tcW w:w="320" w:type="pct"/>
            <w:vMerge w:val="restart"/>
            <w:noWrap w:val="0"/>
            <w:vAlign w:val="center"/>
          </w:tcPr>
          <w:p w14:paraId="3A09A6B5">
            <w:pPr>
              <w:jc w:val="center"/>
              <w:rPr>
                <w:bCs/>
                <w:szCs w:val="21"/>
              </w:rPr>
            </w:pPr>
            <w:r>
              <w:rPr>
                <w:rFonts w:hint="eastAsia"/>
                <w:bCs/>
                <w:szCs w:val="21"/>
              </w:rPr>
              <w:t>数量</w:t>
            </w:r>
          </w:p>
        </w:tc>
        <w:tc>
          <w:tcPr>
            <w:tcW w:w="324" w:type="pct"/>
            <w:vMerge w:val="restart"/>
            <w:noWrap w:val="0"/>
            <w:vAlign w:val="center"/>
          </w:tcPr>
          <w:p w14:paraId="1297DBBB">
            <w:pPr>
              <w:jc w:val="center"/>
              <w:rPr>
                <w:bCs/>
                <w:szCs w:val="21"/>
              </w:rPr>
            </w:pPr>
            <w:r>
              <w:rPr>
                <w:rFonts w:hint="eastAsia"/>
                <w:bCs/>
                <w:szCs w:val="21"/>
              </w:rPr>
              <w:t>单位</w:t>
            </w:r>
          </w:p>
        </w:tc>
        <w:tc>
          <w:tcPr>
            <w:tcW w:w="1028" w:type="pct"/>
            <w:gridSpan w:val="2"/>
            <w:noWrap w:val="0"/>
            <w:vAlign w:val="center"/>
          </w:tcPr>
          <w:p w14:paraId="7D3C2AAD">
            <w:pPr>
              <w:jc w:val="center"/>
              <w:rPr>
                <w:rFonts w:hint="eastAsia"/>
                <w:bCs/>
                <w:szCs w:val="21"/>
              </w:rPr>
            </w:pPr>
            <w:r>
              <w:rPr>
                <w:rFonts w:hint="eastAsia"/>
                <w:bCs/>
                <w:szCs w:val="21"/>
              </w:rPr>
              <w:t>单价限额（元）</w:t>
            </w:r>
          </w:p>
        </w:tc>
        <w:tc>
          <w:tcPr>
            <w:tcW w:w="486" w:type="pct"/>
            <w:vMerge w:val="restart"/>
            <w:noWrap w:val="0"/>
            <w:vAlign w:val="center"/>
          </w:tcPr>
          <w:p w14:paraId="34C8A629">
            <w:pPr>
              <w:jc w:val="center"/>
              <w:rPr>
                <w:b/>
                <w:bCs/>
                <w:color w:val="FF0000"/>
                <w:szCs w:val="21"/>
              </w:rPr>
            </w:pPr>
            <w:r>
              <w:rPr>
                <w:rFonts w:hint="eastAsia"/>
                <w:b/>
                <w:bCs/>
                <w:color w:val="FF0000"/>
                <w:szCs w:val="21"/>
              </w:rPr>
              <w:t>备注</w:t>
            </w:r>
          </w:p>
        </w:tc>
        <w:tc>
          <w:tcPr>
            <w:tcW w:w="578" w:type="pct"/>
            <w:vMerge w:val="restart"/>
            <w:noWrap w:val="0"/>
            <w:vAlign w:val="center"/>
          </w:tcPr>
          <w:p w14:paraId="68A98B4E">
            <w:pPr>
              <w:jc w:val="center"/>
              <w:rPr>
                <w:rFonts w:hint="eastAsia"/>
                <w:b/>
                <w:bCs/>
                <w:color w:val="FF0000"/>
                <w:szCs w:val="21"/>
              </w:rPr>
            </w:pPr>
            <w:r>
              <w:rPr>
                <w:rFonts w:hint="eastAsia" w:ascii="Times New Roman" w:eastAsia="宋体"/>
                <w:b/>
                <w:bCs/>
                <w:color w:val="FF0000"/>
                <w:szCs w:val="21"/>
                <w:lang w:val="en-US" w:eastAsia="zh-CN"/>
              </w:rPr>
              <w:t>是否专门面向中小企业</w:t>
            </w:r>
          </w:p>
        </w:tc>
        <w:tc>
          <w:tcPr>
            <w:tcW w:w="578" w:type="pct"/>
            <w:vMerge w:val="restart"/>
            <w:noWrap w:val="0"/>
            <w:vAlign w:val="center"/>
          </w:tcPr>
          <w:p w14:paraId="7658C681">
            <w:pPr>
              <w:jc w:val="center"/>
              <w:rPr>
                <w:rFonts w:hint="eastAsia"/>
                <w:b/>
                <w:bCs/>
                <w:color w:val="FF0000"/>
                <w:szCs w:val="21"/>
              </w:rPr>
            </w:pPr>
            <w:r>
              <w:rPr>
                <w:rFonts w:hint="eastAsia" w:ascii="Times New Roman" w:eastAsia="宋体"/>
                <w:b/>
                <w:bCs/>
                <w:color w:val="FF0000"/>
                <w:szCs w:val="21"/>
                <w:lang w:val="en-US" w:eastAsia="zh-CN"/>
              </w:rPr>
              <w:t>标的所属行业</w:t>
            </w:r>
          </w:p>
        </w:tc>
        <w:tc>
          <w:tcPr>
            <w:tcW w:w="578" w:type="pct"/>
            <w:vMerge w:val="restart"/>
            <w:noWrap w:val="0"/>
            <w:vAlign w:val="center"/>
          </w:tcPr>
          <w:p w14:paraId="60E24845">
            <w:pPr>
              <w:jc w:val="center"/>
              <w:rPr>
                <w:b/>
                <w:bCs/>
                <w:color w:val="FF0000"/>
                <w:szCs w:val="21"/>
              </w:rPr>
            </w:pPr>
            <w:r>
              <w:rPr>
                <w:rFonts w:hint="eastAsia"/>
                <w:b/>
                <w:bCs/>
                <w:color w:val="FF0000"/>
                <w:szCs w:val="21"/>
              </w:rPr>
              <w:t>财政预算限额（元）</w:t>
            </w:r>
          </w:p>
        </w:tc>
      </w:tr>
      <w:tr w14:paraId="6A887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306" w:type="pct"/>
            <w:vMerge w:val="continue"/>
            <w:noWrap w:val="0"/>
            <w:vAlign w:val="center"/>
          </w:tcPr>
          <w:p w14:paraId="460E8AE0">
            <w:pPr>
              <w:jc w:val="center"/>
              <w:rPr>
                <w:rFonts w:hint="eastAsia"/>
                <w:bCs/>
                <w:szCs w:val="21"/>
              </w:rPr>
            </w:pPr>
          </w:p>
        </w:tc>
        <w:tc>
          <w:tcPr>
            <w:tcW w:w="797" w:type="pct"/>
            <w:vMerge w:val="continue"/>
            <w:noWrap w:val="0"/>
            <w:vAlign w:val="center"/>
          </w:tcPr>
          <w:p w14:paraId="70712A8D">
            <w:pPr>
              <w:jc w:val="center"/>
              <w:rPr>
                <w:rFonts w:hint="eastAsia"/>
                <w:bCs/>
                <w:szCs w:val="21"/>
              </w:rPr>
            </w:pPr>
          </w:p>
        </w:tc>
        <w:tc>
          <w:tcPr>
            <w:tcW w:w="320" w:type="pct"/>
            <w:vMerge w:val="continue"/>
            <w:noWrap w:val="0"/>
            <w:vAlign w:val="center"/>
          </w:tcPr>
          <w:p w14:paraId="1B40BFAC">
            <w:pPr>
              <w:jc w:val="center"/>
              <w:rPr>
                <w:rFonts w:hint="eastAsia"/>
                <w:bCs/>
                <w:szCs w:val="21"/>
              </w:rPr>
            </w:pPr>
          </w:p>
        </w:tc>
        <w:tc>
          <w:tcPr>
            <w:tcW w:w="324" w:type="pct"/>
            <w:vMerge w:val="continue"/>
            <w:noWrap w:val="0"/>
            <w:vAlign w:val="center"/>
          </w:tcPr>
          <w:p w14:paraId="3B48F2B5">
            <w:pPr>
              <w:jc w:val="center"/>
              <w:rPr>
                <w:rFonts w:hint="eastAsia"/>
                <w:bCs/>
                <w:szCs w:val="21"/>
              </w:rPr>
            </w:pPr>
          </w:p>
        </w:tc>
        <w:tc>
          <w:tcPr>
            <w:tcW w:w="392" w:type="pct"/>
            <w:noWrap w:val="0"/>
            <w:vAlign w:val="center"/>
          </w:tcPr>
          <w:p w14:paraId="3AF1AE0E">
            <w:pPr>
              <w:jc w:val="center"/>
              <w:rPr>
                <w:rFonts w:hint="eastAsia"/>
                <w:bCs/>
                <w:szCs w:val="21"/>
              </w:rPr>
            </w:pPr>
            <w:r>
              <w:rPr>
                <w:rFonts w:hint="eastAsia"/>
                <w:bCs/>
                <w:szCs w:val="21"/>
              </w:rPr>
              <w:t>单价</w:t>
            </w:r>
          </w:p>
        </w:tc>
        <w:tc>
          <w:tcPr>
            <w:tcW w:w="636" w:type="pct"/>
            <w:noWrap w:val="0"/>
            <w:vAlign w:val="center"/>
          </w:tcPr>
          <w:p w14:paraId="44C08764">
            <w:pPr>
              <w:jc w:val="center"/>
              <w:rPr>
                <w:rFonts w:hint="eastAsia"/>
                <w:bCs/>
                <w:szCs w:val="21"/>
              </w:rPr>
            </w:pPr>
            <w:r>
              <w:rPr>
                <w:rFonts w:hint="eastAsia"/>
                <w:bCs/>
                <w:szCs w:val="21"/>
              </w:rPr>
              <w:t>单项总额（单价乘以数量）</w:t>
            </w:r>
          </w:p>
        </w:tc>
        <w:tc>
          <w:tcPr>
            <w:tcW w:w="486" w:type="pct"/>
            <w:vMerge w:val="continue"/>
            <w:noWrap w:val="0"/>
            <w:vAlign w:val="center"/>
          </w:tcPr>
          <w:p w14:paraId="75956B92">
            <w:pPr>
              <w:jc w:val="center"/>
              <w:rPr>
                <w:rFonts w:hint="eastAsia"/>
                <w:b/>
                <w:bCs/>
                <w:color w:val="FF0000"/>
                <w:szCs w:val="21"/>
              </w:rPr>
            </w:pPr>
          </w:p>
        </w:tc>
        <w:tc>
          <w:tcPr>
            <w:tcW w:w="578" w:type="pct"/>
            <w:vMerge w:val="continue"/>
            <w:noWrap w:val="0"/>
            <w:vAlign w:val="center"/>
          </w:tcPr>
          <w:p w14:paraId="24E50213">
            <w:pPr>
              <w:jc w:val="center"/>
              <w:rPr>
                <w:rFonts w:hint="eastAsia"/>
                <w:b/>
                <w:bCs/>
                <w:color w:val="FF0000"/>
                <w:szCs w:val="21"/>
              </w:rPr>
            </w:pPr>
          </w:p>
        </w:tc>
        <w:tc>
          <w:tcPr>
            <w:tcW w:w="578" w:type="pct"/>
            <w:vMerge w:val="continue"/>
            <w:noWrap w:val="0"/>
            <w:vAlign w:val="center"/>
          </w:tcPr>
          <w:p w14:paraId="4E55A304">
            <w:pPr>
              <w:jc w:val="center"/>
              <w:rPr>
                <w:rFonts w:hint="eastAsia"/>
                <w:b/>
                <w:bCs/>
                <w:color w:val="FF0000"/>
                <w:szCs w:val="21"/>
              </w:rPr>
            </w:pPr>
          </w:p>
        </w:tc>
        <w:tc>
          <w:tcPr>
            <w:tcW w:w="578" w:type="pct"/>
            <w:vMerge w:val="continue"/>
            <w:noWrap w:val="0"/>
            <w:vAlign w:val="center"/>
          </w:tcPr>
          <w:p w14:paraId="5C77621C">
            <w:pPr>
              <w:jc w:val="center"/>
              <w:rPr>
                <w:rFonts w:hint="eastAsia"/>
                <w:b/>
                <w:bCs/>
                <w:color w:val="FF0000"/>
                <w:szCs w:val="21"/>
              </w:rPr>
            </w:pPr>
          </w:p>
        </w:tc>
      </w:tr>
      <w:tr w14:paraId="11023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306" w:type="pct"/>
            <w:noWrap w:val="0"/>
            <w:vAlign w:val="center"/>
          </w:tcPr>
          <w:p w14:paraId="18247F49">
            <w:pPr>
              <w:jc w:val="center"/>
              <w:rPr>
                <w:rFonts w:hint="eastAsia" w:ascii="宋体" w:hAnsi="宋体" w:cs="宋体"/>
                <w:color w:val="000000"/>
                <w:sz w:val="22"/>
              </w:rPr>
            </w:pPr>
            <w:r>
              <w:rPr>
                <w:rFonts w:hint="eastAsia" w:ascii="宋体" w:hAnsi="宋体" w:cs="宋体"/>
                <w:color w:val="000000"/>
                <w:sz w:val="22"/>
              </w:rPr>
              <w:t>1</w:t>
            </w:r>
          </w:p>
        </w:tc>
        <w:tc>
          <w:tcPr>
            <w:tcW w:w="797" w:type="pct"/>
            <w:shd w:val="clear" w:color="auto" w:fill="auto"/>
            <w:noWrap w:val="0"/>
            <w:vAlign w:val="center"/>
          </w:tcPr>
          <w:p w14:paraId="3B599426">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一片式靠背椅</w:t>
            </w:r>
          </w:p>
        </w:tc>
        <w:tc>
          <w:tcPr>
            <w:tcW w:w="320" w:type="pct"/>
            <w:shd w:val="clear" w:color="auto" w:fill="auto"/>
            <w:noWrap w:val="0"/>
            <w:vAlign w:val="center"/>
          </w:tcPr>
          <w:p w14:paraId="0C47CF69">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249</w:t>
            </w:r>
          </w:p>
        </w:tc>
        <w:tc>
          <w:tcPr>
            <w:tcW w:w="324" w:type="pct"/>
            <w:shd w:val="clear" w:color="auto" w:fill="auto"/>
            <w:noWrap w:val="0"/>
            <w:vAlign w:val="center"/>
          </w:tcPr>
          <w:p w14:paraId="195B1C78">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把</w:t>
            </w:r>
          </w:p>
        </w:tc>
        <w:tc>
          <w:tcPr>
            <w:tcW w:w="392" w:type="pct"/>
            <w:shd w:val="clear" w:color="auto" w:fill="auto"/>
            <w:noWrap w:val="0"/>
            <w:vAlign w:val="center"/>
          </w:tcPr>
          <w:p w14:paraId="30FF085E">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333</w:t>
            </w:r>
          </w:p>
        </w:tc>
        <w:tc>
          <w:tcPr>
            <w:tcW w:w="636" w:type="pct"/>
            <w:shd w:val="clear" w:color="auto" w:fill="auto"/>
            <w:noWrap w:val="0"/>
            <w:vAlign w:val="center"/>
          </w:tcPr>
          <w:p w14:paraId="09CF1127">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82917</w:t>
            </w:r>
          </w:p>
        </w:tc>
        <w:tc>
          <w:tcPr>
            <w:tcW w:w="486" w:type="pct"/>
            <w:vMerge w:val="restart"/>
            <w:noWrap w:val="0"/>
            <w:vAlign w:val="center"/>
          </w:tcPr>
          <w:p w14:paraId="1DBE0333">
            <w:pPr>
              <w:jc w:val="center"/>
              <w:rPr>
                <w:rFonts w:hint="default" w:eastAsia="宋体"/>
                <w:b/>
                <w:bCs/>
                <w:color w:val="FF0000"/>
                <w:szCs w:val="21"/>
                <w:lang w:val="en-US" w:eastAsia="zh-CN"/>
              </w:rPr>
            </w:pPr>
            <w:r>
              <w:rPr>
                <w:rFonts w:hint="eastAsia"/>
                <w:b/>
                <w:bCs/>
                <w:color w:val="FF0000"/>
                <w:szCs w:val="21"/>
                <w:lang w:val="en-US" w:eastAsia="zh-CN"/>
              </w:rPr>
              <w:t>拒绝进口</w:t>
            </w:r>
          </w:p>
        </w:tc>
        <w:tc>
          <w:tcPr>
            <w:tcW w:w="578" w:type="pct"/>
            <w:vMerge w:val="restart"/>
            <w:noWrap w:val="0"/>
            <w:vAlign w:val="center"/>
          </w:tcPr>
          <w:p w14:paraId="0CA88827">
            <w:pPr>
              <w:jc w:val="center"/>
              <w:rPr>
                <w:rFonts w:hint="eastAsia" w:ascii="宋体" w:hAnsi="宋体" w:cs="宋体" w:eastAsiaTheme="minorEastAsia"/>
                <w:b/>
                <w:bCs/>
                <w:color w:val="FF0000"/>
                <w:kern w:val="0"/>
                <w:sz w:val="21"/>
                <w:szCs w:val="21"/>
                <w:highlight w:val="yellow"/>
                <w:lang w:eastAsia="zh-CN"/>
              </w:rPr>
            </w:pPr>
            <w:r>
              <w:rPr>
                <w:rFonts w:hint="eastAsia" w:ascii="宋体" w:hAnsi="宋体" w:cs="宋体"/>
                <w:b/>
                <w:bCs/>
                <w:color w:val="FF0000"/>
                <w:kern w:val="0"/>
                <w:sz w:val="21"/>
                <w:szCs w:val="21"/>
                <w:highlight w:val="yellow"/>
                <w:lang w:eastAsia="zh-CN"/>
              </w:rPr>
              <w:t>是</w:t>
            </w:r>
          </w:p>
        </w:tc>
        <w:tc>
          <w:tcPr>
            <w:tcW w:w="578" w:type="pct"/>
            <w:vMerge w:val="restart"/>
            <w:noWrap w:val="0"/>
            <w:vAlign w:val="center"/>
          </w:tcPr>
          <w:p w14:paraId="0BE0811B">
            <w:pPr>
              <w:jc w:val="center"/>
              <w:rPr>
                <w:rFonts w:hint="eastAsia" w:ascii="宋体" w:hAnsi="宋体" w:cs="宋体" w:eastAsiaTheme="minorEastAsia"/>
                <w:b/>
                <w:bCs/>
                <w:color w:val="FF0000"/>
                <w:kern w:val="0"/>
                <w:sz w:val="21"/>
                <w:szCs w:val="21"/>
                <w:highlight w:val="yellow"/>
                <w:lang w:eastAsia="zh-CN"/>
              </w:rPr>
            </w:pPr>
            <w:r>
              <w:rPr>
                <w:rFonts w:hint="eastAsia" w:ascii="宋体" w:hAnsi="宋体" w:cs="宋体"/>
                <w:b/>
                <w:bCs/>
                <w:color w:val="FF0000"/>
                <w:kern w:val="0"/>
                <w:sz w:val="21"/>
                <w:szCs w:val="21"/>
                <w:highlight w:val="yellow"/>
                <w:lang w:eastAsia="zh-CN"/>
              </w:rPr>
              <w:t>工业</w:t>
            </w:r>
          </w:p>
        </w:tc>
        <w:tc>
          <w:tcPr>
            <w:tcW w:w="578" w:type="pct"/>
            <w:vMerge w:val="restart"/>
            <w:noWrap w:val="0"/>
            <w:vAlign w:val="center"/>
          </w:tcPr>
          <w:p w14:paraId="517D78EF">
            <w:pPr>
              <w:jc w:val="center"/>
              <w:rPr>
                <w:rFonts w:hint="eastAsia"/>
                <w:b/>
                <w:bCs/>
                <w:color w:val="FF0000"/>
                <w:szCs w:val="21"/>
              </w:rPr>
            </w:pPr>
            <w:r>
              <w:rPr>
                <w:rFonts w:hint="eastAsia" w:ascii="宋体" w:hAnsi="宋体" w:cs="宋体"/>
                <w:b/>
                <w:bCs/>
                <w:color w:val="FF0000"/>
                <w:kern w:val="0"/>
                <w:sz w:val="21"/>
                <w:szCs w:val="21"/>
              </w:rPr>
              <w:t>438321</w:t>
            </w:r>
          </w:p>
        </w:tc>
      </w:tr>
      <w:tr w14:paraId="5A517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06" w:type="pct"/>
            <w:noWrap w:val="0"/>
            <w:vAlign w:val="center"/>
          </w:tcPr>
          <w:p w14:paraId="25DB4092">
            <w:pPr>
              <w:jc w:val="center"/>
              <w:rPr>
                <w:rFonts w:hint="eastAsia" w:ascii="宋体" w:hAnsi="宋体" w:cs="宋体"/>
                <w:color w:val="000000"/>
                <w:sz w:val="22"/>
              </w:rPr>
            </w:pPr>
            <w:r>
              <w:rPr>
                <w:rFonts w:hint="eastAsia" w:ascii="宋体" w:hAnsi="宋体" w:cs="宋体"/>
                <w:color w:val="000000"/>
                <w:sz w:val="22"/>
              </w:rPr>
              <w:t>2</w:t>
            </w:r>
          </w:p>
        </w:tc>
        <w:tc>
          <w:tcPr>
            <w:tcW w:w="797" w:type="pct"/>
            <w:shd w:val="clear" w:color="auto" w:fill="auto"/>
            <w:noWrap w:val="0"/>
            <w:vAlign w:val="center"/>
          </w:tcPr>
          <w:p w14:paraId="5B4DF46F">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小圆凳</w:t>
            </w:r>
          </w:p>
        </w:tc>
        <w:tc>
          <w:tcPr>
            <w:tcW w:w="320" w:type="pct"/>
            <w:shd w:val="clear" w:color="auto" w:fill="auto"/>
            <w:noWrap w:val="0"/>
            <w:vAlign w:val="center"/>
          </w:tcPr>
          <w:p w14:paraId="209F4550">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7</w:t>
            </w:r>
          </w:p>
        </w:tc>
        <w:tc>
          <w:tcPr>
            <w:tcW w:w="324" w:type="pct"/>
            <w:shd w:val="clear" w:color="auto" w:fill="auto"/>
            <w:noWrap w:val="0"/>
            <w:vAlign w:val="center"/>
          </w:tcPr>
          <w:p w14:paraId="5553705D">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个</w:t>
            </w:r>
          </w:p>
        </w:tc>
        <w:tc>
          <w:tcPr>
            <w:tcW w:w="392" w:type="pct"/>
            <w:shd w:val="clear" w:color="auto" w:fill="auto"/>
            <w:noWrap w:val="0"/>
            <w:vAlign w:val="center"/>
          </w:tcPr>
          <w:p w14:paraId="37F5133F">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98</w:t>
            </w:r>
          </w:p>
        </w:tc>
        <w:tc>
          <w:tcPr>
            <w:tcW w:w="636" w:type="pct"/>
            <w:shd w:val="clear" w:color="auto" w:fill="auto"/>
            <w:noWrap w:val="0"/>
            <w:vAlign w:val="center"/>
          </w:tcPr>
          <w:p w14:paraId="5365694F">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686</w:t>
            </w:r>
          </w:p>
        </w:tc>
        <w:tc>
          <w:tcPr>
            <w:tcW w:w="486" w:type="pct"/>
            <w:vMerge w:val="continue"/>
            <w:noWrap w:val="0"/>
            <w:vAlign w:val="center"/>
          </w:tcPr>
          <w:p w14:paraId="239116EE">
            <w:pPr>
              <w:jc w:val="center"/>
              <w:rPr>
                <w:b/>
                <w:bCs/>
                <w:color w:val="FF0000"/>
                <w:szCs w:val="21"/>
              </w:rPr>
            </w:pPr>
          </w:p>
        </w:tc>
        <w:tc>
          <w:tcPr>
            <w:tcW w:w="578" w:type="pct"/>
            <w:vMerge w:val="continue"/>
            <w:noWrap w:val="0"/>
            <w:vAlign w:val="center"/>
          </w:tcPr>
          <w:p w14:paraId="48530748">
            <w:pPr>
              <w:jc w:val="center"/>
              <w:rPr>
                <w:bCs/>
                <w:szCs w:val="21"/>
              </w:rPr>
            </w:pPr>
          </w:p>
        </w:tc>
        <w:tc>
          <w:tcPr>
            <w:tcW w:w="578" w:type="pct"/>
            <w:vMerge w:val="continue"/>
            <w:noWrap w:val="0"/>
            <w:vAlign w:val="center"/>
          </w:tcPr>
          <w:p w14:paraId="5B24882C">
            <w:pPr>
              <w:jc w:val="center"/>
              <w:rPr>
                <w:bCs/>
                <w:szCs w:val="21"/>
              </w:rPr>
            </w:pPr>
          </w:p>
        </w:tc>
        <w:tc>
          <w:tcPr>
            <w:tcW w:w="578" w:type="pct"/>
            <w:vMerge w:val="continue"/>
            <w:noWrap w:val="0"/>
            <w:vAlign w:val="center"/>
          </w:tcPr>
          <w:p w14:paraId="174F365D">
            <w:pPr>
              <w:jc w:val="center"/>
              <w:rPr>
                <w:bCs/>
                <w:szCs w:val="21"/>
              </w:rPr>
            </w:pPr>
          </w:p>
        </w:tc>
      </w:tr>
      <w:tr w14:paraId="43DA8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06" w:type="pct"/>
            <w:noWrap w:val="0"/>
            <w:vAlign w:val="center"/>
          </w:tcPr>
          <w:p w14:paraId="7D0AA530">
            <w:pPr>
              <w:jc w:val="center"/>
              <w:rPr>
                <w:rFonts w:hint="eastAsia" w:ascii="宋体" w:hAnsi="宋体" w:cs="宋体"/>
                <w:color w:val="000000"/>
                <w:sz w:val="22"/>
              </w:rPr>
            </w:pPr>
            <w:r>
              <w:rPr>
                <w:rFonts w:hint="eastAsia" w:ascii="宋体" w:hAnsi="宋体" w:cs="宋体"/>
                <w:color w:val="000000"/>
                <w:sz w:val="22"/>
              </w:rPr>
              <w:t>3</w:t>
            </w:r>
          </w:p>
        </w:tc>
        <w:tc>
          <w:tcPr>
            <w:tcW w:w="797" w:type="pct"/>
            <w:shd w:val="clear" w:color="auto" w:fill="auto"/>
            <w:noWrap w:val="0"/>
            <w:vAlign w:val="center"/>
          </w:tcPr>
          <w:p w14:paraId="57C7C212">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哥德堡两层矩形柜</w:t>
            </w:r>
          </w:p>
        </w:tc>
        <w:tc>
          <w:tcPr>
            <w:tcW w:w="320" w:type="pct"/>
            <w:shd w:val="clear" w:color="auto" w:fill="auto"/>
            <w:noWrap w:val="0"/>
            <w:vAlign w:val="center"/>
          </w:tcPr>
          <w:p w14:paraId="734EBD49">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1</w:t>
            </w:r>
          </w:p>
        </w:tc>
        <w:tc>
          <w:tcPr>
            <w:tcW w:w="324" w:type="pct"/>
            <w:shd w:val="clear" w:color="auto" w:fill="auto"/>
            <w:noWrap w:val="0"/>
            <w:vAlign w:val="center"/>
          </w:tcPr>
          <w:p w14:paraId="2FF8FAE9">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个</w:t>
            </w:r>
          </w:p>
        </w:tc>
        <w:tc>
          <w:tcPr>
            <w:tcW w:w="392" w:type="pct"/>
            <w:shd w:val="clear" w:color="auto" w:fill="auto"/>
            <w:noWrap w:val="0"/>
            <w:vAlign w:val="center"/>
          </w:tcPr>
          <w:p w14:paraId="3BEC8A64">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1008</w:t>
            </w:r>
          </w:p>
        </w:tc>
        <w:tc>
          <w:tcPr>
            <w:tcW w:w="636" w:type="pct"/>
            <w:shd w:val="clear" w:color="auto" w:fill="auto"/>
            <w:noWrap w:val="0"/>
            <w:vAlign w:val="center"/>
          </w:tcPr>
          <w:p w14:paraId="33312996">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1008</w:t>
            </w:r>
          </w:p>
        </w:tc>
        <w:tc>
          <w:tcPr>
            <w:tcW w:w="486" w:type="pct"/>
            <w:vMerge w:val="continue"/>
            <w:noWrap w:val="0"/>
            <w:vAlign w:val="center"/>
          </w:tcPr>
          <w:p w14:paraId="2DB22CE4">
            <w:pPr>
              <w:jc w:val="center"/>
              <w:rPr>
                <w:b/>
                <w:bCs/>
                <w:color w:val="FF0000"/>
                <w:szCs w:val="21"/>
              </w:rPr>
            </w:pPr>
          </w:p>
        </w:tc>
        <w:tc>
          <w:tcPr>
            <w:tcW w:w="578" w:type="pct"/>
            <w:vMerge w:val="continue"/>
            <w:noWrap w:val="0"/>
            <w:vAlign w:val="center"/>
          </w:tcPr>
          <w:p w14:paraId="2C0368DC">
            <w:pPr>
              <w:jc w:val="center"/>
              <w:rPr>
                <w:bCs/>
                <w:szCs w:val="21"/>
              </w:rPr>
            </w:pPr>
          </w:p>
        </w:tc>
        <w:tc>
          <w:tcPr>
            <w:tcW w:w="578" w:type="pct"/>
            <w:vMerge w:val="continue"/>
            <w:noWrap w:val="0"/>
            <w:vAlign w:val="center"/>
          </w:tcPr>
          <w:p w14:paraId="537F7BAF">
            <w:pPr>
              <w:jc w:val="center"/>
              <w:rPr>
                <w:bCs/>
                <w:szCs w:val="21"/>
              </w:rPr>
            </w:pPr>
          </w:p>
        </w:tc>
        <w:tc>
          <w:tcPr>
            <w:tcW w:w="578" w:type="pct"/>
            <w:vMerge w:val="continue"/>
            <w:noWrap w:val="0"/>
            <w:vAlign w:val="center"/>
          </w:tcPr>
          <w:p w14:paraId="217D0136">
            <w:pPr>
              <w:jc w:val="center"/>
              <w:rPr>
                <w:bCs/>
                <w:szCs w:val="21"/>
              </w:rPr>
            </w:pPr>
          </w:p>
        </w:tc>
      </w:tr>
      <w:tr w14:paraId="02D2F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06" w:type="pct"/>
            <w:noWrap w:val="0"/>
            <w:vAlign w:val="center"/>
          </w:tcPr>
          <w:p w14:paraId="7343375C">
            <w:pPr>
              <w:jc w:val="center"/>
              <w:rPr>
                <w:rFonts w:hint="eastAsia" w:ascii="宋体" w:hAnsi="宋体" w:cs="宋体"/>
                <w:color w:val="000000"/>
                <w:sz w:val="22"/>
              </w:rPr>
            </w:pPr>
            <w:r>
              <w:rPr>
                <w:rFonts w:hint="eastAsia" w:ascii="宋体" w:hAnsi="宋体" w:cs="宋体"/>
                <w:color w:val="000000"/>
                <w:sz w:val="22"/>
              </w:rPr>
              <w:t>4</w:t>
            </w:r>
          </w:p>
        </w:tc>
        <w:tc>
          <w:tcPr>
            <w:tcW w:w="797" w:type="pct"/>
            <w:shd w:val="clear" w:color="auto" w:fill="auto"/>
            <w:noWrap w:val="0"/>
            <w:vAlign w:val="center"/>
          </w:tcPr>
          <w:p w14:paraId="4047A56D">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一层柜（无背板）</w:t>
            </w:r>
          </w:p>
        </w:tc>
        <w:tc>
          <w:tcPr>
            <w:tcW w:w="320" w:type="pct"/>
            <w:shd w:val="clear" w:color="auto" w:fill="auto"/>
            <w:noWrap w:val="0"/>
            <w:vAlign w:val="center"/>
          </w:tcPr>
          <w:p w14:paraId="0E83A0F3">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1</w:t>
            </w:r>
          </w:p>
        </w:tc>
        <w:tc>
          <w:tcPr>
            <w:tcW w:w="324" w:type="pct"/>
            <w:shd w:val="clear" w:color="auto" w:fill="auto"/>
            <w:noWrap w:val="0"/>
            <w:vAlign w:val="center"/>
          </w:tcPr>
          <w:p w14:paraId="1561A9CD">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个</w:t>
            </w:r>
          </w:p>
        </w:tc>
        <w:tc>
          <w:tcPr>
            <w:tcW w:w="392" w:type="pct"/>
            <w:shd w:val="clear" w:color="auto" w:fill="auto"/>
            <w:noWrap w:val="0"/>
            <w:vAlign w:val="center"/>
          </w:tcPr>
          <w:p w14:paraId="06AA79C2">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720</w:t>
            </w:r>
          </w:p>
        </w:tc>
        <w:tc>
          <w:tcPr>
            <w:tcW w:w="636" w:type="pct"/>
            <w:shd w:val="clear" w:color="auto" w:fill="auto"/>
            <w:noWrap w:val="0"/>
            <w:vAlign w:val="center"/>
          </w:tcPr>
          <w:p w14:paraId="7B09305E">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720</w:t>
            </w:r>
          </w:p>
        </w:tc>
        <w:tc>
          <w:tcPr>
            <w:tcW w:w="486" w:type="pct"/>
            <w:vMerge w:val="continue"/>
            <w:noWrap w:val="0"/>
            <w:vAlign w:val="center"/>
          </w:tcPr>
          <w:p w14:paraId="4D5F8709">
            <w:pPr>
              <w:jc w:val="center"/>
              <w:rPr>
                <w:b/>
                <w:bCs/>
                <w:color w:val="FF0000"/>
                <w:szCs w:val="21"/>
              </w:rPr>
            </w:pPr>
          </w:p>
        </w:tc>
        <w:tc>
          <w:tcPr>
            <w:tcW w:w="578" w:type="pct"/>
            <w:vMerge w:val="continue"/>
            <w:noWrap w:val="0"/>
            <w:vAlign w:val="center"/>
          </w:tcPr>
          <w:p w14:paraId="1B99F9DA">
            <w:pPr>
              <w:jc w:val="center"/>
              <w:rPr>
                <w:bCs/>
                <w:szCs w:val="21"/>
              </w:rPr>
            </w:pPr>
          </w:p>
        </w:tc>
        <w:tc>
          <w:tcPr>
            <w:tcW w:w="578" w:type="pct"/>
            <w:vMerge w:val="continue"/>
            <w:noWrap w:val="0"/>
            <w:vAlign w:val="center"/>
          </w:tcPr>
          <w:p w14:paraId="51BA19A1">
            <w:pPr>
              <w:jc w:val="center"/>
              <w:rPr>
                <w:bCs/>
                <w:szCs w:val="21"/>
              </w:rPr>
            </w:pPr>
          </w:p>
        </w:tc>
        <w:tc>
          <w:tcPr>
            <w:tcW w:w="578" w:type="pct"/>
            <w:vMerge w:val="continue"/>
            <w:noWrap w:val="0"/>
            <w:vAlign w:val="center"/>
          </w:tcPr>
          <w:p w14:paraId="3C496779">
            <w:pPr>
              <w:jc w:val="center"/>
              <w:rPr>
                <w:bCs/>
                <w:szCs w:val="21"/>
              </w:rPr>
            </w:pPr>
          </w:p>
        </w:tc>
      </w:tr>
      <w:tr w14:paraId="467E6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06" w:type="pct"/>
            <w:noWrap w:val="0"/>
            <w:vAlign w:val="center"/>
          </w:tcPr>
          <w:p w14:paraId="53ADA896">
            <w:pPr>
              <w:jc w:val="center"/>
              <w:rPr>
                <w:rFonts w:hint="eastAsia" w:ascii="宋体" w:hAnsi="宋体" w:cs="宋体"/>
                <w:color w:val="000000"/>
                <w:sz w:val="22"/>
              </w:rPr>
            </w:pPr>
            <w:r>
              <w:rPr>
                <w:rFonts w:hint="eastAsia" w:ascii="宋体" w:hAnsi="宋体" w:cs="宋体"/>
                <w:color w:val="000000"/>
                <w:sz w:val="22"/>
              </w:rPr>
              <w:t>5</w:t>
            </w:r>
          </w:p>
        </w:tc>
        <w:tc>
          <w:tcPr>
            <w:tcW w:w="797" w:type="pct"/>
            <w:shd w:val="clear" w:color="auto" w:fill="auto"/>
            <w:noWrap w:val="0"/>
            <w:vAlign w:val="center"/>
          </w:tcPr>
          <w:p w14:paraId="1FAD9930">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两层扇形柜 - 无背板</w:t>
            </w:r>
          </w:p>
        </w:tc>
        <w:tc>
          <w:tcPr>
            <w:tcW w:w="320" w:type="pct"/>
            <w:shd w:val="clear" w:color="auto" w:fill="auto"/>
            <w:noWrap w:val="0"/>
            <w:vAlign w:val="center"/>
          </w:tcPr>
          <w:p w14:paraId="155A46F3">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14</w:t>
            </w:r>
          </w:p>
        </w:tc>
        <w:tc>
          <w:tcPr>
            <w:tcW w:w="324" w:type="pct"/>
            <w:shd w:val="clear" w:color="auto" w:fill="auto"/>
            <w:noWrap w:val="0"/>
            <w:vAlign w:val="center"/>
          </w:tcPr>
          <w:p w14:paraId="32D10183">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个</w:t>
            </w:r>
          </w:p>
        </w:tc>
        <w:tc>
          <w:tcPr>
            <w:tcW w:w="392" w:type="pct"/>
            <w:shd w:val="clear" w:color="auto" w:fill="auto"/>
            <w:noWrap w:val="0"/>
            <w:vAlign w:val="center"/>
          </w:tcPr>
          <w:p w14:paraId="72A10812">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800</w:t>
            </w:r>
          </w:p>
        </w:tc>
        <w:tc>
          <w:tcPr>
            <w:tcW w:w="636" w:type="pct"/>
            <w:shd w:val="clear" w:color="auto" w:fill="auto"/>
            <w:noWrap w:val="0"/>
            <w:vAlign w:val="center"/>
          </w:tcPr>
          <w:p w14:paraId="11573FE1">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11200</w:t>
            </w:r>
          </w:p>
        </w:tc>
        <w:tc>
          <w:tcPr>
            <w:tcW w:w="486" w:type="pct"/>
            <w:vMerge w:val="continue"/>
            <w:noWrap w:val="0"/>
            <w:vAlign w:val="center"/>
          </w:tcPr>
          <w:p w14:paraId="7BFE10A9">
            <w:pPr>
              <w:jc w:val="center"/>
              <w:rPr>
                <w:b/>
                <w:bCs/>
                <w:color w:val="FF0000"/>
                <w:szCs w:val="21"/>
              </w:rPr>
            </w:pPr>
          </w:p>
        </w:tc>
        <w:tc>
          <w:tcPr>
            <w:tcW w:w="578" w:type="pct"/>
            <w:vMerge w:val="continue"/>
            <w:noWrap w:val="0"/>
            <w:vAlign w:val="center"/>
          </w:tcPr>
          <w:p w14:paraId="3AF10812">
            <w:pPr>
              <w:jc w:val="center"/>
              <w:rPr>
                <w:bCs/>
                <w:szCs w:val="21"/>
              </w:rPr>
            </w:pPr>
          </w:p>
        </w:tc>
        <w:tc>
          <w:tcPr>
            <w:tcW w:w="578" w:type="pct"/>
            <w:vMerge w:val="continue"/>
            <w:noWrap w:val="0"/>
            <w:vAlign w:val="center"/>
          </w:tcPr>
          <w:p w14:paraId="663F8099">
            <w:pPr>
              <w:jc w:val="center"/>
              <w:rPr>
                <w:bCs/>
                <w:szCs w:val="21"/>
              </w:rPr>
            </w:pPr>
          </w:p>
        </w:tc>
        <w:tc>
          <w:tcPr>
            <w:tcW w:w="578" w:type="pct"/>
            <w:vMerge w:val="continue"/>
            <w:noWrap w:val="0"/>
            <w:vAlign w:val="center"/>
          </w:tcPr>
          <w:p w14:paraId="38077705">
            <w:pPr>
              <w:jc w:val="center"/>
              <w:rPr>
                <w:bCs/>
                <w:szCs w:val="21"/>
              </w:rPr>
            </w:pPr>
          </w:p>
        </w:tc>
      </w:tr>
      <w:tr w14:paraId="4BC42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06" w:type="pct"/>
            <w:noWrap w:val="0"/>
            <w:vAlign w:val="center"/>
          </w:tcPr>
          <w:p w14:paraId="2E240335">
            <w:pPr>
              <w:jc w:val="center"/>
              <w:rPr>
                <w:rFonts w:hint="eastAsia" w:ascii="宋体" w:hAnsi="宋体" w:cs="宋体"/>
                <w:color w:val="000000"/>
                <w:sz w:val="22"/>
              </w:rPr>
            </w:pPr>
            <w:r>
              <w:rPr>
                <w:rFonts w:hint="eastAsia" w:ascii="宋体" w:hAnsi="宋体" w:cs="宋体"/>
                <w:color w:val="000000"/>
                <w:sz w:val="22"/>
              </w:rPr>
              <w:t>6</w:t>
            </w:r>
          </w:p>
        </w:tc>
        <w:tc>
          <w:tcPr>
            <w:tcW w:w="797" w:type="pct"/>
            <w:shd w:val="clear" w:color="auto" w:fill="auto"/>
            <w:noWrap w:val="0"/>
            <w:vAlign w:val="center"/>
          </w:tcPr>
          <w:p w14:paraId="0BD724C7">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一层两格柜（无背板）</w:t>
            </w:r>
          </w:p>
        </w:tc>
        <w:tc>
          <w:tcPr>
            <w:tcW w:w="320" w:type="pct"/>
            <w:shd w:val="clear" w:color="auto" w:fill="auto"/>
            <w:noWrap w:val="0"/>
            <w:vAlign w:val="center"/>
          </w:tcPr>
          <w:p w14:paraId="164C472C">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1</w:t>
            </w:r>
          </w:p>
        </w:tc>
        <w:tc>
          <w:tcPr>
            <w:tcW w:w="324" w:type="pct"/>
            <w:shd w:val="clear" w:color="auto" w:fill="auto"/>
            <w:noWrap w:val="0"/>
            <w:vAlign w:val="center"/>
          </w:tcPr>
          <w:p w14:paraId="5F1C4955">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个</w:t>
            </w:r>
          </w:p>
        </w:tc>
        <w:tc>
          <w:tcPr>
            <w:tcW w:w="392" w:type="pct"/>
            <w:shd w:val="clear" w:color="auto" w:fill="auto"/>
            <w:noWrap w:val="0"/>
            <w:vAlign w:val="center"/>
          </w:tcPr>
          <w:p w14:paraId="39A2B47B">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808</w:t>
            </w:r>
          </w:p>
        </w:tc>
        <w:tc>
          <w:tcPr>
            <w:tcW w:w="636" w:type="pct"/>
            <w:shd w:val="clear" w:color="auto" w:fill="auto"/>
            <w:noWrap w:val="0"/>
            <w:vAlign w:val="center"/>
          </w:tcPr>
          <w:p w14:paraId="23D3F669">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808</w:t>
            </w:r>
          </w:p>
        </w:tc>
        <w:tc>
          <w:tcPr>
            <w:tcW w:w="486" w:type="pct"/>
            <w:vMerge w:val="continue"/>
            <w:noWrap w:val="0"/>
            <w:vAlign w:val="center"/>
          </w:tcPr>
          <w:p w14:paraId="0C9BDDAE">
            <w:pPr>
              <w:jc w:val="center"/>
              <w:rPr>
                <w:b/>
                <w:bCs/>
                <w:color w:val="FF0000"/>
                <w:szCs w:val="21"/>
              </w:rPr>
            </w:pPr>
          </w:p>
        </w:tc>
        <w:tc>
          <w:tcPr>
            <w:tcW w:w="578" w:type="pct"/>
            <w:vMerge w:val="continue"/>
            <w:noWrap w:val="0"/>
            <w:vAlign w:val="center"/>
          </w:tcPr>
          <w:p w14:paraId="363D4C63">
            <w:pPr>
              <w:jc w:val="center"/>
              <w:rPr>
                <w:bCs/>
                <w:szCs w:val="21"/>
              </w:rPr>
            </w:pPr>
          </w:p>
        </w:tc>
        <w:tc>
          <w:tcPr>
            <w:tcW w:w="578" w:type="pct"/>
            <w:vMerge w:val="continue"/>
            <w:noWrap w:val="0"/>
            <w:vAlign w:val="center"/>
          </w:tcPr>
          <w:p w14:paraId="3B590CA9">
            <w:pPr>
              <w:jc w:val="center"/>
              <w:rPr>
                <w:bCs/>
                <w:szCs w:val="21"/>
              </w:rPr>
            </w:pPr>
          </w:p>
        </w:tc>
        <w:tc>
          <w:tcPr>
            <w:tcW w:w="578" w:type="pct"/>
            <w:vMerge w:val="continue"/>
            <w:noWrap w:val="0"/>
            <w:vAlign w:val="center"/>
          </w:tcPr>
          <w:p w14:paraId="52C22C7D">
            <w:pPr>
              <w:jc w:val="center"/>
              <w:rPr>
                <w:bCs/>
                <w:szCs w:val="21"/>
              </w:rPr>
            </w:pPr>
          </w:p>
        </w:tc>
      </w:tr>
      <w:tr w14:paraId="3C26D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06" w:type="pct"/>
            <w:noWrap w:val="0"/>
            <w:vAlign w:val="center"/>
          </w:tcPr>
          <w:p w14:paraId="03FEC788">
            <w:pPr>
              <w:jc w:val="center"/>
              <w:rPr>
                <w:rFonts w:hint="eastAsia" w:ascii="宋体" w:hAnsi="宋体" w:cs="宋体"/>
                <w:color w:val="000000"/>
                <w:sz w:val="22"/>
              </w:rPr>
            </w:pPr>
            <w:r>
              <w:rPr>
                <w:rFonts w:hint="eastAsia" w:ascii="宋体" w:hAnsi="宋体" w:cs="宋体"/>
                <w:color w:val="000000"/>
                <w:sz w:val="22"/>
              </w:rPr>
              <w:t>7</w:t>
            </w:r>
          </w:p>
        </w:tc>
        <w:tc>
          <w:tcPr>
            <w:tcW w:w="797" w:type="pct"/>
            <w:shd w:val="clear" w:color="auto" w:fill="auto"/>
            <w:noWrap w:val="0"/>
            <w:vAlign w:val="center"/>
          </w:tcPr>
          <w:p w14:paraId="5F751139">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方桌</w:t>
            </w:r>
          </w:p>
        </w:tc>
        <w:tc>
          <w:tcPr>
            <w:tcW w:w="320" w:type="pct"/>
            <w:shd w:val="clear" w:color="auto" w:fill="auto"/>
            <w:noWrap w:val="0"/>
            <w:vAlign w:val="center"/>
          </w:tcPr>
          <w:p w14:paraId="1B7C2849">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7</w:t>
            </w:r>
          </w:p>
        </w:tc>
        <w:tc>
          <w:tcPr>
            <w:tcW w:w="324" w:type="pct"/>
            <w:shd w:val="clear" w:color="auto" w:fill="auto"/>
            <w:noWrap w:val="0"/>
            <w:vAlign w:val="center"/>
          </w:tcPr>
          <w:p w14:paraId="34BCE888">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张</w:t>
            </w:r>
          </w:p>
        </w:tc>
        <w:tc>
          <w:tcPr>
            <w:tcW w:w="392" w:type="pct"/>
            <w:shd w:val="clear" w:color="auto" w:fill="auto"/>
            <w:noWrap w:val="0"/>
            <w:vAlign w:val="center"/>
          </w:tcPr>
          <w:p w14:paraId="7CADD86F">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737</w:t>
            </w:r>
          </w:p>
        </w:tc>
        <w:tc>
          <w:tcPr>
            <w:tcW w:w="636" w:type="pct"/>
            <w:shd w:val="clear" w:color="auto" w:fill="auto"/>
            <w:noWrap w:val="0"/>
            <w:vAlign w:val="center"/>
          </w:tcPr>
          <w:p w14:paraId="65F7AF2A">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5159</w:t>
            </w:r>
          </w:p>
        </w:tc>
        <w:tc>
          <w:tcPr>
            <w:tcW w:w="486" w:type="pct"/>
            <w:vMerge w:val="continue"/>
            <w:noWrap w:val="0"/>
            <w:vAlign w:val="center"/>
          </w:tcPr>
          <w:p w14:paraId="10F9C9AA">
            <w:pPr>
              <w:jc w:val="center"/>
              <w:rPr>
                <w:b/>
                <w:bCs/>
                <w:color w:val="FF0000"/>
                <w:szCs w:val="21"/>
              </w:rPr>
            </w:pPr>
          </w:p>
        </w:tc>
        <w:tc>
          <w:tcPr>
            <w:tcW w:w="578" w:type="pct"/>
            <w:vMerge w:val="continue"/>
            <w:noWrap w:val="0"/>
            <w:vAlign w:val="center"/>
          </w:tcPr>
          <w:p w14:paraId="61C5923C">
            <w:pPr>
              <w:jc w:val="center"/>
              <w:rPr>
                <w:bCs/>
                <w:szCs w:val="21"/>
              </w:rPr>
            </w:pPr>
          </w:p>
        </w:tc>
        <w:tc>
          <w:tcPr>
            <w:tcW w:w="578" w:type="pct"/>
            <w:vMerge w:val="continue"/>
            <w:noWrap w:val="0"/>
            <w:vAlign w:val="center"/>
          </w:tcPr>
          <w:p w14:paraId="62F34E76">
            <w:pPr>
              <w:jc w:val="center"/>
              <w:rPr>
                <w:bCs/>
                <w:szCs w:val="21"/>
              </w:rPr>
            </w:pPr>
          </w:p>
        </w:tc>
        <w:tc>
          <w:tcPr>
            <w:tcW w:w="578" w:type="pct"/>
            <w:vMerge w:val="continue"/>
            <w:noWrap w:val="0"/>
            <w:vAlign w:val="center"/>
          </w:tcPr>
          <w:p w14:paraId="367C188B">
            <w:pPr>
              <w:jc w:val="center"/>
              <w:rPr>
                <w:bCs/>
                <w:szCs w:val="21"/>
              </w:rPr>
            </w:pPr>
          </w:p>
        </w:tc>
      </w:tr>
      <w:tr w14:paraId="6B331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06" w:type="pct"/>
            <w:noWrap w:val="0"/>
            <w:vAlign w:val="center"/>
          </w:tcPr>
          <w:p w14:paraId="1D4A39AA">
            <w:pPr>
              <w:jc w:val="center"/>
              <w:rPr>
                <w:rFonts w:hint="eastAsia" w:ascii="宋体" w:hAnsi="宋体" w:cs="宋体"/>
                <w:color w:val="000000"/>
                <w:sz w:val="22"/>
              </w:rPr>
            </w:pPr>
            <w:r>
              <w:rPr>
                <w:rFonts w:hint="eastAsia" w:ascii="宋体" w:hAnsi="宋体" w:cs="宋体"/>
                <w:color w:val="000000"/>
                <w:sz w:val="22"/>
              </w:rPr>
              <w:t>8</w:t>
            </w:r>
          </w:p>
        </w:tc>
        <w:tc>
          <w:tcPr>
            <w:tcW w:w="797" w:type="pct"/>
            <w:shd w:val="clear" w:color="auto" w:fill="auto"/>
            <w:noWrap w:val="0"/>
            <w:vAlign w:val="center"/>
          </w:tcPr>
          <w:p w14:paraId="6E032A24">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单面书架储物柜</w:t>
            </w:r>
          </w:p>
        </w:tc>
        <w:tc>
          <w:tcPr>
            <w:tcW w:w="320" w:type="pct"/>
            <w:shd w:val="clear" w:color="auto" w:fill="auto"/>
            <w:noWrap w:val="0"/>
            <w:vAlign w:val="center"/>
          </w:tcPr>
          <w:p w14:paraId="49DDAAFC">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4</w:t>
            </w:r>
          </w:p>
        </w:tc>
        <w:tc>
          <w:tcPr>
            <w:tcW w:w="324" w:type="pct"/>
            <w:shd w:val="clear" w:color="auto" w:fill="auto"/>
            <w:noWrap w:val="0"/>
            <w:vAlign w:val="center"/>
          </w:tcPr>
          <w:p w14:paraId="44F9745B">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个</w:t>
            </w:r>
          </w:p>
        </w:tc>
        <w:tc>
          <w:tcPr>
            <w:tcW w:w="392" w:type="pct"/>
            <w:shd w:val="clear" w:color="auto" w:fill="auto"/>
            <w:noWrap w:val="0"/>
            <w:vAlign w:val="center"/>
          </w:tcPr>
          <w:p w14:paraId="15EA3B72">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1248</w:t>
            </w:r>
          </w:p>
        </w:tc>
        <w:tc>
          <w:tcPr>
            <w:tcW w:w="636" w:type="pct"/>
            <w:shd w:val="clear" w:color="auto" w:fill="auto"/>
            <w:noWrap w:val="0"/>
            <w:vAlign w:val="center"/>
          </w:tcPr>
          <w:p w14:paraId="6FE00B0B">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4992</w:t>
            </w:r>
          </w:p>
        </w:tc>
        <w:tc>
          <w:tcPr>
            <w:tcW w:w="486" w:type="pct"/>
            <w:vMerge w:val="continue"/>
            <w:noWrap w:val="0"/>
            <w:vAlign w:val="center"/>
          </w:tcPr>
          <w:p w14:paraId="626291D7">
            <w:pPr>
              <w:jc w:val="center"/>
              <w:rPr>
                <w:b/>
                <w:bCs/>
                <w:color w:val="FF0000"/>
                <w:szCs w:val="21"/>
              </w:rPr>
            </w:pPr>
          </w:p>
        </w:tc>
        <w:tc>
          <w:tcPr>
            <w:tcW w:w="578" w:type="pct"/>
            <w:vMerge w:val="continue"/>
            <w:noWrap w:val="0"/>
            <w:vAlign w:val="center"/>
          </w:tcPr>
          <w:p w14:paraId="51CEB568">
            <w:pPr>
              <w:jc w:val="center"/>
              <w:rPr>
                <w:bCs/>
                <w:szCs w:val="21"/>
              </w:rPr>
            </w:pPr>
          </w:p>
        </w:tc>
        <w:tc>
          <w:tcPr>
            <w:tcW w:w="578" w:type="pct"/>
            <w:vMerge w:val="continue"/>
            <w:noWrap w:val="0"/>
            <w:vAlign w:val="center"/>
          </w:tcPr>
          <w:p w14:paraId="25D91B6D">
            <w:pPr>
              <w:jc w:val="center"/>
              <w:rPr>
                <w:bCs/>
                <w:szCs w:val="21"/>
              </w:rPr>
            </w:pPr>
          </w:p>
        </w:tc>
        <w:tc>
          <w:tcPr>
            <w:tcW w:w="578" w:type="pct"/>
            <w:vMerge w:val="continue"/>
            <w:noWrap w:val="0"/>
            <w:vAlign w:val="center"/>
          </w:tcPr>
          <w:p w14:paraId="70DE444D">
            <w:pPr>
              <w:jc w:val="center"/>
              <w:rPr>
                <w:bCs/>
                <w:szCs w:val="21"/>
              </w:rPr>
            </w:pPr>
          </w:p>
        </w:tc>
      </w:tr>
      <w:tr w14:paraId="47D13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06" w:type="pct"/>
            <w:noWrap w:val="0"/>
            <w:vAlign w:val="center"/>
          </w:tcPr>
          <w:p w14:paraId="3E71559F">
            <w:pPr>
              <w:jc w:val="center"/>
              <w:rPr>
                <w:rFonts w:hint="eastAsia" w:ascii="宋体" w:hAnsi="宋体" w:cs="宋体"/>
                <w:color w:val="000000"/>
                <w:sz w:val="22"/>
              </w:rPr>
            </w:pPr>
            <w:r>
              <w:rPr>
                <w:rFonts w:hint="eastAsia" w:ascii="宋体" w:hAnsi="宋体" w:cs="宋体"/>
                <w:color w:val="000000"/>
                <w:sz w:val="22"/>
              </w:rPr>
              <w:t>9</w:t>
            </w:r>
          </w:p>
        </w:tc>
        <w:tc>
          <w:tcPr>
            <w:tcW w:w="797" w:type="pct"/>
            <w:shd w:val="clear" w:color="auto" w:fill="auto"/>
            <w:noWrap w:val="0"/>
            <w:vAlign w:val="center"/>
          </w:tcPr>
          <w:p w14:paraId="7735205D">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材料展示抽屉桌</w:t>
            </w:r>
          </w:p>
        </w:tc>
        <w:tc>
          <w:tcPr>
            <w:tcW w:w="320" w:type="pct"/>
            <w:shd w:val="clear" w:color="auto" w:fill="auto"/>
            <w:noWrap w:val="0"/>
            <w:vAlign w:val="center"/>
          </w:tcPr>
          <w:p w14:paraId="18F6B5B6">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16</w:t>
            </w:r>
          </w:p>
        </w:tc>
        <w:tc>
          <w:tcPr>
            <w:tcW w:w="324" w:type="pct"/>
            <w:shd w:val="clear" w:color="auto" w:fill="auto"/>
            <w:noWrap w:val="0"/>
            <w:vAlign w:val="center"/>
          </w:tcPr>
          <w:p w14:paraId="56414CE1">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张</w:t>
            </w:r>
          </w:p>
        </w:tc>
        <w:tc>
          <w:tcPr>
            <w:tcW w:w="392" w:type="pct"/>
            <w:shd w:val="clear" w:color="auto" w:fill="auto"/>
            <w:noWrap w:val="0"/>
            <w:vAlign w:val="center"/>
          </w:tcPr>
          <w:p w14:paraId="3482DBFA">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4544</w:t>
            </w:r>
          </w:p>
        </w:tc>
        <w:tc>
          <w:tcPr>
            <w:tcW w:w="636" w:type="pct"/>
            <w:shd w:val="clear" w:color="auto" w:fill="auto"/>
            <w:noWrap w:val="0"/>
            <w:vAlign w:val="center"/>
          </w:tcPr>
          <w:p w14:paraId="1C0993F1">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72704</w:t>
            </w:r>
          </w:p>
        </w:tc>
        <w:tc>
          <w:tcPr>
            <w:tcW w:w="486" w:type="pct"/>
            <w:vMerge w:val="continue"/>
            <w:noWrap w:val="0"/>
            <w:vAlign w:val="center"/>
          </w:tcPr>
          <w:p w14:paraId="5AB8AD2C">
            <w:pPr>
              <w:jc w:val="center"/>
              <w:rPr>
                <w:b/>
                <w:bCs/>
                <w:color w:val="FF0000"/>
                <w:szCs w:val="21"/>
              </w:rPr>
            </w:pPr>
          </w:p>
        </w:tc>
        <w:tc>
          <w:tcPr>
            <w:tcW w:w="578" w:type="pct"/>
            <w:vMerge w:val="continue"/>
            <w:noWrap w:val="0"/>
            <w:vAlign w:val="center"/>
          </w:tcPr>
          <w:p w14:paraId="5640AEB8">
            <w:pPr>
              <w:jc w:val="center"/>
              <w:rPr>
                <w:bCs/>
                <w:szCs w:val="21"/>
              </w:rPr>
            </w:pPr>
          </w:p>
        </w:tc>
        <w:tc>
          <w:tcPr>
            <w:tcW w:w="578" w:type="pct"/>
            <w:vMerge w:val="continue"/>
            <w:noWrap w:val="0"/>
            <w:vAlign w:val="center"/>
          </w:tcPr>
          <w:p w14:paraId="228BCCCD">
            <w:pPr>
              <w:jc w:val="center"/>
              <w:rPr>
                <w:bCs/>
                <w:szCs w:val="21"/>
              </w:rPr>
            </w:pPr>
          </w:p>
        </w:tc>
        <w:tc>
          <w:tcPr>
            <w:tcW w:w="578" w:type="pct"/>
            <w:vMerge w:val="continue"/>
            <w:noWrap w:val="0"/>
            <w:vAlign w:val="center"/>
          </w:tcPr>
          <w:p w14:paraId="3D35B09D">
            <w:pPr>
              <w:jc w:val="center"/>
              <w:rPr>
                <w:bCs/>
                <w:szCs w:val="21"/>
              </w:rPr>
            </w:pPr>
          </w:p>
        </w:tc>
      </w:tr>
      <w:tr w14:paraId="45B7D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06" w:type="pct"/>
            <w:noWrap w:val="0"/>
            <w:vAlign w:val="center"/>
          </w:tcPr>
          <w:p w14:paraId="01AB86D7">
            <w:pPr>
              <w:jc w:val="center"/>
              <w:rPr>
                <w:rFonts w:hint="eastAsia" w:ascii="宋体" w:hAnsi="宋体" w:cs="宋体"/>
                <w:color w:val="000000"/>
                <w:sz w:val="22"/>
              </w:rPr>
            </w:pPr>
            <w:r>
              <w:rPr>
                <w:rFonts w:hint="eastAsia" w:ascii="宋体" w:hAnsi="宋体" w:cs="宋体"/>
                <w:color w:val="000000"/>
                <w:sz w:val="22"/>
              </w:rPr>
              <w:t>10</w:t>
            </w:r>
          </w:p>
        </w:tc>
        <w:tc>
          <w:tcPr>
            <w:tcW w:w="797" w:type="pct"/>
            <w:shd w:val="clear" w:color="auto" w:fill="auto"/>
            <w:noWrap w:val="0"/>
            <w:vAlign w:val="center"/>
          </w:tcPr>
          <w:p w14:paraId="40C5DE34">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移动材料柜</w:t>
            </w:r>
          </w:p>
        </w:tc>
        <w:tc>
          <w:tcPr>
            <w:tcW w:w="320" w:type="pct"/>
            <w:shd w:val="clear" w:color="auto" w:fill="auto"/>
            <w:noWrap w:val="0"/>
            <w:vAlign w:val="center"/>
          </w:tcPr>
          <w:p w14:paraId="2ACC15FA">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1</w:t>
            </w:r>
          </w:p>
        </w:tc>
        <w:tc>
          <w:tcPr>
            <w:tcW w:w="324" w:type="pct"/>
            <w:shd w:val="clear" w:color="auto" w:fill="auto"/>
            <w:noWrap w:val="0"/>
            <w:vAlign w:val="center"/>
          </w:tcPr>
          <w:p w14:paraId="5F944B01">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个</w:t>
            </w:r>
          </w:p>
        </w:tc>
        <w:tc>
          <w:tcPr>
            <w:tcW w:w="392" w:type="pct"/>
            <w:shd w:val="clear" w:color="auto" w:fill="auto"/>
            <w:noWrap w:val="0"/>
            <w:vAlign w:val="center"/>
          </w:tcPr>
          <w:p w14:paraId="286FB0CE">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1216</w:t>
            </w:r>
          </w:p>
        </w:tc>
        <w:tc>
          <w:tcPr>
            <w:tcW w:w="636" w:type="pct"/>
            <w:shd w:val="clear" w:color="auto" w:fill="auto"/>
            <w:noWrap w:val="0"/>
            <w:vAlign w:val="center"/>
          </w:tcPr>
          <w:p w14:paraId="51F10359">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1216</w:t>
            </w:r>
          </w:p>
        </w:tc>
        <w:tc>
          <w:tcPr>
            <w:tcW w:w="486" w:type="pct"/>
            <w:vMerge w:val="continue"/>
            <w:noWrap w:val="0"/>
            <w:vAlign w:val="center"/>
          </w:tcPr>
          <w:p w14:paraId="321D3415">
            <w:pPr>
              <w:jc w:val="center"/>
              <w:rPr>
                <w:b/>
                <w:bCs/>
                <w:color w:val="FF0000"/>
                <w:szCs w:val="21"/>
              </w:rPr>
            </w:pPr>
          </w:p>
        </w:tc>
        <w:tc>
          <w:tcPr>
            <w:tcW w:w="578" w:type="pct"/>
            <w:vMerge w:val="continue"/>
            <w:noWrap w:val="0"/>
            <w:vAlign w:val="center"/>
          </w:tcPr>
          <w:p w14:paraId="02B1ECBB">
            <w:pPr>
              <w:jc w:val="center"/>
              <w:rPr>
                <w:bCs/>
                <w:szCs w:val="21"/>
              </w:rPr>
            </w:pPr>
          </w:p>
        </w:tc>
        <w:tc>
          <w:tcPr>
            <w:tcW w:w="578" w:type="pct"/>
            <w:vMerge w:val="continue"/>
            <w:noWrap w:val="0"/>
            <w:vAlign w:val="center"/>
          </w:tcPr>
          <w:p w14:paraId="1C7D1871">
            <w:pPr>
              <w:jc w:val="center"/>
              <w:rPr>
                <w:bCs/>
                <w:szCs w:val="21"/>
              </w:rPr>
            </w:pPr>
          </w:p>
        </w:tc>
        <w:tc>
          <w:tcPr>
            <w:tcW w:w="578" w:type="pct"/>
            <w:vMerge w:val="continue"/>
            <w:noWrap w:val="0"/>
            <w:vAlign w:val="center"/>
          </w:tcPr>
          <w:p w14:paraId="544C2F59">
            <w:pPr>
              <w:jc w:val="center"/>
              <w:rPr>
                <w:bCs/>
                <w:szCs w:val="21"/>
              </w:rPr>
            </w:pPr>
          </w:p>
        </w:tc>
      </w:tr>
      <w:tr w14:paraId="1AFC6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06" w:type="pct"/>
            <w:noWrap w:val="0"/>
            <w:vAlign w:val="center"/>
          </w:tcPr>
          <w:p w14:paraId="09F76490">
            <w:pPr>
              <w:jc w:val="center"/>
              <w:rPr>
                <w:rFonts w:hint="eastAsia" w:ascii="宋体" w:hAnsi="宋体" w:cs="宋体"/>
                <w:color w:val="000000"/>
                <w:sz w:val="22"/>
              </w:rPr>
            </w:pPr>
            <w:r>
              <w:rPr>
                <w:rFonts w:hint="eastAsia" w:ascii="宋体" w:hAnsi="宋体" w:cs="宋体"/>
                <w:color w:val="000000"/>
                <w:sz w:val="22"/>
              </w:rPr>
              <w:t>11</w:t>
            </w:r>
          </w:p>
        </w:tc>
        <w:tc>
          <w:tcPr>
            <w:tcW w:w="797" w:type="pct"/>
            <w:shd w:val="clear" w:color="auto" w:fill="auto"/>
            <w:noWrap w:val="0"/>
            <w:vAlign w:val="center"/>
          </w:tcPr>
          <w:p w14:paraId="6D2F87AC">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简易美工柜</w:t>
            </w:r>
          </w:p>
        </w:tc>
        <w:tc>
          <w:tcPr>
            <w:tcW w:w="320" w:type="pct"/>
            <w:shd w:val="clear" w:color="auto" w:fill="auto"/>
            <w:noWrap w:val="0"/>
            <w:vAlign w:val="center"/>
          </w:tcPr>
          <w:p w14:paraId="4DEA7C0B">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7</w:t>
            </w:r>
          </w:p>
        </w:tc>
        <w:tc>
          <w:tcPr>
            <w:tcW w:w="324" w:type="pct"/>
            <w:shd w:val="clear" w:color="auto" w:fill="auto"/>
            <w:noWrap w:val="0"/>
            <w:vAlign w:val="center"/>
          </w:tcPr>
          <w:p w14:paraId="14B66D60">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个</w:t>
            </w:r>
          </w:p>
        </w:tc>
        <w:tc>
          <w:tcPr>
            <w:tcW w:w="392" w:type="pct"/>
            <w:shd w:val="clear" w:color="auto" w:fill="auto"/>
            <w:noWrap w:val="0"/>
            <w:vAlign w:val="center"/>
          </w:tcPr>
          <w:p w14:paraId="7BB04040">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1304</w:t>
            </w:r>
          </w:p>
        </w:tc>
        <w:tc>
          <w:tcPr>
            <w:tcW w:w="636" w:type="pct"/>
            <w:shd w:val="clear" w:color="auto" w:fill="auto"/>
            <w:noWrap w:val="0"/>
            <w:vAlign w:val="center"/>
          </w:tcPr>
          <w:p w14:paraId="630F0D5F">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9128</w:t>
            </w:r>
          </w:p>
        </w:tc>
        <w:tc>
          <w:tcPr>
            <w:tcW w:w="486" w:type="pct"/>
            <w:vMerge w:val="continue"/>
            <w:noWrap w:val="0"/>
            <w:vAlign w:val="center"/>
          </w:tcPr>
          <w:p w14:paraId="3A070848">
            <w:pPr>
              <w:jc w:val="center"/>
              <w:rPr>
                <w:b/>
                <w:bCs/>
                <w:color w:val="FF0000"/>
                <w:szCs w:val="21"/>
              </w:rPr>
            </w:pPr>
          </w:p>
        </w:tc>
        <w:tc>
          <w:tcPr>
            <w:tcW w:w="578" w:type="pct"/>
            <w:vMerge w:val="continue"/>
            <w:noWrap w:val="0"/>
            <w:vAlign w:val="center"/>
          </w:tcPr>
          <w:p w14:paraId="3AE681B8">
            <w:pPr>
              <w:jc w:val="center"/>
              <w:rPr>
                <w:bCs/>
                <w:szCs w:val="21"/>
              </w:rPr>
            </w:pPr>
          </w:p>
        </w:tc>
        <w:tc>
          <w:tcPr>
            <w:tcW w:w="578" w:type="pct"/>
            <w:vMerge w:val="continue"/>
            <w:noWrap w:val="0"/>
            <w:vAlign w:val="center"/>
          </w:tcPr>
          <w:p w14:paraId="1945F568">
            <w:pPr>
              <w:jc w:val="center"/>
              <w:rPr>
                <w:bCs/>
                <w:szCs w:val="21"/>
              </w:rPr>
            </w:pPr>
          </w:p>
        </w:tc>
        <w:tc>
          <w:tcPr>
            <w:tcW w:w="578" w:type="pct"/>
            <w:vMerge w:val="continue"/>
            <w:noWrap w:val="0"/>
            <w:vAlign w:val="center"/>
          </w:tcPr>
          <w:p w14:paraId="63674199">
            <w:pPr>
              <w:jc w:val="center"/>
              <w:rPr>
                <w:bCs/>
                <w:szCs w:val="21"/>
              </w:rPr>
            </w:pPr>
          </w:p>
        </w:tc>
      </w:tr>
      <w:tr w14:paraId="539C4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06" w:type="pct"/>
            <w:noWrap w:val="0"/>
            <w:vAlign w:val="center"/>
          </w:tcPr>
          <w:p w14:paraId="48982E80">
            <w:pPr>
              <w:jc w:val="center"/>
              <w:rPr>
                <w:rFonts w:hint="eastAsia" w:ascii="宋体" w:hAnsi="宋体" w:cs="宋体"/>
                <w:color w:val="000000"/>
                <w:sz w:val="22"/>
              </w:rPr>
            </w:pPr>
            <w:r>
              <w:rPr>
                <w:rFonts w:hint="eastAsia" w:ascii="宋体" w:hAnsi="宋体" w:cs="宋体"/>
                <w:color w:val="000000"/>
                <w:sz w:val="22"/>
              </w:rPr>
              <w:t>12</w:t>
            </w:r>
          </w:p>
        </w:tc>
        <w:tc>
          <w:tcPr>
            <w:tcW w:w="797" w:type="pct"/>
            <w:shd w:val="clear" w:color="auto" w:fill="auto"/>
            <w:noWrap w:val="0"/>
            <w:vAlign w:val="center"/>
          </w:tcPr>
          <w:p w14:paraId="65217429">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三层玩具架- 含12个塑料盒</w:t>
            </w:r>
          </w:p>
        </w:tc>
        <w:tc>
          <w:tcPr>
            <w:tcW w:w="320" w:type="pct"/>
            <w:shd w:val="clear" w:color="auto" w:fill="auto"/>
            <w:noWrap w:val="0"/>
            <w:vAlign w:val="center"/>
          </w:tcPr>
          <w:p w14:paraId="70E81256">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5</w:t>
            </w:r>
          </w:p>
        </w:tc>
        <w:tc>
          <w:tcPr>
            <w:tcW w:w="324" w:type="pct"/>
            <w:shd w:val="clear" w:color="auto" w:fill="auto"/>
            <w:noWrap w:val="0"/>
            <w:vAlign w:val="center"/>
          </w:tcPr>
          <w:p w14:paraId="744C17D7">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个</w:t>
            </w:r>
          </w:p>
        </w:tc>
        <w:tc>
          <w:tcPr>
            <w:tcW w:w="392" w:type="pct"/>
            <w:shd w:val="clear" w:color="auto" w:fill="auto"/>
            <w:noWrap w:val="0"/>
            <w:vAlign w:val="center"/>
          </w:tcPr>
          <w:p w14:paraId="49056C88">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1384</w:t>
            </w:r>
          </w:p>
        </w:tc>
        <w:tc>
          <w:tcPr>
            <w:tcW w:w="636" w:type="pct"/>
            <w:shd w:val="clear" w:color="auto" w:fill="auto"/>
            <w:noWrap w:val="0"/>
            <w:vAlign w:val="center"/>
          </w:tcPr>
          <w:p w14:paraId="12652C40">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6920</w:t>
            </w:r>
          </w:p>
        </w:tc>
        <w:tc>
          <w:tcPr>
            <w:tcW w:w="486" w:type="pct"/>
            <w:vMerge w:val="continue"/>
            <w:noWrap w:val="0"/>
            <w:vAlign w:val="center"/>
          </w:tcPr>
          <w:p w14:paraId="7B2AED8D">
            <w:pPr>
              <w:jc w:val="center"/>
              <w:rPr>
                <w:b/>
                <w:bCs/>
                <w:color w:val="FF0000"/>
                <w:szCs w:val="21"/>
              </w:rPr>
            </w:pPr>
          </w:p>
        </w:tc>
        <w:tc>
          <w:tcPr>
            <w:tcW w:w="578" w:type="pct"/>
            <w:vMerge w:val="continue"/>
            <w:noWrap w:val="0"/>
            <w:vAlign w:val="center"/>
          </w:tcPr>
          <w:p w14:paraId="1949FEE8">
            <w:pPr>
              <w:jc w:val="center"/>
              <w:rPr>
                <w:bCs/>
                <w:szCs w:val="21"/>
              </w:rPr>
            </w:pPr>
          </w:p>
        </w:tc>
        <w:tc>
          <w:tcPr>
            <w:tcW w:w="578" w:type="pct"/>
            <w:vMerge w:val="continue"/>
            <w:noWrap w:val="0"/>
            <w:vAlign w:val="center"/>
          </w:tcPr>
          <w:p w14:paraId="4D576BED">
            <w:pPr>
              <w:jc w:val="center"/>
              <w:rPr>
                <w:bCs/>
                <w:szCs w:val="21"/>
              </w:rPr>
            </w:pPr>
          </w:p>
        </w:tc>
        <w:tc>
          <w:tcPr>
            <w:tcW w:w="578" w:type="pct"/>
            <w:vMerge w:val="continue"/>
            <w:noWrap w:val="0"/>
            <w:vAlign w:val="center"/>
          </w:tcPr>
          <w:p w14:paraId="33A53BEF">
            <w:pPr>
              <w:jc w:val="center"/>
              <w:rPr>
                <w:bCs/>
                <w:szCs w:val="21"/>
              </w:rPr>
            </w:pPr>
          </w:p>
        </w:tc>
      </w:tr>
      <w:tr w14:paraId="59AD7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06" w:type="pct"/>
            <w:noWrap w:val="0"/>
            <w:vAlign w:val="center"/>
          </w:tcPr>
          <w:p w14:paraId="2B07042F">
            <w:pPr>
              <w:jc w:val="center"/>
              <w:rPr>
                <w:rFonts w:hint="eastAsia" w:ascii="宋体" w:hAnsi="宋体" w:cs="宋体"/>
                <w:color w:val="000000"/>
                <w:sz w:val="22"/>
              </w:rPr>
            </w:pPr>
            <w:r>
              <w:rPr>
                <w:rFonts w:hint="eastAsia" w:ascii="宋体" w:hAnsi="宋体" w:cs="宋体"/>
                <w:color w:val="000000"/>
                <w:sz w:val="22"/>
              </w:rPr>
              <w:t>13</w:t>
            </w:r>
          </w:p>
        </w:tc>
        <w:tc>
          <w:tcPr>
            <w:tcW w:w="797" w:type="pct"/>
            <w:shd w:val="clear" w:color="auto" w:fill="auto"/>
            <w:noWrap w:val="0"/>
            <w:vAlign w:val="center"/>
          </w:tcPr>
          <w:p w14:paraId="25EDEC14">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阶梯玩具柜 - 低</w:t>
            </w:r>
          </w:p>
        </w:tc>
        <w:tc>
          <w:tcPr>
            <w:tcW w:w="320" w:type="pct"/>
            <w:shd w:val="clear" w:color="auto" w:fill="auto"/>
            <w:noWrap w:val="0"/>
            <w:vAlign w:val="center"/>
          </w:tcPr>
          <w:p w14:paraId="4457D8A0">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7</w:t>
            </w:r>
          </w:p>
        </w:tc>
        <w:tc>
          <w:tcPr>
            <w:tcW w:w="324" w:type="pct"/>
            <w:shd w:val="clear" w:color="auto" w:fill="auto"/>
            <w:noWrap w:val="0"/>
            <w:vAlign w:val="center"/>
          </w:tcPr>
          <w:p w14:paraId="72D800F4">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个</w:t>
            </w:r>
          </w:p>
        </w:tc>
        <w:tc>
          <w:tcPr>
            <w:tcW w:w="392" w:type="pct"/>
            <w:shd w:val="clear" w:color="auto" w:fill="auto"/>
            <w:noWrap w:val="0"/>
            <w:vAlign w:val="center"/>
          </w:tcPr>
          <w:p w14:paraId="1F9AE25D">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1008</w:t>
            </w:r>
          </w:p>
        </w:tc>
        <w:tc>
          <w:tcPr>
            <w:tcW w:w="636" w:type="pct"/>
            <w:shd w:val="clear" w:color="auto" w:fill="auto"/>
            <w:noWrap w:val="0"/>
            <w:vAlign w:val="center"/>
          </w:tcPr>
          <w:p w14:paraId="50840FF8">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7056</w:t>
            </w:r>
          </w:p>
        </w:tc>
        <w:tc>
          <w:tcPr>
            <w:tcW w:w="486" w:type="pct"/>
            <w:vMerge w:val="continue"/>
            <w:noWrap w:val="0"/>
            <w:vAlign w:val="center"/>
          </w:tcPr>
          <w:p w14:paraId="0BECDB1F">
            <w:pPr>
              <w:jc w:val="center"/>
              <w:rPr>
                <w:b/>
                <w:bCs/>
                <w:color w:val="FF0000"/>
                <w:szCs w:val="21"/>
              </w:rPr>
            </w:pPr>
          </w:p>
        </w:tc>
        <w:tc>
          <w:tcPr>
            <w:tcW w:w="578" w:type="pct"/>
            <w:vMerge w:val="continue"/>
            <w:noWrap w:val="0"/>
            <w:vAlign w:val="center"/>
          </w:tcPr>
          <w:p w14:paraId="4E5D719B">
            <w:pPr>
              <w:jc w:val="center"/>
              <w:rPr>
                <w:bCs/>
                <w:szCs w:val="21"/>
              </w:rPr>
            </w:pPr>
          </w:p>
        </w:tc>
        <w:tc>
          <w:tcPr>
            <w:tcW w:w="578" w:type="pct"/>
            <w:vMerge w:val="continue"/>
            <w:noWrap w:val="0"/>
            <w:vAlign w:val="center"/>
          </w:tcPr>
          <w:p w14:paraId="47373E2C">
            <w:pPr>
              <w:jc w:val="center"/>
              <w:rPr>
                <w:bCs/>
                <w:szCs w:val="21"/>
              </w:rPr>
            </w:pPr>
          </w:p>
        </w:tc>
        <w:tc>
          <w:tcPr>
            <w:tcW w:w="578" w:type="pct"/>
            <w:vMerge w:val="continue"/>
            <w:noWrap w:val="0"/>
            <w:vAlign w:val="center"/>
          </w:tcPr>
          <w:p w14:paraId="72FCD4B6">
            <w:pPr>
              <w:jc w:val="center"/>
              <w:rPr>
                <w:bCs/>
                <w:szCs w:val="21"/>
              </w:rPr>
            </w:pPr>
          </w:p>
        </w:tc>
      </w:tr>
      <w:tr w14:paraId="64A87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06" w:type="pct"/>
            <w:noWrap w:val="0"/>
            <w:vAlign w:val="center"/>
          </w:tcPr>
          <w:p w14:paraId="0DE3856E">
            <w:pPr>
              <w:jc w:val="center"/>
              <w:rPr>
                <w:rFonts w:hint="eastAsia" w:ascii="宋体" w:hAnsi="宋体" w:cs="宋体"/>
                <w:color w:val="000000"/>
                <w:sz w:val="22"/>
              </w:rPr>
            </w:pPr>
            <w:r>
              <w:rPr>
                <w:rFonts w:hint="eastAsia" w:ascii="宋体" w:hAnsi="宋体" w:cs="宋体"/>
                <w:color w:val="000000"/>
                <w:sz w:val="22"/>
              </w:rPr>
              <w:t>14</w:t>
            </w:r>
          </w:p>
        </w:tc>
        <w:tc>
          <w:tcPr>
            <w:tcW w:w="797" w:type="pct"/>
            <w:shd w:val="clear" w:color="auto" w:fill="auto"/>
            <w:noWrap w:val="0"/>
            <w:vAlign w:val="center"/>
          </w:tcPr>
          <w:p w14:paraId="298FDD15">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干画架</w:t>
            </w:r>
          </w:p>
        </w:tc>
        <w:tc>
          <w:tcPr>
            <w:tcW w:w="320" w:type="pct"/>
            <w:shd w:val="clear" w:color="auto" w:fill="auto"/>
            <w:noWrap w:val="0"/>
            <w:vAlign w:val="center"/>
          </w:tcPr>
          <w:p w14:paraId="7B1B0467">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8</w:t>
            </w:r>
          </w:p>
        </w:tc>
        <w:tc>
          <w:tcPr>
            <w:tcW w:w="324" w:type="pct"/>
            <w:shd w:val="clear" w:color="auto" w:fill="auto"/>
            <w:noWrap w:val="0"/>
            <w:vAlign w:val="center"/>
          </w:tcPr>
          <w:p w14:paraId="32E5BC1C">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个</w:t>
            </w:r>
          </w:p>
        </w:tc>
        <w:tc>
          <w:tcPr>
            <w:tcW w:w="392" w:type="pct"/>
            <w:shd w:val="clear" w:color="auto" w:fill="auto"/>
            <w:noWrap w:val="0"/>
            <w:vAlign w:val="center"/>
          </w:tcPr>
          <w:p w14:paraId="73932B0C">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2072</w:t>
            </w:r>
          </w:p>
        </w:tc>
        <w:tc>
          <w:tcPr>
            <w:tcW w:w="636" w:type="pct"/>
            <w:shd w:val="clear" w:color="auto" w:fill="auto"/>
            <w:noWrap w:val="0"/>
            <w:vAlign w:val="center"/>
          </w:tcPr>
          <w:p w14:paraId="0267AF07">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16576</w:t>
            </w:r>
          </w:p>
        </w:tc>
        <w:tc>
          <w:tcPr>
            <w:tcW w:w="486" w:type="pct"/>
            <w:vMerge w:val="continue"/>
            <w:noWrap w:val="0"/>
            <w:vAlign w:val="center"/>
          </w:tcPr>
          <w:p w14:paraId="7286FEEB">
            <w:pPr>
              <w:jc w:val="center"/>
              <w:rPr>
                <w:b/>
                <w:bCs/>
                <w:color w:val="FF0000"/>
                <w:szCs w:val="21"/>
              </w:rPr>
            </w:pPr>
          </w:p>
        </w:tc>
        <w:tc>
          <w:tcPr>
            <w:tcW w:w="578" w:type="pct"/>
            <w:vMerge w:val="continue"/>
            <w:noWrap w:val="0"/>
            <w:vAlign w:val="center"/>
          </w:tcPr>
          <w:p w14:paraId="17D5E1D3">
            <w:pPr>
              <w:jc w:val="center"/>
              <w:rPr>
                <w:bCs/>
                <w:szCs w:val="21"/>
              </w:rPr>
            </w:pPr>
          </w:p>
        </w:tc>
        <w:tc>
          <w:tcPr>
            <w:tcW w:w="578" w:type="pct"/>
            <w:vMerge w:val="continue"/>
            <w:noWrap w:val="0"/>
            <w:vAlign w:val="center"/>
          </w:tcPr>
          <w:p w14:paraId="36C52C2C">
            <w:pPr>
              <w:jc w:val="center"/>
              <w:rPr>
                <w:bCs/>
                <w:szCs w:val="21"/>
              </w:rPr>
            </w:pPr>
          </w:p>
        </w:tc>
        <w:tc>
          <w:tcPr>
            <w:tcW w:w="578" w:type="pct"/>
            <w:vMerge w:val="continue"/>
            <w:noWrap w:val="0"/>
            <w:vAlign w:val="center"/>
          </w:tcPr>
          <w:p w14:paraId="5A938E5B">
            <w:pPr>
              <w:jc w:val="center"/>
              <w:rPr>
                <w:bCs/>
                <w:szCs w:val="21"/>
              </w:rPr>
            </w:pPr>
          </w:p>
        </w:tc>
      </w:tr>
      <w:tr w14:paraId="14FBF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06" w:type="pct"/>
            <w:noWrap w:val="0"/>
            <w:vAlign w:val="center"/>
          </w:tcPr>
          <w:p w14:paraId="79AFBA03">
            <w:pPr>
              <w:jc w:val="center"/>
              <w:rPr>
                <w:rFonts w:hint="eastAsia" w:ascii="宋体" w:hAnsi="宋体" w:cs="宋体"/>
                <w:color w:val="000000"/>
                <w:sz w:val="22"/>
              </w:rPr>
            </w:pPr>
            <w:r>
              <w:rPr>
                <w:rFonts w:hint="eastAsia" w:ascii="宋体" w:hAnsi="宋体" w:cs="宋体"/>
                <w:color w:val="000000"/>
                <w:sz w:val="22"/>
              </w:rPr>
              <w:t>15</w:t>
            </w:r>
          </w:p>
        </w:tc>
        <w:tc>
          <w:tcPr>
            <w:tcW w:w="797" w:type="pct"/>
            <w:shd w:val="clear" w:color="auto" w:fill="auto"/>
            <w:noWrap w:val="0"/>
            <w:vAlign w:val="center"/>
          </w:tcPr>
          <w:p w14:paraId="564328E2">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圆桌</w:t>
            </w:r>
          </w:p>
        </w:tc>
        <w:tc>
          <w:tcPr>
            <w:tcW w:w="320" w:type="pct"/>
            <w:shd w:val="clear" w:color="auto" w:fill="auto"/>
            <w:noWrap w:val="0"/>
            <w:vAlign w:val="center"/>
          </w:tcPr>
          <w:p w14:paraId="26C2418C">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4</w:t>
            </w:r>
          </w:p>
        </w:tc>
        <w:tc>
          <w:tcPr>
            <w:tcW w:w="324" w:type="pct"/>
            <w:shd w:val="clear" w:color="auto" w:fill="auto"/>
            <w:noWrap w:val="0"/>
            <w:vAlign w:val="center"/>
          </w:tcPr>
          <w:p w14:paraId="7C39A9C2">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张</w:t>
            </w:r>
          </w:p>
        </w:tc>
        <w:tc>
          <w:tcPr>
            <w:tcW w:w="392" w:type="pct"/>
            <w:shd w:val="clear" w:color="auto" w:fill="auto"/>
            <w:noWrap w:val="0"/>
            <w:vAlign w:val="center"/>
          </w:tcPr>
          <w:p w14:paraId="3E02A95A">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992</w:t>
            </w:r>
          </w:p>
        </w:tc>
        <w:tc>
          <w:tcPr>
            <w:tcW w:w="636" w:type="pct"/>
            <w:shd w:val="clear" w:color="auto" w:fill="auto"/>
            <w:noWrap w:val="0"/>
            <w:vAlign w:val="center"/>
          </w:tcPr>
          <w:p w14:paraId="234BE06E">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3968</w:t>
            </w:r>
          </w:p>
        </w:tc>
        <w:tc>
          <w:tcPr>
            <w:tcW w:w="486" w:type="pct"/>
            <w:vMerge w:val="continue"/>
            <w:noWrap w:val="0"/>
            <w:vAlign w:val="center"/>
          </w:tcPr>
          <w:p w14:paraId="067090B4">
            <w:pPr>
              <w:jc w:val="center"/>
              <w:rPr>
                <w:b/>
                <w:bCs/>
                <w:color w:val="FF0000"/>
                <w:szCs w:val="21"/>
              </w:rPr>
            </w:pPr>
          </w:p>
        </w:tc>
        <w:tc>
          <w:tcPr>
            <w:tcW w:w="578" w:type="pct"/>
            <w:vMerge w:val="continue"/>
            <w:noWrap w:val="0"/>
            <w:vAlign w:val="center"/>
          </w:tcPr>
          <w:p w14:paraId="695872C3">
            <w:pPr>
              <w:jc w:val="center"/>
              <w:rPr>
                <w:bCs/>
                <w:szCs w:val="21"/>
              </w:rPr>
            </w:pPr>
          </w:p>
        </w:tc>
        <w:tc>
          <w:tcPr>
            <w:tcW w:w="578" w:type="pct"/>
            <w:vMerge w:val="continue"/>
            <w:noWrap w:val="0"/>
            <w:vAlign w:val="center"/>
          </w:tcPr>
          <w:p w14:paraId="41FF1335">
            <w:pPr>
              <w:jc w:val="center"/>
              <w:rPr>
                <w:bCs/>
                <w:szCs w:val="21"/>
              </w:rPr>
            </w:pPr>
          </w:p>
        </w:tc>
        <w:tc>
          <w:tcPr>
            <w:tcW w:w="578" w:type="pct"/>
            <w:vMerge w:val="continue"/>
            <w:noWrap w:val="0"/>
            <w:vAlign w:val="center"/>
          </w:tcPr>
          <w:p w14:paraId="2D1447F2">
            <w:pPr>
              <w:jc w:val="center"/>
              <w:rPr>
                <w:bCs/>
                <w:szCs w:val="21"/>
              </w:rPr>
            </w:pPr>
          </w:p>
        </w:tc>
      </w:tr>
      <w:tr w14:paraId="14C32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06" w:type="pct"/>
            <w:noWrap w:val="0"/>
            <w:vAlign w:val="center"/>
          </w:tcPr>
          <w:p w14:paraId="15143C17">
            <w:pPr>
              <w:jc w:val="center"/>
              <w:rPr>
                <w:rFonts w:hint="eastAsia" w:ascii="宋体" w:hAnsi="宋体" w:cs="宋体"/>
                <w:color w:val="000000"/>
                <w:sz w:val="22"/>
              </w:rPr>
            </w:pPr>
            <w:r>
              <w:rPr>
                <w:rFonts w:hint="eastAsia" w:ascii="宋体" w:hAnsi="宋体" w:cs="宋体"/>
                <w:color w:val="000000"/>
                <w:sz w:val="22"/>
              </w:rPr>
              <w:t>16</w:t>
            </w:r>
          </w:p>
        </w:tc>
        <w:tc>
          <w:tcPr>
            <w:tcW w:w="797" w:type="pct"/>
            <w:shd w:val="clear" w:color="auto" w:fill="auto"/>
            <w:noWrap w:val="0"/>
            <w:vAlign w:val="center"/>
          </w:tcPr>
          <w:p w14:paraId="717742CD">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哥德堡两层三格矩形柜</w:t>
            </w:r>
          </w:p>
        </w:tc>
        <w:tc>
          <w:tcPr>
            <w:tcW w:w="320" w:type="pct"/>
            <w:shd w:val="clear" w:color="auto" w:fill="auto"/>
            <w:noWrap w:val="0"/>
            <w:vAlign w:val="center"/>
          </w:tcPr>
          <w:p w14:paraId="0E58FBCF">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4</w:t>
            </w:r>
          </w:p>
        </w:tc>
        <w:tc>
          <w:tcPr>
            <w:tcW w:w="324" w:type="pct"/>
            <w:shd w:val="clear" w:color="auto" w:fill="auto"/>
            <w:noWrap w:val="0"/>
            <w:vAlign w:val="center"/>
          </w:tcPr>
          <w:p w14:paraId="3EAD1FE9">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个</w:t>
            </w:r>
          </w:p>
        </w:tc>
        <w:tc>
          <w:tcPr>
            <w:tcW w:w="392" w:type="pct"/>
            <w:shd w:val="clear" w:color="auto" w:fill="auto"/>
            <w:noWrap w:val="0"/>
            <w:vAlign w:val="center"/>
          </w:tcPr>
          <w:p w14:paraId="78C6AFBF">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1120</w:t>
            </w:r>
          </w:p>
        </w:tc>
        <w:tc>
          <w:tcPr>
            <w:tcW w:w="636" w:type="pct"/>
            <w:shd w:val="clear" w:color="auto" w:fill="auto"/>
            <w:noWrap w:val="0"/>
            <w:vAlign w:val="center"/>
          </w:tcPr>
          <w:p w14:paraId="1361648C">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4480</w:t>
            </w:r>
          </w:p>
        </w:tc>
        <w:tc>
          <w:tcPr>
            <w:tcW w:w="486" w:type="pct"/>
            <w:vMerge w:val="continue"/>
            <w:noWrap w:val="0"/>
            <w:vAlign w:val="center"/>
          </w:tcPr>
          <w:p w14:paraId="132B0644">
            <w:pPr>
              <w:jc w:val="center"/>
              <w:rPr>
                <w:b/>
                <w:bCs/>
                <w:color w:val="FF0000"/>
                <w:szCs w:val="21"/>
              </w:rPr>
            </w:pPr>
          </w:p>
        </w:tc>
        <w:tc>
          <w:tcPr>
            <w:tcW w:w="578" w:type="pct"/>
            <w:vMerge w:val="continue"/>
            <w:noWrap w:val="0"/>
            <w:vAlign w:val="center"/>
          </w:tcPr>
          <w:p w14:paraId="6F19EF42">
            <w:pPr>
              <w:jc w:val="center"/>
              <w:rPr>
                <w:bCs/>
                <w:szCs w:val="21"/>
              </w:rPr>
            </w:pPr>
          </w:p>
        </w:tc>
        <w:tc>
          <w:tcPr>
            <w:tcW w:w="578" w:type="pct"/>
            <w:vMerge w:val="continue"/>
            <w:noWrap w:val="0"/>
            <w:vAlign w:val="center"/>
          </w:tcPr>
          <w:p w14:paraId="3EE78289">
            <w:pPr>
              <w:jc w:val="center"/>
              <w:rPr>
                <w:bCs/>
                <w:szCs w:val="21"/>
              </w:rPr>
            </w:pPr>
          </w:p>
        </w:tc>
        <w:tc>
          <w:tcPr>
            <w:tcW w:w="578" w:type="pct"/>
            <w:vMerge w:val="continue"/>
            <w:noWrap w:val="0"/>
            <w:vAlign w:val="center"/>
          </w:tcPr>
          <w:p w14:paraId="20F1B624">
            <w:pPr>
              <w:jc w:val="center"/>
              <w:rPr>
                <w:bCs/>
                <w:szCs w:val="21"/>
              </w:rPr>
            </w:pPr>
          </w:p>
        </w:tc>
      </w:tr>
      <w:tr w14:paraId="05F70A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06" w:type="pct"/>
            <w:noWrap w:val="0"/>
            <w:vAlign w:val="center"/>
          </w:tcPr>
          <w:p w14:paraId="6ED36289">
            <w:pPr>
              <w:jc w:val="center"/>
              <w:rPr>
                <w:rFonts w:hint="eastAsia" w:ascii="宋体" w:hAnsi="宋体" w:cs="宋体"/>
                <w:color w:val="000000"/>
                <w:sz w:val="22"/>
              </w:rPr>
            </w:pPr>
            <w:r>
              <w:rPr>
                <w:rFonts w:hint="eastAsia" w:ascii="宋体" w:hAnsi="宋体" w:cs="宋体"/>
                <w:color w:val="000000"/>
                <w:sz w:val="22"/>
              </w:rPr>
              <w:t>17</w:t>
            </w:r>
          </w:p>
        </w:tc>
        <w:tc>
          <w:tcPr>
            <w:tcW w:w="797" w:type="pct"/>
            <w:shd w:val="clear" w:color="auto" w:fill="auto"/>
            <w:noWrap w:val="0"/>
            <w:vAlign w:val="center"/>
          </w:tcPr>
          <w:p w14:paraId="0154BCEA">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长方桌</w:t>
            </w:r>
          </w:p>
        </w:tc>
        <w:tc>
          <w:tcPr>
            <w:tcW w:w="320" w:type="pct"/>
            <w:shd w:val="clear" w:color="auto" w:fill="auto"/>
            <w:noWrap w:val="0"/>
            <w:vAlign w:val="center"/>
          </w:tcPr>
          <w:p w14:paraId="7C9261CF">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24</w:t>
            </w:r>
          </w:p>
        </w:tc>
        <w:tc>
          <w:tcPr>
            <w:tcW w:w="324" w:type="pct"/>
            <w:shd w:val="clear" w:color="auto" w:fill="auto"/>
            <w:noWrap w:val="0"/>
            <w:vAlign w:val="center"/>
          </w:tcPr>
          <w:p w14:paraId="425B198E">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张</w:t>
            </w:r>
          </w:p>
        </w:tc>
        <w:tc>
          <w:tcPr>
            <w:tcW w:w="392" w:type="pct"/>
            <w:shd w:val="clear" w:color="auto" w:fill="auto"/>
            <w:noWrap w:val="0"/>
            <w:vAlign w:val="center"/>
          </w:tcPr>
          <w:p w14:paraId="187C1C90">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870</w:t>
            </w:r>
          </w:p>
        </w:tc>
        <w:tc>
          <w:tcPr>
            <w:tcW w:w="636" w:type="pct"/>
            <w:shd w:val="clear" w:color="auto" w:fill="auto"/>
            <w:noWrap w:val="0"/>
            <w:vAlign w:val="center"/>
          </w:tcPr>
          <w:p w14:paraId="611FABBB">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20880</w:t>
            </w:r>
          </w:p>
        </w:tc>
        <w:tc>
          <w:tcPr>
            <w:tcW w:w="486" w:type="pct"/>
            <w:vMerge w:val="continue"/>
            <w:noWrap w:val="0"/>
            <w:vAlign w:val="center"/>
          </w:tcPr>
          <w:p w14:paraId="36AEC258">
            <w:pPr>
              <w:jc w:val="center"/>
              <w:rPr>
                <w:b/>
                <w:bCs/>
                <w:color w:val="FF0000"/>
                <w:szCs w:val="21"/>
              </w:rPr>
            </w:pPr>
          </w:p>
        </w:tc>
        <w:tc>
          <w:tcPr>
            <w:tcW w:w="578" w:type="pct"/>
            <w:vMerge w:val="continue"/>
            <w:noWrap w:val="0"/>
            <w:vAlign w:val="center"/>
          </w:tcPr>
          <w:p w14:paraId="538FB03A">
            <w:pPr>
              <w:jc w:val="center"/>
              <w:rPr>
                <w:bCs/>
                <w:szCs w:val="21"/>
              </w:rPr>
            </w:pPr>
          </w:p>
        </w:tc>
        <w:tc>
          <w:tcPr>
            <w:tcW w:w="578" w:type="pct"/>
            <w:vMerge w:val="continue"/>
            <w:noWrap w:val="0"/>
            <w:vAlign w:val="center"/>
          </w:tcPr>
          <w:p w14:paraId="78380C6B">
            <w:pPr>
              <w:jc w:val="center"/>
              <w:rPr>
                <w:bCs/>
                <w:szCs w:val="21"/>
              </w:rPr>
            </w:pPr>
          </w:p>
        </w:tc>
        <w:tc>
          <w:tcPr>
            <w:tcW w:w="578" w:type="pct"/>
            <w:vMerge w:val="continue"/>
            <w:noWrap w:val="0"/>
            <w:vAlign w:val="center"/>
          </w:tcPr>
          <w:p w14:paraId="0A30D47B">
            <w:pPr>
              <w:jc w:val="center"/>
              <w:rPr>
                <w:bCs/>
                <w:szCs w:val="21"/>
              </w:rPr>
            </w:pPr>
          </w:p>
        </w:tc>
      </w:tr>
      <w:tr w14:paraId="4547E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06" w:type="pct"/>
            <w:noWrap w:val="0"/>
            <w:vAlign w:val="center"/>
          </w:tcPr>
          <w:p w14:paraId="727E175E">
            <w:pPr>
              <w:jc w:val="center"/>
              <w:rPr>
                <w:rFonts w:hint="eastAsia" w:ascii="宋体" w:hAnsi="宋体" w:cs="宋体"/>
                <w:color w:val="000000"/>
                <w:sz w:val="22"/>
              </w:rPr>
            </w:pPr>
            <w:r>
              <w:rPr>
                <w:rFonts w:hint="eastAsia" w:ascii="宋体" w:hAnsi="宋体" w:cs="宋体"/>
                <w:color w:val="000000"/>
                <w:sz w:val="22"/>
              </w:rPr>
              <w:t>18</w:t>
            </w:r>
          </w:p>
        </w:tc>
        <w:tc>
          <w:tcPr>
            <w:tcW w:w="797" w:type="pct"/>
            <w:shd w:val="clear" w:color="auto" w:fill="auto"/>
            <w:noWrap w:val="0"/>
            <w:vAlign w:val="center"/>
          </w:tcPr>
          <w:p w14:paraId="3339413A">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阶梯玩具柜</w:t>
            </w:r>
          </w:p>
        </w:tc>
        <w:tc>
          <w:tcPr>
            <w:tcW w:w="320" w:type="pct"/>
            <w:shd w:val="clear" w:color="auto" w:fill="auto"/>
            <w:noWrap w:val="0"/>
            <w:vAlign w:val="center"/>
          </w:tcPr>
          <w:p w14:paraId="63865713">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4</w:t>
            </w:r>
          </w:p>
        </w:tc>
        <w:tc>
          <w:tcPr>
            <w:tcW w:w="324" w:type="pct"/>
            <w:shd w:val="clear" w:color="auto" w:fill="auto"/>
            <w:noWrap w:val="0"/>
            <w:vAlign w:val="center"/>
          </w:tcPr>
          <w:p w14:paraId="5F3F97FB">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个</w:t>
            </w:r>
          </w:p>
        </w:tc>
        <w:tc>
          <w:tcPr>
            <w:tcW w:w="392" w:type="pct"/>
            <w:shd w:val="clear" w:color="auto" w:fill="auto"/>
            <w:noWrap w:val="0"/>
            <w:vAlign w:val="center"/>
          </w:tcPr>
          <w:p w14:paraId="30DF7BE3">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1080</w:t>
            </w:r>
          </w:p>
        </w:tc>
        <w:tc>
          <w:tcPr>
            <w:tcW w:w="636" w:type="pct"/>
            <w:shd w:val="clear" w:color="auto" w:fill="auto"/>
            <w:noWrap w:val="0"/>
            <w:vAlign w:val="center"/>
          </w:tcPr>
          <w:p w14:paraId="0E77831D">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4320</w:t>
            </w:r>
          </w:p>
        </w:tc>
        <w:tc>
          <w:tcPr>
            <w:tcW w:w="486" w:type="pct"/>
            <w:vMerge w:val="continue"/>
            <w:noWrap w:val="0"/>
            <w:vAlign w:val="center"/>
          </w:tcPr>
          <w:p w14:paraId="6BF94EAB">
            <w:pPr>
              <w:jc w:val="center"/>
              <w:rPr>
                <w:b/>
                <w:bCs/>
                <w:color w:val="FF0000"/>
                <w:szCs w:val="21"/>
              </w:rPr>
            </w:pPr>
          </w:p>
        </w:tc>
        <w:tc>
          <w:tcPr>
            <w:tcW w:w="578" w:type="pct"/>
            <w:vMerge w:val="continue"/>
            <w:noWrap w:val="0"/>
            <w:vAlign w:val="center"/>
          </w:tcPr>
          <w:p w14:paraId="1C704A20">
            <w:pPr>
              <w:jc w:val="center"/>
              <w:rPr>
                <w:bCs/>
                <w:szCs w:val="21"/>
              </w:rPr>
            </w:pPr>
          </w:p>
        </w:tc>
        <w:tc>
          <w:tcPr>
            <w:tcW w:w="578" w:type="pct"/>
            <w:vMerge w:val="continue"/>
            <w:noWrap w:val="0"/>
            <w:vAlign w:val="center"/>
          </w:tcPr>
          <w:p w14:paraId="62B60C66">
            <w:pPr>
              <w:jc w:val="center"/>
              <w:rPr>
                <w:bCs/>
                <w:szCs w:val="21"/>
              </w:rPr>
            </w:pPr>
          </w:p>
        </w:tc>
        <w:tc>
          <w:tcPr>
            <w:tcW w:w="578" w:type="pct"/>
            <w:vMerge w:val="continue"/>
            <w:noWrap w:val="0"/>
            <w:vAlign w:val="center"/>
          </w:tcPr>
          <w:p w14:paraId="5AB36B28">
            <w:pPr>
              <w:jc w:val="center"/>
              <w:rPr>
                <w:bCs/>
                <w:szCs w:val="21"/>
              </w:rPr>
            </w:pPr>
          </w:p>
        </w:tc>
      </w:tr>
      <w:tr w14:paraId="4DE5B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06" w:type="pct"/>
            <w:noWrap w:val="0"/>
            <w:vAlign w:val="center"/>
          </w:tcPr>
          <w:p w14:paraId="76F1B166">
            <w:pPr>
              <w:jc w:val="center"/>
              <w:rPr>
                <w:rFonts w:hint="eastAsia" w:ascii="宋体" w:hAnsi="宋体" w:cs="宋体"/>
                <w:color w:val="000000"/>
                <w:sz w:val="22"/>
              </w:rPr>
            </w:pPr>
            <w:r>
              <w:rPr>
                <w:rFonts w:hint="eastAsia" w:ascii="宋体" w:hAnsi="宋体" w:cs="宋体"/>
                <w:color w:val="000000"/>
                <w:sz w:val="22"/>
              </w:rPr>
              <w:t>19</w:t>
            </w:r>
          </w:p>
        </w:tc>
        <w:tc>
          <w:tcPr>
            <w:tcW w:w="797" w:type="pct"/>
            <w:shd w:val="clear" w:color="auto" w:fill="auto"/>
            <w:noWrap w:val="0"/>
            <w:vAlign w:val="center"/>
          </w:tcPr>
          <w:p w14:paraId="477F452E">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1/4 两层圆柜 - 铁艺网格背板</w:t>
            </w:r>
          </w:p>
        </w:tc>
        <w:tc>
          <w:tcPr>
            <w:tcW w:w="320" w:type="pct"/>
            <w:shd w:val="clear" w:color="auto" w:fill="auto"/>
            <w:noWrap w:val="0"/>
            <w:vAlign w:val="center"/>
          </w:tcPr>
          <w:p w14:paraId="6457422C">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7</w:t>
            </w:r>
          </w:p>
        </w:tc>
        <w:tc>
          <w:tcPr>
            <w:tcW w:w="324" w:type="pct"/>
            <w:shd w:val="clear" w:color="auto" w:fill="auto"/>
            <w:noWrap w:val="0"/>
            <w:vAlign w:val="center"/>
          </w:tcPr>
          <w:p w14:paraId="3519227D">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个</w:t>
            </w:r>
          </w:p>
        </w:tc>
        <w:tc>
          <w:tcPr>
            <w:tcW w:w="392" w:type="pct"/>
            <w:shd w:val="clear" w:color="auto" w:fill="auto"/>
            <w:noWrap w:val="0"/>
            <w:vAlign w:val="center"/>
          </w:tcPr>
          <w:p w14:paraId="5539883B">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1432</w:t>
            </w:r>
          </w:p>
        </w:tc>
        <w:tc>
          <w:tcPr>
            <w:tcW w:w="636" w:type="pct"/>
            <w:shd w:val="clear" w:color="auto" w:fill="auto"/>
            <w:noWrap w:val="0"/>
            <w:vAlign w:val="center"/>
          </w:tcPr>
          <w:p w14:paraId="500B1BEC">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10024</w:t>
            </w:r>
          </w:p>
        </w:tc>
        <w:tc>
          <w:tcPr>
            <w:tcW w:w="486" w:type="pct"/>
            <w:vMerge w:val="continue"/>
            <w:noWrap w:val="0"/>
            <w:vAlign w:val="center"/>
          </w:tcPr>
          <w:p w14:paraId="72A6AEA5">
            <w:pPr>
              <w:jc w:val="center"/>
              <w:rPr>
                <w:b/>
                <w:bCs/>
                <w:color w:val="FF0000"/>
                <w:szCs w:val="21"/>
              </w:rPr>
            </w:pPr>
          </w:p>
        </w:tc>
        <w:tc>
          <w:tcPr>
            <w:tcW w:w="578" w:type="pct"/>
            <w:vMerge w:val="continue"/>
            <w:noWrap w:val="0"/>
            <w:vAlign w:val="center"/>
          </w:tcPr>
          <w:p w14:paraId="47D2EB31">
            <w:pPr>
              <w:jc w:val="center"/>
              <w:rPr>
                <w:bCs/>
                <w:szCs w:val="21"/>
              </w:rPr>
            </w:pPr>
          </w:p>
        </w:tc>
        <w:tc>
          <w:tcPr>
            <w:tcW w:w="578" w:type="pct"/>
            <w:vMerge w:val="continue"/>
            <w:noWrap w:val="0"/>
            <w:vAlign w:val="center"/>
          </w:tcPr>
          <w:p w14:paraId="64833A76">
            <w:pPr>
              <w:jc w:val="center"/>
              <w:rPr>
                <w:bCs/>
                <w:szCs w:val="21"/>
              </w:rPr>
            </w:pPr>
          </w:p>
        </w:tc>
        <w:tc>
          <w:tcPr>
            <w:tcW w:w="578" w:type="pct"/>
            <w:vMerge w:val="continue"/>
            <w:noWrap w:val="0"/>
            <w:vAlign w:val="center"/>
          </w:tcPr>
          <w:p w14:paraId="6C8214EB">
            <w:pPr>
              <w:jc w:val="center"/>
              <w:rPr>
                <w:bCs/>
                <w:szCs w:val="21"/>
              </w:rPr>
            </w:pPr>
          </w:p>
        </w:tc>
      </w:tr>
      <w:tr w14:paraId="4A097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06" w:type="pct"/>
            <w:noWrap w:val="0"/>
            <w:vAlign w:val="center"/>
          </w:tcPr>
          <w:p w14:paraId="69C87361">
            <w:pPr>
              <w:jc w:val="center"/>
              <w:rPr>
                <w:rFonts w:hint="eastAsia" w:ascii="宋体" w:hAnsi="宋体" w:cs="宋体"/>
                <w:color w:val="000000"/>
                <w:sz w:val="22"/>
              </w:rPr>
            </w:pPr>
            <w:r>
              <w:rPr>
                <w:rFonts w:hint="eastAsia" w:ascii="宋体" w:hAnsi="宋体" w:cs="宋体"/>
                <w:color w:val="000000"/>
                <w:sz w:val="22"/>
              </w:rPr>
              <w:t>20</w:t>
            </w:r>
          </w:p>
        </w:tc>
        <w:tc>
          <w:tcPr>
            <w:tcW w:w="797" w:type="pct"/>
            <w:shd w:val="clear" w:color="auto" w:fill="auto"/>
            <w:noWrap w:val="0"/>
            <w:vAlign w:val="center"/>
          </w:tcPr>
          <w:p w14:paraId="496F658D">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哥德堡两层角柜</w:t>
            </w:r>
          </w:p>
        </w:tc>
        <w:tc>
          <w:tcPr>
            <w:tcW w:w="320" w:type="pct"/>
            <w:shd w:val="clear" w:color="auto" w:fill="auto"/>
            <w:noWrap w:val="0"/>
            <w:vAlign w:val="center"/>
          </w:tcPr>
          <w:p w14:paraId="50C57291">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1</w:t>
            </w:r>
          </w:p>
        </w:tc>
        <w:tc>
          <w:tcPr>
            <w:tcW w:w="324" w:type="pct"/>
            <w:shd w:val="clear" w:color="auto" w:fill="auto"/>
            <w:noWrap w:val="0"/>
            <w:vAlign w:val="center"/>
          </w:tcPr>
          <w:p w14:paraId="53F8E51C">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个</w:t>
            </w:r>
          </w:p>
        </w:tc>
        <w:tc>
          <w:tcPr>
            <w:tcW w:w="392" w:type="pct"/>
            <w:shd w:val="clear" w:color="auto" w:fill="auto"/>
            <w:noWrap w:val="0"/>
            <w:vAlign w:val="center"/>
          </w:tcPr>
          <w:p w14:paraId="3A17DA4A">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624</w:t>
            </w:r>
          </w:p>
        </w:tc>
        <w:tc>
          <w:tcPr>
            <w:tcW w:w="636" w:type="pct"/>
            <w:shd w:val="clear" w:color="auto" w:fill="auto"/>
            <w:noWrap w:val="0"/>
            <w:vAlign w:val="center"/>
          </w:tcPr>
          <w:p w14:paraId="1165927F">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624</w:t>
            </w:r>
          </w:p>
        </w:tc>
        <w:tc>
          <w:tcPr>
            <w:tcW w:w="486" w:type="pct"/>
            <w:vMerge w:val="continue"/>
            <w:noWrap w:val="0"/>
            <w:vAlign w:val="center"/>
          </w:tcPr>
          <w:p w14:paraId="4D67A51C">
            <w:pPr>
              <w:jc w:val="center"/>
              <w:rPr>
                <w:b/>
                <w:bCs/>
                <w:color w:val="FF0000"/>
                <w:szCs w:val="21"/>
              </w:rPr>
            </w:pPr>
          </w:p>
        </w:tc>
        <w:tc>
          <w:tcPr>
            <w:tcW w:w="578" w:type="pct"/>
            <w:vMerge w:val="continue"/>
            <w:noWrap w:val="0"/>
            <w:vAlign w:val="center"/>
          </w:tcPr>
          <w:p w14:paraId="4D928932">
            <w:pPr>
              <w:jc w:val="center"/>
              <w:rPr>
                <w:bCs/>
                <w:szCs w:val="21"/>
              </w:rPr>
            </w:pPr>
          </w:p>
        </w:tc>
        <w:tc>
          <w:tcPr>
            <w:tcW w:w="578" w:type="pct"/>
            <w:vMerge w:val="continue"/>
            <w:noWrap w:val="0"/>
            <w:vAlign w:val="center"/>
          </w:tcPr>
          <w:p w14:paraId="4DB821E8">
            <w:pPr>
              <w:jc w:val="center"/>
              <w:rPr>
                <w:bCs/>
                <w:szCs w:val="21"/>
              </w:rPr>
            </w:pPr>
          </w:p>
        </w:tc>
        <w:tc>
          <w:tcPr>
            <w:tcW w:w="578" w:type="pct"/>
            <w:vMerge w:val="continue"/>
            <w:noWrap w:val="0"/>
            <w:vAlign w:val="center"/>
          </w:tcPr>
          <w:p w14:paraId="6371099B">
            <w:pPr>
              <w:jc w:val="center"/>
              <w:rPr>
                <w:bCs/>
                <w:szCs w:val="21"/>
              </w:rPr>
            </w:pPr>
          </w:p>
        </w:tc>
      </w:tr>
      <w:tr w14:paraId="1356B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06" w:type="pct"/>
            <w:noWrap w:val="0"/>
            <w:vAlign w:val="center"/>
          </w:tcPr>
          <w:p w14:paraId="3EB3145B">
            <w:pPr>
              <w:jc w:val="center"/>
              <w:rPr>
                <w:rFonts w:hint="eastAsia" w:ascii="宋体" w:hAnsi="宋体" w:cs="宋体"/>
                <w:color w:val="000000"/>
                <w:sz w:val="22"/>
              </w:rPr>
            </w:pPr>
            <w:r>
              <w:rPr>
                <w:rFonts w:hint="eastAsia" w:ascii="宋体" w:hAnsi="宋体" w:cs="宋体"/>
                <w:color w:val="000000"/>
                <w:sz w:val="22"/>
              </w:rPr>
              <w:t>21</w:t>
            </w:r>
          </w:p>
        </w:tc>
        <w:tc>
          <w:tcPr>
            <w:tcW w:w="797" w:type="pct"/>
            <w:shd w:val="clear" w:color="auto" w:fill="auto"/>
            <w:noWrap w:val="0"/>
            <w:vAlign w:val="center"/>
          </w:tcPr>
          <w:p w14:paraId="7180149C">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彩虹房 - 白沙幕帘</w:t>
            </w:r>
          </w:p>
        </w:tc>
        <w:tc>
          <w:tcPr>
            <w:tcW w:w="320" w:type="pct"/>
            <w:shd w:val="clear" w:color="auto" w:fill="auto"/>
            <w:noWrap w:val="0"/>
            <w:vAlign w:val="center"/>
          </w:tcPr>
          <w:p w14:paraId="34B430ED">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1</w:t>
            </w:r>
          </w:p>
        </w:tc>
        <w:tc>
          <w:tcPr>
            <w:tcW w:w="324" w:type="pct"/>
            <w:shd w:val="clear" w:color="auto" w:fill="auto"/>
            <w:noWrap w:val="0"/>
            <w:vAlign w:val="center"/>
          </w:tcPr>
          <w:p w14:paraId="1955D3F6">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个</w:t>
            </w:r>
          </w:p>
        </w:tc>
        <w:tc>
          <w:tcPr>
            <w:tcW w:w="392" w:type="pct"/>
            <w:shd w:val="clear" w:color="auto" w:fill="auto"/>
            <w:noWrap w:val="0"/>
            <w:vAlign w:val="center"/>
          </w:tcPr>
          <w:p w14:paraId="0990BC37">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3200</w:t>
            </w:r>
          </w:p>
        </w:tc>
        <w:tc>
          <w:tcPr>
            <w:tcW w:w="636" w:type="pct"/>
            <w:shd w:val="clear" w:color="auto" w:fill="auto"/>
            <w:noWrap w:val="0"/>
            <w:vAlign w:val="center"/>
          </w:tcPr>
          <w:p w14:paraId="3178F163">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3200</w:t>
            </w:r>
          </w:p>
        </w:tc>
        <w:tc>
          <w:tcPr>
            <w:tcW w:w="486" w:type="pct"/>
            <w:vMerge w:val="continue"/>
            <w:noWrap w:val="0"/>
            <w:vAlign w:val="center"/>
          </w:tcPr>
          <w:p w14:paraId="4C5C4910">
            <w:pPr>
              <w:jc w:val="center"/>
              <w:rPr>
                <w:b/>
                <w:bCs/>
                <w:color w:val="FF0000"/>
                <w:szCs w:val="21"/>
              </w:rPr>
            </w:pPr>
          </w:p>
        </w:tc>
        <w:tc>
          <w:tcPr>
            <w:tcW w:w="578" w:type="pct"/>
            <w:vMerge w:val="continue"/>
            <w:noWrap w:val="0"/>
            <w:vAlign w:val="center"/>
          </w:tcPr>
          <w:p w14:paraId="25093278">
            <w:pPr>
              <w:jc w:val="center"/>
              <w:rPr>
                <w:bCs/>
                <w:szCs w:val="21"/>
              </w:rPr>
            </w:pPr>
          </w:p>
        </w:tc>
        <w:tc>
          <w:tcPr>
            <w:tcW w:w="578" w:type="pct"/>
            <w:vMerge w:val="continue"/>
            <w:noWrap w:val="0"/>
            <w:vAlign w:val="center"/>
          </w:tcPr>
          <w:p w14:paraId="226345D8">
            <w:pPr>
              <w:jc w:val="center"/>
              <w:rPr>
                <w:bCs/>
                <w:szCs w:val="21"/>
              </w:rPr>
            </w:pPr>
          </w:p>
        </w:tc>
        <w:tc>
          <w:tcPr>
            <w:tcW w:w="578" w:type="pct"/>
            <w:vMerge w:val="continue"/>
            <w:noWrap w:val="0"/>
            <w:vAlign w:val="center"/>
          </w:tcPr>
          <w:p w14:paraId="452C5E5D">
            <w:pPr>
              <w:jc w:val="center"/>
              <w:rPr>
                <w:bCs/>
                <w:szCs w:val="21"/>
              </w:rPr>
            </w:pPr>
          </w:p>
        </w:tc>
      </w:tr>
      <w:tr w14:paraId="5A082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06" w:type="pct"/>
            <w:noWrap w:val="0"/>
            <w:vAlign w:val="center"/>
          </w:tcPr>
          <w:p w14:paraId="2848990E">
            <w:pPr>
              <w:jc w:val="center"/>
              <w:rPr>
                <w:rFonts w:hint="eastAsia" w:ascii="宋体" w:hAnsi="宋体" w:cs="宋体"/>
                <w:color w:val="000000"/>
                <w:sz w:val="22"/>
              </w:rPr>
            </w:pPr>
            <w:r>
              <w:rPr>
                <w:rFonts w:hint="eastAsia" w:ascii="宋体" w:hAnsi="宋体" w:cs="宋体"/>
                <w:color w:val="000000"/>
                <w:sz w:val="22"/>
              </w:rPr>
              <w:t>22</w:t>
            </w:r>
          </w:p>
        </w:tc>
        <w:tc>
          <w:tcPr>
            <w:tcW w:w="797" w:type="pct"/>
            <w:shd w:val="clear" w:color="auto" w:fill="auto"/>
            <w:noWrap w:val="0"/>
            <w:vAlign w:val="center"/>
          </w:tcPr>
          <w:p w14:paraId="7FFEE5A2">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厨房娃娃家-四合一</w:t>
            </w:r>
          </w:p>
        </w:tc>
        <w:tc>
          <w:tcPr>
            <w:tcW w:w="320" w:type="pct"/>
            <w:shd w:val="clear" w:color="auto" w:fill="auto"/>
            <w:noWrap w:val="0"/>
            <w:vAlign w:val="center"/>
          </w:tcPr>
          <w:p w14:paraId="21E03D1C">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1</w:t>
            </w:r>
          </w:p>
        </w:tc>
        <w:tc>
          <w:tcPr>
            <w:tcW w:w="324" w:type="pct"/>
            <w:shd w:val="clear" w:color="auto" w:fill="auto"/>
            <w:noWrap w:val="0"/>
            <w:vAlign w:val="center"/>
          </w:tcPr>
          <w:p w14:paraId="7787F6B9">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个</w:t>
            </w:r>
          </w:p>
        </w:tc>
        <w:tc>
          <w:tcPr>
            <w:tcW w:w="392" w:type="pct"/>
            <w:shd w:val="clear" w:color="auto" w:fill="auto"/>
            <w:noWrap w:val="0"/>
            <w:vAlign w:val="center"/>
          </w:tcPr>
          <w:p w14:paraId="2E0B624D">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2048</w:t>
            </w:r>
          </w:p>
        </w:tc>
        <w:tc>
          <w:tcPr>
            <w:tcW w:w="636" w:type="pct"/>
            <w:shd w:val="clear" w:color="auto" w:fill="auto"/>
            <w:noWrap w:val="0"/>
            <w:vAlign w:val="center"/>
          </w:tcPr>
          <w:p w14:paraId="14C70664">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2048</w:t>
            </w:r>
          </w:p>
        </w:tc>
        <w:tc>
          <w:tcPr>
            <w:tcW w:w="486" w:type="pct"/>
            <w:vMerge w:val="continue"/>
            <w:noWrap w:val="0"/>
            <w:vAlign w:val="center"/>
          </w:tcPr>
          <w:p w14:paraId="351E78C2">
            <w:pPr>
              <w:jc w:val="center"/>
              <w:rPr>
                <w:b/>
                <w:bCs/>
                <w:color w:val="FF0000"/>
                <w:szCs w:val="21"/>
              </w:rPr>
            </w:pPr>
          </w:p>
        </w:tc>
        <w:tc>
          <w:tcPr>
            <w:tcW w:w="578" w:type="pct"/>
            <w:vMerge w:val="continue"/>
            <w:noWrap w:val="0"/>
            <w:vAlign w:val="center"/>
          </w:tcPr>
          <w:p w14:paraId="309429BC">
            <w:pPr>
              <w:jc w:val="center"/>
              <w:rPr>
                <w:bCs/>
                <w:szCs w:val="21"/>
              </w:rPr>
            </w:pPr>
          </w:p>
        </w:tc>
        <w:tc>
          <w:tcPr>
            <w:tcW w:w="578" w:type="pct"/>
            <w:vMerge w:val="continue"/>
            <w:noWrap w:val="0"/>
            <w:vAlign w:val="center"/>
          </w:tcPr>
          <w:p w14:paraId="291A4926">
            <w:pPr>
              <w:jc w:val="center"/>
              <w:rPr>
                <w:bCs/>
                <w:szCs w:val="21"/>
              </w:rPr>
            </w:pPr>
          </w:p>
        </w:tc>
        <w:tc>
          <w:tcPr>
            <w:tcW w:w="578" w:type="pct"/>
            <w:vMerge w:val="continue"/>
            <w:noWrap w:val="0"/>
            <w:vAlign w:val="center"/>
          </w:tcPr>
          <w:p w14:paraId="31207A08">
            <w:pPr>
              <w:jc w:val="center"/>
              <w:rPr>
                <w:bCs/>
                <w:szCs w:val="21"/>
              </w:rPr>
            </w:pPr>
          </w:p>
        </w:tc>
      </w:tr>
      <w:tr w14:paraId="2E475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06" w:type="pct"/>
            <w:noWrap w:val="0"/>
            <w:vAlign w:val="center"/>
          </w:tcPr>
          <w:p w14:paraId="331640A5">
            <w:pPr>
              <w:jc w:val="center"/>
              <w:rPr>
                <w:rFonts w:hint="eastAsia" w:ascii="宋体" w:hAnsi="宋体" w:cs="宋体"/>
                <w:color w:val="000000"/>
                <w:sz w:val="22"/>
              </w:rPr>
            </w:pPr>
            <w:r>
              <w:rPr>
                <w:rFonts w:hint="eastAsia" w:ascii="宋体" w:hAnsi="宋体" w:cs="宋体"/>
                <w:color w:val="000000"/>
                <w:sz w:val="22"/>
              </w:rPr>
              <w:t>23</w:t>
            </w:r>
          </w:p>
        </w:tc>
        <w:tc>
          <w:tcPr>
            <w:tcW w:w="797" w:type="pct"/>
            <w:shd w:val="clear" w:color="auto" w:fill="auto"/>
            <w:noWrap w:val="0"/>
            <w:vAlign w:val="center"/>
          </w:tcPr>
          <w:p w14:paraId="560F7A17">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洗衣烘干机</w:t>
            </w:r>
          </w:p>
        </w:tc>
        <w:tc>
          <w:tcPr>
            <w:tcW w:w="320" w:type="pct"/>
            <w:shd w:val="clear" w:color="auto" w:fill="auto"/>
            <w:noWrap w:val="0"/>
            <w:vAlign w:val="center"/>
          </w:tcPr>
          <w:p w14:paraId="1BC5B991">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1</w:t>
            </w:r>
          </w:p>
        </w:tc>
        <w:tc>
          <w:tcPr>
            <w:tcW w:w="324" w:type="pct"/>
            <w:shd w:val="clear" w:color="auto" w:fill="auto"/>
            <w:noWrap w:val="0"/>
            <w:vAlign w:val="center"/>
          </w:tcPr>
          <w:p w14:paraId="54442E54">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个</w:t>
            </w:r>
          </w:p>
        </w:tc>
        <w:tc>
          <w:tcPr>
            <w:tcW w:w="392" w:type="pct"/>
            <w:shd w:val="clear" w:color="auto" w:fill="auto"/>
            <w:noWrap w:val="0"/>
            <w:vAlign w:val="center"/>
          </w:tcPr>
          <w:p w14:paraId="7453E366">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1640</w:t>
            </w:r>
          </w:p>
        </w:tc>
        <w:tc>
          <w:tcPr>
            <w:tcW w:w="636" w:type="pct"/>
            <w:shd w:val="clear" w:color="auto" w:fill="auto"/>
            <w:noWrap w:val="0"/>
            <w:vAlign w:val="center"/>
          </w:tcPr>
          <w:p w14:paraId="37416B24">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1640</w:t>
            </w:r>
          </w:p>
        </w:tc>
        <w:tc>
          <w:tcPr>
            <w:tcW w:w="486" w:type="pct"/>
            <w:vMerge w:val="continue"/>
            <w:noWrap w:val="0"/>
            <w:vAlign w:val="center"/>
          </w:tcPr>
          <w:p w14:paraId="012F07AC">
            <w:pPr>
              <w:jc w:val="center"/>
              <w:rPr>
                <w:b/>
                <w:bCs/>
                <w:color w:val="FF0000"/>
                <w:szCs w:val="21"/>
              </w:rPr>
            </w:pPr>
          </w:p>
        </w:tc>
        <w:tc>
          <w:tcPr>
            <w:tcW w:w="578" w:type="pct"/>
            <w:vMerge w:val="continue"/>
            <w:noWrap w:val="0"/>
            <w:vAlign w:val="center"/>
          </w:tcPr>
          <w:p w14:paraId="03F25A54">
            <w:pPr>
              <w:jc w:val="center"/>
              <w:rPr>
                <w:bCs/>
                <w:szCs w:val="21"/>
              </w:rPr>
            </w:pPr>
          </w:p>
        </w:tc>
        <w:tc>
          <w:tcPr>
            <w:tcW w:w="578" w:type="pct"/>
            <w:vMerge w:val="continue"/>
            <w:noWrap w:val="0"/>
            <w:vAlign w:val="center"/>
          </w:tcPr>
          <w:p w14:paraId="0162C808">
            <w:pPr>
              <w:jc w:val="center"/>
              <w:rPr>
                <w:bCs/>
                <w:szCs w:val="21"/>
              </w:rPr>
            </w:pPr>
          </w:p>
        </w:tc>
        <w:tc>
          <w:tcPr>
            <w:tcW w:w="578" w:type="pct"/>
            <w:vMerge w:val="continue"/>
            <w:noWrap w:val="0"/>
            <w:vAlign w:val="center"/>
          </w:tcPr>
          <w:p w14:paraId="0BC777D9">
            <w:pPr>
              <w:jc w:val="center"/>
              <w:rPr>
                <w:bCs/>
                <w:szCs w:val="21"/>
              </w:rPr>
            </w:pPr>
          </w:p>
        </w:tc>
      </w:tr>
      <w:tr w14:paraId="4C331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06" w:type="pct"/>
            <w:noWrap w:val="0"/>
            <w:vAlign w:val="center"/>
          </w:tcPr>
          <w:p w14:paraId="69ACCD6A">
            <w:pPr>
              <w:jc w:val="center"/>
              <w:rPr>
                <w:rFonts w:hint="eastAsia" w:ascii="宋体" w:hAnsi="宋体" w:cs="宋体"/>
                <w:color w:val="000000"/>
                <w:sz w:val="22"/>
              </w:rPr>
            </w:pPr>
            <w:r>
              <w:rPr>
                <w:rFonts w:hint="eastAsia" w:ascii="宋体" w:hAnsi="宋体" w:cs="宋体"/>
                <w:color w:val="000000"/>
                <w:sz w:val="22"/>
              </w:rPr>
              <w:t>24</w:t>
            </w:r>
          </w:p>
        </w:tc>
        <w:tc>
          <w:tcPr>
            <w:tcW w:w="797" w:type="pct"/>
            <w:shd w:val="clear" w:color="auto" w:fill="auto"/>
            <w:noWrap w:val="0"/>
            <w:vAlign w:val="center"/>
          </w:tcPr>
          <w:p w14:paraId="1ED283D3">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经典塑料叠床</w:t>
            </w:r>
          </w:p>
        </w:tc>
        <w:tc>
          <w:tcPr>
            <w:tcW w:w="320" w:type="pct"/>
            <w:shd w:val="clear" w:color="auto" w:fill="auto"/>
            <w:noWrap w:val="0"/>
            <w:vAlign w:val="center"/>
          </w:tcPr>
          <w:p w14:paraId="65F65C6A">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249</w:t>
            </w:r>
          </w:p>
        </w:tc>
        <w:tc>
          <w:tcPr>
            <w:tcW w:w="324" w:type="pct"/>
            <w:shd w:val="clear" w:color="auto" w:fill="auto"/>
            <w:noWrap w:val="0"/>
            <w:vAlign w:val="center"/>
          </w:tcPr>
          <w:p w14:paraId="393D8DBC">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个</w:t>
            </w:r>
          </w:p>
        </w:tc>
        <w:tc>
          <w:tcPr>
            <w:tcW w:w="392" w:type="pct"/>
            <w:shd w:val="clear" w:color="auto" w:fill="auto"/>
            <w:noWrap w:val="0"/>
            <w:vAlign w:val="center"/>
          </w:tcPr>
          <w:p w14:paraId="7CC6AA4E">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384</w:t>
            </w:r>
          </w:p>
        </w:tc>
        <w:tc>
          <w:tcPr>
            <w:tcW w:w="636" w:type="pct"/>
            <w:shd w:val="clear" w:color="auto" w:fill="auto"/>
            <w:noWrap w:val="0"/>
            <w:vAlign w:val="center"/>
          </w:tcPr>
          <w:p w14:paraId="2CB7687F">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95616</w:t>
            </w:r>
          </w:p>
        </w:tc>
        <w:tc>
          <w:tcPr>
            <w:tcW w:w="486" w:type="pct"/>
            <w:vMerge w:val="continue"/>
            <w:noWrap w:val="0"/>
            <w:vAlign w:val="center"/>
          </w:tcPr>
          <w:p w14:paraId="7D158E42">
            <w:pPr>
              <w:jc w:val="center"/>
              <w:rPr>
                <w:b/>
                <w:bCs/>
                <w:color w:val="FF0000"/>
                <w:szCs w:val="21"/>
              </w:rPr>
            </w:pPr>
          </w:p>
        </w:tc>
        <w:tc>
          <w:tcPr>
            <w:tcW w:w="578" w:type="pct"/>
            <w:vMerge w:val="continue"/>
            <w:noWrap w:val="0"/>
            <w:vAlign w:val="center"/>
          </w:tcPr>
          <w:p w14:paraId="0CCE8F4B">
            <w:pPr>
              <w:jc w:val="center"/>
              <w:rPr>
                <w:bCs/>
                <w:szCs w:val="21"/>
              </w:rPr>
            </w:pPr>
          </w:p>
        </w:tc>
        <w:tc>
          <w:tcPr>
            <w:tcW w:w="578" w:type="pct"/>
            <w:vMerge w:val="continue"/>
            <w:noWrap w:val="0"/>
            <w:vAlign w:val="center"/>
          </w:tcPr>
          <w:p w14:paraId="00C287A3">
            <w:pPr>
              <w:jc w:val="center"/>
              <w:rPr>
                <w:bCs/>
                <w:szCs w:val="21"/>
              </w:rPr>
            </w:pPr>
          </w:p>
        </w:tc>
        <w:tc>
          <w:tcPr>
            <w:tcW w:w="578" w:type="pct"/>
            <w:vMerge w:val="continue"/>
            <w:noWrap w:val="0"/>
            <w:vAlign w:val="center"/>
          </w:tcPr>
          <w:p w14:paraId="583B4920">
            <w:pPr>
              <w:jc w:val="center"/>
              <w:rPr>
                <w:bCs/>
                <w:szCs w:val="21"/>
              </w:rPr>
            </w:pPr>
          </w:p>
        </w:tc>
      </w:tr>
      <w:tr w14:paraId="09EA1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06" w:type="pct"/>
            <w:noWrap w:val="0"/>
            <w:vAlign w:val="center"/>
          </w:tcPr>
          <w:p w14:paraId="5D053AFE">
            <w:pPr>
              <w:jc w:val="center"/>
              <w:rPr>
                <w:rFonts w:hint="eastAsia" w:ascii="宋体" w:hAnsi="宋体" w:cs="宋体"/>
                <w:color w:val="000000"/>
                <w:sz w:val="22"/>
              </w:rPr>
            </w:pPr>
            <w:r>
              <w:rPr>
                <w:rFonts w:hint="eastAsia" w:ascii="宋体" w:hAnsi="宋体" w:cs="宋体"/>
                <w:color w:val="000000"/>
                <w:sz w:val="22"/>
              </w:rPr>
              <w:t>25</w:t>
            </w:r>
          </w:p>
        </w:tc>
        <w:tc>
          <w:tcPr>
            <w:tcW w:w="797" w:type="pct"/>
            <w:shd w:val="clear" w:color="auto" w:fill="auto"/>
            <w:noWrap w:val="0"/>
            <w:vAlign w:val="center"/>
          </w:tcPr>
          <w:p w14:paraId="6822BC1C">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塑料床配托盘</w:t>
            </w:r>
          </w:p>
        </w:tc>
        <w:tc>
          <w:tcPr>
            <w:tcW w:w="320" w:type="pct"/>
            <w:shd w:val="clear" w:color="auto" w:fill="auto"/>
            <w:noWrap w:val="0"/>
            <w:vAlign w:val="center"/>
          </w:tcPr>
          <w:p w14:paraId="7EE3C6CF">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6</w:t>
            </w:r>
          </w:p>
        </w:tc>
        <w:tc>
          <w:tcPr>
            <w:tcW w:w="324" w:type="pct"/>
            <w:shd w:val="clear" w:color="auto" w:fill="auto"/>
            <w:noWrap w:val="0"/>
            <w:vAlign w:val="center"/>
          </w:tcPr>
          <w:p w14:paraId="29FC2445">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个</w:t>
            </w:r>
          </w:p>
        </w:tc>
        <w:tc>
          <w:tcPr>
            <w:tcW w:w="392" w:type="pct"/>
            <w:shd w:val="clear" w:color="auto" w:fill="auto"/>
            <w:noWrap w:val="0"/>
            <w:vAlign w:val="center"/>
          </w:tcPr>
          <w:p w14:paraId="4EF7BD9F">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496</w:t>
            </w:r>
          </w:p>
        </w:tc>
        <w:tc>
          <w:tcPr>
            <w:tcW w:w="636" w:type="pct"/>
            <w:shd w:val="clear" w:color="auto" w:fill="auto"/>
            <w:noWrap w:val="0"/>
            <w:vAlign w:val="center"/>
          </w:tcPr>
          <w:p w14:paraId="48156FCC">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2976</w:t>
            </w:r>
          </w:p>
        </w:tc>
        <w:tc>
          <w:tcPr>
            <w:tcW w:w="486" w:type="pct"/>
            <w:vMerge w:val="continue"/>
            <w:noWrap w:val="0"/>
            <w:vAlign w:val="center"/>
          </w:tcPr>
          <w:p w14:paraId="322E084E">
            <w:pPr>
              <w:jc w:val="center"/>
              <w:rPr>
                <w:b/>
                <w:bCs/>
                <w:color w:val="FF0000"/>
                <w:szCs w:val="21"/>
              </w:rPr>
            </w:pPr>
          </w:p>
        </w:tc>
        <w:tc>
          <w:tcPr>
            <w:tcW w:w="578" w:type="pct"/>
            <w:vMerge w:val="continue"/>
            <w:noWrap w:val="0"/>
            <w:vAlign w:val="center"/>
          </w:tcPr>
          <w:p w14:paraId="483EE6E8">
            <w:pPr>
              <w:jc w:val="center"/>
              <w:rPr>
                <w:bCs/>
                <w:szCs w:val="21"/>
              </w:rPr>
            </w:pPr>
          </w:p>
        </w:tc>
        <w:tc>
          <w:tcPr>
            <w:tcW w:w="578" w:type="pct"/>
            <w:vMerge w:val="continue"/>
            <w:noWrap w:val="0"/>
            <w:vAlign w:val="center"/>
          </w:tcPr>
          <w:p w14:paraId="693454C4">
            <w:pPr>
              <w:jc w:val="center"/>
              <w:rPr>
                <w:bCs/>
                <w:szCs w:val="21"/>
              </w:rPr>
            </w:pPr>
          </w:p>
        </w:tc>
        <w:tc>
          <w:tcPr>
            <w:tcW w:w="578" w:type="pct"/>
            <w:vMerge w:val="continue"/>
            <w:noWrap w:val="0"/>
            <w:vAlign w:val="center"/>
          </w:tcPr>
          <w:p w14:paraId="50B0C000">
            <w:pPr>
              <w:jc w:val="center"/>
              <w:rPr>
                <w:bCs/>
                <w:szCs w:val="21"/>
              </w:rPr>
            </w:pPr>
          </w:p>
        </w:tc>
      </w:tr>
      <w:tr w14:paraId="15DE2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06" w:type="pct"/>
            <w:noWrap w:val="0"/>
            <w:vAlign w:val="center"/>
          </w:tcPr>
          <w:p w14:paraId="320DC188">
            <w:pPr>
              <w:jc w:val="center"/>
              <w:rPr>
                <w:rFonts w:hint="eastAsia" w:ascii="宋体" w:hAnsi="宋体" w:cs="宋体"/>
                <w:color w:val="000000"/>
                <w:sz w:val="22"/>
              </w:rPr>
            </w:pPr>
            <w:r>
              <w:rPr>
                <w:rFonts w:hint="eastAsia" w:ascii="宋体" w:hAnsi="宋体" w:cs="宋体"/>
                <w:color w:val="000000"/>
                <w:sz w:val="22"/>
              </w:rPr>
              <w:t>26</w:t>
            </w:r>
          </w:p>
        </w:tc>
        <w:tc>
          <w:tcPr>
            <w:tcW w:w="797" w:type="pct"/>
            <w:shd w:val="clear" w:color="auto" w:fill="auto"/>
            <w:noWrap w:val="0"/>
            <w:vAlign w:val="center"/>
          </w:tcPr>
          <w:p w14:paraId="54B7DFE7">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仿藤收纳筐（小）</w:t>
            </w:r>
          </w:p>
        </w:tc>
        <w:tc>
          <w:tcPr>
            <w:tcW w:w="320" w:type="pct"/>
            <w:shd w:val="clear" w:color="auto" w:fill="auto"/>
            <w:noWrap w:val="0"/>
            <w:vAlign w:val="center"/>
          </w:tcPr>
          <w:p w14:paraId="21A819AF">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248</w:t>
            </w:r>
          </w:p>
        </w:tc>
        <w:tc>
          <w:tcPr>
            <w:tcW w:w="324" w:type="pct"/>
            <w:shd w:val="clear" w:color="auto" w:fill="auto"/>
            <w:noWrap w:val="0"/>
            <w:vAlign w:val="center"/>
          </w:tcPr>
          <w:p w14:paraId="01B75539">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个</w:t>
            </w:r>
          </w:p>
        </w:tc>
        <w:tc>
          <w:tcPr>
            <w:tcW w:w="392" w:type="pct"/>
            <w:shd w:val="clear" w:color="auto" w:fill="auto"/>
            <w:noWrap w:val="0"/>
            <w:vAlign w:val="center"/>
          </w:tcPr>
          <w:p w14:paraId="3C16878B">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32</w:t>
            </w:r>
          </w:p>
        </w:tc>
        <w:tc>
          <w:tcPr>
            <w:tcW w:w="636" w:type="pct"/>
            <w:shd w:val="clear" w:color="auto" w:fill="auto"/>
            <w:noWrap w:val="0"/>
            <w:vAlign w:val="center"/>
          </w:tcPr>
          <w:p w14:paraId="709B8276">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7936</w:t>
            </w:r>
          </w:p>
        </w:tc>
        <w:tc>
          <w:tcPr>
            <w:tcW w:w="486" w:type="pct"/>
            <w:vMerge w:val="continue"/>
            <w:noWrap w:val="0"/>
            <w:vAlign w:val="center"/>
          </w:tcPr>
          <w:p w14:paraId="6CE21EA1">
            <w:pPr>
              <w:jc w:val="center"/>
              <w:rPr>
                <w:b/>
                <w:bCs/>
                <w:color w:val="FF0000"/>
                <w:szCs w:val="21"/>
              </w:rPr>
            </w:pPr>
          </w:p>
        </w:tc>
        <w:tc>
          <w:tcPr>
            <w:tcW w:w="578" w:type="pct"/>
            <w:vMerge w:val="continue"/>
            <w:noWrap w:val="0"/>
            <w:vAlign w:val="center"/>
          </w:tcPr>
          <w:p w14:paraId="3B2C1FE7">
            <w:pPr>
              <w:jc w:val="center"/>
              <w:rPr>
                <w:bCs/>
                <w:szCs w:val="21"/>
              </w:rPr>
            </w:pPr>
          </w:p>
        </w:tc>
        <w:tc>
          <w:tcPr>
            <w:tcW w:w="578" w:type="pct"/>
            <w:vMerge w:val="continue"/>
            <w:noWrap w:val="0"/>
            <w:vAlign w:val="center"/>
          </w:tcPr>
          <w:p w14:paraId="329C6A84">
            <w:pPr>
              <w:jc w:val="center"/>
              <w:rPr>
                <w:bCs/>
                <w:szCs w:val="21"/>
              </w:rPr>
            </w:pPr>
          </w:p>
        </w:tc>
        <w:tc>
          <w:tcPr>
            <w:tcW w:w="578" w:type="pct"/>
            <w:vMerge w:val="continue"/>
            <w:noWrap w:val="0"/>
            <w:vAlign w:val="center"/>
          </w:tcPr>
          <w:p w14:paraId="61EF61D0">
            <w:pPr>
              <w:jc w:val="center"/>
              <w:rPr>
                <w:bCs/>
                <w:szCs w:val="21"/>
              </w:rPr>
            </w:pPr>
          </w:p>
        </w:tc>
      </w:tr>
      <w:tr w14:paraId="7C27E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06" w:type="pct"/>
            <w:noWrap w:val="0"/>
            <w:vAlign w:val="center"/>
          </w:tcPr>
          <w:p w14:paraId="61F5FE0D">
            <w:pPr>
              <w:jc w:val="center"/>
              <w:rPr>
                <w:rFonts w:hint="eastAsia" w:ascii="宋体" w:hAnsi="宋体" w:cs="宋体"/>
                <w:color w:val="000000"/>
                <w:sz w:val="22"/>
              </w:rPr>
            </w:pPr>
            <w:r>
              <w:rPr>
                <w:rFonts w:hint="eastAsia" w:ascii="宋体" w:hAnsi="宋体" w:cs="宋体"/>
                <w:color w:val="000000"/>
                <w:sz w:val="22"/>
              </w:rPr>
              <w:t>27</w:t>
            </w:r>
          </w:p>
        </w:tc>
        <w:tc>
          <w:tcPr>
            <w:tcW w:w="797" w:type="pct"/>
            <w:shd w:val="clear" w:color="auto" w:fill="auto"/>
            <w:noWrap w:val="0"/>
            <w:vAlign w:val="center"/>
          </w:tcPr>
          <w:p w14:paraId="0FCA0644">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蒙氏托盘</w:t>
            </w:r>
          </w:p>
        </w:tc>
        <w:tc>
          <w:tcPr>
            <w:tcW w:w="320" w:type="pct"/>
            <w:shd w:val="clear" w:color="auto" w:fill="auto"/>
            <w:noWrap w:val="0"/>
            <w:vAlign w:val="center"/>
          </w:tcPr>
          <w:p w14:paraId="71CCF675">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105</w:t>
            </w:r>
          </w:p>
        </w:tc>
        <w:tc>
          <w:tcPr>
            <w:tcW w:w="324" w:type="pct"/>
            <w:shd w:val="clear" w:color="auto" w:fill="auto"/>
            <w:noWrap w:val="0"/>
            <w:vAlign w:val="center"/>
          </w:tcPr>
          <w:p w14:paraId="0097AB0C">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个</w:t>
            </w:r>
          </w:p>
        </w:tc>
        <w:tc>
          <w:tcPr>
            <w:tcW w:w="392" w:type="pct"/>
            <w:shd w:val="clear" w:color="auto" w:fill="auto"/>
            <w:noWrap w:val="0"/>
            <w:vAlign w:val="center"/>
          </w:tcPr>
          <w:p w14:paraId="459F3779">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35</w:t>
            </w:r>
          </w:p>
        </w:tc>
        <w:tc>
          <w:tcPr>
            <w:tcW w:w="636" w:type="pct"/>
            <w:shd w:val="clear" w:color="auto" w:fill="auto"/>
            <w:noWrap w:val="0"/>
            <w:vAlign w:val="center"/>
          </w:tcPr>
          <w:p w14:paraId="2442E663">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3675</w:t>
            </w:r>
          </w:p>
        </w:tc>
        <w:tc>
          <w:tcPr>
            <w:tcW w:w="486" w:type="pct"/>
            <w:vMerge w:val="continue"/>
            <w:noWrap w:val="0"/>
            <w:vAlign w:val="center"/>
          </w:tcPr>
          <w:p w14:paraId="592C018F">
            <w:pPr>
              <w:jc w:val="center"/>
              <w:rPr>
                <w:b/>
                <w:bCs/>
                <w:color w:val="FF0000"/>
                <w:szCs w:val="21"/>
              </w:rPr>
            </w:pPr>
          </w:p>
        </w:tc>
        <w:tc>
          <w:tcPr>
            <w:tcW w:w="578" w:type="pct"/>
            <w:vMerge w:val="continue"/>
            <w:noWrap w:val="0"/>
            <w:vAlign w:val="center"/>
          </w:tcPr>
          <w:p w14:paraId="7E746F19">
            <w:pPr>
              <w:jc w:val="center"/>
              <w:rPr>
                <w:bCs/>
                <w:szCs w:val="21"/>
              </w:rPr>
            </w:pPr>
          </w:p>
        </w:tc>
        <w:tc>
          <w:tcPr>
            <w:tcW w:w="578" w:type="pct"/>
            <w:vMerge w:val="continue"/>
            <w:noWrap w:val="0"/>
            <w:vAlign w:val="center"/>
          </w:tcPr>
          <w:p w14:paraId="003C43E5">
            <w:pPr>
              <w:jc w:val="center"/>
              <w:rPr>
                <w:bCs/>
                <w:szCs w:val="21"/>
              </w:rPr>
            </w:pPr>
          </w:p>
        </w:tc>
        <w:tc>
          <w:tcPr>
            <w:tcW w:w="578" w:type="pct"/>
            <w:vMerge w:val="continue"/>
            <w:noWrap w:val="0"/>
            <w:vAlign w:val="center"/>
          </w:tcPr>
          <w:p w14:paraId="4FC7F8D0">
            <w:pPr>
              <w:jc w:val="center"/>
              <w:rPr>
                <w:bCs/>
                <w:szCs w:val="21"/>
              </w:rPr>
            </w:pPr>
          </w:p>
        </w:tc>
      </w:tr>
      <w:tr w14:paraId="18199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06" w:type="pct"/>
            <w:noWrap w:val="0"/>
            <w:vAlign w:val="center"/>
          </w:tcPr>
          <w:p w14:paraId="6A3F25EE">
            <w:pPr>
              <w:jc w:val="center"/>
              <w:rPr>
                <w:rFonts w:hint="eastAsia" w:ascii="宋体" w:hAnsi="宋体" w:cs="宋体"/>
                <w:color w:val="000000"/>
                <w:sz w:val="22"/>
              </w:rPr>
            </w:pPr>
            <w:r>
              <w:rPr>
                <w:rFonts w:hint="eastAsia" w:ascii="宋体" w:hAnsi="宋体" w:cs="宋体"/>
                <w:color w:val="000000"/>
                <w:sz w:val="22"/>
              </w:rPr>
              <w:t>28</w:t>
            </w:r>
          </w:p>
        </w:tc>
        <w:tc>
          <w:tcPr>
            <w:tcW w:w="797" w:type="pct"/>
            <w:shd w:val="clear" w:color="auto" w:fill="auto"/>
            <w:noWrap w:val="0"/>
            <w:vAlign w:val="center"/>
          </w:tcPr>
          <w:p w14:paraId="79E8F2CA">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转角藤筐</w:t>
            </w:r>
          </w:p>
        </w:tc>
        <w:tc>
          <w:tcPr>
            <w:tcW w:w="320" w:type="pct"/>
            <w:shd w:val="clear" w:color="auto" w:fill="auto"/>
            <w:noWrap w:val="0"/>
            <w:vAlign w:val="center"/>
          </w:tcPr>
          <w:p w14:paraId="5F06A91C">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55</w:t>
            </w:r>
          </w:p>
        </w:tc>
        <w:tc>
          <w:tcPr>
            <w:tcW w:w="324" w:type="pct"/>
            <w:shd w:val="clear" w:color="auto" w:fill="auto"/>
            <w:noWrap w:val="0"/>
            <w:vAlign w:val="center"/>
          </w:tcPr>
          <w:p w14:paraId="412C781F">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个</w:t>
            </w:r>
          </w:p>
        </w:tc>
        <w:tc>
          <w:tcPr>
            <w:tcW w:w="392" w:type="pct"/>
            <w:shd w:val="clear" w:color="auto" w:fill="auto"/>
            <w:noWrap w:val="0"/>
            <w:vAlign w:val="center"/>
          </w:tcPr>
          <w:p w14:paraId="15249663">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74</w:t>
            </w:r>
          </w:p>
        </w:tc>
        <w:tc>
          <w:tcPr>
            <w:tcW w:w="636" w:type="pct"/>
            <w:shd w:val="clear" w:color="auto" w:fill="auto"/>
            <w:noWrap w:val="0"/>
            <w:vAlign w:val="center"/>
          </w:tcPr>
          <w:p w14:paraId="585259C0">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4070</w:t>
            </w:r>
          </w:p>
        </w:tc>
        <w:tc>
          <w:tcPr>
            <w:tcW w:w="486" w:type="pct"/>
            <w:vMerge w:val="continue"/>
            <w:noWrap w:val="0"/>
            <w:vAlign w:val="center"/>
          </w:tcPr>
          <w:p w14:paraId="30335787">
            <w:pPr>
              <w:jc w:val="center"/>
              <w:rPr>
                <w:b/>
                <w:bCs/>
                <w:color w:val="FF0000"/>
                <w:szCs w:val="21"/>
              </w:rPr>
            </w:pPr>
          </w:p>
        </w:tc>
        <w:tc>
          <w:tcPr>
            <w:tcW w:w="578" w:type="pct"/>
            <w:vMerge w:val="continue"/>
            <w:noWrap w:val="0"/>
            <w:vAlign w:val="center"/>
          </w:tcPr>
          <w:p w14:paraId="019D5965">
            <w:pPr>
              <w:jc w:val="center"/>
              <w:rPr>
                <w:bCs/>
                <w:szCs w:val="21"/>
              </w:rPr>
            </w:pPr>
          </w:p>
        </w:tc>
        <w:tc>
          <w:tcPr>
            <w:tcW w:w="578" w:type="pct"/>
            <w:vMerge w:val="continue"/>
            <w:noWrap w:val="0"/>
            <w:vAlign w:val="center"/>
          </w:tcPr>
          <w:p w14:paraId="159B69F3">
            <w:pPr>
              <w:jc w:val="center"/>
              <w:rPr>
                <w:bCs/>
                <w:szCs w:val="21"/>
              </w:rPr>
            </w:pPr>
          </w:p>
        </w:tc>
        <w:tc>
          <w:tcPr>
            <w:tcW w:w="578" w:type="pct"/>
            <w:vMerge w:val="continue"/>
            <w:noWrap w:val="0"/>
            <w:vAlign w:val="center"/>
          </w:tcPr>
          <w:p w14:paraId="2D0FDEFA">
            <w:pPr>
              <w:jc w:val="center"/>
              <w:rPr>
                <w:bCs/>
                <w:szCs w:val="21"/>
              </w:rPr>
            </w:pPr>
          </w:p>
        </w:tc>
      </w:tr>
      <w:tr w14:paraId="6D9FE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06" w:type="pct"/>
            <w:noWrap w:val="0"/>
            <w:vAlign w:val="center"/>
          </w:tcPr>
          <w:p w14:paraId="7FFF7795">
            <w:pPr>
              <w:jc w:val="center"/>
              <w:rPr>
                <w:rFonts w:hint="eastAsia" w:ascii="宋体" w:hAnsi="宋体" w:cs="宋体"/>
                <w:color w:val="000000"/>
                <w:sz w:val="22"/>
              </w:rPr>
            </w:pPr>
            <w:r>
              <w:rPr>
                <w:rFonts w:hint="eastAsia" w:ascii="宋体" w:hAnsi="宋体" w:cs="宋体"/>
                <w:color w:val="000000"/>
                <w:sz w:val="22"/>
              </w:rPr>
              <w:t>29</w:t>
            </w:r>
          </w:p>
        </w:tc>
        <w:tc>
          <w:tcPr>
            <w:tcW w:w="797" w:type="pct"/>
            <w:shd w:val="clear" w:color="auto" w:fill="auto"/>
            <w:noWrap w:val="0"/>
            <w:vAlign w:val="center"/>
          </w:tcPr>
          <w:p w14:paraId="78B0EA3E">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露营桌椅</w:t>
            </w:r>
          </w:p>
        </w:tc>
        <w:tc>
          <w:tcPr>
            <w:tcW w:w="320" w:type="pct"/>
            <w:shd w:val="clear" w:color="auto" w:fill="auto"/>
            <w:noWrap w:val="0"/>
            <w:vAlign w:val="center"/>
          </w:tcPr>
          <w:p w14:paraId="1517E241">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3</w:t>
            </w:r>
          </w:p>
        </w:tc>
        <w:tc>
          <w:tcPr>
            <w:tcW w:w="324" w:type="pct"/>
            <w:shd w:val="clear" w:color="auto" w:fill="auto"/>
            <w:noWrap w:val="0"/>
            <w:vAlign w:val="center"/>
          </w:tcPr>
          <w:p w14:paraId="323AD05C">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套</w:t>
            </w:r>
          </w:p>
        </w:tc>
        <w:tc>
          <w:tcPr>
            <w:tcW w:w="392" w:type="pct"/>
            <w:shd w:val="clear" w:color="auto" w:fill="auto"/>
            <w:noWrap w:val="0"/>
            <w:vAlign w:val="center"/>
          </w:tcPr>
          <w:p w14:paraId="09F4BF8E">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290</w:t>
            </w:r>
          </w:p>
        </w:tc>
        <w:tc>
          <w:tcPr>
            <w:tcW w:w="636" w:type="pct"/>
            <w:shd w:val="clear" w:color="auto" w:fill="auto"/>
            <w:noWrap w:val="0"/>
            <w:vAlign w:val="center"/>
          </w:tcPr>
          <w:p w14:paraId="1ABCFF0A">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870</w:t>
            </w:r>
          </w:p>
        </w:tc>
        <w:tc>
          <w:tcPr>
            <w:tcW w:w="486" w:type="pct"/>
            <w:vMerge w:val="continue"/>
            <w:noWrap w:val="0"/>
            <w:vAlign w:val="center"/>
          </w:tcPr>
          <w:p w14:paraId="69DBFB12">
            <w:pPr>
              <w:jc w:val="center"/>
              <w:rPr>
                <w:b/>
                <w:bCs/>
                <w:color w:val="FF0000"/>
                <w:szCs w:val="21"/>
              </w:rPr>
            </w:pPr>
          </w:p>
        </w:tc>
        <w:tc>
          <w:tcPr>
            <w:tcW w:w="578" w:type="pct"/>
            <w:vMerge w:val="continue"/>
            <w:noWrap w:val="0"/>
            <w:vAlign w:val="center"/>
          </w:tcPr>
          <w:p w14:paraId="4EF8880F">
            <w:pPr>
              <w:jc w:val="center"/>
              <w:rPr>
                <w:bCs/>
                <w:szCs w:val="21"/>
              </w:rPr>
            </w:pPr>
          </w:p>
        </w:tc>
        <w:tc>
          <w:tcPr>
            <w:tcW w:w="578" w:type="pct"/>
            <w:vMerge w:val="continue"/>
            <w:noWrap w:val="0"/>
            <w:vAlign w:val="center"/>
          </w:tcPr>
          <w:p w14:paraId="6BB39AAF">
            <w:pPr>
              <w:jc w:val="center"/>
              <w:rPr>
                <w:bCs/>
                <w:szCs w:val="21"/>
              </w:rPr>
            </w:pPr>
          </w:p>
        </w:tc>
        <w:tc>
          <w:tcPr>
            <w:tcW w:w="578" w:type="pct"/>
            <w:vMerge w:val="continue"/>
            <w:noWrap w:val="0"/>
            <w:vAlign w:val="center"/>
          </w:tcPr>
          <w:p w14:paraId="4F4D56B6">
            <w:pPr>
              <w:jc w:val="center"/>
              <w:rPr>
                <w:bCs/>
                <w:szCs w:val="21"/>
              </w:rPr>
            </w:pPr>
          </w:p>
        </w:tc>
      </w:tr>
      <w:tr w14:paraId="47AAD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06" w:type="pct"/>
            <w:noWrap w:val="0"/>
            <w:vAlign w:val="center"/>
          </w:tcPr>
          <w:p w14:paraId="7E96415F">
            <w:pPr>
              <w:jc w:val="center"/>
              <w:rPr>
                <w:rFonts w:hint="eastAsia" w:ascii="宋体" w:hAnsi="宋体" w:cs="宋体"/>
                <w:color w:val="000000"/>
                <w:sz w:val="22"/>
              </w:rPr>
            </w:pPr>
            <w:r>
              <w:rPr>
                <w:rFonts w:hint="eastAsia" w:ascii="宋体" w:hAnsi="宋体" w:cs="宋体"/>
                <w:color w:val="000000"/>
                <w:sz w:val="22"/>
              </w:rPr>
              <w:t>30</w:t>
            </w:r>
          </w:p>
        </w:tc>
        <w:tc>
          <w:tcPr>
            <w:tcW w:w="797" w:type="pct"/>
            <w:shd w:val="clear" w:color="auto" w:fill="auto"/>
            <w:noWrap w:val="0"/>
            <w:vAlign w:val="center"/>
          </w:tcPr>
          <w:p w14:paraId="00B25CB0">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三层旋转书架</w:t>
            </w:r>
          </w:p>
        </w:tc>
        <w:tc>
          <w:tcPr>
            <w:tcW w:w="320" w:type="pct"/>
            <w:shd w:val="clear" w:color="auto" w:fill="auto"/>
            <w:noWrap w:val="0"/>
            <w:vAlign w:val="center"/>
          </w:tcPr>
          <w:p w14:paraId="4E1ECF32">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1</w:t>
            </w:r>
          </w:p>
        </w:tc>
        <w:tc>
          <w:tcPr>
            <w:tcW w:w="324" w:type="pct"/>
            <w:shd w:val="clear" w:color="auto" w:fill="auto"/>
            <w:noWrap w:val="0"/>
            <w:vAlign w:val="center"/>
          </w:tcPr>
          <w:p w14:paraId="28F925AF">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个</w:t>
            </w:r>
          </w:p>
        </w:tc>
        <w:tc>
          <w:tcPr>
            <w:tcW w:w="392" w:type="pct"/>
            <w:shd w:val="clear" w:color="auto" w:fill="auto"/>
            <w:noWrap w:val="0"/>
            <w:vAlign w:val="center"/>
          </w:tcPr>
          <w:p w14:paraId="01E48D13">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1808</w:t>
            </w:r>
          </w:p>
        </w:tc>
        <w:tc>
          <w:tcPr>
            <w:tcW w:w="636" w:type="pct"/>
            <w:shd w:val="clear" w:color="auto" w:fill="auto"/>
            <w:noWrap w:val="0"/>
            <w:vAlign w:val="center"/>
          </w:tcPr>
          <w:p w14:paraId="5CA5F5D9">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1808</w:t>
            </w:r>
          </w:p>
        </w:tc>
        <w:tc>
          <w:tcPr>
            <w:tcW w:w="486" w:type="pct"/>
            <w:vMerge w:val="continue"/>
            <w:noWrap w:val="0"/>
            <w:vAlign w:val="center"/>
          </w:tcPr>
          <w:p w14:paraId="15A7630C">
            <w:pPr>
              <w:jc w:val="center"/>
              <w:rPr>
                <w:b/>
                <w:bCs/>
                <w:color w:val="FF0000"/>
                <w:szCs w:val="21"/>
              </w:rPr>
            </w:pPr>
          </w:p>
        </w:tc>
        <w:tc>
          <w:tcPr>
            <w:tcW w:w="578" w:type="pct"/>
            <w:vMerge w:val="continue"/>
            <w:noWrap w:val="0"/>
            <w:vAlign w:val="center"/>
          </w:tcPr>
          <w:p w14:paraId="52F6FFAE">
            <w:pPr>
              <w:jc w:val="center"/>
              <w:rPr>
                <w:bCs/>
                <w:szCs w:val="21"/>
              </w:rPr>
            </w:pPr>
          </w:p>
        </w:tc>
        <w:tc>
          <w:tcPr>
            <w:tcW w:w="578" w:type="pct"/>
            <w:vMerge w:val="continue"/>
            <w:noWrap w:val="0"/>
            <w:vAlign w:val="center"/>
          </w:tcPr>
          <w:p w14:paraId="75562EC2">
            <w:pPr>
              <w:jc w:val="center"/>
              <w:rPr>
                <w:bCs/>
                <w:szCs w:val="21"/>
              </w:rPr>
            </w:pPr>
          </w:p>
        </w:tc>
        <w:tc>
          <w:tcPr>
            <w:tcW w:w="578" w:type="pct"/>
            <w:vMerge w:val="continue"/>
            <w:noWrap w:val="0"/>
            <w:vAlign w:val="center"/>
          </w:tcPr>
          <w:p w14:paraId="1A7415B7">
            <w:pPr>
              <w:jc w:val="center"/>
              <w:rPr>
                <w:bCs/>
                <w:szCs w:val="21"/>
              </w:rPr>
            </w:pPr>
          </w:p>
        </w:tc>
      </w:tr>
      <w:tr w14:paraId="5210F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06" w:type="pct"/>
            <w:noWrap w:val="0"/>
            <w:vAlign w:val="center"/>
          </w:tcPr>
          <w:p w14:paraId="1BAA042D">
            <w:pPr>
              <w:jc w:val="center"/>
              <w:rPr>
                <w:rFonts w:hint="eastAsia" w:ascii="宋体" w:hAnsi="宋体" w:cs="宋体"/>
                <w:color w:val="000000"/>
                <w:sz w:val="22"/>
              </w:rPr>
            </w:pPr>
            <w:r>
              <w:rPr>
                <w:rFonts w:hint="eastAsia" w:ascii="宋体" w:hAnsi="宋体" w:cs="宋体"/>
                <w:color w:val="000000"/>
                <w:sz w:val="22"/>
              </w:rPr>
              <w:t>31</w:t>
            </w:r>
          </w:p>
        </w:tc>
        <w:tc>
          <w:tcPr>
            <w:tcW w:w="797" w:type="pct"/>
            <w:shd w:val="clear" w:color="auto" w:fill="auto"/>
            <w:noWrap w:val="0"/>
            <w:vAlign w:val="center"/>
          </w:tcPr>
          <w:p w14:paraId="127366FC">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哥德堡两层两格矩形柜</w:t>
            </w:r>
          </w:p>
        </w:tc>
        <w:tc>
          <w:tcPr>
            <w:tcW w:w="320" w:type="pct"/>
            <w:shd w:val="clear" w:color="auto" w:fill="auto"/>
            <w:noWrap w:val="0"/>
            <w:vAlign w:val="center"/>
          </w:tcPr>
          <w:p w14:paraId="3BC223E0">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6</w:t>
            </w:r>
          </w:p>
        </w:tc>
        <w:tc>
          <w:tcPr>
            <w:tcW w:w="324" w:type="pct"/>
            <w:shd w:val="clear" w:color="auto" w:fill="auto"/>
            <w:noWrap w:val="0"/>
            <w:vAlign w:val="center"/>
          </w:tcPr>
          <w:p w14:paraId="72D75247">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个</w:t>
            </w:r>
          </w:p>
        </w:tc>
        <w:tc>
          <w:tcPr>
            <w:tcW w:w="392" w:type="pct"/>
            <w:shd w:val="clear" w:color="auto" w:fill="auto"/>
            <w:noWrap w:val="0"/>
            <w:vAlign w:val="center"/>
          </w:tcPr>
          <w:p w14:paraId="319D44EC">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1048</w:t>
            </w:r>
          </w:p>
        </w:tc>
        <w:tc>
          <w:tcPr>
            <w:tcW w:w="636" w:type="pct"/>
            <w:shd w:val="clear" w:color="auto" w:fill="auto"/>
            <w:noWrap w:val="0"/>
            <w:vAlign w:val="center"/>
          </w:tcPr>
          <w:p w14:paraId="08167658">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6288</w:t>
            </w:r>
          </w:p>
        </w:tc>
        <w:tc>
          <w:tcPr>
            <w:tcW w:w="486" w:type="pct"/>
            <w:vMerge w:val="continue"/>
            <w:noWrap w:val="0"/>
            <w:vAlign w:val="center"/>
          </w:tcPr>
          <w:p w14:paraId="509FAD23">
            <w:pPr>
              <w:jc w:val="center"/>
              <w:rPr>
                <w:b/>
                <w:bCs/>
                <w:color w:val="FF0000"/>
                <w:szCs w:val="21"/>
              </w:rPr>
            </w:pPr>
          </w:p>
        </w:tc>
        <w:tc>
          <w:tcPr>
            <w:tcW w:w="578" w:type="pct"/>
            <w:vMerge w:val="continue"/>
            <w:noWrap w:val="0"/>
            <w:vAlign w:val="center"/>
          </w:tcPr>
          <w:p w14:paraId="31F40DC8">
            <w:pPr>
              <w:jc w:val="center"/>
              <w:rPr>
                <w:bCs/>
                <w:szCs w:val="21"/>
              </w:rPr>
            </w:pPr>
          </w:p>
        </w:tc>
        <w:tc>
          <w:tcPr>
            <w:tcW w:w="578" w:type="pct"/>
            <w:vMerge w:val="continue"/>
            <w:noWrap w:val="0"/>
            <w:vAlign w:val="center"/>
          </w:tcPr>
          <w:p w14:paraId="7FC641B5">
            <w:pPr>
              <w:jc w:val="center"/>
              <w:rPr>
                <w:bCs/>
                <w:szCs w:val="21"/>
              </w:rPr>
            </w:pPr>
          </w:p>
        </w:tc>
        <w:tc>
          <w:tcPr>
            <w:tcW w:w="578" w:type="pct"/>
            <w:vMerge w:val="continue"/>
            <w:noWrap w:val="0"/>
            <w:vAlign w:val="center"/>
          </w:tcPr>
          <w:p w14:paraId="21AA3560">
            <w:pPr>
              <w:jc w:val="center"/>
              <w:rPr>
                <w:bCs/>
                <w:szCs w:val="21"/>
              </w:rPr>
            </w:pPr>
          </w:p>
        </w:tc>
      </w:tr>
      <w:tr w14:paraId="50426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06" w:type="pct"/>
            <w:noWrap w:val="0"/>
            <w:vAlign w:val="center"/>
          </w:tcPr>
          <w:p w14:paraId="332C2E9F">
            <w:pPr>
              <w:jc w:val="center"/>
              <w:rPr>
                <w:rFonts w:hint="eastAsia" w:ascii="宋体" w:hAnsi="宋体" w:cs="宋体"/>
                <w:color w:val="000000"/>
                <w:sz w:val="22"/>
              </w:rPr>
            </w:pPr>
            <w:r>
              <w:rPr>
                <w:rFonts w:hint="eastAsia" w:ascii="宋体" w:hAnsi="宋体" w:cs="宋体"/>
                <w:color w:val="000000"/>
                <w:sz w:val="22"/>
              </w:rPr>
              <w:t>32</w:t>
            </w:r>
          </w:p>
        </w:tc>
        <w:tc>
          <w:tcPr>
            <w:tcW w:w="797" w:type="pct"/>
            <w:shd w:val="clear" w:color="auto" w:fill="auto"/>
            <w:noWrap w:val="0"/>
            <w:vAlign w:val="center"/>
          </w:tcPr>
          <w:p w14:paraId="15B67610">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哥德堡三层矩形柜</w:t>
            </w:r>
          </w:p>
        </w:tc>
        <w:tc>
          <w:tcPr>
            <w:tcW w:w="320" w:type="pct"/>
            <w:shd w:val="clear" w:color="auto" w:fill="auto"/>
            <w:noWrap w:val="0"/>
            <w:vAlign w:val="center"/>
          </w:tcPr>
          <w:p w14:paraId="1478FD2D">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6</w:t>
            </w:r>
          </w:p>
        </w:tc>
        <w:tc>
          <w:tcPr>
            <w:tcW w:w="324" w:type="pct"/>
            <w:shd w:val="clear" w:color="auto" w:fill="auto"/>
            <w:noWrap w:val="0"/>
            <w:vAlign w:val="center"/>
          </w:tcPr>
          <w:p w14:paraId="7B2984B0">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个</w:t>
            </w:r>
          </w:p>
        </w:tc>
        <w:tc>
          <w:tcPr>
            <w:tcW w:w="392" w:type="pct"/>
            <w:shd w:val="clear" w:color="auto" w:fill="auto"/>
            <w:noWrap w:val="0"/>
            <w:vAlign w:val="center"/>
          </w:tcPr>
          <w:p w14:paraId="77F7B4C4">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1248</w:t>
            </w:r>
          </w:p>
        </w:tc>
        <w:tc>
          <w:tcPr>
            <w:tcW w:w="636" w:type="pct"/>
            <w:shd w:val="clear" w:color="auto" w:fill="auto"/>
            <w:noWrap w:val="0"/>
            <w:vAlign w:val="center"/>
          </w:tcPr>
          <w:p w14:paraId="674F28EB">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7488</w:t>
            </w:r>
          </w:p>
        </w:tc>
        <w:tc>
          <w:tcPr>
            <w:tcW w:w="486" w:type="pct"/>
            <w:vMerge w:val="continue"/>
            <w:noWrap w:val="0"/>
            <w:vAlign w:val="center"/>
          </w:tcPr>
          <w:p w14:paraId="0C18CDB2">
            <w:pPr>
              <w:jc w:val="center"/>
              <w:rPr>
                <w:b/>
                <w:bCs/>
                <w:color w:val="FF0000"/>
                <w:szCs w:val="21"/>
              </w:rPr>
            </w:pPr>
          </w:p>
        </w:tc>
        <w:tc>
          <w:tcPr>
            <w:tcW w:w="578" w:type="pct"/>
            <w:vMerge w:val="continue"/>
            <w:noWrap w:val="0"/>
            <w:vAlign w:val="center"/>
          </w:tcPr>
          <w:p w14:paraId="47E829C8">
            <w:pPr>
              <w:jc w:val="center"/>
              <w:rPr>
                <w:bCs/>
                <w:szCs w:val="21"/>
              </w:rPr>
            </w:pPr>
          </w:p>
        </w:tc>
        <w:tc>
          <w:tcPr>
            <w:tcW w:w="578" w:type="pct"/>
            <w:vMerge w:val="continue"/>
            <w:noWrap w:val="0"/>
            <w:vAlign w:val="center"/>
          </w:tcPr>
          <w:p w14:paraId="7BAE6FDF">
            <w:pPr>
              <w:jc w:val="center"/>
              <w:rPr>
                <w:bCs/>
                <w:szCs w:val="21"/>
              </w:rPr>
            </w:pPr>
          </w:p>
        </w:tc>
        <w:tc>
          <w:tcPr>
            <w:tcW w:w="578" w:type="pct"/>
            <w:vMerge w:val="continue"/>
            <w:noWrap w:val="0"/>
            <w:vAlign w:val="center"/>
          </w:tcPr>
          <w:p w14:paraId="0CB8CEA6">
            <w:pPr>
              <w:jc w:val="center"/>
              <w:rPr>
                <w:bCs/>
                <w:szCs w:val="21"/>
              </w:rPr>
            </w:pPr>
          </w:p>
        </w:tc>
      </w:tr>
      <w:tr w14:paraId="0E64F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06" w:type="pct"/>
            <w:noWrap w:val="0"/>
            <w:vAlign w:val="center"/>
          </w:tcPr>
          <w:p w14:paraId="201B1750">
            <w:pPr>
              <w:jc w:val="center"/>
              <w:rPr>
                <w:rFonts w:hint="eastAsia" w:ascii="宋体" w:hAnsi="宋体" w:cs="宋体"/>
                <w:color w:val="000000"/>
                <w:sz w:val="22"/>
              </w:rPr>
            </w:pPr>
            <w:r>
              <w:rPr>
                <w:rFonts w:hint="eastAsia" w:ascii="宋体" w:hAnsi="宋体" w:cs="宋体"/>
                <w:color w:val="000000"/>
                <w:sz w:val="22"/>
              </w:rPr>
              <w:t>33</w:t>
            </w:r>
          </w:p>
        </w:tc>
        <w:tc>
          <w:tcPr>
            <w:tcW w:w="797" w:type="pct"/>
            <w:shd w:val="clear" w:color="auto" w:fill="auto"/>
            <w:noWrap w:val="0"/>
            <w:vAlign w:val="center"/>
          </w:tcPr>
          <w:p w14:paraId="7B774043">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角色扮演- 咖啡屋</w:t>
            </w:r>
          </w:p>
        </w:tc>
        <w:tc>
          <w:tcPr>
            <w:tcW w:w="320" w:type="pct"/>
            <w:shd w:val="clear" w:color="auto" w:fill="auto"/>
            <w:noWrap w:val="0"/>
            <w:vAlign w:val="center"/>
          </w:tcPr>
          <w:p w14:paraId="3C26F464">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3</w:t>
            </w:r>
          </w:p>
        </w:tc>
        <w:tc>
          <w:tcPr>
            <w:tcW w:w="324" w:type="pct"/>
            <w:shd w:val="clear" w:color="auto" w:fill="auto"/>
            <w:noWrap w:val="0"/>
            <w:vAlign w:val="center"/>
          </w:tcPr>
          <w:p w14:paraId="3C461284">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个</w:t>
            </w:r>
          </w:p>
        </w:tc>
        <w:tc>
          <w:tcPr>
            <w:tcW w:w="392" w:type="pct"/>
            <w:shd w:val="clear" w:color="auto" w:fill="auto"/>
            <w:noWrap w:val="0"/>
            <w:vAlign w:val="center"/>
          </w:tcPr>
          <w:p w14:paraId="0B51E101">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2048</w:t>
            </w:r>
          </w:p>
        </w:tc>
        <w:tc>
          <w:tcPr>
            <w:tcW w:w="636" w:type="pct"/>
            <w:shd w:val="clear" w:color="auto" w:fill="auto"/>
            <w:noWrap w:val="0"/>
            <w:vAlign w:val="center"/>
          </w:tcPr>
          <w:p w14:paraId="3ADA8AA8">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6144</w:t>
            </w:r>
          </w:p>
        </w:tc>
        <w:tc>
          <w:tcPr>
            <w:tcW w:w="486" w:type="pct"/>
            <w:vMerge w:val="continue"/>
            <w:noWrap w:val="0"/>
            <w:vAlign w:val="center"/>
          </w:tcPr>
          <w:p w14:paraId="4E2B94FF">
            <w:pPr>
              <w:jc w:val="center"/>
              <w:rPr>
                <w:b/>
                <w:bCs/>
                <w:color w:val="FF0000"/>
                <w:szCs w:val="21"/>
              </w:rPr>
            </w:pPr>
          </w:p>
        </w:tc>
        <w:tc>
          <w:tcPr>
            <w:tcW w:w="578" w:type="pct"/>
            <w:vMerge w:val="continue"/>
            <w:noWrap w:val="0"/>
            <w:vAlign w:val="center"/>
          </w:tcPr>
          <w:p w14:paraId="241E9C3F">
            <w:pPr>
              <w:jc w:val="center"/>
              <w:rPr>
                <w:bCs/>
                <w:szCs w:val="21"/>
              </w:rPr>
            </w:pPr>
          </w:p>
        </w:tc>
        <w:tc>
          <w:tcPr>
            <w:tcW w:w="578" w:type="pct"/>
            <w:vMerge w:val="continue"/>
            <w:noWrap w:val="0"/>
            <w:vAlign w:val="center"/>
          </w:tcPr>
          <w:p w14:paraId="1CD73296">
            <w:pPr>
              <w:jc w:val="center"/>
              <w:rPr>
                <w:bCs/>
                <w:szCs w:val="21"/>
              </w:rPr>
            </w:pPr>
          </w:p>
        </w:tc>
        <w:tc>
          <w:tcPr>
            <w:tcW w:w="578" w:type="pct"/>
            <w:vMerge w:val="continue"/>
            <w:noWrap w:val="0"/>
            <w:vAlign w:val="center"/>
          </w:tcPr>
          <w:p w14:paraId="2F13D347">
            <w:pPr>
              <w:jc w:val="center"/>
              <w:rPr>
                <w:bCs/>
                <w:szCs w:val="21"/>
              </w:rPr>
            </w:pPr>
          </w:p>
        </w:tc>
      </w:tr>
      <w:tr w14:paraId="4B70A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06" w:type="pct"/>
            <w:noWrap w:val="0"/>
            <w:vAlign w:val="center"/>
          </w:tcPr>
          <w:p w14:paraId="5F9F0CDF">
            <w:pPr>
              <w:jc w:val="center"/>
              <w:rPr>
                <w:rFonts w:hint="eastAsia" w:ascii="宋体" w:hAnsi="宋体" w:cs="宋体"/>
                <w:color w:val="000000"/>
                <w:sz w:val="22"/>
              </w:rPr>
            </w:pPr>
            <w:r>
              <w:rPr>
                <w:rFonts w:hint="eastAsia" w:ascii="宋体" w:hAnsi="宋体" w:cs="宋体"/>
                <w:color w:val="000000"/>
                <w:sz w:val="22"/>
              </w:rPr>
              <w:t>34</w:t>
            </w:r>
          </w:p>
        </w:tc>
        <w:tc>
          <w:tcPr>
            <w:tcW w:w="797" w:type="pct"/>
            <w:shd w:val="clear" w:color="auto" w:fill="auto"/>
            <w:noWrap w:val="0"/>
            <w:vAlign w:val="center"/>
          </w:tcPr>
          <w:p w14:paraId="1FEF7F0C">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三层玩具柜</w:t>
            </w:r>
          </w:p>
        </w:tc>
        <w:tc>
          <w:tcPr>
            <w:tcW w:w="320" w:type="pct"/>
            <w:shd w:val="clear" w:color="auto" w:fill="auto"/>
            <w:noWrap w:val="0"/>
            <w:vAlign w:val="center"/>
          </w:tcPr>
          <w:p w14:paraId="2049C606">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3</w:t>
            </w:r>
          </w:p>
        </w:tc>
        <w:tc>
          <w:tcPr>
            <w:tcW w:w="324" w:type="pct"/>
            <w:shd w:val="clear" w:color="auto" w:fill="auto"/>
            <w:noWrap w:val="0"/>
            <w:vAlign w:val="center"/>
          </w:tcPr>
          <w:p w14:paraId="060229C6">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个</w:t>
            </w:r>
          </w:p>
        </w:tc>
        <w:tc>
          <w:tcPr>
            <w:tcW w:w="392" w:type="pct"/>
            <w:shd w:val="clear" w:color="auto" w:fill="auto"/>
            <w:noWrap w:val="0"/>
            <w:vAlign w:val="center"/>
          </w:tcPr>
          <w:p w14:paraId="1FB45983">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1094</w:t>
            </w:r>
          </w:p>
        </w:tc>
        <w:tc>
          <w:tcPr>
            <w:tcW w:w="636" w:type="pct"/>
            <w:shd w:val="clear" w:color="auto" w:fill="auto"/>
            <w:noWrap w:val="0"/>
            <w:vAlign w:val="center"/>
          </w:tcPr>
          <w:p w14:paraId="357877B7">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3282</w:t>
            </w:r>
          </w:p>
        </w:tc>
        <w:tc>
          <w:tcPr>
            <w:tcW w:w="486" w:type="pct"/>
            <w:vMerge w:val="continue"/>
            <w:noWrap w:val="0"/>
            <w:vAlign w:val="center"/>
          </w:tcPr>
          <w:p w14:paraId="5027E174">
            <w:pPr>
              <w:jc w:val="center"/>
              <w:rPr>
                <w:b/>
                <w:bCs/>
                <w:color w:val="FF0000"/>
                <w:szCs w:val="21"/>
              </w:rPr>
            </w:pPr>
          </w:p>
        </w:tc>
        <w:tc>
          <w:tcPr>
            <w:tcW w:w="578" w:type="pct"/>
            <w:vMerge w:val="continue"/>
            <w:noWrap w:val="0"/>
            <w:vAlign w:val="center"/>
          </w:tcPr>
          <w:p w14:paraId="5E768A38">
            <w:pPr>
              <w:jc w:val="center"/>
              <w:rPr>
                <w:bCs/>
                <w:szCs w:val="21"/>
              </w:rPr>
            </w:pPr>
          </w:p>
        </w:tc>
        <w:tc>
          <w:tcPr>
            <w:tcW w:w="578" w:type="pct"/>
            <w:vMerge w:val="continue"/>
            <w:noWrap w:val="0"/>
            <w:vAlign w:val="center"/>
          </w:tcPr>
          <w:p w14:paraId="5F0B7222">
            <w:pPr>
              <w:jc w:val="center"/>
              <w:rPr>
                <w:bCs/>
                <w:szCs w:val="21"/>
              </w:rPr>
            </w:pPr>
          </w:p>
        </w:tc>
        <w:tc>
          <w:tcPr>
            <w:tcW w:w="578" w:type="pct"/>
            <w:vMerge w:val="continue"/>
            <w:noWrap w:val="0"/>
            <w:vAlign w:val="center"/>
          </w:tcPr>
          <w:p w14:paraId="2B9D855B">
            <w:pPr>
              <w:jc w:val="center"/>
              <w:rPr>
                <w:bCs/>
                <w:szCs w:val="21"/>
              </w:rPr>
            </w:pPr>
          </w:p>
        </w:tc>
      </w:tr>
      <w:tr w14:paraId="0CFB4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06" w:type="pct"/>
            <w:noWrap w:val="0"/>
            <w:vAlign w:val="center"/>
          </w:tcPr>
          <w:p w14:paraId="0F953FB6">
            <w:pPr>
              <w:jc w:val="center"/>
              <w:rPr>
                <w:rFonts w:hint="eastAsia" w:ascii="宋体" w:hAnsi="宋体" w:cs="宋体"/>
                <w:color w:val="000000"/>
                <w:sz w:val="22"/>
              </w:rPr>
            </w:pPr>
            <w:r>
              <w:rPr>
                <w:rFonts w:hint="eastAsia" w:ascii="宋体" w:hAnsi="宋体" w:cs="宋体"/>
                <w:color w:val="000000"/>
                <w:sz w:val="22"/>
              </w:rPr>
              <w:t>35</w:t>
            </w:r>
          </w:p>
        </w:tc>
        <w:tc>
          <w:tcPr>
            <w:tcW w:w="797" w:type="pct"/>
            <w:shd w:val="clear" w:color="auto" w:fill="auto"/>
            <w:noWrap w:val="0"/>
            <w:vAlign w:val="center"/>
          </w:tcPr>
          <w:p w14:paraId="758AAFD6">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区角入口A</w:t>
            </w:r>
          </w:p>
        </w:tc>
        <w:tc>
          <w:tcPr>
            <w:tcW w:w="320" w:type="pct"/>
            <w:shd w:val="clear" w:color="auto" w:fill="auto"/>
            <w:noWrap w:val="0"/>
            <w:vAlign w:val="center"/>
          </w:tcPr>
          <w:p w14:paraId="5DE70128">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1</w:t>
            </w:r>
          </w:p>
        </w:tc>
        <w:tc>
          <w:tcPr>
            <w:tcW w:w="324" w:type="pct"/>
            <w:shd w:val="clear" w:color="auto" w:fill="auto"/>
            <w:noWrap w:val="0"/>
            <w:vAlign w:val="center"/>
          </w:tcPr>
          <w:p w14:paraId="5C07BA2F">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个</w:t>
            </w:r>
          </w:p>
        </w:tc>
        <w:tc>
          <w:tcPr>
            <w:tcW w:w="392" w:type="pct"/>
            <w:shd w:val="clear" w:color="auto" w:fill="auto"/>
            <w:noWrap w:val="0"/>
            <w:vAlign w:val="center"/>
          </w:tcPr>
          <w:p w14:paraId="38C60CEB">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968</w:t>
            </w:r>
          </w:p>
        </w:tc>
        <w:tc>
          <w:tcPr>
            <w:tcW w:w="636" w:type="pct"/>
            <w:shd w:val="clear" w:color="auto" w:fill="auto"/>
            <w:noWrap w:val="0"/>
            <w:vAlign w:val="center"/>
          </w:tcPr>
          <w:p w14:paraId="227B23EF">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968</w:t>
            </w:r>
          </w:p>
        </w:tc>
        <w:tc>
          <w:tcPr>
            <w:tcW w:w="486" w:type="pct"/>
            <w:vMerge w:val="continue"/>
            <w:noWrap w:val="0"/>
            <w:vAlign w:val="center"/>
          </w:tcPr>
          <w:p w14:paraId="5365ECFF">
            <w:pPr>
              <w:jc w:val="center"/>
              <w:rPr>
                <w:b/>
                <w:bCs/>
                <w:color w:val="FF0000"/>
                <w:szCs w:val="21"/>
              </w:rPr>
            </w:pPr>
          </w:p>
        </w:tc>
        <w:tc>
          <w:tcPr>
            <w:tcW w:w="578" w:type="pct"/>
            <w:vMerge w:val="continue"/>
            <w:noWrap w:val="0"/>
            <w:vAlign w:val="center"/>
          </w:tcPr>
          <w:p w14:paraId="1C86F6EE">
            <w:pPr>
              <w:jc w:val="center"/>
              <w:rPr>
                <w:bCs/>
                <w:szCs w:val="21"/>
              </w:rPr>
            </w:pPr>
          </w:p>
        </w:tc>
        <w:tc>
          <w:tcPr>
            <w:tcW w:w="578" w:type="pct"/>
            <w:vMerge w:val="continue"/>
            <w:noWrap w:val="0"/>
            <w:vAlign w:val="center"/>
          </w:tcPr>
          <w:p w14:paraId="0DB08AEA">
            <w:pPr>
              <w:jc w:val="center"/>
              <w:rPr>
                <w:bCs/>
                <w:szCs w:val="21"/>
              </w:rPr>
            </w:pPr>
          </w:p>
        </w:tc>
        <w:tc>
          <w:tcPr>
            <w:tcW w:w="578" w:type="pct"/>
            <w:vMerge w:val="continue"/>
            <w:noWrap w:val="0"/>
            <w:vAlign w:val="center"/>
          </w:tcPr>
          <w:p w14:paraId="46FCC6DF">
            <w:pPr>
              <w:jc w:val="center"/>
              <w:rPr>
                <w:bCs/>
                <w:szCs w:val="21"/>
              </w:rPr>
            </w:pPr>
          </w:p>
        </w:tc>
      </w:tr>
      <w:tr w14:paraId="42D5A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06" w:type="pct"/>
            <w:noWrap w:val="0"/>
            <w:vAlign w:val="center"/>
          </w:tcPr>
          <w:p w14:paraId="1F25A244">
            <w:pPr>
              <w:jc w:val="center"/>
              <w:rPr>
                <w:rFonts w:hint="eastAsia" w:ascii="宋体" w:hAnsi="宋体" w:cs="宋体"/>
                <w:color w:val="000000"/>
                <w:sz w:val="22"/>
              </w:rPr>
            </w:pPr>
            <w:r>
              <w:rPr>
                <w:rFonts w:hint="eastAsia" w:ascii="宋体" w:hAnsi="宋体" w:cs="宋体"/>
                <w:color w:val="000000"/>
                <w:sz w:val="22"/>
              </w:rPr>
              <w:t>36</w:t>
            </w:r>
          </w:p>
        </w:tc>
        <w:tc>
          <w:tcPr>
            <w:tcW w:w="797" w:type="pct"/>
            <w:shd w:val="clear" w:color="auto" w:fill="auto"/>
            <w:noWrap w:val="0"/>
            <w:vAlign w:val="center"/>
          </w:tcPr>
          <w:p w14:paraId="17153FBD">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三层玩具柜 - 无背板</w:t>
            </w:r>
          </w:p>
        </w:tc>
        <w:tc>
          <w:tcPr>
            <w:tcW w:w="320" w:type="pct"/>
            <w:shd w:val="clear" w:color="auto" w:fill="auto"/>
            <w:noWrap w:val="0"/>
            <w:vAlign w:val="center"/>
          </w:tcPr>
          <w:p w14:paraId="334F569C">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3</w:t>
            </w:r>
          </w:p>
        </w:tc>
        <w:tc>
          <w:tcPr>
            <w:tcW w:w="324" w:type="pct"/>
            <w:shd w:val="clear" w:color="auto" w:fill="auto"/>
            <w:noWrap w:val="0"/>
            <w:vAlign w:val="center"/>
          </w:tcPr>
          <w:p w14:paraId="5A1D6572">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个</w:t>
            </w:r>
          </w:p>
        </w:tc>
        <w:tc>
          <w:tcPr>
            <w:tcW w:w="392" w:type="pct"/>
            <w:shd w:val="clear" w:color="auto" w:fill="auto"/>
            <w:noWrap w:val="0"/>
            <w:vAlign w:val="center"/>
          </w:tcPr>
          <w:p w14:paraId="324E223E">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992</w:t>
            </w:r>
          </w:p>
        </w:tc>
        <w:tc>
          <w:tcPr>
            <w:tcW w:w="636" w:type="pct"/>
            <w:shd w:val="clear" w:color="auto" w:fill="auto"/>
            <w:noWrap w:val="0"/>
            <w:vAlign w:val="center"/>
          </w:tcPr>
          <w:p w14:paraId="08F48502">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2976</w:t>
            </w:r>
          </w:p>
        </w:tc>
        <w:tc>
          <w:tcPr>
            <w:tcW w:w="486" w:type="pct"/>
            <w:vMerge w:val="continue"/>
            <w:noWrap w:val="0"/>
            <w:vAlign w:val="center"/>
          </w:tcPr>
          <w:p w14:paraId="5FB2C662">
            <w:pPr>
              <w:jc w:val="center"/>
              <w:rPr>
                <w:b/>
                <w:bCs/>
                <w:color w:val="FF0000"/>
                <w:szCs w:val="21"/>
              </w:rPr>
            </w:pPr>
          </w:p>
        </w:tc>
        <w:tc>
          <w:tcPr>
            <w:tcW w:w="578" w:type="pct"/>
            <w:vMerge w:val="continue"/>
            <w:noWrap w:val="0"/>
            <w:vAlign w:val="center"/>
          </w:tcPr>
          <w:p w14:paraId="35EE7770">
            <w:pPr>
              <w:jc w:val="center"/>
              <w:rPr>
                <w:bCs/>
                <w:szCs w:val="21"/>
              </w:rPr>
            </w:pPr>
          </w:p>
        </w:tc>
        <w:tc>
          <w:tcPr>
            <w:tcW w:w="578" w:type="pct"/>
            <w:vMerge w:val="continue"/>
            <w:noWrap w:val="0"/>
            <w:vAlign w:val="center"/>
          </w:tcPr>
          <w:p w14:paraId="289C8ED4">
            <w:pPr>
              <w:jc w:val="center"/>
              <w:rPr>
                <w:bCs/>
                <w:szCs w:val="21"/>
              </w:rPr>
            </w:pPr>
          </w:p>
        </w:tc>
        <w:tc>
          <w:tcPr>
            <w:tcW w:w="578" w:type="pct"/>
            <w:vMerge w:val="continue"/>
            <w:noWrap w:val="0"/>
            <w:vAlign w:val="center"/>
          </w:tcPr>
          <w:p w14:paraId="6C4E117F">
            <w:pPr>
              <w:jc w:val="center"/>
              <w:rPr>
                <w:bCs/>
                <w:szCs w:val="21"/>
              </w:rPr>
            </w:pPr>
          </w:p>
        </w:tc>
      </w:tr>
      <w:tr w14:paraId="247F7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06" w:type="pct"/>
            <w:noWrap w:val="0"/>
            <w:vAlign w:val="center"/>
          </w:tcPr>
          <w:p w14:paraId="28D52E3D">
            <w:pPr>
              <w:jc w:val="center"/>
              <w:rPr>
                <w:rFonts w:hint="eastAsia" w:ascii="宋体" w:hAnsi="宋体" w:cs="宋体"/>
                <w:color w:val="000000"/>
                <w:sz w:val="22"/>
              </w:rPr>
            </w:pPr>
            <w:r>
              <w:rPr>
                <w:rFonts w:hint="eastAsia" w:ascii="宋体" w:hAnsi="宋体" w:cs="宋体"/>
                <w:color w:val="000000"/>
                <w:sz w:val="22"/>
              </w:rPr>
              <w:t>37</w:t>
            </w:r>
          </w:p>
        </w:tc>
        <w:tc>
          <w:tcPr>
            <w:tcW w:w="797" w:type="pct"/>
            <w:shd w:val="clear" w:color="auto" w:fill="auto"/>
            <w:noWrap w:val="0"/>
            <w:vAlign w:val="center"/>
          </w:tcPr>
          <w:p w14:paraId="6D56D9AC">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三层扇形柜 - 无背板</w:t>
            </w:r>
          </w:p>
        </w:tc>
        <w:tc>
          <w:tcPr>
            <w:tcW w:w="320" w:type="pct"/>
            <w:shd w:val="clear" w:color="auto" w:fill="auto"/>
            <w:noWrap w:val="0"/>
            <w:vAlign w:val="center"/>
          </w:tcPr>
          <w:p w14:paraId="1C0060C8">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3</w:t>
            </w:r>
          </w:p>
        </w:tc>
        <w:tc>
          <w:tcPr>
            <w:tcW w:w="324" w:type="pct"/>
            <w:shd w:val="clear" w:color="auto" w:fill="auto"/>
            <w:noWrap w:val="0"/>
            <w:vAlign w:val="center"/>
          </w:tcPr>
          <w:p w14:paraId="218406D0">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个</w:t>
            </w:r>
          </w:p>
        </w:tc>
        <w:tc>
          <w:tcPr>
            <w:tcW w:w="392" w:type="pct"/>
            <w:shd w:val="clear" w:color="auto" w:fill="auto"/>
            <w:noWrap w:val="0"/>
            <w:vAlign w:val="center"/>
          </w:tcPr>
          <w:p w14:paraId="3B812FF9">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904</w:t>
            </w:r>
          </w:p>
        </w:tc>
        <w:tc>
          <w:tcPr>
            <w:tcW w:w="636" w:type="pct"/>
            <w:shd w:val="clear" w:color="auto" w:fill="auto"/>
            <w:noWrap w:val="0"/>
            <w:vAlign w:val="center"/>
          </w:tcPr>
          <w:p w14:paraId="04704A7E">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2712</w:t>
            </w:r>
          </w:p>
        </w:tc>
        <w:tc>
          <w:tcPr>
            <w:tcW w:w="486" w:type="pct"/>
            <w:vMerge w:val="continue"/>
            <w:noWrap w:val="0"/>
            <w:vAlign w:val="center"/>
          </w:tcPr>
          <w:p w14:paraId="6504F70B">
            <w:pPr>
              <w:jc w:val="center"/>
              <w:rPr>
                <w:b/>
                <w:bCs/>
                <w:color w:val="FF0000"/>
                <w:szCs w:val="21"/>
              </w:rPr>
            </w:pPr>
          </w:p>
        </w:tc>
        <w:tc>
          <w:tcPr>
            <w:tcW w:w="578" w:type="pct"/>
            <w:vMerge w:val="continue"/>
            <w:noWrap w:val="0"/>
            <w:vAlign w:val="center"/>
          </w:tcPr>
          <w:p w14:paraId="3E43D694">
            <w:pPr>
              <w:jc w:val="center"/>
              <w:rPr>
                <w:bCs/>
                <w:szCs w:val="21"/>
              </w:rPr>
            </w:pPr>
          </w:p>
        </w:tc>
        <w:tc>
          <w:tcPr>
            <w:tcW w:w="578" w:type="pct"/>
            <w:vMerge w:val="continue"/>
            <w:noWrap w:val="0"/>
            <w:vAlign w:val="center"/>
          </w:tcPr>
          <w:p w14:paraId="04BAB941">
            <w:pPr>
              <w:jc w:val="center"/>
              <w:rPr>
                <w:bCs/>
                <w:szCs w:val="21"/>
              </w:rPr>
            </w:pPr>
          </w:p>
        </w:tc>
        <w:tc>
          <w:tcPr>
            <w:tcW w:w="578" w:type="pct"/>
            <w:vMerge w:val="continue"/>
            <w:noWrap w:val="0"/>
            <w:vAlign w:val="center"/>
          </w:tcPr>
          <w:p w14:paraId="45DDB4DC">
            <w:pPr>
              <w:jc w:val="center"/>
              <w:rPr>
                <w:bCs/>
                <w:szCs w:val="21"/>
              </w:rPr>
            </w:pPr>
          </w:p>
        </w:tc>
      </w:tr>
      <w:tr w14:paraId="7C3D7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06" w:type="pct"/>
            <w:noWrap w:val="0"/>
            <w:vAlign w:val="center"/>
          </w:tcPr>
          <w:p w14:paraId="2925ED9A">
            <w:pPr>
              <w:jc w:val="center"/>
              <w:rPr>
                <w:rFonts w:hint="eastAsia" w:ascii="宋体" w:hAnsi="宋体" w:cs="宋体"/>
                <w:color w:val="000000"/>
                <w:sz w:val="22"/>
              </w:rPr>
            </w:pPr>
            <w:r>
              <w:rPr>
                <w:rFonts w:hint="eastAsia" w:ascii="宋体" w:hAnsi="宋体" w:cs="宋体"/>
                <w:color w:val="000000"/>
                <w:sz w:val="22"/>
              </w:rPr>
              <w:t>38</w:t>
            </w:r>
          </w:p>
        </w:tc>
        <w:tc>
          <w:tcPr>
            <w:tcW w:w="797" w:type="pct"/>
            <w:shd w:val="clear" w:color="auto" w:fill="auto"/>
            <w:noWrap w:val="0"/>
            <w:vAlign w:val="center"/>
          </w:tcPr>
          <w:p w14:paraId="4C3E12D1">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两层玩具柜 - 无背板</w:t>
            </w:r>
          </w:p>
        </w:tc>
        <w:tc>
          <w:tcPr>
            <w:tcW w:w="320" w:type="pct"/>
            <w:shd w:val="clear" w:color="auto" w:fill="auto"/>
            <w:noWrap w:val="0"/>
            <w:vAlign w:val="center"/>
          </w:tcPr>
          <w:p w14:paraId="41BD0CAA">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3</w:t>
            </w:r>
          </w:p>
        </w:tc>
        <w:tc>
          <w:tcPr>
            <w:tcW w:w="324" w:type="pct"/>
            <w:shd w:val="clear" w:color="auto" w:fill="auto"/>
            <w:noWrap w:val="0"/>
            <w:vAlign w:val="center"/>
          </w:tcPr>
          <w:p w14:paraId="664DB65B">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个</w:t>
            </w:r>
          </w:p>
        </w:tc>
        <w:tc>
          <w:tcPr>
            <w:tcW w:w="392" w:type="pct"/>
            <w:shd w:val="clear" w:color="auto" w:fill="auto"/>
            <w:noWrap w:val="0"/>
            <w:vAlign w:val="center"/>
          </w:tcPr>
          <w:p w14:paraId="70D2D077">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840</w:t>
            </w:r>
          </w:p>
        </w:tc>
        <w:tc>
          <w:tcPr>
            <w:tcW w:w="636" w:type="pct"/>
            <w:shd w:val="clear" w:color="auto" w:fill="auto"/>
            <w:noWrap w:val="0"/>
            <w:vAlign w:val="center"/>
          </w:tcPr>
          <w:p w14:paraId="392A47A9">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2520</w:t>
            </w:r>
          </w:p>
        </w:tc>
        <w:tc>
          <w:tcPr>
            <w:tcW w:w="486" w:type="pct"/>
            <w:vMerge w:val="continue"/>
            <w:noWrap w:val="0"/>
            <w:vAlign w:val="center"/>
          </w:tcPr>
          <w:p w14:paraId="7CBAB107">
            <w:pPr>
              <w:jc w:val="center"/>
              <w:rPr>
                <w:b/>
                <w:bCs/>
                <w:color w:val="FF0000"/>
                <w:szCs w:val="21"/>
              </w:rPr>
            </w:pPr>
          </w:p>
        </w:tc>
        <w:tc>
          <w:tcPr>
            <w:tcW w:w="578" w:type="pct"/>
            <w:vMerge w:val="continue"/>
            <w:noWrap w:val="0"/>
            <w:vAlign w:val="center"/>
          </w:tcPr>
          <w:p w14:paraId="2E31426B">
            <w:pPr>
              <w:jc w:val="center"/>
              <w:rPr>
                <w:bCs/>
                <w:szCs w:val="21"/>
              </w:rPr>
            </w:pPr>
          </w:p>
        </w:tc>
        <w:tc>
          <w:tcPr>
            <w:tcW w:w="578" w:type="pct"/>
            <w:vMerge w:val="continue"/>
            <w:noWrap w:val="0"/>
            <w:vAlign w:val="center"/>
          </w:tcPr>
          <w:p w14:paraId="199579E3">
            <w:pPr>
              <w:jc w:val="center"/>
              <w:rPr>
                <w:bCs/>
                <w:szCs w:val="21"/>
              </w:rPr>
            </w:pPr>
          </w:p>
        </w:tc>
        <w:tc>
          <w:tcPr>
            <w:tcW w:w="578" w:type="pct"/>
            <w:vMerge w:val="continue"/>
            <w:noWrap w:val="0"/>
            <w:vAlign w:val="center"/>
          </w:tcPr>
          <w:p w14:paraId="71092644">
            <w:pPr>
              <w:jc w:val="center"/>
              <w:rPr>
                <w:bCs/>
                <w:szCs w:val="21"/>
              </w:rPr>
            </w:pPr>
          </w:p>
        </w:tc>
      </w:tr>
      <w:tr w14:paraId="6FE50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06" w:type="pct"/>
            <w:noWrap w:val="0"/>
            <w:vAlign w:val="center"/>
          </w:tcPr>
          <w:p w14:paraId="2C56BD83">
            <w:pPr>
              <w:jc w:val="center"/>
              <w:rPr>
                <w:rFonts w:hint="eastAsia" w:ascii="宋体" w:hAnsi="宋体" w:cs="宋体"/>
                <w:color w:val="000000"/>
                <w:sz w:val="22"/>
              </w:rPr>
            </w:pPr>
            <w:r>
              <w:rPr>
                <w:rFonts w:hint="eastAsia" w:ascii="宋体" w:hAnsi="宋体" w:cs="宋体"/>
                <w:color w:val="000000"/>
                <w:sz w:val="22"/>
              </w:rPr>
              <w:t>39</w:t>
            </w:r>
          </w:p>
        </w:tc>
        <w:tc>
          <w:tcPr>
            <w:tcW w:w="797" w:type="pct"/>
            <w:shd w:val="clear" w:color="auto" w:fill="auto"/>
            <w:noWrap w:val="0"/>
            <w:vAlign w:val="center"/>
          </w:tcPr>
          <w:p w14:paraId="58D972CB">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1/4 三层圆柜 - 铁艺网格背板</w:t>
            </w:r>
          </w:p>
        </w:tc>
        <w:tc>
          <w:tcPr>
            <w:tcW w:w="320" w:type="pct"/>
            <w:shd w:val="clear" w:color="auto" w:fill="auto"/>
            <w:noWrap w:val="0"/>
            <w:vAlign w:val="center"/>
          </w:tcPr>
          <w:p w14:paraId="78497063">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3</w:t>
            </w:r>
          </w:p>
        </w:tc>
        <w:tc>
          <w:tcPr>
            <w:tcW w:w="324" w:type="pct"/>
            <w:shd w:val="clear" w:color="auto" w:fill="auto"/>
            <w:noWrap w:val="0"/>
            <w:vAlign w:val="center"/>
          </w:tcPr>
          <w:p w14:paraId="655F0095">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个</w:t>
            </w:r>
          </w:p>
        </w:tc>
        <w:tc>
          <w:tcPr>
            <w:tcW w:w="392" w:type="pct"/>
            <w:shd w:val="clear" w:color="auto" w:fill="auto"/>
            <w:noWrap w:val="0"/>
            <w:vAlign w:val="center"/>
          </w:tcPr>
          <w:p w14:paraId="2F55B2D0">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1680</w:t>
            </w:r>
          </w:p>
        </w:tc>
        <w:tc>
          <w:tcPr>
            <w:tcW w:w="636" w:type="pct"/>
            <w:shd w:val="clear" w:color="auto" w:fill="auto"/>
            <w:noWrap w:val="0"/>
            <w:vAlign w:val="center"/>
          </w:tcPr>
          <w:p w14:paraId="5426D233">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5040</w:t>
            </w:r>
          </w:p>
        </w:tc>
        <w:tc>
          <w:tcPr>
            <w:tcW w:w="486" w:type="pct"/>
            <w:vMerge w:val="continue"/>
            <w:noWrap w:val="0"/>
            <w:vAlign w:val="center"/>
          </w:tcPr>
          <w:p w14:paraId="3467D3B4">
            <w:pPr>
              <w:jc w:val="center"/>
              <w:rPr>
                <w:b/>
                <w:bCs/>
                <w:color w:val="FF0000"/>
                <w:szCs w:val="21"/>
              </w:rPr>
            </w:pPr>
          </w:p>
        </w:tc>
        <w:tc>
          <w:tcPr>
            <w:tcW w:w="578" w:type="pct"/>
            <w:vMerge w:val="continue"/>
            <w:noWrap w:val="0"/>
            <w:vAlign w:val="center"/>
          </w:tcPr>
          <w:p w14:paraId="2031F968">
            <w:pPr>
              <w:jc w:val="center"/>
              <w:rPr>
                <w:bCs/>
                <w:szCs w:val="21"/>
              </w:rPr>
            </w:pPr>
          </w:p>
        </w:tc>
        <w:tc>
          <w:tcPr>
            <w:tcW w:w="578" w:type="pct"/>
            <w:vMerge w:val="continue"/>
            <w:noWrap w:val="0"/>
            <w:vAlign w:val="center"/>
          </w:tcPr>
          <w:p w14:paraId="59B8480F">
            <w:pPr>
              <w:jc w:val="center"/>
              <w:rPr>
                <w:bCs/>
                <w:szCs w:val="21"/>
              </w:rPr>
            </w:pPr>
          </w:p>
        </w:tc>
        <w:tc>
          <w:tcPr>
            <w:tcW w:w="578" w:type="pct"/>
            <w:vMerge w:val="continue"/>
            <w:noWrap w:val="0"/>
            <w:vAlign w:val="center"/>
          </w:tcPr>
          <w:p w14:paraId="3CCA71D1">
            <w:pPr>
              <w:jc w:val="center"/>
              <w:rPr>
                <w:bCs/>
                <w:szCs w:val="21"/>
              </w:rPr>
            </w:pPr>
          </w:p>
        </w:tc>
      </w:tr>
      <w:tr w14:paraId="2B5A4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06" w:type="pct"/>
            <w:noWrap w:val="0"/>
            <w:vAlign w:val="center"/>
          </w:tcPr>
          <w:p w14:paraId="0FF56B52">
            <w:pPr>
              <w:jc w:val="center"/>
              <w:rPr>
                <w:rFonts w:hint="eastAsia" w:ascii="宋体" w:hAnsi="宋体" w:cs="宋体"/>
                <w:color w:val="000000"/>
                <w:sz w:val="22"/>
              </w:rPr>
            </w:pPr>
            <w:r>
              <w:rPr>
                <w:rFonts w:hint="eastAsia" w:ascii="宋体" w:hAnsi="宋体" w:cs="宋体"/>
                <w:color w:val="000000"/>
                <w:sz w:val="22"/>
              </w:rPr>
              <w:t>40</w:t>
            </w:r>
          </w:p>
        </w:tc>
        <w:tc>
          <w:tcPr>
            <w:tcW w:w="797" w:type="pct"/>
            <w:shd w:val="clear" w:color="auto" w:fill="auto"/>
            <w:noWrap w:val="0"/>
            <w:vAlign w:val="center"/>
          </w:tcPr>
          <w:p w14:paraId="52F3B369">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穿衣镜收纳柜</w:t>
            </w:r>
          </w:p>
        </w:tc>
        <w:tc>
          <w:tcPr>
            <w:tcW w:w="320" w:type="pct"/>
            <w:shd w:val="clear" w:color="auto" w:fill="auto"/>
            <w:noWrap w:val="0"/>
            <w:vAlign w:val="center"/>
          </w:tcPr>
          <w:p w14:paraId="6AA8568E">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3</w:t>
            </w:r>
          </w:p>
        </w:tc>
        <w:tc>
          <w:tcPr>
            <w:tcW w:w="324" w:type="pct"/>
            <w:shd w:val="clear" w:color="auto" w:fill="auto"/>
            <w:noWrap w:val="0"/>
            <w:vAlign w:val="center"/>
          </w:tcPr>
          <w:p w14:paraId="45F5A45E">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个</w:t>
            </w:r>
          </w:p>
        </w:tc>
        <w:tc>
          <w:tcPr>
            <w:tcW w:w="392" w:type="pct"/>
            <w:shd w:val="clear" w:color="auto" w:fill="auto"/>
            <w:noWrap w:val="0"/>
            <w:vAlign w:val="center"/>
          </w:tcPr>
          <w:p w14:paraId="39EF949E">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1960</w:t>
            </w:r>
          </w:p>
        </w:tc>
        <w:tc>
          <w:tcPr>
            <w:tcW w:w="636" w:type="pct"/>
            <w:shd w:val="clear" w:color="auto" w:fill="auto"/>
            <w:noWrap w:val="0"/>
            <w:vAlign w:val="center"/>
          </w:tcPr>
          <w:p w14:paraId="1B6BE2DC">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5880</w:t>
            </w:r>
          </w:p>
        </w:tc>
        <w:tc>
          <w:tcPr>
            <w:tcW w:w="486" w:type="pct"/>
            <w:vMerge w:val="continue"/>
            <w:noWrap w:val="0"/>
            <w:vAlign w:val="center"/>
          </w:tcPr>
          <w:p w14:paraId="55C6A883">
            <w:pPr>
              <w:jc w:val="center"/>
              <w:rPr>
                <w:b/>
                <w:bCs/>
                <w:color w:val="FF0000"/>
                <w:szCs w:val="21"/>
              </w:rPr>
            </w:pPr>
          </w:p>
        </w:tc>
        <w:tc>
          <w:tcPr>
            <w:tcW w:w="578" w:type="pct"/>
            <w:vMerge w:val="continue"/>
            <w:noWrap w:val="0"/>
            <w:vAlign w:val="center"/>
          </w:tcPr>
          <w:p w14:paraId="04FBD716">
            <w:pPr>
              <w:jc w:val="center"/>
              <w:rPr>
                <w:bCs/>
                <w:szCs w:val="21"/>
              </w:rPr>
            </w:pPr>
          </w:p>
        </w:tc>
        <w:tc>
          <w:tcPr>
            <w:tcW w:w="578" w:type="pct"/>
            <w:vMerge w:val="continue"/>
            <w:noWrap w:val="0"/>
            <w:vAlign w:val="center"/>
          </w:tcPr>
          <w:p w14:paraId="4A9A96E8">
            <w:pPr>
              <w:jc w:val="center"/>
              <w:rPr>
                <w:bCs/>
                <w:szCs w:val="21"/>
              </w:rPr>
            </w:pPr>
          </w:p>
        </w:tc>
        <w:tc>
          <w:tcPr>
            <w:tcW w:w="578" w:type="pct"/>
            <w:vMerge w:val="continue"/>
            <w:noWrap w:val="0"/>
            <w:vAlign w:val="center"/>
          </w:tcPr>
          <w:p w14:paraId="6113D195">
            <w:pPr>
              <w:jc w:val="center"/>
              <w:rPr>
                <w:bCs/>
                <w:szCs w:val="21"/>
              </w:rPr>
            </w:pPr>
          </w:p>
        </w:tc>
      </w:tr>
      <w:tr w14:paraId="0E564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06" w:type="pct"/>
            <w:noWrap w:val="0"/>
            <w:vAlign w:val="center"/>
          </w:tcPr>
          <w:p w14:paraId="689A0478">
            <w:pPr>
              <w:jc w:val="center"/>
              <w:rPr>
                <w:rFonts w:hint="eastAsia" w:ascii="宋体" w:hAnsi="宋体" w:cs="宋体"/>
                <w:color w:val="000000"/>
                <w:sz w:val="22"/>
              </w:rPr>
            </w:pPr>
            <w:r>
              <w:rPr>
                <w:rFonts w:hint="eastAsia" w:ascii="宋体" w:hAnsi="宋体" w:cs="宋体"/>
                <w:color w:val="000000"/>
                <w:sz w:val="22"/>
              </w:rPr>
              <w:t>41</w:t>
            </w:r>
          </w:p>
        </w:tc>
        <w:tc>
          <w:tcPr>
            <w:tcW w:w="797" w:type="pct"/>
            <w:shd w:val="clear" w:color="auto" w:fill="auto"/>
            <w:noWrap w:val="0"/>
            <w:vAlign w:val="center"/>
          </w:tcPr>
          <w:p w14:paraId="20A88A95">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两层五格玩具柜（无背板）</w:t>
            </w:r>
          </w:p>
        </w:tc>
        <w:tc>
          <w:tcPr>
            <w:tcW w:w="320" w:type="pct"/>
            <w:shd w:val="clear" w:color="auto" w:fill="auto"/>
            <w:noWrap w:val="0"/>
            <w:vAlign w:val="center"/>
          </w:tcPr>
          <w:p w14:paraId="782CA131">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3</w:t>
            </w:r>
          </w:p>
        </w:tc>
        <w:tc>
          <w:tcPr>
            <w:tcW w:w="324" w:type="pct"/>
            <w:shd w:val="clear" w:color="auto" w:fill="auto"/>
            <w:noWrap w:val="0"/>
            <w:vAlign w:val="center"/>
          </w:tcPr>
          <w:p w14:paraId="132CA629">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个</w:t>
            </w:r>
          </w:p>
        </w:tc>
        <w:tc>
          <w:tcPr>
            <w:tcW w:w="392" w:type="pct"/>
            <w:shd w:val="clear" w:color="auto" w:fill="auto"/>
            <w:noWrap w:val="0"/>
            <w:vAlign w:val="center"/>
          </w:tcPr>
          <w:p w14:paraId="1E383CD7">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1258</w:t>
            </w:r>
          </w:p>
        </w:tc>
        <w:tc>
          <w:tcPr>
            <w:tcW w:w="636" w:type="pct"/>
            <w:shd w:val="clear" w:color="auto" w:fill="auto"/>
            <w:noWrap w:val="0"/>
            <w:vAlign w:val="center"/>
          </w:tcPr>
          <w:p w14:paraId="14EAE499">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3774</w:t>
            </w:r>
          </w:p>
        </w:tc>
        <w:tc>
          <w:tcPr>
            <w:tcW w:w="486" w:type="pct"/>
            <w:vMerge w:val="continue"/>
            <w:noWrap w:val="0"/>
            <w:vAlign w:val="center"/>
          </w:tcPr>
          <w:p w14:paraId="1C939D80">
            <w:pPr>
              <w:jc w:val="center"/>
              <w:rPr>
                <w:b/>
                <w:bCs/>
                <w:color w:val="FF0000"/>
                <w:szCs w:val="21"/>
              </w:rPr>
            </w:pPr>
          </w:p>
        </w:tc>
        <w:tc>
          <w:tcPr>
            <w:tcW w:w="578" w:type="pct"/>
            <w:vMerge w:val="continue"/>
            <w:noWrap w:val="0"/>
            <w:vAlign w:val="center"/>
          </w:tcPr>
          <w:p w14:paraId="520961BF">
            <w:pPr>
              <w:jc w:val="center"/>
              <w:rPr>
                <w:bCs/>
                <w:szCs w:val="21"/>
              </w:rPr>
            </w:pPr>
          </w:p>
        </w:tc>
        <w:tc>
          <w:tcPr>
            <w:tcW w:w="578" w:type="pct"/>
            <w:vMerge w:val="continue"/>
            <w:noWrap w:val="0"/>
            <w:vAlign w:val="center"/>
          </w:tcPr>
          <w:p w14:paraId="42FAB6A0">
            <w:pPr>
              <w:jc w:val="center"/>
              <w:rPr>
                <w:bCs/>
                <w:szCs w:val="21"/>
              </w:rPr>
            </w:pPr>
          </w:p>
        </w:tc>
        <w:tc>
          <w:tcPr>
            <w:tcW w:w="578" w:type="pct"/>
            <w:vMerge w:val="continue"/>
            <w:noWrap w:val="0"/>
            <w:vAlign w:val="center"/>
          </w:tcPr>
          <w:p w14:paraId="7F305ABB">
            <w:pPr>
              <w:jc w:val="center"/>
              <w:rPr>
                <w:bCs/>
                <w:szCs w:val="21"/>
              </w:rPr>
            </w:pPr>
          </w:p>
        </w:tc>
      </w:tr>
      <w:tr w14:paraId="62B41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06" w:type="pct"/>
            <w:noWrap w:val="0"/>
            <w:vAlign w:val="center"/>
          </w:tcPr>
          <w:p w14:paraId="68A40B16">
            <w:pPr>
              <w:jc w:val="center"/>
              <w:rPr>
                <w:rFonts w:hint="eastAsia" w:ascii="宋体" w:hAnsi="宋体" w:cs="宋体"/>
                <w:color w:val="000000"/>
                <w:sz w:val="22"/>
              </w:rPr>
            </w:pPr>
            <w:r>
              <w:rPr>
                <w:rFonts w:hint="eastAsia" w:ascii="宋体" w:hAnsi="宋体" w:cs="宋体"/>
                <w:color w:val="000000"/>
                <w:sz w:val="22"/>
              </w:rPr>
              <w:t>42</w:t>
            </w:r>
          </w:p>
        </w:tc>
        <w:tc>
          <w:tcPr>
            <w:tcW w:w="797" w:type="pct"/>
            <w:shd w:val="clear" w:color="auto" w:fill="auto"/>
            <w:noWrap w:val="0"/>
            <w:vAlign w:val="center"/>
          </w:tcPr>
          <w:p w14:paraId="2FF3AB44">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美工柜(含万向轮）</w:t>
            </w:r>
          </w:p>
        </w:tc>
        <w:tc>
          <w:tcPr>
            <w:tcW w:w="320" w:type="pct"/>
            <w:shd w:val="clear" w:color="auto" w:fill="auto"/>
            <w:noWrap w:val="0"/>
            <w:vAlign w:val="center"/>
          </w:tcPr>
          <w:p w14:paraId="16DD8565">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1</w:t>
            </w:r>
          </w:p>
        </w:tc>
        <w:tc>
          <w:tcPr>
            <w:tcW w:w="324" w:type="pct"/>
            <w:shd w:val="clear" w:color="auto" w:fill="auto"/>
            <w:noWrap w:val="0"/>
            <w:vAlign w:val="center"/>
          </w:tcPr>
          <w:p w14:paraId="76211130">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个</w:t>
            </w:r>
          </w:p>
        </w:tc>
        <w:tc>
          <w:tcPr>
            <w:tcW w:w="392" w:type="pct"/>
            <w:shd w:val="clear" w:color="auto" w:fill="auto"/>
            <w:noWrap w:val="0"/>
            <w:vAlign w:val="center"/>
          </w:tcPr>
          <w:p w14:paraId="221CB523">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2024</w:t>
            </w:r>
          </w:p>
        </w:tc>
        <w:tc>
          <w:tcPr>
            <w:tcW w:w="636" w:type="pct"/>
            <w:shd w:val="clear" w:color="auto" w:fill="auto"/>
            <w:noWrap w:val="0"/>
            <w:vAlign w:val="center"/>
          </w:tcPr>
          <w:p w14:paraId="2D3FE032">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2024</w:t>
            </w:r>
          </w:p>
        </w:tc>
        <w:tc>
          <w:tcPr>
            <w:tcW w:w="486" w:type="pct"/>
            <w:vMerge w:val="continue"/>
            <w:noWrap w:val="0"/>
            <w:vAlign w:val="center"/>
          </w:tcPr>
          <w:p w14:paraId="65ECEF72">
            <w:pPr>
              <w:jc w:val="center"/>
              <w:rPr>
                <w:b/>
                <w:bCs/>
                <w:color w:val="FF0000"/>
                <w:szCs w:val="21"/>
              </w:rPr>
            </w:pPr>
          </w:p>
        </w:tc>
        <w:tc>
          <w:tcPr>
            <w:tcW w:w="578" w:type="pct"/>
            <w:vMerge w:val="continue"/>
            <w:noWrap w:val="0"/>
            <w:vAlign w:val="center"/>
          </w:tcPr>
          <w:p w14:paraId="2FE5234F">
            <w:pPr>
              <w:jc w:val="center"/>
              <w:rPr>
                <w:bCs/>
                <w:szCs w:val="21"/>
              </w:rPr>
            </w:pPr>
          </w:p>
        </w:tc>
        <w:tc>
          <w:tcPr>
            <w:tcW w:w="578" w:type="pct"/>
            <w:vMerge w:val="continue"/>
            <w:noWrap w:val="0"/>
            <w:vAlign w:val="center"/>
          </w:tcPr>
          <w:p w14:paraId="69CCD009">
            <w:pPr>
              <w:jc w:val="center"/>
              <w:rPr>
                <w:bCs/>
                <w:szCs w:val="21"/>
              </w:rPr>
            </w:pPr>
          </w:p>
        </w:tc>
        <w:tc>
          <w:tcPr>
            <w:tcW w:w="578" w:type="pct"/>
            <w:vMerge w:val="continue"/>
            <w:noWrap w:val="0"/>
            <w:vAlign w:val="center"/>
          </w:tcPr>
          <w:p w14:paraId="0C182583">
            <w:pPr>
              <w:jc w:val="center"/>
              <w:rPr>
                <w:bCs/>
                <w:szCs w:val="21"/>
              </w:rPr>
            </w:pPr>
          </w:p>
        </w:tc>
      </w:tr>
      <w:tr w14:paraId="23AA1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306" w:type="pct"/>
            <w:noWrap w:val="0"/>
            <w:vAlign w:val="center"/>
          </w:tcPr>
          <w:p w14:paraId="66C77767">
            <w:pPr>
              <w:jc w:val="center"/>
              <w:rPr>
                <w:rFonts w:hint="default" w:ascii="宋体" w:hAnsi="宋体" w:eastAsia="宋体" w:cs="宋体"/>
                <w:color w:val="000000"/>
                <w:sz w:val="22"/>
                <w:lang w:val="en-US" w:eastAsia="zh-CN"/>
              </w:rPr>
            </w:pPr>
            <w:r>
              <w:rPr>
                <w:rFonts w:hint="eastAsia" w:ascii="宋体" w:hAnsi="宋体" w:cs="宋体"/>
                <w:color w:val="000000"/>
                <w:sz w:val="22"/>
                <w:lang w:val="en-US" w:eastAsia="zh-CN"/>
              </w:rPr>
              <w:t>合计</w:t>
            </w:r>
          </w:p>
        </w:tc>
        <w:tc>
          <w:tcPr>
            <w:tcW w:w="797" w:type="pct"/>
            <w:shd w:val="clear" w:color="auto" w:fill="auto"/>
            <w:noWrap w:val="0"/>
            <w:vAlign w:val="center"/>
          </w:tcPr>
          <w:p w14:paraId="3AABFC75">
            <w:pPr>
              <w:spacing w:beforeLines="0" w:afterLines="0"/>
              <w:jc w:val="center"/>
              <w:rPr>
                <w:rFonts w:hint="eastAsia" w:ascii="宋体" w:hAnsi="宋体" w:eastAsia="宋体"/>
                <w:color w:val="000000"/>
                <w:sz w:val="22"/>
                <w:szCs w:val="24"/>
                <w:lang w:val="en-US" w:eastAsia="zh-CN"/>
              </w:rPr>
            </w:pPr>
            <w:r>
              <w:rPr>
                <w:rFonts w:hint="eastAsia" w:ascii="宋体" w:hAnsi="宋体"/>
                <w:color w:val="000000"/>
                <w:sz w:val="22"/>
                <w:szCs w:val="24"/>
                <w:lang w:val="en-US" w:eastAsia="zh-CN"/>
              </w:rPr>
              <w:t>/</w:t>
            </w:r>
          </w:p>
        </w:tc>
        <w:tc>
          <w:tcPr>
            <w:tcW w:w="320" w:type="pct"/>
            <w:shd w:val="clear" w:color="auto" w:fill="auto"/>
            <w:noWrap w:val="0"/>
            <w:vAlign w:val="center"/>
          </w:tcPr>
          <w:p w14:paraId="366BDC43">
            <w:pPr>
              <w:spacing w:beforeLines="0" w:afterLines="0"/>
              <w:jc w:val="center"/>
              <w:rPr>
                <w:rFonts w:hint="eastAsia" w:ascii="宋体" w:hAnsi="宋体" w:eastAsia="宋体"/>
                <w:color w:val="000000"/>
                <w:sz w:val="22"/>
                <w:szCs w:val="24"/>
                <w:lang w:val="en-US" w:eastAsia="zh-CN"/>
              </w:rPr>
            </w:pPr>
            <w:r>
              <w:rPr>
                <w:rFonts w:hint="eastAsia" w:ascii="宋体" w:hAnsi="宋体"/>
                <w:color w:val="000000"/>
                <w:sz w:val="22"/>
                <w:szCs w:val="24"/>
                <w:lang w:val="en-US" w:eastAsia="zh-CN"/>
              </w:rPr>
              <w:t>/</w:t>
            </w:r>
          </w:p>
        </w:tc>
        <w:tc>
          <w:tcPr>
            <w:tcW w:w="324" w:type="pct"/>
            <w:shd w:val="clear" w:color="auto" w:fill="auto"/>
            <w:noWrap w:val="0"/>
            <w:vAlign w:val="center"/>
          </w:tcPr>
          <w:p w14:paraId="126D9A44">
            <w:pPr>
              <w:spacing w:beforeLines="0" w:afterLines="0"/>
              <w:jc w:val="center"/>
              <w:rPr>
                <w:rFonts w:hint="eastAsia" w:ascii="宋体" w:hAnsi="宋体" w:eastAsia="宋体"/>
                <w:color w:val="000000"/>
                <w:sz w:val="22"/>
                <w:szCs w:val="24"/>
                <w:lang w:val="en-US" w:eastAsia="zh-CN"/>
              </w:rPr>
            </w:pPr>
            <w:r>
              <w:rPr>
                <w:rFonts w:hint="eastAsia" w:ascii="宋体" w:hAnsi="宋体"/>
                <w:color w:val="000000"/>
                <w:sz w:val="22"/>
                <w:szCs w:val="24"/>
                <w:lang w:val="en-US" w:eastAsia="zh-CN"/>
              </w:rPr>
              <w:t>/</w:t>
            </w:r>
          </w:p>
        </w:tc>
        <w:tc>
          <w:tcPr>
            <w:tcW w:w="392" w:type="pct"/>
            <w:shd w:val="clear" w:color="auto" w:fill="auto"/>
            <w:noWrap w:val="0"/>
            <w:vAlign w:val="center"/>
          </w:tcPr>
          <w:p w14:paraId="795F4862">
            <w:pPr>
              <w:spacing w:beforeLines="0" w:afterLines="0"/>
              <w:jc w:val="center"/>
              <w:rPr>
                <w:rFonts w:hint="eastAsia" w:ascii="宋体" w:hAnsi="宋体" w:eastAsia="宋体"/>
                <w:color w:val="000000"/>
                <w:sz w:val="22"/>
                <w:szCs w:val="24"/>
                <w:lang w:val="en-US" w:eastAsia="zh-CN"/>
              </w:rPr>
            </w:pPr>
            <w:r>
              <w:rPr>
                <w:rFonts w:hint="eastAsia" w:ascii="宋体" w:hAnsi="宋体"/>
                <w:color w:val="000000"/>
                <w:sz w:val="22"/>
                <w:szCs w:val="24"/>
                <w:lang w:val="en-US" w:eastAsia="zh-CN"/>
              </w:rPr>
              <w:t>/</w:t>
            </w:r>
          </w:p>
        </w:tc>
        <w:tc>
          <w:tcPr>
            <w:tcW w:w="636" w:type="pct"/>
            <w:shd w:val="clear" w:color="auto" w:fill="auto"/>
            <w:noWrap w:val="0"/>
            <w:vAlign w:val="center"/>
          </w:tcPr>
          <w:p w14:paraId="1AB4612D">
            <w:pPr>
              <w:spacing w:beforeLines="0" w:afterLines="0"/>
              <w:jc w:val="center"/>
              <w:rPr>
                <w:rFonts w:hint="eastAsia" w:ascii="宋体" w:hAnsi="宋体"/>
                <w:color w:val="000000"/>
                <w:sz w:val="22"/>
                <w:szCs w:val="24"/>
              </w:rPr>
            </w:pPr>
            <w:r>
              <w:rPr>
                <w:rFonts w:hint="eastAsia" w:ascii="宋体" w:hAnsi="宋体" w:cs="宋体"/>
                <w:kern w:val="0"/>
                <w:sz w:val="21"/>
                <w:szCs w:val="21"/>
              </w:rPr>
              <w:t>438321</w:t>
            </w:r>
          </w:p>
        </w:tc>
        <w:tc>
          <w:tcPr>
            <w:tcW w:w="486" w:type="pct"/>
            <w:noWrap w:val="0"/>
            <w:vAlign w:val="center"/>
          </w:tcPr>
          <w:p w14:paraId="00DBF805">
            <w:pPr>
              <w:jc w:val="center"/>
              <w:rPr>
                <w:rFonts w:hint="eastAsia"/>
                <w:b/>
                <w:bCs/>
                <w:color w:val="FF0000"/>
                <w:szCs w:val="21"/>
                <w:lang w:val="en-US" w:eastAsia="zh-CN"/>
              </w:rPr>
            </w:pPr>
          </w:p>
        </w:tc>
        <w:tc>
          <w:tcPr>
            <w:tcW w:w="578" w:type="pct"/>
            <w:noWrap w:val="0"/>
            <w:vAlign w:val="center"/>
          </w:tcPr>
          <w:p w14:paraId="2BA74040">
            <w:pPr>
              <w:jc w:val="center"/>
              <w:rPr>
                <w:bCs/>
                <w:szCs w:val="21"/>
              </w:rPr>
            </w:pPr>
          </w:p>
        </w:tc>
        <w:tc>
          <w:tcPr>
            <w:tcW w:w="578" w:type="pct"/>
            <w:noWrap w:val="0"/>
            <w:vAlign w:val="center"/>
          </w:tcPr>
          <w:p w14:paraId="32440FEA">
            <w:pPr>
              <w:jc w:val="center"/>
              <w:rPr>
                <w:bCs/>
                <w:szCs w:val="21"/>
              </w:rPr>
            </w:pPr>
          </w:p>
        </w:tc>
        <w:tc>
          <w:tcPr>
            <w:tcW w:w="578" w:type="pct"/>
            <w:noWrap w:val="0"/>
            <w:vAlign w:val="center"/>
          </w:tcPr>
          <w:p w14:paraId="6AB1019E">
            <w:pPr>
              <w:jc w:val="center"/>
              <w:rPr>
                <w:bCs/>
                <w:szCs w:val="21"/>
              </w:rPr>
            </w:pPr>
          </w:p>
        </w:tc>
      </w:tr>
    </w:tbl>
    <w:p w14:paraId="109B8796">
      <w:pPr>
        <w:rPr>
          <w:color w:val="FF0000"/>
        </w:rPr>
      </w:pPr>
      <w:r>
        <w:rPr>
          <w:rFonts w:hint="eastAsia"/>
          <w:color w:val="FF0000"/>
        </w:rPr>
        <w:t>备注：</w:t>
      </w:r>
    </w:p>
    <w:p w14:paraId="7D1F461B">
      <w:pPr>
        <w:ind w:firstLine="420" w:firstLineChars="200"/>
        <w:rPr>
          <w:color w:val="FF0000"/>
        </w:rPr>
      </w:pPr>
      <w:r>
        <w:rPr>
          <w:rFonts w:hint="eastAsia"/>
          <w:color w:val="FF0000"/>
        </w:rPr>
        <w:t>1、“备注”栏注明有“接受进口”或“允许进口”的产品允许投标人选用进口产品参与投标，但不排斥国内产品投标；未注明“接受进口”或“允许进口”的产品均不接受进口产品投标。</w:t>
      </w:r>
    </w:p>
    <w:p w14:paraId="5EFCC449">
      <w:pPr>
        <w:ind w:firstLine="420" w:firstLineChars="200"/>
        <w:rPr>
          <w:color w:val="FF0000"/>
        </w:rPr>
      </w:pPr>
      <w:r>
        <w:rPr>
          <w:rFonts w:hint="eastAsia"/>
          <w:color w:val="FF0000"/>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14:paraId="18EAFFF5">
      <w:pPr>
        <w:ind w:firstLine="420" w:firstLineChars="200"/>
        <w:rPr>
          <w:color w:val="FF0000"/>
        </w:rPr>
      </w:pPr>
      <w:r>
        <w:rPr>
          <w:rFonts w:hint="eastAsia"/>
          <w:color w:val="FF0000"/>
        </w:rPr>
        <w:t>3、如注明有单价控制金额的产品，投标人对该产品的报价不得超过控制金额，否则将作投标无效处理。</w:t>
      </w:r>
    </w:p>
    <w:p w14:paraId="0FD09C04">
      <w:pPr>
        <w:ind w:firstLine="420" w:firstLineChars="200"/>
        <w:rPr>
          <w:color w:val="FF0000"/>
        </w:rPr>
      </w:pPr>
      <w:r>
        <w:rPr>
          <w:rFonts w:hint="eastAsia"/>
          <w:color w:val="FF0000"/>
        </w:rPr>
        <w:t>4、根据《政府采购货物和服务招标投标管理办法》（财政部令第87号）第三十一条规定，单一产品项目或非单一产品项目中的核心产品均应明确品牌，投标人未填报品牌的将作投标无效处理。</w:t>
      </w:r>
    </w:p>
    <w:p w14:paraId="4983A6B7">
      <w:pPr>
        <w:pStyle w:val="3"/>
        <w:jc w:val="center"/>
      </w:pPr>
      <w:bookmarkStart w:id="14" w:name="_Toc128884461"/>
      <w:r>
        <w:rPr>
          <w:rFonts w:hint="eastAsia"/>
        </w:rPr>
        <w:t>三、实质性条款</w:t>
      </w:r>
    </w:p>
    <w:tbl>
      <w:tblPr>
        <w:tblStyle w:val="17"/>
        <w:tblW w:w="8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7483"/>
      </w:tblGrid>
      <w:tr w14:paraId="0BE86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05" w:type="dxa"/>
            <w:vAlign w:val="center"/>
          </w:tcPr>
          <w:p w14:paraId="48F50317">
            <w:r>
              <w:rPr>
                <w:rFonts w:hint="eastAsia"/>
              </w:rPr>
              <w:t>序号</w:t>
            </w:r>
          </w:p>
        </w:tc>
        <w:tc>
          <w:tcPr>
            <w:tcW w:w="7483" w:type="dxa"/>
            <w:vAlign w:val="center"/>
          </w:tcPr>
          <w:p w14:paraId="475955FD">
            <w:pPr>
              <w:jc w:val="center"/>
            </w:pPr>
            <w:r>
              <w:rPr>
                <w:rFonts w:hint="eastAsia"/>
              </w:rPr>
              <w:t>实质性条款具体内容</w:t>
            </w:r>
          </w:p>
        </w:tc>
      </w:tr>
      <w:tr w14:paraId="15DB2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5" w:type="dxa"/>
          </w:tcPr>
          <w:p w14:paraId="57EDBF73">
            <w:pPr>
              <w:jc w:val="center"/>
            </w:pPr>
            <w:r>
              <w:rPr>
                <w:rFonts w:hint="eastAsia"/>
              </w:rPr>
              <w:t>1</w:t>
            </w:r>
          </w:p>
        </w:tc>
        <w:tc>
          <w:tcPr>
            <w:tcW w:w="7483" w:type="dxa"/>
          </w:tcPr>
          <w:p w14:paraId="0719571F">
            <w:pPr>
              <w:jc w:val="center"/>
            </w:pPr>
            <w:r>
              <w:rPr>
                <w:rFonts w:hint="eastAsia"/>
              </w:rPr>
              <w:t>本项目招标文件中所有带★号条款内容</w:t>
            </w:r>
          </w:p>
        </w:tc>
      </w:tr>
      <w:bookmarkEnd w:id="14"/>
    </w:tbl>
    <w:p w14:paraId="1597F95D">
      <w:pPr>
        <w:rPr>
          <w:b/>
          <w:color w:val="FF0000"/>
        </w:rPr>
      </w:pPr>
      <w:r>
        <w:rPr>
          <w:rFonts w:hint="eastAsia"/>
          <w:b/>
          <w:color w:val="FF0000"/>
        </w:rPr>
        <w:t>注</w:t>
      </w:r>
      <w:r>
        <w:rPr>
          <w:rFonts w:hint="eastAsia"/>
        </w:rPr>
        <w:t>：</w:t>
      </w:r>
      <w:r>
        <w:rPr>
          <w:rFonts w:hint="eastAsia"/>
          <w:b/>
          <w:color w:val="FF0000"/>
        </w:rPr>
        <w:t>上表所列内容为不可负偏离条款，负偏离将视为未实质性满足招标文件要求，作投标无效处理。投标人是否满足以上实质性条款要求，以《实质性条款响应情况表》响应为准。如投标人中标后被发现不能满足以上实质性条款要求的，采购单位有权拒绝签订合同，一切后果由投标人承担。</w:t>
      </w:r>
    </w:p>
    <w:p w14:paraId="1B951543">
      <w:pPr>
        <w:keepNext/>
        <w:keepLines/>
        <w:tabs>
          <w:tab w:val="left" w:pos="1680"/>
        </w:tabs>
        <w:spacing w:before="260" w:after="78" w:afterLines="25"/>
        <w:jc w:val="center"/>
        <w:outlineLvl w:val="2"/>
        <w:rPr>
          <w:rFonts w:ascii="Arial" w:hAnsi="Arial" w:eastAsia="宋体" w:cs="Times New Roman"/>
          <w:b/>
          <w:bCs/>
          <w:color w:val="FF0000"/>
          <w:sz w:val="32"/>
          <w:szCs w:val="32"/>
        </w:rPr>
      </w:pPr>
      <w:r>
        <w:rPr>
          <w:rFonts w:hint="eastAsia"/>
          <w:b/>
          <w:color w:val="FF0000"/>
          <w:sz w:val="32"/>
          <w:szCs w:val="32"/>
        </w:rPr>
        <w:t>四</w:t>
      </w:r>
      <w:r>
        <w:rPr>
          <w:rFonts w:hint="eastAsia" w:ascii="Arial" w:hAnsi="Arial" w:eastAsia="宋体" w:cs="Times New Roman"/>
          <w:b/>
          <w:bCs/>
          <w:color w:val="FF0000"/>
          <w:sz w:val="32"/>
          <w:szCs w:val="32"/>
        </w:rPr>
        <w:t>、商务和服务条款要求</w:t>
      </w:r>
    </w:p>
    <w:p w14:paraId="6BD8D1B3">
      <w:pPr>
        <w:ind w:firstLine="422" w:firstLineChars="200"/>
        <w:rPr>
          <w:b/>
        </w:rPr>
      </w:pPr>
      <w:r>
        <w:rPr>
          <w:rFonts w:hint="eastAsia"/>
          <w:b/>
          <w:szCs w:val="21"/>
        </w:rPr>
        <w:t>说明：</w:t>
      </w:r>
      <w:r>
        <w:rPr>
          <w:b/>
        </w:rPr>
        <w:t>1</w:t>
      </w:r>
      <w:r>
        <w:rPr>
          <w:rFonts w:hint="eastAsia"/>
          <w:b/>
        </w:rPr>
        <w:t>、评分时，如对一项招标商务要求（以划分框为准）中的内容存在两处（或以上）负偏离的，在评分时只作一项负偏离扣分。</w:t>
      </w:r>
    </w:p>
    <w:p w14:paraId="16ECF942">
      <w:pPr>
        <w:numPr>
          <w:ilvl w:val="0"/>
          <w:numId w:val="2"/>
        </w:numPr>
        <w:ind w:firstLine="422" w:firstLineChars="200"/>
        <w:rPr>
          <w:rFonts w:hint="eastAsia"/>
          <w:b/>
          <w:szCs w:val="21"/>
        </w:rPr>
      </w:pPr>
      <w:r>
        <w:rPr>
          <w:rFonts w:hint="eastAsia"/>
          <w:b/>
          <w:szCs w:val="21"/>
        </w:rPr>
        <w:t>带★号条款为不可偏离条款，不作为评分准则中的评分内容，如未响应或出现负偏离的，将作投标无效处理；带“</w:t>
      </w:r>
      <w:r>
        <w:t>▲</w:t>
      </w:r>
      <w:r>
        <w:rPr>
          <w:rFonts w:hint="eastAsia"/>
          <w:b/>
          <w:szCs w:val="21"/>
        </w:rPr>
        <w:t>”指标项为重要参数，负偏离时依相关评分准则内容作重点扣分处理。</w:t>
      </w:r>
    </w:p>
    <w:tbl>
      <w:tblPr>
        <w:tblStyle w:val="17"/>
        <w:tblW w:w="8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710"/>
        <w:gridCol w:w="5855"/>
      </w:tblGrid>
      <w:tr w14:paraId="1EFB9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09" w:type="dxa"/>
            <w:noWrap w:val="0"/>
            <w:vAlign w:val="center"/>
          </w:tcPr>
          <w:p w14:paraId="4D29647B">
            <w:pPr>
              <w:jc w:val="center"/>
              <w:rPr>
                <w:b/>
              </w:rPr>
            </w:pPr>
            <w:r>
              <w:rPr>
                <w:rFonts w:hint="eastAsia"/>
                <w:b/>
              </w:rPr>
              <w:t>序号</w:t>
            </w:r>
          </w:p>
        </w:tc>
        <w:tc>
          <w:tcPr>
            <w:tcW w:w="1710" w:type="dxa"/>
            <w:noWrap w:val="0"/>
            <w:vAlign w:val="center"/>
          </w:tcPr>
          <w:p w14:paraId="092D330E">
            <w:pPr>
              <w:jc w:val="center"/>
              <w:rPr>
                <w:b/>
              </w:rPr>
            </w:pPr>
            <w:r>
              <w:rPr>
                <w:rFonts w:hint="eastAsia"/>
                <w:b/>
              </w:rPr>
              <w:t>目录</w:t>
            </w:r>
          </w:p>
        </w:tc>
        <w:tc>
          <w:tcPr>
            <w:tcW w:w="5855" w:type="dxa"/>
            <w:noWrap w:val="0"/>
            <w:vAlign w:val="center"/>
          </w:tcPr>
          <w:p w14:paraId="0563E069">
            <w:pPr>
              <w:jc w:val="center"/>
              <w:rPr>
                <w:b/>
              </w:rPr>
            </w:pPr>
            <w:r>
              <w:rPr>
                <w:rFonts w:hint="eastAsia"/>
                <w:b/>
              </w:rPr>
              <w:t>采购商务需求</w:t>
            </w:r>
          </w:p>
        </w:tc>
      </w:tr>
      <w:tr w14:paraId="2ED9A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474" w:type="dxa"/>
            <w:gridSpan w:val="3"/>
            <w:noWrap w:val="0"/>
            <w:vAlign w:val="center"/>
          </w:tcPr>
          <w:p w14:paraId="7B08D3F6">
            <w:pPr>
              <w:jc w:val="center"/>
              <w:rPr>
                <w:b/>
              </w:rPr>
            </w:pPr>
            <w:r>
              <w:rPr>
                <w:rFonts w:hint="eastAsia"/>
                <w:b/>
              </w:rPr>
              <w:t>（一）免费保修期内售后服务要求</w:t>
            </w:r>
          </w:p>
        </w:tc>
      </w:tr>
      <w:tr w14:paraId="02DF7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jc w:val="center"/>
        </w:trPr>
        <w:tc>
          <w:tcPr>
            <w:tcW w:w="909" w:type="dxa"/>
            <w:noWrap w:val="0"/>
            <w:vAlign w:val="center"/>
          </w:tcPr>
          <w:p w14:paraId="0A03B872">
            <w:pPr>
              <w:jc w:val="center"/>
              <w:rPr>
                <w:b/>
              </w:rPr>
            </w:pPr>
            <w:r>
              <w:rPr>
                <w:rFonts w:hint="eastAsia"/>
                <w:b/>
              </w:rPr>
              <w:t>1</w:t>
            </w:r>
          </w:p>
        </w:tc>
        <w:tc>
          <w:tcPr>
            <w:tcW w:w="1710" w:type="dxa"/>
            <w:noWrap w:val="0"/>
            <w:vAlign w:val="center"/>
          </w:tcPr>
          <w:p w14:paraId="7D242CF5">
            <w:pPr>
              <w:jc w:val="center"/>
              <w:rPr>
                <w:color w:val="FF0000"/>
              </w:rPr>
            </w:pPr>
            <w:r>
              <w:rPr>
                <w:rFonts w:hint="eastAsia"/>
                <w:color w:val="FF0000"/>
              </w:rPr>
              <w:t>免费保修期</w:t>
            </w:r>
          </w:p>
        </w:tc>
        <w:tc>
          <w:tcPr>
            <w:tcW w:w="5855" w:type="dxa"/>
            <w:noWrap w:val="0"/>
            <w:vAlign w:val="top"/>
          </w:tcPr>
          <w:p w14:paraId="3C0720A4">
            <w:pPr>
              <w:rPr>
                <w:b/>
                <w:color w:val="FF0000"/>
              </w:rPr>
            </w:pPr>
            <w:r>
              <w:rPr>
                <w:rFonts w:hint="eastAsia" w:ascii="宋体" w:hAnsi="宋体" w:cs="宋体"/>
                <w:color w:val="FF0000"/>
                <w:szCs w:val="21"/>
              </w:rPr>
              <w:t>★</w:t>
            </w:r>
            <w:r>
              <w:rPr>
                <w:rFonts w:hint="eastAsia"/>
                <w:bCs/>
                <w:color w:val="FF0000"/>
                <w:szCs w:val="21"/>
              </w:rPr>
              <w:t>货物免费保修期至少</w:t>
            </w:r>
            <w:r>
              <w:rPr>
                <w:rFonts w:hint="eastAsia" w:ascii="宋体" w:hAnsi="宋体" w:cs="宋体"/>
                <w:bCs/>
                <w:color w:val="FF0000"/>
                <w:szCs w:val="21"/>
                <w:u w:val="single"/>
              </w:rPr>
              <w:t xml:space="preserve"> 3 </w:t>
            </w:r>
            <w:r>
              <w:rPr>
                <w:rFonts w:hint="eastAsia"/>
                <w:bCs/>
                <w:color w:val="FF0000"/>
                <w:szCs w:val="21"/>
              </w:rPr>
              <w:t>年，时间自最终验收合格并交付使用之日起计算。</w:t>
            </w:r>
          </w:p>
        </w:tc>
      </w:tr>
      <w:tr w14:paraId="1BDE0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909" w:type="dxa"/>
            <w:noWrap w:val="0"/>
            <w:vAlign w:val="center"/>
          </w:tcPr>
          <w:p w14:paraId="3B1A7069">
            <w:pPr>
              <w:jc w:val="center"/>
              <w:rPr>
                <w:b/>
              </w:rPr>
            </w:pPr>
            <w:r>
              <w:rPr>
                <w:rFonts w:hint="eastAsia"/>
                <w:b/>
              </w:rPr>
              <w:t>2</w:t>
            </w:r>
          </w:p>
        </w:tc>
        <w:tc>
          <w:tcPr>
            <w:tcW w:w="1710" w:type="dxa"/>
            <w:noWrap w:val="0"/>
            <w:vAlign w:val="center"/>
          </w:tcPr>
          <w:p w14:paraId="3BB6798C">
            <w:pPr>
              <w:jc w:val="center"/>
            </w:pPr>
            <w:r>
              <w:rPr>
                <w:rFonts w:hint="eastAsia"/>
              </w:rPr>
              <w:t>维修响应及故障解决时间</w:t>
            </w:r>
          </w:p>
        </w:tc>
        <w:tc>
          <w:tcPr>
            <w:tcW w:w="5855" w:type="dxa"/>
            <w:noWrap w:val="0"/>
            <w:vAlign w:val="top"/>
          </w:tcPr>
          <w:p w14:paraId="4475191C">
            <w:pPr>
              <w:rPr>
                <w:b/>
              </w:rPr>
            </w:pPr>
            <w:r>
              <w:rPr>
                <w:rFonts w:hint="eastAsia"/>
                <w:bCs/>
                <w:szCs w:val="21"/>
              </w:rPr>
              <w:t>投标人承诺中标后，在保修期内，一旦发生质量问题，投标人保证在接到通知24小时内赶到现场进行修理或更换。</w:t>
            </w:r>
          </w:p>
        </w:tc>
      </w:tr>
      <w:tr w14:paraId="504FA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909" w:type="dxa"/>
            <w:noWrap w:val="0"/>
            <w:vAlign w:val="center"/>
          </w:tcPr>
          <w:p w14:paraId="3647013A">
            <w:pPr>
              <w:jc w:val="center"/>
              <w:rPr>
                <w:b/>
              </w:rPr>
            </w:pPr>
            <w:r>
              <w:rPr>
                <w:rFonts w:hint="eastAsia"/>
                <w:b/>
              </w:rPr>
              <w:t>3</w:t>
            </w:r>
          </w:p>
        </w:tc>
        <w:tc>
          <w:tcPr>
            <w:tcW w:w="1710" w:type="dxa"/>
            <w:noWrap w:val="0"/>
            <w:vAlign w:val="center"/>
          </w:tcPr>
          <w:p w14:paraId="6CBBE14E">
            <w:pPr>
              <w:jc w:val="center"/>
              <w:rPr>
                <w:b/>
              </w:rPr>
            </w:pPr>
            <w:r>
              <w:rPr>
                <w:rFonts w:hint="eastAsia"/>
              </w:rPr>
              <w:t>其他</w:t>
            </w:r>
          </w:p>
        </w:tc>
        <w:tc>
          <w:tcPr>
            <w:tcW w:w="5855" w:type="dxa"/>
            <w:noWrap w:val="0"/>
            <w:vAlign w:val="center"/>
          </w:tcPr>
          <w:p w14:paraId="0CF1EF7F">
            <w:pPr>
              <w:rPr>
                <w:b/>
              </w:rPr>
            </w:pPr>
            <w:r>
              <w:rPr>
                <w:rFonts w:hint="eastAsia"/>
                <w:bCs/>
                <w:szCs w:val="21"/>
              </w:rPr>
              <w:t>投标人中标后，应按其投标文件中的承诺，进行其他售后服务工作。</w:t>
            </w:r>
          </w:p>
        </w:tc>
      </w:tr>
      <w:tr w14:paraId="03D0B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8474" w:type="dxa"/>
            <w:gridSpan w:val="3"/>
            <w:noWrap w:val="0"/>
            <w:vAlign w:val="center"/>
          </w:tcPr>
          <w:p w14:paraId="6F61DF20">
            <w:pPr>
              <w:jc w:val="center"/>
              <w:rPr>
                <w:b/>
              </w:rPr>
            </w:pPr>
            <w:r>
              <w:rPr>
                <w:rFonts w:hint="eastAsia"/>
                <w:b/>
              </w:rPr>
              <w:t>（</w:t>
            </w:r>
            <w:r>
              <w:rPr>
                <w:rFonts w:hint="eastAsia"/>
                <w:b/>
                <w:lang w:eastAsia="zh-CN"/>
              </w:rPr>
              <w:t>二</w:t>
            </w:r>
            <w:r>
              <w:rPr>
                <w:rFonts w:hint="eastAsia"/>
                <w:b/>
              </w:rPr>
              <w:t>）其他商务要求</w:t>
            </w:r>
          </w:p>
        </w:tc>
      </w:tr>
      <w:tr w14:paraId="2CAF8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909" w:type="dxa"/>
            <w:vMerge w:val="restart"/>
            <w:noWrap w:val="0"/>
            <w:vAlign w:val="center"/>
          </w:tcPr>
          <w:p w14:paraId="1562B8A7">
            <w:pPr>
              <w:jc w:val="center"/>
              <w:rPr>
                <w:b/>
              </w:rPr>
            </w:pPr>
            <w:r>
              <w:rPr>
                <w:rFonts w:hint="eastAsia"/>
                <w:b/>
              </w:rPr>
              <w:t>1</w:t>
            </w:r>
          </w:p>
        </w:tc>
        <w:tc>
          <w:tcPr>
            <w:tcW w:w="1710" w:type="dxa"/>
            <w:vMerge w:val="restart"/>
            <w:noWrap w:val="0"/>
            <w:vAlign w:val="center"/>
          </w:tcPr>
          <w:p w14:paraId="390F1C37">
            <w:pPr>
              <w:jc w:val="center"/>
              <w:rPr>
                <w:color w:val="FF0000"/>
              </w:rPr>
            </w:pPr>
            <w:r>
              <w:rPr>
                <w:rFonts w:hint="eastAsia"/>
                <w:color w:val="FF0000"/>
              </w:rPr>
              <w:t>关于交货</w:t>
            </w:r>
          </w:p>
        </w:tc>
        <w:tc>
          <w:tcPr>
            <w:tcW w:w="5855" w:type="dxa"/>
            <w:noWrap w:val="0"/>
            <w:vAlign w:val="top"/>
          </w:tcPr>
          <w:p w14:paraId="65057817">
            <w:pPr>
              <w:rPr>
                <w:b/>
                <w:color w:val="FF0000"/>
              </w:rPr>
            </w:pPr>
            <w:r>
              <w:rPr>
                <w:rFonts w:hint="eastAsia"/>
                <w:bCs/>
                <w:color w:val="FF0000"/>
                <w:szCs w:val="21"/>
              </w:rPr>
              <w:t>1.1</w:t>
            </w:r>
            <w:r>
              <w:rPr>
                <w:rFonts w:hint="eastAsia" w:ascii="宋体" w:hAnsi="宋体" w:cs="宋体"/>
                <w:color w:val="FF0000"/>
                <w:szCs w:val="21"/>
              </w:rPr>
              <w:t>★</w:t>
            </w:r>
            <w:r>
              <w:rPr>
                <w:rFonts w:hint="eastAsia"/>
                <w:bCs/>
                <w:color w:val="FF0000"/>
                <w:szCs w:val="21"/>
              </w:rPr>
              <w:t>签订合同后</w:t>
            </w:r>
            <w:r>
              <w:rPr>
                <w:rFonts w:hint="eastAsia"/>
                <w:bCs/>
                <w:color w:val="FF0000"/>
                <w:szCs w:val="21"/>
                <w:u w:val="single"/>
                <w:lang w:val="en-US" w:eastAsia="zh-CN"/>
              </w:rPr>
              <w:t>30</w:t>
            </w:r>
            <w:r>
              <w:rPr>
                <w:rFonts w:hint="eastAsia"/>
                <w:bCs/>
                <w:color w:val="FF0000"/>
                <w:szCs w:val="21"/>
              </w:rPr>
              <w:t>天（日历日）内。</w:t>
            </w:r>
          </w:p>
        </w:tc>
      </w:tr>
      <w:tr w14:paraId="7EBE7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909" w:type="dxa"/>
            <w:vMerge w:val="continue"/>
            <w:noWrap w:val="0"/>
            <w:vAlign w:val="center"/>
          </w:tcPr>
          <w:p w14:paraId="0E4AC7BB">
            <w:pPr>
              <w:jc w:val="center"/>
              <w:rPr>
                <w:b/>
              </w:rPr>
            </w:pPr>
          </w:p>
        </w:tc>
        <w:tc>
          <w:tcPr>
            <w:tcW w:w="1710" w:type="dxa"/>
            <w:vMerge w:val="continue"/>
            <w:noWrap w:val="0"/>
            <w:vAlign w:val="center"/>
          </w:tcPr>
          <w:p w14:paraId="0CC63048">
            <w:pPr>
              <w:jc w:val="center"/>
            </w:pPr>
          </w:p>
        </w:tc>
        <w:tc>
          <w:tcPr>
            <w:tcW w:w="5855" w:type="dxa"/>
            <w:noWrap w:val="0"/>
            <w:vAlign w:val="top"/>
          </w:tcPr>
          <w:p w14:paraId="75F31865">
            <w:pPr>
              <w:rPr>
                <w:bCs/>
                <w:szCs w:val="21"/>
              </w:rPr>
            </w:pPr>
            <w:r>
              <w:rPr>
                <w:rFonts w:hint="eastAsia"/>
                <w:bCs/>
                <w:szCs w:val="21"/>
              </w:rPr>
              <w:t>1.2投标人中标后，必须承担设备运输、安装调试、验收检测和提供设备操作说明书、图纸等其他类似的义务。</w:t>
            </w:r>
          </w:p>
        </w:tc>
      </w:tr>
      <w:tr w14:paraId="53E4F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909" w:type="dxa"/>
            <w:vMerge w:val="restart"/>
            <w:noWrap w:val="0"/>
            <w:vAlign w:val="center"/>
          </w:tcPr>
          <w:p w14:paraId="2BDB064B">
            <w:pPr>
              <w:jc w:val="center"/>
              <w:rPr>
                <w:b/>
              </w:rPr>
            </w:pPr>
            <w:r>
              <w:rPr>
                <w:rFonts w:hint="eastAsia"/>
                <w:b/>
              </w:rPr>
              <w:t>2</w:t>
            </w:r>
          </w:p>
        </w:tc>
        <w:tc>
          <w:tcPr>
            <w:tcW w:w="1710" w:type="dxa"/>
            <w:vMerge w:val="restart"/>
            <w:noWrap w:val="0"/>
            <w:vAlign w:val="center"/>
          </w:tcPr>
          <w:p w14:paraId="231866D9">
            <w:pPr>
              <w:jc w:val="center"/>
            </w:pPr>
            <w:r>
              <w:rPr>
                <w:rFonts w:hint="eastAsia"/>
              </w:rPr>
              <w:t>关于验收</w:t>
            </w:r>
          </w:p>
        </w:tc>
        <w:tc>
          <w:tcPr>
            <w:tcW w:w="5855" w:type="dxa"/>
            <w:noWrap w:val="0"/>
            <w:vAlign w:val="top"/>
          </w:tcPr>
          <w:p w14:paraId="52B08B07">
            <w:pPr>
              <w:spacing w:line="340" w:lineRule="exact"/>
              <w:rPr>
                <w:bCs/>
                <w:szCs w:val="21"/>
              </w:rPr>
            </w:pPr>
            <w:r>
              <w:rPr>
                <w:rFonts w:hint="eastAsia"/>
                <w:bCs/>
                <w:szCs w:val="21"/>
              </w:rPr>
              <w:t>2.1投标人中标后，其货物经过双方检验认可后，签署验收报告，产品保修期自验收合格之日起算，由投标人提供产品保修文件。</w:t>
            </w:r>
          </w:p>
        </w:tc>
      </w:tr>
      <w:tr w14:paraId="46B56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909" w:type="dxa"/>
            <w:vMerge w:val="continue"/>
            <w:noWrap w:val="0"/>
            <w:vAlign w:val="center"/>
          </w:tcPr>
          <w:p w14:paraId="42C5602E">
            <w:pPr>
              <w:jc w:val="center"/>
              <w:rPr>
                <w:b/>
              </w:rPr>
            </w:pPr>
          </w:p>
        </w:tc>
        <w:tc>
          <w:tcPr>
            <w:tcW w:w="1710" w:type="dxa"/>
            <w:vMerge w:val="continue"/>
            <w:noWrap w:val="0"/>
            <w:vAlign w:val="center"/>
          </w:tcPr>
          <w:p w14:paraId="1FE36FF0">
            <w:pPr>
              <w:jc w:val="center"/>
              <w:rPr>
                <w:b/>
              </w:rPr>
            </w:pPr>
          </w:p>
        </w:tc>
        <w:tc>
          <w:tcPr>
            <w:tcW w:w="5855" w:type="dxa"/>
            <w:noWrap w:val="0"/>
            <w:vAlign w:val="top"/>
          </w:tcPr>
          <w:p w14:paraId="2DD187CE">
            <w:pPr>
              <w:spacing w:line="340" w:lineRule="exact"/>
              <w:rPr>
                <w:bCs/>
                <w:szCs w:val="21"/>
              </w:rPr>
            </w:pPr>
            <w:r>
              <w:rPr>
                <w:rFonts w:hint="eastAsia"/>
                <w:bCs/>
                <w:szCs w:val="21"/>
              </w:rPr>
              <w:t>2.2投标人中标后，当满足以下条件时，采购人才向投标人签发货物验收报告：</w:t>
            </w:r>
          </w:p>
          <w:p w14:paraId="3DDAD7FD">
            <w:pPr>
              <w:tabs>
                <w:tab w:val="left" w:pos="1260"/>
              </w:tabs>
              <w:spacing w:line="340" w:lineRule="exact"/>
              <w:rPr>
                <w:bCs/>
                <w:szCs w:val="21"/>
              </w:rPr>
            </w:pPr>
            <w:r>
              <w:rPr>
                <w:bCs/>
                <w:szCs w:val="21"/>
              </w:rPr>
              <w:t>a</w:t>
            </w:r>
            <w:r>
              <w:rPr>
                <w:rFonts w:hint="eastAsia"/>
                <w:bCs/>
                <w:szCs w:val="21"/>
              </w:rPr>
              <w:t>、投标人已按照合同规定提供了全部产品及完整的技术资料。</w:t>
            </w:r>
          </w:p>
          <w:p w14:paraId="4B19F8EE">
            <w:pPr>
              <w:tabs>
                <w:tab w:val="left" w:pos="1260"/>
              </w:tabs>
              <w:spacing w:line="340" w:lineRule="exact"/>
              <w:rPr>
                <w:bCs/>
                <w:szCs w:val="21"/>
              </w:rPr>
            </w:pPr>
            <w:r>
              <w:rPr>
                <w:bCs/>
                <w:szCs w:val="21"/>
              </w:rPr>
              <w:t>b</w:t>
            </w:r>
            <w:r>
              <w:rPr>
                <w:rFonts w:hint="eastAsia"/>
                <w:bCs/>
                <w:szCs w:val="21"/>
              </w:rPr>
              <w:t>、货物符合采购文件技术规格书的要求，性能满足要求。</w:t>
            </w:r>
          </w:p>
          <w:p w14:paraId="046038AC">
            <w:pPr>
              <w:tabs>
                <w:tab w:val="left" w:pos="1260"/>
              </w:tabs>
              <w:spacing w:line="340" w:lineRule="exact"/>
              <w:rPr>
                <w:bCs/>
                <w:szCs w:val="21"/>
              </w:rPr>
            </w:pPr>
            <w:r>
              <w:rPr>
                <w:bCs/>
                <w:szCs w:val="21"/>
              </w:rPr>
              <w:t>c</w:t>
            </w:r>
            <w:r>
              <w:rPr>
                <w:rFonts w:hint="eastAsia"/>
                <w:bCs/>
                <w:szCs w:val="21"/>
              </w:rPr>
              <w:t>、货物具备产品合格证。</w:t>
            </w:r>
          </w:p>
        </w:tc>
      </w:tr>
      <w:tr w14:paraId="27BC3D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909" w:type="dxa"/>
            <w:vMerge w:val="restart"/>
            <w:noWrap w:val="0"/>
            <w:vAlign w:val="center"/>
          </w:tcPr>
          <w:p w14:paraId="2A919A08">
            <w:pPr>
              <w:jc w:val="center"/>
              <w:rPr>
                <w:rFonts w:hint="eastAsia"/>
                <w:bCs/>
              </w:rPr>
            </w:pPr>
            <w:r>
              <w:rPr>
                <w:rFonts w:hint="eastAsia"/>
                <w:bCs/>
              </w:rPr>
              <w:t>3</w:t>
            </w:r>
          </w:p>
        </w:tc>
        <w:tc>
          <w:tcPr>
            <w:tcW w:w="1710" w:type="dxa"/>
            <w:vMerge w:val="restart"/>
            <w:noWrap w:val="0"/>
            <w:vAlign w:val="center"/>
          </w:tcPr>
          <w:p w14:paraId="0A791F62">
            <w:pPr>
              <w:jc w:val="center"/>
              <w:rPr>
                <w:rFonts w:hint="eastAsia"/>
                <w:bCs/>
              </w:rPr>
            </w:pPr>
            <w:r>
              <w:rPr>
                <w:rFonts w:hint="eastAsia"/>
                <w:bCs/>
              </w:rPr>
              <w:t>违约责任</w:t>
            </w:r>
          </w:p>
        </w:tc>
        <w:tc>
          <w:tcPr>
            <w:tcW w:w="5855" w:type="dxa"/>
            <w:noWrap w:val="0"/>
            <w:vAlign w:val="top"/>
          </w:tcPr>
          <w:p w14:paraId="7202F4B3">
            <w:pPr>
              <w:spacing w:line="340" w:lineRule="exact"/>
              <w:rPr>
                <w:rFonts w:hint="eastAsia" w:ascii="宋体" w:hAnsi="宋体" w:cs="宋体"/>
                <w:bCs/>
                <w:szCs w:val="21"/>
              </w:rPr>
            </w:pPr>
            <w:r>
              <w:rPr>
                <w:rFonts w:hint="eastAsia"/>
              </w:rPr>
              <w:t>3.1如</w:t>
            </w:r>
            <w:r>
              <w:rPr>
                <w:rFonts w:hint="eastAsia"/>
                <w:bCs/>
                <w:szCs w:val="21"/>
              </w:rPr>
              <w:t>投标人中标后</w:t>
            </w:r>
            <w:r>
              <w:rPr>
                <w:rFonts w:hint="eastAsia"/>
              </w:rPr>
              <w:t>未按照投标文件中承诺的时间交货或提供服务，</w:t>
            </w:r>
            <w:r>
              <w:rPr>
                <w:rFonts w:hint="eastAsia"/>
                <w:bCs/>
                <w:szCs w:val="21"/>
              </w:rPr>
              <w:t>投标人</w:t>
            </w:r>
            <w:r>
              <w:rPr>
                <w:rFonts w:hint="eastAsia"/>
              </w:rPr>
              <w:t>应承担延期交货和延期服务的违约责任，并赔偿采购人因此造成的实际经济损失，采购人有权终止合同。</w:t>
            </w:r>
          </w:p>
        </w:tc>
      </w:tr>
      <w:tr w14:paraId="557CA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909" w:type="dxa"/>
            <w:vMerge w:val="continue"/>
            <w:noWrap w:val="0"/>
            <w:vAlign w:val="center"/>
          </w:tcPr>
          <w:p w14:paraId="20EC24FE">
            <w:pPr>
              <w:jc w:val="center"/>
              <w:rPr>
                <w:rFonts w:hint="eastAsia"/>
                <w:bCs/>
              </w:rPr>
            </w:pPr>
          </w:p>
        </w:tc>
        <w:tc>
          <w:tcPr>
            <w:tcW w:w="1710" w:type="dxa"/>
            <w:vMerge w:val="continue"/>
            <w:noWrap w:val="0"/>
            <w:vAlign w:val="center"/>
          </w:tcPr>
          <w:p w14:paraId="5ACDD076">
            <w:pPr>
              <w:jc w:val="center"/>
              <w:rPr>
                <w:rFonts w:hint="eastAsia"/>
                <w:bCs/>
              </w:rPr>
            </w:pPr>
          </w:p>
        </w:tc>
        <w:tc>
          <w:tcPr>
            <w:tcW w:w="5855" w:type="dxa"/>
            <w:noWrap w:val="0"/>
            <w:vAlign w:val="top"/>
          </w:tcPr>
          <w:p w14:paraId="7799D486">
            <w:pPr>
              <w:spacing w:line="340" w:lineRule="exact"/>
              <w:rPr>
                <w:rFonts w:hint="eastAsia" w:ascii="宋体" w:hAnsi="宋体" w:cs="宋体"/>
                <w:bCs/>
                <w:szCs w:val="21"/>
              </w:rPr>
            </w:pPr>
            <w:r>
              <w:rPr>
                <w:rFonts w:hint="eastAsia" w:ascii="宋体" w:hAnsi="宋体" w:cs="宋体"/>
                <w:bCs/>
                <w:szCs w:val="21"/>
              </w:rPr>
              <w:t>3.2</w:t>
            </w:r>
            <w:r>
              <w:rPr>
                <w:rFonts w:hint="eastAsia"/>
                <w:bCs/>
                <w:szCs w:val="21"/>
              </w:rPr>
              <w:t>投标人中标后</w:t>
            </w:r>
            <w:r>
              <w:rPr>
                <w:rFonts w:hint="eastAsia" w:ascii="宋体" w:hAnsi="宋体" w:cs="宋体"/>
                <w:bCs/>
                <w:szCs w:val="21"/>
              </w:rPr>
              <w:t>所交设备的品种、型号、规格、质量、功能、技术参数等方面不能实质性满足采购文件要求的，采购人有权拒绝收货，</w:t>
            </w:r>
            <w:r>
              <w:rPr>
                <w:rFonts w:hint="eastAsia"/>
                <w:bCs/>
                <w:szCs w:val="21"/>
              </w:rPr>
              <w:t>投标人</w:t>
            </w:r>
            <w:r>
              <w:rPr>
                <w:rFonts w:hint="eastAsia" w:ascii="宋体" w:hAnsi="宋体" w:cs="宋体"/>
                <w:bCs/>
                <w:szCs w:val="21"/>
              </w:rPr>
              <w:t>向采购人偿付项目采购金额</w:t>
            </w:r>
            <w:r>
              <w:rPr>
                <w:rFonts w:hint="eastAsia" w:ascii="宋体" w:hAnsi="宋体" w:cs="宋体"/>
                <w:bCs/>
                <w:szCs w:val="21"/>
                <w:highlight w:val="yellow"/>
              </w:rPr>
              <w:t xml:space="preserve">【20】% </w:t>
            </w:r>
            <w:r>
              <w:rPr>
                <w:rFonts w:hint="eastAsia" w:ascii="宋体" w:hAnsi="宋体" w:cs="宋体"/>
                <w:bCs/>
                <w:szCs w:val="21"/>
              </w:rPr>
              <w:t xml:space="preserve">的违约金并采取更换、补足等补救措施，致使逾期交付的，还应承担逾期交付的违约责任。 </w:t>
            </w:r>
          </w:p>
        </w:tc>
      </w:tr>
      <w:tr w14:paraId="041DD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909" w:type="dxa"/>
            <w:vMerge w:val="continue"/>
            <w:noWrap w:val="0"/>
            <w:vAlign w:val="center"/>
          </w:tcPr>
          <w:p w14:paraId="5F4B6B68">
            <w:pPr>
              <w:jc w:val="center"/>
              <w:rPr>
                <w:rFonts w:hint="eastAsia"/>
                <w:bCs/>
              </w:rPr>
            </w:pPr>
          </w:p>
        </w:tc>
        <w:tc>
          <w:tcPr>
            <w:tcW w:w="1710" w:type="dxa"/>
            <w:vMerge w:val="continue"/>
            <w:noWrap w:val="0"/>
            <w:vAlign w:val="center"/>
          </w:tcPr>
          <w:p w14:paraId="1AC90547">
            <w:pPr>
              <w:jc w:val="center"/>
              <w:rPr>
                <w:rFonts w:hint="eastAsia"/>
                <w:bCs/>
              </w:rPr>
            </w:pPr>
          </w:p>
        </w:tc>
        <w:tc>
          <w:tcPr>
            <w:tcW w:w="5855" w:type="dxa"/>
            <w:noWrap w:val="0"/>
            <w:vAlign w:val="top"/>
          </w:tcPr>
          <w:p w14:paraId="2D36BA4F">
            <w:pPr>
              <w:spacing w:line="340" w:lineRule="exact"/>
              <w:rPr>
                <w:rFonts w:hint="eastAsia" w:ascii="宋体" w:hAnsi="宋体" w:cs="宋体"/>
                <w:bCs/>
                <w:szCs w:val="21"/>
              </w:rPr>
            </w:pPr>
            <w:r>
              <w:rPr>
                <w:rFonts w:hint="eastAsia" w:ascii="宋体" w:hAnsi="宋体" w:cs="宋体"/>
                <w:bCs/>
                <w:szCs w:val="21"/>
              </w:rPr>
              <w:t>3.3</w:t>
            </w:r>
            <w:r>
              <w:rPr>
                <w:rFonts w:hint="eastAsia"/>
                <w:bCs/>
                <w:szCs w:val="21"/>
              </w:rPr>
              <w:t>投标人中标后</w:t>
            </w:r>
            <w:r>
              <w:rPr>
                <w:rFonts w:hint="eastAsia" w:ascii="宋体" w:hAnsi="宋体" w:cs="宋体"/>
                <w:bCs/>
                <w:szCs w:val="21"/>
              </w:rPr>
              <w:t>不能交付设备的，</w:t>
            </w:r>
            <w:r>
              <w:rPr>
                <w:rFonts w:hint="eastAsia"/>
                <w:bCs/>
                <w:szCs w:val="21"/>
              </w:rPr>
              <w:t>投标人</w:t>
            </w:r>
            <w:r>
              <w:rPr>
                <w:rFonts w:hint="eastAsia" w:ascii="宋体" w:hAnsi="宋体" w:cs="宋体"/>
                <w:bCs/>
                <w:szCs w:val="21"/>
              </w:rPr>
              <w:t>向采购人偿付项目采购金额</w:t>
            </w:r>
            <w:r>
              <w:rPr>
                <w:rFonts w:hint="eastAsia" w:ascii="宋体" w:hAnsi="宋体" w:cs="宋体"/>
                <w:bCs/>
                <w:szCs w:val="21"/>
                <w:highlight w:val="yellow"/>
              </w:rPr>
              <w:t>【20】%</w:t>
            </w:r>
            <w:r>
              <w:rPr>
                <w:rFonts w:hint="eastAsia" w:ascii="宋体" w:hAnsi="宋体" w:cs="宋体"/>
                <w:bCs/>
                <w:szCs w:val="21"/>
              </w:rPr>
              <w:t>的违约金。</w:t>
            </w:r>
          </w:p>
        </w:tc>
      </w:tr>
      <w:tr w14:paraId="09F13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909" w:type="dxa"/>
            <w:vMerge w:val="continue"/>
            <w:noWrap w:val="0"/>
            <w:vAlign w:val="center"/>
          </w:tcPr>
          <w:p w14:paraId="10A11391">
            <w:pPr>
              <w:jc w:val="center"/>
              <w:rPr>
                <w:rFonts w:hint="eastAsia"/>
                <w:bCs/>
              </w:rPr>
            </w:pPr>
          </w:p>
        </w:tc>
        <w:tc>
          <w:tcPr>
            <w:tcW w:w="1710" w:type="dxa"/>
            <w:vMerge w:val="continue"/>
            <w:noWrap w:val="0"/>
            <w:vAlign w:val="center"/>
          </w:tcPr>
          <w:p w14:paraId="3E2483EE">
            <w:pPr>
              <w:jc w:val="center"/>
              <w:rPr>
                <w:rFonts w:hint="eastAsia"/>
                <w:bCs/>
              </w:rPr>
            </w:pPr>
          </w:p>
        </w:tc>
        <w:tc>
          <w:tcPr>
            <w:tcW w:w="5855" w:type="dxa"/>
            <w:noWrap w:val="0"/>
            <w:vAlign w:val="top"/>
          </w:tcPr>
          <w:p w14:paraId="16BAEF67">
            <w:pPr>
              <w:spacing w:line="340" w:lineRule="exact"/>
              <w:rPr>
                <w:rFonts w:hint="eastAsia" w:ascii="宋体" w:hAnsi="宋体" w:cs="宋体"/>
                <w:bCs/>
                <w:szCs w:val="21"/>
              </w:rPr>
            </w:pPr>
            <w:r>
              <w:rPr>
                <w:rFonts w:hint="eastAsia" w:ascii="宋体" w:hAnsi="宋体" w:cs="宋体"/>
                <w:bCs/>
                <w:szCs w:val="21"/>
              </w:rPr>
              <w:t>3.4</w:t>
            </w:r>
            <w:r>
              <w:rPr>
                <w:rFonts w:hint="eastAsia"/>
                <w:bCs/>
                <w:szCs w:val="21"/>
              </w:rPr>
              <w:t>投标人中标后</w:t>
            </w:r>
            <w:r>
              <w:rPr>
                <w:rFonts w:hint="eastAsia" w:ascii="宋体" w:hAnsi="宋体" w:cs="宋体"/>
                <w:bCs/>
                <w:szCs w:val="21"/>
              </w:rPr>
              <w:t>逾期交付货物的，每逾期1天，</w:t>
            </w:r>
            <w:r>
              <w:rPr>
                <w:rFonts w:hint="eastAsia"/>
                <w:bCs/>
                <w:szCs w:val="21"/>
              </w:rPr>
              <w:t>投标人</w:t>
            </w:r>
            <w:r>
              <w:rPr>
                <w:rFonts w:hint="eastAsia" w:ascii="宋体" w:hAnsi="宋体" w:cs="宋体"/>
                <w:bCs/>
                <w:szCs w:val="21"/>
              </w:rPr>
              <w:t>向采购人偿付项目采购金额的</w:t>
            </w:r>
            <w:r>
              <w:rPr>
                <w:rFonts w:hint="eastAsia" w:ascii="宋体" w:hAnsi="宋体" w:cs="宋体"/>
                <w:bCs/>
                <w:szCs w:val="21"/>
                <w:highlight w:val="yellow"/>
              </w:rPr>
              <w:t>【5】‰</w:t>
            </w:r>
            <w:r>
              <w:rPr>
                <w:rFonts w:hint="eastAsia" w:ascii="宋体" w:hAnsi="宋体" w:cs="宋体"/>
                <w:bCs/>
                <w:szCs w:val="21"/>
              </w:rPr>
              <w:t>的违约金。如</w:t>
            </w:r>
            <w:r>
              <w:rPr>
                <w:rFonts w:hint="eastAsia"/>
                <w:bCs/>
                <w:szCs w:val="21"/>
              </w:rPr>
              <w:t>投标人</w:t>
            </w:r>
            <w:r>
              <w:rPr>
                <w:rFonts w:hint="eastAsia" w:ascii="宋体" w:hAnsi="宋体" w:cs="宋体"/>
                <w:bCs/>
                <w:szCs w:val="21"/>
              </w:rPr>
              <w:t>逾期交货达</w:t>
            </w:r>
            <w:r>
              <w:rPr>
                <w:rFonts w:hint="eastAsia" w:ascii="宋体" w:hAnsi="宋体" w:cs="宋体"/>
                <w:bCs/>
                <w:szCs w:val="21"/>
                <w:highlight w:val="yellow"/>
                <w:u w:val="single"/>
              </w:rPr>
              <w:t xml:space="preserve"> 3 </w:t>
            </w:r>
            <w:r>
              <w:rPr>
                <w:rFonts w:hint="eastAsia" w:ascii="宋体" w:hAnsi="宋体" w:cs="宋体"/>
                <w:bCs/>
                <w:szCs w:val="21"/>
              </w:rPr>
              <w:t>天，采购人有权解除合同。</w:t>
            </w:r>
          </w:p>
        </w:tc>
      </w:tr>
      <w:tr w14:paraId="33C19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909" w:type="dxa"/>
            <w:vMerge w:val="continue"/>
            <w:noWrap w:val="0"/>
            <w:vAlign w:val="center"/>
          </w:tcPr>
          <w:p w14:paraId="10D99348">
            <w:pPr>
              <w:jc w:val="center"/>
              <w:rPr>
                <w:rFonts w:hint="eastAsia"/>
                <w:bCs/>
              </w:rPr>
            </w:pPr>
          </w:p>
        </w:tc>
        <w:tc>
          <w:tcPr>
            <w:tcW w:w="1710" w:type="dxa"/>
            <w:vMerge w:val="continue"/>
            <w:noWrap w:val="0"/>
            <w:vAlign w:val="center"/>
          </w:tcPr>
          <w:p w14:paraId="0F52C764">
            <w:pPr>
              <w:jc w:val="center"/>
              <w:rPr>
                <w:bCs/>
              </w:rPr>
            </w:pPr>
          </w:p>
        </w:tc>
        <w:tc>
          <w:tcPr>
            <w:tcW w:w="5855" w:type="dxa"/>
            <w:noWrap w:val="0"/>
            <w:vAlign w:val="top"/>
          </w:tcPr>
          <w:p w14:paraId="7047C319">
            <w:pPr>
              <w:rPr>
                <w:rFonts w:hint="eastAsia" w:ascii="宋体" w:hAnsi="宋体" w:cs="宋体"/>
                <w:b/>
              </w:rPr>
            </w:pPr>
            <w:r>
              <w:rPr>
                <w:rFonts w:hint="eastAsia" w:ascii="宋体" w:hAnsi="宋体" w:cs="宋体"/>
                <w:bCs/>
              </w:rPr>
              <w:t>3.5</w:t>
            </w:r>
            <w:r>
              <w:rPr>
                <w:rFonts w:hint="eastAsia"/>
                <w:bCs/>
                <w:szCs w:val="21"/>
              </w:rPr>
              <w:t>投标人中标后，在其</w:t>
            </w:r>
            <w:r>
              <w:rPr>
                <w:rFonts w:hint="eastAsia" w:ascii="宋体" w:hAnsi="宋体" w:cs="宋体"/>
                <w:bCs/>
              </w:rPr>
              <w:t>承诺的或国家规定的质量保证期内（取两者中最长的期限），如经</w:t>
            </w:r>
            <w:r>
              <w:rPr>
                <w:rFonts w:hint="eastAsia"/>
                <w:bCs/>
                <w:szCs w:val="21"/>
              </w:rPr>
              <w:t>投标人</w:t>
            </w:r>
            <w:r>
              <w:rPr>
                <w:rFonts w:hint="eastAsia" w:ascii="宋体" w:hAnsi="宋体" w:cs="宋体"/>
                <w:bCs/>
              </w:rPr>
              <w:t>两次维修或更换，货物仍不能达到采购文件要求及投标文件承诺的质量标准，采购人有权退货，</w:t>
            </w:r>
            <w:r>
              <w:rPr>
                <w:rFonts w:hint="eastAsia"/>
                <w:bCs/>
                <w:szCs w:val="21"/>
              </w:rPr>
              <w:t>投标人</w:t>
            </w:r>
            <w:r>
              <w:rPr>
                <w:rFonts w:hint="eastAsia" w:ascii="宋体" w:hAnsi="宋体" w:cs="宋体"/>
                <w:bCs/>
              </w:rPr>
              <w:t>应退回全部货款并赔偿采购人因此遭受的损失。</w:t>
            </w:r>
          </w:p>
        </w:tc>
      </w:tr>
      <w:tr w14:paraId="77AC0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909" w:type="dxa"/>
            <w:vMerge w:val="continue"/>
            <w:noWrap w:val="0"/>
            <w:vAlign w:val="center"/>
          </w:tcPr>
          <w:p w14:paraId="39EB0E81">
            <w:pPr>
              <w:jc w:val="center"/>
              <w:rPr>
                <w:rFonts w:hint="eastAsia"/>
                <w:bCs/>
              </w:rPr>
            </w:pPr>
          </w:p>
        </w:tc>
        <w:tc>
          <w:tcPr>
            <w:tcW w:w="1710" w:type="dxa"/>
            <w:vMerge w:val="continue"/>
            <w:noWrap w:val="0"/>
            <w:vAlign w:val="center"/>
          </w:tcPr>
          <w:p w14:paraId="0958B5EA">
            <w:pPr>
              <w:jc w:val="center"/>
              <w:rPr>
                <w:bCs/>
              </w:rPr>
            </w:pPr>
          </w:p>
        </w:tc>
        <w:tc>
          <w:tcPr>
            <w:tcW w:w="5855" w:type="dxa"/>
            <w:noWrap w:val="0"/>
            <w:vAlign w:val="top"/>
          </w:tcPr>
          <w:p w14:paraId="0DF2286A">
            <w:pPr>
              <w:rPr>
                <w:rFonts w:hint="eastAsia" w:ascii="宋体" w:hAnsi="宋体" w:cs="宋体"/>
                <w:b/>
              </w:rPr>
            </w:pPr>
            <w:r>
              <w:rPr>
                <w:rFonts w:hint="eastAsia" w:ascii="宋体" w:hAnsi="宋体" w:cs="宋体"/>
                <w:bCs/>
              </w:rPr>
              <w:t>3.6</w:t>
            </w:r>
            <w:r>
              <w:rPr>
                <w:rFonts w:hint="eastAsia"/>
                <w:bCs/>
                <w:szCs w:val="21"/>
              </w:rPr>
              <w:t>投标人中标后</w:t>
            </w:r>
            <w:r>
              <w:rPr>
                <w:rFonts w:hint="eastAsia" w:ascii="宋体" w:hAnsi="宋体" w:cs="宋体"/>
                <w:bCs/>
              </w:rPr>
              <w:t>在承担上述一项或多项违约责任后，仍应继续履行合同规定的义务（采购人解除合同的除外）。采购人未能及时追究</w:t>
            </w:r>
            <w:r>
              <w:rPr>
                <w:rFonts w:hint="eastAsia"/>
                <w:bCs/>
                <w:szCs w:val="21"/>
              </w:rPr>
              <w:t>投标人</w:t>
            </w:r>
            <w:r>
              <w:rPr>
                <w:rFonts w:hint="eastAsia" w:ascii="宋体" w:hAnsi="宋体" w:cs="宋体"/>
                <w:bCs/>
              </w:rPr>
              <w:t>的任何一项违约责任并不表明采购人放弃追究</w:t>
            </w:r>
            <w:r>
              <w:rPr>
                <w:rFonts w:hint="eastAsia"/>
                <w:bCs/>
                <w:szCs w:val="21"/>
              </w:rPr>
              <w:t>投标人</w:t>
            </w:r>
            <w:r>
              <w:rPr>
                <w:rFonts w:hint="eastAsia" w:ascii="宋体" w:hAnsi="宋体" w:cs="宋体"/>
                <w:bCs/>
              </w:rPr>
              <w:t>该项或其他违约责任。</w:t>
            </w:r>
          </w:p>
        </w:tc>
      </w:tr>
      <w:tr w14:paraId="58C10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909" w:type="dxa"/>
            <w:noWrap w:val="0"/>
            <w:vAlign w:val="center"/>
          </w:tcPr>
          <w:p w14:paraId="0E2FB46B">
            <w:pPr>
              <w:jc w:val="center"/>
              <w:rPr>
                <w:rFonts w:hint="eastAsia"/>
                <w:bCs/>
              </w:rPr>
            </w:pPr>
            <w:r>
              <w:rPr>
                <w:rFonts w:hint="eastAsia"/>
                <w:bCs/>
              </w:rPr>
              <w:t>4</w:t>
            </w:r>
          </w:p>
        </w:tc>
        <w:tc>
          <w:tcPr>
            <w:tcW w:w="1710" w:type="dxa"/>
            <w:noWrap w:val="0"/>
            <w:vAlign w:val="center"/>
          </w:tcPr>
          <w:p w14:paraId="4166F140">
            <w:pPr>
              <w:jc w:val="center"/>
              <w:rPr>
                <w:rFonts w:hint="eastAsia"/>
                <w:bCs/>
              </w:rPr>
            </w:pPr>
            <w:r>
              <w:rPr>
                <w:rFonts w:hint="eastAsia"/>
                <w:bCs/>
              </w:rPr>
              <w:t>其他</w:t>
            </w:r>
          </w:p>
        </w:tc>
        <w:tc>
          <w:tcPr>
            <w:tcW w:w="5855" w:type="dxa"/>
            <w:noWrap w:val="0"/>
            <w:vAlign w:val="top"/>
          </w:tcPr>
          <w:p w14:paraId="35F85233">
            <w:pPr>
              <w:rPr>
                <w:rFonts w:hint="eastAsia" w:ascii="宋体" w:hAnsi="宋体" w:cs="宋体"/>
                <w:bCs/>
              </w:rPr>
            </w:pPr>
            <w:r>
              <w:rPr>
                <w:rFonts w:hint="eastAsia" w:ascii="宋体" w:hAnsi="宋体" w:cs="宋体"/>
                <w:bCs/>
              </w:rPr>
              <w:t>投标人</w:t>
            </w:r>
            <w:r>
              <w:rPr>
                <w:rFonts w:hint="eastAsia"/>
                <w:bCs/>
                <w:szCs w:val="21"/>
              </w:rPr>
              <w:t>中标后</w:t>
            </w:r>
            <w:r>
              <w:rPr>
                <w:rFonts w:hint="eastAsia" w:ascii="宋体" w:hAnsi="宋体" w:cs="宋体"/>
                <w:bCs/>
              </w:rPr>
              <w:t>应按其投标文件中的承诺，进行其他售后服务工作。</w:t>
            </w:r>
          </w:p>
        </w:tc>
      </w:tr>
    </w:tbl>
    <w:p w14:paraId="46611199">
      <w:pPr>
        <w:pStyle w:val="9"/>
        <w:numPr>
          <w:ilvl w:val="0"/>
          <w:numId w:val="0"/>
        </w:numPr>
      </w:pPr>
    </w:p>
    <w:p w14:paraId="5F2B3B28">
      <w:pPr>
        <w:pStyle w:val="4"/>
        <w:spacing w:before="156" w:beforeLines="50" w:after="156" w:afterLines="50" w:line="416" w:lineRule="auto"/>
        <w:rPr>
          <w:rFonts w:hint="eastAsia" w:eastAsia="黑体" w:cs="Times New Roman"/>
          <w:kern w:val="44"/>
          <w:szCs w:val="44"/>
        </w:rPr>
      </w:pPr>
      <w:r>
        <w:rPr>
          <w:rFonts w:hint="eastAsia" w:eastAsia="黑体" w:cs="Times New Roman"/>
          <w:kern w:val="44"/>
          <w:szCs w:val="44"/>
        </w:rPr>
        <w:t>付款方式</w:t>
      </w:r>
    </w:p>
    <w:p w14:paraId="30480182">
      <w:pPr>
        <w:widowControl/>
        <w:jc w:val="left"/>
        <w:rPr>
          <w:rFonts w:hint="eastAsia" w:ascii="Arial" w:hAnsi="Arial" w:eastAsia="宋体" w:cs="Times New Roman"/>
          <w:szCs w:val="24"/>
        </w:rPr>
      </w:pPr>
      <w:r>
        <w:rPr>
          <w:rFonts w:hint="eastAsia" w:ascii="Arial" w:hAnsi="Arial" w:eastAsia="宋体" w:cs="Times New Roman"/>
          <w:szCs w:val="24"/>
        </w:rPr>
        <w:t>1、全部货物送到采购人指定地点、完成安装并验收合格后 30 个工作日内，采购人向中标供应商支付合同总价【</w:t>
      </w:r>
      <w:r>
        <w:rPr>
          <w:rFonts w:hint="eastAsia" w:ascii="Arial" w:hAnsi="Arial" w:eastAsia="宋体" w:cs="Times New Roman"/>
          <w:szCs w:val="24"/>
          <w:lang w:val="en-US" w:eastAsia="zh-CN"/>
        </w:rPr>
        <w:t>10</w:t>
      </w:r>
      <w:r>
        <w:rPr>
          <w:rFonts w:hint="eastAsia" w:ascii="Arial" w:hAnsi="Arial" w:eastAsia="宋体" w:cs="Times New Roman"/>
          <w:szCs w:val="24"/>
        </w:rPr>
        <w:t>0】%的款项；</w:t>
      </w:r>
    </w:p>
    <w:p w14:paraId="54E73A39">
      <w:pPr>
        <w:widowControl/>
        <w:jc w:val="left"/>
        <w:rPr>
          <w:rFonts w:ascii="Arial" w:hAnsi="Arial" w:eastAsia="宋体" w:cs="Times New Roman"/>
          <w:szCs w:val="24"/>
        </w:rPr>
      </w:pPr>
      <w:r>
        <w:rPr>
          <w:rFonts w:hint="eastAsia" w:ascii="Arial" w:hAnsi="Arial" w:eastAsia="宋体" w:cs="Times New Roman"/>
          <w:szCs w:val="24"/>
          <w:lang w:val="en-US" w:eastAsia="zh-CN"/>
        </w:rPr>
        <w:t>2</w:t>
      </w:r>
      <w:r>
        <w:rPr>
          <w:rFonts w:hint="eastAsia" w:ascii="Arial" w:hAnsi="Arial" w:eastAsia="宋体" w:cs="Times New Roman"/>
          <w:szCs w:val="24"/>
        </w:rPr>
        <w:t>、因财政资金拨款未到位而导致甲方未在约定期限内支付合同费用的，中标供应商不得要求采购人承担逾期付款的违约责任。每次付款前，中标供应商应需先提供相应额度的正规发票给采购人，以便办理支付手续。</w:t>
      </w:r>
    </w:p>
    <w:p w14:paraId="5A332587">
      <w:pPr>
        <w:keepNext/>
        <w:keepLines/>
        <w:tabs>
          <w:tab w:val="left" w:pos="1680"/>
        </w:tabs>
        <w:spacing w:before="260" w:after="78" w:afterLines="25"/>
        <w:jc w:val="center"/>
        <w:outlineLvl w:val="2"/>
        <w:rPr>
          <w:rFonts w:ascii="Arial" w:hAnsi="Arial" w:eastAsia="宋体" w:cs="Times New Roman"/>
          <w:b/>
          <w:bCs/>
          <w:sz w:val="32"/>
          <w:szCs w:val="32"/>
        </w:rPr>
      </w:pPr>
      <w:r>
        <w:rPr>
          <w:rFonts w:hint="eastAsia" w:ascii="Arial" w:hAnsi="Arial" w:eastAsia="宋体" w:cs="Times New Roman"/>
          <w:b/>
          <w:bCs/>
          <w:sz w:val="32"/>
          <w:szCs w:val="32"/>
        </w:rPr>
        <w:t>五、技术要求部分</w:t>
      </w:r>
    </w:p>
    <w:p w14:paraId="373D7BA5">
      <w:pPr>
        <w:jc w:val="left"/>
        <w:rPr>
          <w:rFonts w:hint="eastAsia" w:ascii="宋体" w:hAnsi="宋体" w:eastAsia="宋体" w:cs="Times New Roman"/>
          <w:b/>
          <w:color w:val="FF0000"/>
          <w:szCs w:val="21"/>
        </w:rPr>
      </w:pPr>
      <w:r>
        <w:rPr>
          <w:rFonts w:hint="eastAsia" w:ascii="宋体" w:hAnsi="宋体" w:cs="宋体"/>
          <w:b/>
          <w:bCs/>
          <w:kern w:val="0"/>
          <w:sz w:val="24"/>
          <w:szCs w:val="24"/>
          <w:lang w:val="en-US" w:eastAsia="zh-CN"/>
        </w:rPr>
        <w:t>1.</w:t>
      </w:r>
      <w:r>
        <w:rPr>
          <w:rFonts w:hint="eastAsia" w:ascii="宋体" w:hAnsi="宋体" w:cs="宋体"/>
          <w:b/>
          <w:bCs/>
          <w:kern w:val="0"/>
          <w:sz w:val="24"/>
          <w:szCs w:val="24"/>
        </w:rPr>
        <w:t>采购技术要求表</w:t>
      </w:r>
    </w:p>
    <w:tbl>
      <w:tblPr>
        <w:tblStyle w:val="1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5"/>
        <w:gridCol w:w="2038"/>
        <w:gridCol w:w="5607"/>
      </w:tblGrid>
      <w:tr w14:paraId="6A3EE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561" w:type="pct"/>
            <w:noWrap w:val="0"/>
            <w:vAlign w:val="center"/>
          </w:tcPr>
          <w:p w14:paraId="0913BB60">
            <w:pPr>
              <w:jc w:val="center"/>
              <w:rPr>
                <w:rFonts w:hint="eastAsia" w:ascii="宋体" w:hAnsi="宋体" w:cs="宋体"/>
                <w:color w:val="000000"/>
                <w:sz w:val="22"/>
              </w:rPr>
            </w:pPr>
            <w:r>
              <w:rPr>
                <w:rFonts w:hint="eastAsia" w:ascii="宋体" w:hAnsi="宋体" w:cs="宋体"/>
                <w:color w:val="000000"/>
                <w:sz w:val="22"/>
              </w:rPr>
              <w:t>序号</w:t>
            </w:r>
          </w:p>
        </w:tc>
        <w:tc>
          <w:tcPr>
            <w:tcW w:w="1243" w:type="pct"/>
            <w:noWrap w:val="0"/>
            <w:vAlign w:val="center"/>
          </w:tcPr>
          <w:p w14:paraId="6E79A687">
            <w:pPr>
              <w:widowControl/>
              <w:jc w:val="center"/>
              <w:rPr>
                <w:rFonts w:hint="eastAsia" w:ascii="宋体" w:hAnsi="宋体" w:cs="宋体"/>
                <w:color w:val="000000"/>
                <w:sz w:val="22"/>
              </w:rPr>
            </w:pPr>
            <w:r>
              <w:rPr>
                <w:rFonts w:hint="eastAsia" w:ascii="宋体" w:hAnsi="宋体" w:cs="宋体"/>
                <w:color w:val="000000"/>
                <w:sz w:val="22"/>
              </w:rPr>
              <w:t>货物名称</w:t>
            </w:r>
          </w:p>
        </w:tc>
        <w:tc>
          <w:tcPr>
            <w:tcW w:w="3194" w:type="pct"/>
            <w:noWrap w:val="0"/>
            <w:vAlign w:val="center"/>
          </w:tcPr>
          <w:p w14:paraId="6DD0C753">
            <w:pPr>
              <w:jc w:val="center"/>
              <w:rPr>
                <w:rFonts w:hint="eastAsia" w:ascii="宋体" w:hAnsi="宋体" w:cs="宋体"/>
                <w:color w:val="000000"/>
                <w:sz w:val="22"/>
              </w:rPr>
            </w:pPr>
            <w:r>
              <w:rPr>
                <w:rFonts w:hint="eastAsia" w:ascii="宋体" w:hAnsi="宋体" w:cs="宋体"/>
                <w:color w:val="000000"/>
                <w:sz w:val="22"/>
              </w:rPr>
              <w:t>招标技术要求</w:t>
            </w:r>
          </w:p>
        </w:tc>
      </w:tr>
      <w:tr w14:paraId="7CD6A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561" w:type="pct"/>
            <w:vMerge w:val="restart"/>
            <w:shd w:val="clear" w:color="auto" w:fill="auto"/>
            <w:noWrap w:val="0"/>
            <w:vAlign w:val="center"/>
          </w:tcPr>
          <w:p w14:paraId="7218CD49">
            <w:pPr>
              <w:jc w:val="center"/>
              <w:rPr>
                <w:rFonts w:hint="eastAsia" w:ascii="宋体" w:hAnsi="宋体" w:eastAsia="宋体" w:cs="宋体"/>
                <w:color w:val="000000"/>
                <w:kern w:val="2"/>
                <w:sz w:val="22"/>
                <w:szCs w:val="22"/>
                <w:lang w:val="en-US" w:eastAsia="zh-CN" w:bidi="ar-SA"/>
              </w:rPr>
            </w:pPr>
            <w:r>
              <w:rPr>
                <w:rFonts w:hint="eastAsia" w:ascii="宋体" w:hAnsi="宋体" w:cs="宋体"/>
                <w:color w:val="000000"/>
                <w:sz w:val="22"/>
              </w:rPr>
              <w:t>1</w:t>
            </w:r>
          </w:p>
        </w:tc>
        <w:tc>
          <w:tcPr>
            <w:tcW w:w="1243" w:type="pct"/>
            <w:vMerge w:val="restart"/>
            <w:shd w:val="clear" w:color="auto" w:fill="auto"/>
            <w:noWrap w:val="0"/>
            <w:vAlign w:val="center"/>
          </w:tcPr>
          <w:p w14:paraId="0FDB9687">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一片式靠背椅</w:t>
            </w:r>
          </w:p>
        </w:tc>
        <w:tc>
          <w:tcPr>
            <w:tcW w:w="3194" w:type="pct"/>
            <w:noWrap w:val="0"/>
            <w:vAlign w:val="top"/>
          </w:tcPr>
          <w:p w14:paraId="21F46B6A">
            <w:pPr>
              <w:jc w:val="both"/>
              <w:rPr>
                <w:rFonts w:hint="eastAsia" w:ascii="宋体" w:hAnsi="宋体" w:cs="宋体"/>
                <w:color w:val="000000"/>
                <w:sz w:val="22"/>
              </w:rPr>
            </w:pPr>
            <w:r>
              <w:rPr>
                <w:rFonts w:hint="eastAsia" w:ascii="宋体" w:hAnsi="宋体" w:cs="宋体"/>
                <w:color w:val="000000"/>
                <w:sz w:val="22"/>
              </w:rPr>
              <w:t>1、尺寸：小班H26cm （±</w:t>
            </w:r>
            <w:r>
              <w:rPr>
                <w:rFonts w:hint="eastAsia" w:ascii="宋体" w:hAnsi="宋体" w:cs="宋体"/>
                <w:color w:val="000000"/>
                <w:sz w:val="22"/>
                <w:lang w:val="en-US" w:eastAsia="zh-CN"/>
              </w:rPr>
              <w:t>1</w:t>
            </w:r>
            <w:r>
              <w:rPr>
                <w:rFonts w:hint="eastAsia" w:ascii="宋体" w:hAnsi="宋体" w:cs="宋体"/>
                <w:color w:val="000000"/>
                <w:sz w:val="22"/>
              </w:rPr>
              <w:t>cm）；中班H28cm （±</w:t>
            </w:r>
            <w:r>
              <w:rPr>
                <w:rFonts w:hint="eastAsia" w:ascii="宋体" w:hAnsi="宋体" w:cs="宋体"/>
                <w:color w:val="000000"/>
                <w:sz w:val="22"/>
                <w:lang w:val="en-US" w:eastAsia="zh-CN"/>
              </w:rPr>
              <w:t>1</w:t>
            </w:r>
            <w:r>
              <w:rPr>
                <w:rFonts w:hint="eastAsia" w:ascii="宋体" w:hAnsi="宋体" w:cs="宋体"/>
                <w:color w:val="000000"/>
                <w:sz w:val="22"/>
              </w:rPr>
              <w:t>cm）；大班H31cm （±</w:t>
            </w:r>
            <w:r>
              <w:rPr>
                <w:rFonts w:hint="eastAsia" w:ascii="宋体" w:hAnsi="宋体" w:cs="宋体"/>
                <w:color w:val="000000"/>
                <w:sz w:val="22"/>
                <w:lang w:val="en-US" w:eastAsia="zh-CN"/>
              </w:rPr>
              <w:t>1</w:t>
            </w:r>
            <w:r>
              <w:rPr>
                <w:rFonts w:hint="eastAsia" w:ascii="宋体" w:hAnsi="宋体" w:cs="宋体"/>
                <w:color w:val="000000"/>
                <w:sz w:val="22"/>
              </w:rPr>
              <w:t>cm）；</w:t>
            </w:r>
          </w:p>
        </w:tc>
      </w:tr>
      <w:tr w14:paraId="6F455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561" w:type="pct"/>
            <w:vMerge w:val="continue"/>
            <w:shd w:val="clear" w:color="auto" w:fill="auto"/>
            <w:noWrap w:val="0"/>
            <w:vAlign w:val="center"/>
          </w:tcPr>
          <w:p w14:paraId="5A8ACCB2">
            <w:pPr>
              <w:jc w:val="both"/>
            </w:pPr>
          </w:p>
        </w:tc>
        <w:tc>
          <w:tcPr>
            <w:tcW w:w="1243" w:type="pct"/>
            <w:vMerge w:val="continue"/>
            <w:shd w:val="clear" w:color="auto" w:fill="auto"/>
            <w:noWrap w:val="0"/>
            <w:vAlign w:val="center"/>
          </w:tcPr>
          <w:p w14:paraId="190340A5">
            <w:pPr>
              <w:jc w:val="both"/>
            </w:pPr>
          </w:p>
        </w:tc>
        <w:tc>
          <w:tcPr>
            <w:tcW w:w="3194" w:type="pct"/>
            <w:noWrap w:val="0"/>
            <w:vAlign w:val="top"/>
          </w:tcPr>
          <w:p w14:paraId="77DE6028">
            <w:pPr>
              <w:jc w:val="both"/>
              <w:rPr>
                <w:rFonts w:hint="eastAsia" w:ascii="宋体" w:hAnsi="宋体" w:cs="宋体"/>
                <w:color w:val="000000"/>
                <w:sz w:val="22"/>
              </w:rPr>
            </w:pPr>
            <w:r>
              <w:rPr>
                <w:rFonts w:hint="eastAsia" w:ascii="宋体" w:hAnsi="宋体" w:cs="宋体"/>
                <w:color w:val="000000"/>
                <w:sz w:val="22"/>
              </w:rPr>
              <w:t>2、基材：桦木实木多层板，表面纹理清晰且全白、无结疤、无黑疤、无红点。椅腿四角倒圆角，无尖角。椅子下方配有塑料件，起到坚实、稳定的支撑作用。</w:t>
            </w:r>
          </w:p>
          <w:p w14:paraId="66A42305">
            <w:pPr>
              <w:jc w:val="both"/>
              <w:rPr>
                <w:rFonts w:hint="eastAsia" w:ascii="宋体" w:hAnsi="宋体" w:cs="宋体"/>
                <w:color w:val="FF0000"/>
                <w:sz w:val="22"/>
              </w:rPr>
            </w:pPr>
            <w:r>
              <w:rPr>
                <w:rFonts w:hint="eastAsia" w:ascii="宋体" w:hAnsi="宋体" w:cs="宋体"/>
                <w:color w:val="000000"/>
                <w:sz w:val="22"/>
              </w:rPr>
              <w:t>▲</w:t>
            </w:r>
            <w:r>
              <w:rPr>
                <w:rFonts w:hint="eastAsia" w:ascii="宋体" w:hAnsi="宋体" w:cs="宋体"/>
                <w:color w:val="FF0000"/>
                <w:sz w:val="22"/>
              </w:rPr>
              <w:t>提供具有CMA或CNAS标识的塑料件符合《GB 28481-2012中重金属、多环芳烃、多溴联苯、多溴二苯醚；GB/T 16422.2-2022中</w:t>
            </w:r>
            <w:r>
              <w:rPr>
                <w:rFonts w:hint="eastAsia" w:ascii="宋体" w:hAnsi="宋体" w:cs="宋体"/>
                <w:color w:val="FF0000"/>
                <w:sz w:val="22"/>
                <w:lang w:val="en-US" w:eastAsia="zh-CN"/>
              </w:rPr>
              <w:t>100</w:t>
            </w:r>
            <w:r>
              <w:rPr>
                <w:rFonts w:hint="eastAsia" w:ascii="宋体" w:hAnsi="宋体" w:cs="宋体"/>
                <w:color w:val="FF0000"/>
                <w:sz w:val="22"/>
              </w:rPr>
              <w:t>小时</w:t>
            </w:r>
            <w:r>
              <w:rPr>
                <w:rFonts w:hint="eastAsia" w:ascii="宋体" w:hAnsi="宋体" w:cs="宋体"/>
                <w:color w:val="FF0000"/>
                <w:sz w:val="22"/>
                <w:lang w:val="en-US" w:eastAsia="zh-CN"/>
              </w:rPr>
              <w:t>或以上</w:t>
            </w:r>
            <w:r>
              <w:rPr>
                <w:rFonts w:hint="eastAsia" w:ascii="宋体" w:hAnsi="宋体" w:cs="宋体"/>
                <w:color w:val="FF0000"/>
                <w:sz w:val="22"/>
              </w:rPr>
              <w:t>氙灯老化的检测》的检测报告扫描件。（报告委托单位或报告抬头公司名称须与投标人或本次投标所提供货物制造商一致）</w:t>
            </w:r>
          </w:p>
          <w:p w14:paraId="4502CF84">
            <w:pPr>
              <w:jc w:val="both"/>
              <w:rPr>
                <w:rFonts w:hint="eastAsia" w:ascii="宋体" w:hAnsi="宋体" w:cs="宋体"/>
                <w:color w:val="FF0000"/>
                <w:sz w:val="22"/>
              </w:rPr>
            </w:pPr>
            <w:r>
              <w:rPr>
                <w:rFonts w:hint="eastAsia" w:ascii="宋体" w:hAnsi="宋体" w:cs="宋体"/>
                <w:color w:val="FF0000"/>
                <w:sz w:val="22"/>
              </w:rPr>
              <w:t>要求：提供检测报告关键信息扫描件，检测报告在全国认证认可信息公共服务平台网站（http://cx.cnca.cn/CertECloud/qts/qts/qtsPage ）查询截图扫描件。</w:t>
            </w:r>
          </w:p>
          <w:p w14:paraId="0480C47D">
            <w:pPr>
              <w:jc w:val="both"/>
              <w:rPr>
                <w:rFonts w:hint="eastAsia" w:ascii="宋体" w:hAnsi="宋体" w:cs="宋体"/>
                <w:color w:val="000000"/>
                <w:sz w:val="22"/>
              </w:rPr>
            </w:pPr>
            <w:r>
              <w:rPr>
                <w:rFonts w:hint="eastAsia" w:ascii="宋体" w:hAnsi="宋体" w:cs="宋体"/>
                <w:color w:val="FF0000"/>
                <w:sz w:val="22"/>
              </w:rPr>
              <w:t>投标人必须是所投产品的制造商或代理商，代理商需提供产品制造商品牌授权委托书。</w:t>
            </w:r>
          </w:p>
        </w:tc>
      </w:tr>
      <w:tr w14:paraId="5EF02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561" w:type="pct"/>
            <w:vMerge w:val="continue"/>
            <w:shd w:val="clear" w:color="auto" w:fill="auto"/>
            <w:noWrap w:val="0"/>
            <w:vAlign w:val="center"/>
          </w:tcPr>
          <w:p w14:paraId="480788AA">
            <w:pPr>
              <w:jc w:val="both"/>
              <w:rPr>
                <w:rFonts w:hint="eastAsia" w:ascii="宋体" w:hAnsi="宋体" w:cs="宋体"/>
                <w:color w:val="000000"/>
                <w:sz w:val="22"/>
              </w:rPr>
            </w:pPr>
          </w:p>
        </w:tc>
        <w:tc>
          <w:tcPr>
            <w:tcW w:w="1243" w:type="pct"/>
            <w:vMerge w:val="continue"/>
            <w:shd w:val="clear" w:color="auto" w:fill="auto"/>
            <w:noWrap w:val="0"/>
            <w:vAlign w:val="center"/>
          </w:tcPr>
          <w:p w14:paraId="5FBBC32A">
            <w:pPr>
              <w:jc w:val="both"/>
              <w:rPr>
                <w:rFonts w:hint="eastAsia" w:ascii="宋体" w:hAnsi="宋体" w:cs="宋体"/>
                <w:color w:val="000000"/>
                <w:sz w:val="22"/>
              </w:rPr>
            </w:pPr>
          </w:p>
        </w:tc>
        <w:tc>
          <w:tcPr>
            <w:tcW w:w="3194" w:type="pct"/>
            <w:noWrap w:val="0"/>
            <w:vAlign w:val="top"/>
          </w:tcPr>
          <w:p w14:paraId="6A36E2C5">
            <w:pPr>
              <w:jc w:val="both"/>
              <w:rPr>
                <w:rFonts w:hint="eastAsia" w:ascii="宋体" w:hAnsi="宋体" w:cs="宋体"/>
                <w:color w:val="000000"/>
                <w:sz w:val="22"/>
              </w:rPr>
            </w:pPr>
            <w:r>
              <w:rPr>
                <w:rFonts w:hint="eastAsia" w:ascii="宋体" w:hAnsi="宋体" w:cs="宋体"/>
                <w:color w:val="000000"/>
                <w:sz w:val="22"/>
              </w:rPr>
              <w:t>3、五金：选用环保五金，安全无毒，色泽丰富。</w:t>
            </w:r>
          </w:p>
        </w:tc>
      </w:tr>
      <w:tr w14:paraId="72F3D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561" w:type="pct"/>
            <w:vMerge w:val="continue"/>
            <w:shd w:val="clear" w:color="auto" w:fill="auto"/>
            <w:noWrap w:val="0"/>
            <w:vAlign w:val="center"/>
          </w:tcPr>
          <w:p w14:paraId="20D33245">
            <w:pPr>
              <w:jc w:val="both"/>
              <w:rPr>
                <w:rFonts w:hint="eastAsia" w:ascii="宋体" w:hAnsi="宋体" w:cs="宋体"/>
                <w:color w:val="000000"/>
                <w:sz w:val="22"/>
              </w:rPr>
            </w:pPr>
          </w:p>
        </w:tc>
        <w:tc>
          <w:tcPr>
            <w:tcW w:w="1243" w:type="pct"/>
            <w:vMerge w:val="continue"/>
            <w:shd w:val="clear" w:color="auto" w:fill="auto"/>
            <w:noWrap w:val="0"/>
            <w:vAlign w:val="center"/>
          </w:tcPr>
          <w:p w14:paraId="5C67C0EA">
            <w:pPr>
              <w:jc w:val="both"/>
              <w:rPr>
                <w:rFonts w:hint="eastAsia" w:ascii="宋体" w:hAnsi="宋体" w:cs="宋体"/>
                <w:color w:val="000000"/>
                <w:sz w:val="22"/>
              </w:rPr>
            </w:pPr>
          </w:p>
        </w:tc>
        <w:tc>
          <w:tcPr>
            <w:tcW w:w="3194" w:type="pct"/>
            <w:noWrap w:val="0"/>
            <w:vAlign w:val="top"/>
          </w:tcPr>
          <w:p w14:paraId="50E92A94">
            <w:pPr>
              <w:jc w:val="both"/>
              <w:rPr>
                <w:rFonts w:hint="eastAsia" w:ascii="宋体" w:hAnsi="宋体" w:cs="宋体"/>
                <w:color w:val="000000"/>
                <w:sz w:val="22"/>
              </w:rPr>
            </w:pPr>
            <w:r>
              <w:rPr>
                <w:rFonts w:hint="eastAsia" w:ascii="宋体" w:hAnsi="宋体" w:cs="宋体"/>
                <w:color w:val="000000"/>
                <w:sz w:val="22"/>
              </w:rPr>
              <w:t xml:space="preserve">4、油漆：油漆：采用绿色环保无毒水性漆，经过两底一面工艺制作。附着力、耐冲击、耐磨、耐湿不小于3级，灼烧、耐液、耐干、 耐冷热。  </w:t>
            </w:r>
          </w:p>
        </w:tc>
      </w:tr>
      <w:tr w14:paraId="6F31B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561" w:type="pct"/>
            <w:vMerge w:val="continue"/>
            <w:shd w:val="clear" w:color="auto" w:fill="auto"/>
            <w:noWrap w:val="0"/>
            <w:vAlign w:val="center"/>
          </w:tcPr>
          <w:p w14:paraId="71D381E6">
            <w:pPr>
              <w:jc w:val="both"/>
              <w:rPr>
                <w:rFonts w:hint="eastAsia" w:ascii="宋体" w:hAnsi="宋体" w:cs="宋体"/>
                <w:color w:val="000000"/>
                <w:sz w:val="22"/>
              </w:rPr>
            </w:pPr>
          </w:p>
        </w:tc>
        <w:tc>
          <w:tcPr>
            <w:tcW w:w="1243" w:type="pct"/>
            <w:vMerge w:val="continue"/>
            <w:shd w:val="clear" w:color="auto" w:fill="auto"/>
            <w:noWrap w:val="0"/>
            <w:vAlign w:val="center"/>
          </w:tcPr>
          <w:p w14:paraId="72ECDDA8">
            <w:pPr>
              <w:jc w:val="both"/>
              <w:rPr>
                <w:rFonts w:hint="eastAsia" w:ascii="宋体" w:hAnsi="宋体" w:cs="宋体"/>
                <w:color w:val="000000"/>
                <w:sz w:val="22"/>
              </w:rPr>
            </w:pPr>
          </w:p>
        </w:tc>
        <w:tc>
          <w:tcPr>
            <w:tcW w:w="3194" w:type="pct"/>
            <w:noWrap w:val="0"/>
            <w:vAlign w:val="top"/>
          </w:tcPr>
          <w:p w14:paraId="1329E8F8">
            <w:pPr>
              <w:jc w:val="both"/>
              <w:rPr>
                <w:rFonts w:hint="eastAsia" w:ascii="宋体" w:hAnsi="宋体" w:cs="宋体"/>
                <w:color w:val="000000"/>
                <w:sz w:val="22"/>
              </w:rPr>
            </w:pPr>
            <w:r>
              <w:rPr>
                <w:rFonts w:hint="eastAsia" w:ascii="宋体" w:hAnsi="宋体" w:cs="宋体"/>
                <w:color w:val="000000"/>
                <w:sz w:val="22"/>
              </w:rPr>
              <w:t>5、其他：外延打磨指甲圆，光滑平整，正反面均无毛刺。底部自带橡胶脚套，防滑耐磨。</w:t>
            </w:r>
          </w:p>
        </w:tc>
      </w:tr>
      <w:tr w14:paraId="5DEB5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561" w:type="pct"/>
            <w:vMerge w:val="continue"/>
            <w:shd w:val="clear" w:color="auto" w:fill="auto"/>
            <w:noWrap w:val="0"/>
            <w:vAlign w:val="center"/>
          </w:tcPr>
          <w:p w14:paraId="3A287DAB">
            <w:pPr>
              <w:jc w:val="both"/>
              <w:rPr>
                <w:rFonts w:hint="eastAsia" w:ascii="宋体" w:hAnsi="宋体" w:cs="宋体"/>
                <w:color w:val="000000"/>
                <w:sz w:val="22"/>
              </w:rPr>
            </w:pPr>
          </w:p>
        </w:tc>
        <w:tc>
          <w:tcPr>
            <w:tcW w:w="1243" w:type="pct"/>
            <w:vMerge w:val="continue"/>
            <w:shd w:val="clear" w:color="auto" w:fill="auto"/>
            <w:noWrap w:val="0"/>
            <w:vAlign w:val="center"/>
          </w:tcPr>
          <w:p w14:paraId="15E6F7EC">
            <w:pPr>
              <w:jc w:val="both"/>
              <w:rPr>
                <w:rFonts w:hint="eastAsia" w:ascii="宋体" w:hAnsi="宋体" w:cs="宋体"/>
                <w:color w:val="000000"/>
                <w:sz w:val="22"/>
              </w:rPr>
            </w:pPr>
          </w:p>
        </w:tc>
        <w:tc>
          <w:tcPr>
            <w:tcW w:w="3194" w:type="pct"/>
            <w:noWrap w:val="0"/>
            <w:vAlign w:val="top"/>
          </w:tcPr>
          <w:p w14:paraId="6B9D0FE3">
            <w:pPr>
              <w:jc w:val="both"/>
              <w:rPr>
                <w:rFonts w:hint="eastAsia" w:ascii="宋体" w:hAnsi="宋体" w:cs="宋体"/>
                <w:color w:val="000000"/>
                <w:sz w:val="22"/>
              </w:rPr>
            </w:pPr>
            <w:r>
              <w:rPr>
                <w:rFonts w:hint="eastAsia" w:ascii="宋体" w:hAnsi="宋体" w:cs="宋体"/>
                <w:color w:val="000000"/>
                <w:sz w:val="22"/>
              </w:rPr>
              <w:t>6、产品符合儿童家具通用技术标准。</w:t>
            </w:r>
          </w:p>
        </w:tc>
      </w:tr>
      <w:tr w14:paraId="7804D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61" w:type="pct"/>
            <w:vMerge w:val="restart"/>
            <w:shd w:val="clear" w:color="auto" w:fill="auto"/>
            <w:noWrap w:val="0"/>
            <w:vAlign w:val="center"/>
          </w:tcPr>
          <w:p w14:paraId="337624D5">
            <w:pPr>
              <w:jc w:val="center"/>
              <w:rPr>
                <w:rFonts w:hint="eastAsia" w:ascii="宋体" w:hAnsi="宋体" w:eastAsia="宋体" w:cs="宋体"/>
                <w:color w:val="000000"/>
                <w:kern w:val="2"/>
                <w:sz w:val="22"/>
                <w:szCs w:val="22"/>
                <w:lang w:val="en-US" w:eastAsia="zh-CN" w:bidi="ar-SA"/>
              </w:rPr>
            </w:pPr>
            <w:r>
              <w:rPr>
                <w:rFonts w:hint="eastAsia" w:ascii="宋体" w:hAnsi="宋体" w:cs="宋体"/>
                <w:color w:val="000000"/>
                <w:sz w:val="22"/>
              </w:rPr>
              <w:t>2</w:t>
            </w:r>
          </w:p>
        </w:tc>
        <w:tc>
          <w:tcPr>
            <w:tcW w:w="1243" w:type="pct"/>
            <w:vMerge w:val="restart"/>
            <w:shd w:val="clear" w:color="auto" w:fill="auto"/>
            <w:noWrap w:val="0"/>
            <w:vAlign w:val="center"/>
          </w:tcPr>
          <w:p w14:paraId="4EE32B83">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小圆凳</w:t>
            </w:r>
          </w:p>
        </w:tc>
        <w:tc>
          <w:tcPr>
            <w:tcW w:w="3194" w:type="pct"/>
            <w:noWrap w:val="0"/>
            <w:vAlign w:val="top"/>
          </w:tcPr>
          <w:p w14:paraId="019AE984">
            <w:pPr>
              <w:jc w:val="both"/>
              <w:rPr>
                <w:rFonts w:hint="eastAsia" w:ascii="宋体" w:hAnsi="宋体" w:cs="宋体"/>
                <w:color w:val="000000"/>
                <w:sz w:val="22"/>
              </w:rPr>
            </w:pPr>
            <w:r>
              <w:rPr>
                <w:rFonts w:hint="eastAsia" w:ascii="宋体" w:hAnsi="宋体" w:cs="宋体"/>
                <w:color w:val="000000"/>
                <w:sz w:val="22"/>
              </w:rPr>
              <w:t>1、尺寸：凳面直径26cm（±</w:t>
            </w:r>
            <w:r>
              <w:rPr>
                <w:rFonts w:hint="eastAsia" w:ascii="宋体" w:hAnsi="宋体" w:cs="宋体"/>
                <w:color w:val="000000"/>
                <w:sz w:val="22"/>
                <w:lang w:val="en-US" w:eastAsia="zh-CN"/>
              </w:rPr>
              <w:t>1</w:t>
            </w:r>
            <w:r>
              <w:rPr>
                <w:rFonts w:hint="eastAsia" w:ascii="宋体" w:hAnsi="宋体" w:cs="宋体"/>
                <w:color w:val="000000"/>
                <w:sz w:val="22"/>
              </w:rPr>
              <w:t>cm），坐高30cm（±</w:t>
            </w:r>
            <w:r>
              <w:rPr>
                <w:rFonts w:hint="eastAsia" w:ascii="宋体" w:hAnsi="宋体" w:cs="宋体"/>
                <w:color w:val="000000"/>
                <w:sz w:val="22"/>
                <w:lang w:val="en-US" w:eastAsia="zh-CN"/>
              </w:rPr>
              <w:t>1</w:t>
            </w:r>
            <w:r>
              <w:rPr>
                <w:rFonts w:hint="eastAsia" w:ascii="宋体" w:hAnsi="宋体" w:cs="宋体"/>
                <w:color w:val="000000"/>
                <w:sz w:val="22"/>
              </w:rPr>
              <w:t>cm）；</w:t>
            </w:r>
          </w:p>
        </w:tc>
      </w:tr>
      <w:tr w14:paraId="63058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61" w:type="pct"/>
            <w:vMerge w:val="continue"/>
            <w:shd w:val="clear" w:color="auto" w:fill="auto"/>
            <w:noWrap w:val="0"/>
            <w:vAlign w:val="center"/>
          </w:tcPr>
          <w:p w14:paraId="4894ABA0">
            <w:pPr>
              <w:jc w:val="center"/>
            </w:pPr>
          </w:p>
        </w:tc>
        <w:tc>
          <w:tcPr>
            <w:tcW w:w="1243" w:type="pct"/>
            <w:vMerge w:val="continue"/>
            <w:shd w:val="clear" w:color="auto" w:fill="auto"/>
            <w:noWrap w:val="0"/>
            <w:vAlign w:val="center"/>
          </w:tcPr>
          <w:p w14:paraId="0F2256C5">
            <w:pPr>
              <w:jc w:val="center"/>
            </w:pPr>
          </w:p>
        </w:tc>
        <w:tc>
          <w:tcPr>
            <w:tcW w:w="3194" w:type="pct"/>
            <w:noWrap w:val="0"/>
            <w:vAlign w:val="top"/>
          </w:tcPr>
          <w:p w14:paraId="2E6FB867">
            <w:pPr>
              <w:jc w:val="both"/>
              <w:rPr>
                <w:rFonts w:hint="eastAsia" w:ascii="宋体" w:hAnsi="宋体" w:cs="宋体"/>
                <w:color w:val="000000"/>
                <w:sz w:val="22"/>
              </w:rPr>
            </w:pPr>
            <w:r>
              <w:rPr>
                <w:rFonts w:hint="eastAsia" w:ascii="宋体" w:hAnsi="宋体" w:cs="宋体"/>
                <w:color w:val="000000"/>
                <w:sz w:val="22"/>
              </w:rPr>
              <w:t>2、基材：桦木实木多层板，表面纹理清晰且全白、无结疤、无黑疤、无红点。椅腿四角倒圆角，无尖角。椅子下方配有塑料件，起到坚实、稳定的支撑作用。</w:t>
            </w:r>
          </w:p>
        </w:tc>
      </w:tr>
      <w:tr w14:paraId="18274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61" w:type="pct"/>
            <w:vMerge w:val="continue"/>
            <w:shd w:val="clear" w:color="auto" w:fill="auto"/>
            <w:noWrap w:val="0"/>
            <w:vAlign w:val="center"/>
          </w:tcPr>
          <w:p w14:paraId="3A8B2411">
            <w:pPr>
              <w:jc w:val="center"/>
              <w:rPr>
                <w:rFonts w:hint="eastAsia" w:ascii="宋体" w:hAnsi="宋体" w:cs="宋体"/>
                <w:color w:val="000000"/>
                <w:sz w:val="22"/>
              </w:rPr>
            </w:pPr>
          </w:p>
        </w:tc>
        <w:tc>
          <w:tcPr>
            <w:tcW w:w="1243" w:type="pct"/>
            <w:vMerge w:val="continue"/>
            <w:shd w:val="clear" w:color="auto" w:fill="auto"/>
            <w:noWrap w:val="0"/>
            <w:vAlign w:val="center"/>
          </w:tcPr>
          <w:p w14:paraId="6E9CF77E">
            <w:pPr>
              <w:jc w:val="center"/>
              <w:rPr>
                <w:rFonts w:hint="eastAsia" w:ascii="宋体" w:hAnsi="宋体" w:cs="宋体"/>
                <w:color w:val="000000"/>
                <w:sz w:val="22"/>
              </w:rPr>
            </w:pPr>
          </w:p>
        </w:tc>
        <w:tc>
          <w:tcPr>
            <w:tcW w:w="3194" w:type="pct"/>
            <w:noWrap w:val="0"/>
            <w:vAlign w:val="top"/>
          </w:tcPr>
          <w:p w14:paraId="6B2A1563">
            <w:pPr>
              <w:jc w:val="both"/>
              <w:rPr>
                <w:rFonts w:hint="eastAsia" w:ascii="宋体" w:hAnsi="宋体" w:cs="宋体"/>
                <w:color w:val="000000"/>
                <w:sz w:val="22"/>
              </w:rPr>
            </w:pPr>
            <w:r>
              <w:rPr>
                <w:rFonts w:hint="eastAsia" w:ascii="宋体" w:hAnsi="宋体" w:cs="宋体"/>
                <w:color w:val="000000"/>
                <w:sz w:val="22"/>
              </w:rPr>
              <w:t xml:space="preserve">3、五金：选用环保五金，安全无毒，色泽丰富。 </w:t>
            </w:r>
          </w:p>
        </w:tc>
      </w:tr>
      <w:tr w14:paraId="47BA0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61" w:type="pct"/>
            <w:vMerge w:val="continue"/>
            <w:shd w:val="clear" w:color="auto" w:fill="auto"/>
            <w:noWrap w:val="0"/>
            <w:vAlign w:val="center"/>
          </w:tcPr>
          <w:p w14:paraId="5A80670C">
            <w:pPr>
              <w:jc w:val="center"/>
              <w:rPr>
                <w:rFonts w:hint="eastAsia" w:ascii="宋体" w:hAnsi="宋体" w:cs="宋体"/>
                <w:color w:val="000000"/>
                <w:sz w:val="22"/>
              </w:rPr>
            </w:pPr>
          </w:p>
        </w:tc>
        <w:tc>
          <w:tcPr>
            <w:tcW w:w="1243" w:type="pct"/>
            <w:vMerge w:val="continue"/>
            <w:shd w:val="clear" w:color="auto" w:fill="auto"/>
            <w:noWrap w:val="0"/>
            <w:vAlign w:val="center"/>
          </w:tcPr>
          <w:p w14:paraId="78FDECB3">
            <w:pPr>
              <w:jc w:val="center"/>
              <w:rPr>
                <w:rFonts w:hint="eastAsia" w:ascii="宋体" w:hAnsi="宋体" w:cs="宋体"/>
                <w:color w:val="000000"/>
                <w:sz w:val="22"/>
              </w:rPr>
            </w:pPr>
          </w:p>
        </w:tc>
        <w:tc>
          <w:tcPr>
            <w:tcW w:w="3194" w:type="pct"/>
            <w:noWrap w:val="0"/>
            <w:vAlign w:val="top"/>
          </w:tcPr>
          <w:p w14:paraId="0F543C3B">
            <w:pPr>
              <w:jc w:val="both"/>
              <w:rPr>
                <w:rFonts w:hint="eastAsia" w:ascii="宋体" w:hAnsi="宋体" w:cs="宋体"/>
                <w:color w:val="000000"/>
                <w:sz w:val="22"/>
              </w:rPr>
            </w:pPr>
            <w:r>
              <w:rPr>
                <w:rFonts w:hint="eastAsia" w:ascii="宋体" w:hAnsi="宋体" w:cs="宋体"/>
                <w:color w:val="000000"/>
                <w:sz w:val="22"/>
              </w:rPr>
              <w:t>4、油漆：采用绿色环保无毒水性漆，经过两底一面工艺制作。附着力、耐冲击、耐磨、耐湿不小于3 级，灼烧、耐液、耐干、 耐冷热。</w:t>
            </w:r>
          </w:p>
        </w:tc>
      </w:tr>
      <w:tr w14:paraId="255BB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61" w:type="pct"/>
            <w:vMerge w:val="continue"/>
            <w:shd w:val="clear" w:color="auto" w:fill="auto"/>
            <w:noWrap w:val="0"/>
            <w:vAlign w:val="center"/>
          </w:tcPr>
          <w:p w14:paraId="7360F994">
            <w:pPr>
              <w:jc w:val="center"/>
              <w:rPr>
                <w:rFonts w:hint="eastAsia" w:ascii="宋体" w:hAnsi="宋体" w:cs="宋体"/>
                <w:color w:val="000000"/>
                <w:sz w:val="22"/>
              </w:rPr>
            </w:pPr>
          </w:p>
        </w:tc>
        <w:tc>
          <w:tcPr>
            <w:tcW w:w="1243" w:type="pct"/>
            <w:vMerge w:val="continue"/>
            <w:shd w:val="clear" w:color="auto" w:fill="auto"/>
            <w:noWrap w:val="0"/>
            <w:vAlign w:val="center"/>
          </w:tcPr>
          <w:p w14:paraId="50AF27E9">
            <w:pPr>
              <w:jc w:val="center"/>
              <w:rPr>
                <w:rFonts w:hint="eastAsia" w:ascii="宋体" w:hAnsi="宋体" w:cs="宋体"/>
                <w:color w:val="000000"/>
                <w:sz w:val="22"/>
              </w:rPr>
            </w:pPr>
          </w:p>
        </w:tc>
        <w:tc>
          <w:tcPr>
            <w:tcW w:w="3194" w:type="pct"/>
            <w:noWrap w:val="0"/>
            <w:vAlign w:val="top"/>
          </w:tcPr>
          <w:p w14:paraId="0C65216D">
            <w:pPr>
              <w:jc w:val="both"/>
              <w:rPr>
                <w:rFonts w:hint="eastAsia" w:ascii="宋体" w:hAnsi="宋体" w:cs="宋体"/>
                <w:color w:val="000000"/>
                <w:sz w:val="22"/>
              </w:rPr>
            </w:pPr>
            <w:r>
              <w:rPr>
                <w:rFonts w:hint="eastAsia" w:ascii="宋体" w:hAnsi="宋体" w:cs="宋体"/>
                <w:color w:val="000000"/>
                <w:sz w:val="22"/>
              </w:rPr>
              <w:t>5、其他：外延打磨指甲圆，光滑平整，正反面均无毛刺。底部加毛毡，起到防滑作用。</w:t>
            </w:r>
          </w:p>
        </w:tc>
      </w:tr>
      <w:tr w14:paraId="20500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61" w:type="pct"/>
            <w:vMerge w:val="continue"/>
            <w:shd w:val="clear" w:color="auto" w:fill="auto"/>
            <w:noWrap w:val="0"/>
            <w:vAlign w:val="center"/>
          </w:tcPr>
          <w:p w14:paraId="660BC8D5">
            <w:pPr>
              <w:jc w:val="center"/>
              <w:rPr>
                <w:rFonts w:hint="eastAsia" w:ascii="宋体" w:hAnsi="宋体" w:cs="宋体"/>
                <w:color w:val="000000"/>
                <w:sz w:val="22"/>
              </w:rPr>
            </w:pPr>
          </w:p>
        </w:tc>
        <w:tc>
          <w:tcPr>
            <w:tcW w:w="1243" w:type="pct"/>
            <w:vMerge w:val="continue"/>
            <w:shd w:val="clear" w:color="auto" w:fill="auto"/>
            <w:noWrap w:val="0"/>
            <w:vAlign w:val="center"/>
          </w:tcPr>
          <w:p w14:paraId="66FE5F1A">
            <w:pPr>
              <w:jc w:val="center"/>
              <w:rPr>
                <w:rFonts w:hint="eastAsia" w:ascii="宋体" w:hAnsi="宋体" w:cs="宋体"/>
                <w:color w:val="000000"/>
                <w:sz w:val="22"/>
              </w:rPr>
            </w:pPr>
          </w:p>
        </w:tc>
        <w:tc>
          <w:tcPr>
            <w:tcW w:w="3194" w:type="pct"/>
            <w:noWrap w:val="0"/>
            <w:vAlign w:val="top"/>
          </w:tcPr>
          <w:p w14:paraId="1DC68ED8">
            <w:pPr>
              <w:jc w:val="both"/>
              <w:rPr>
                <w:rFonts w:hint="eastAsia" w:ascii="宋体" w:hAnsi="宋体" w:cs="宋体"/>
                <w:color w:val="000000"/>
                <w:sz w:val="22"/>
              </w:rPr>
            </w:pPr>
            <w:r>
              <w:rPr>
                <w:rFonts w:hint="eastAsia" w:ascii="宋体" w:hAnsi="宋体" w:cs="宋体"/>
                <w:color w:val="000000"/>
                <w:sz w:val="22"/>
              </w:rPr>
              <w:t>6、产品符合儿童家具通用技术标准。</w:t>
            </w:r>
          </w:p>
        </w:tc>
      </w:tr>
      <w:tr w14:paraId="0C53A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561" w:type="pct"/>
            <w:vMerge w:val="restart"/>
            <w:shd w:val="clear" w:color="auto" w:fill="auto"/>
            <w:noWrap w:val="0"/>
            <w:vAlign w:val="center"/>
          </w:tcPr>
          <w:p w14:paraId="72D6432C">
            <w:pPr>
              <w:jc w:val="center"/>
              <w:rPr>
                <w:rFonts w:hint="eastAsia" w:ascii="宋体" w:hAnsi="宋体" w:eastAsia="宋体" w:cs="宋体"/>
                <w:color w:val="000000"/>
                <w:kern w:val="2"/>
                <w:sz w:val="22"/>
                <w:szCs w:val="22"/>
                <w:lang w:val="en-US" w:eastAsia="zh-CN" w:bidi="ar-SA"/>
              </w:rPr>
            </w:pPr>
            <w:r>
              <w:rPr>
                <w:rFonts w:hint="eastAsia" w:ascii="宋体" w:hAnsi="宋体" w:cs="宋体"/>
                <w:color w:val="000000"/>
                <w:sz w:val="22"/>
              </w:rPr>
              <w:t>3</w:t>
            </w:r>
          </w:p>
        </w:tc>
        <w:tc>
          <w:tcPr>
            <w:tcW w:w="1243" w:type="pct"/>
            <w:vMerge w:val="restart"/>
            <w:shd w:val="clear" w:color="auto" w:fill="auto"/>
            <w:noWrap w:val="0"/>
            <w:vAlign w:val="center"/>
          </w:tcPr>
          <w:p w14:paraId="70438B6C">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哥德堡两层矩形柜</w:t>
            </w:r>
          </w:p>
        </w:tc>
        <w:tc>
          <w:tcPr>
            <w:tcW w:w="3194" w:type="pct"/>
            <w:noWrap w:val="0"/>
            <w:vAlign w:val="center"/>
          </w:tcPr>
          <w:p w14:paraId="6E804607">
            <w:pPr>
              <w:jc w:val="both"/>
              <w:rPr>
                <w:rFonts w:hint="eastAsia" w:ascii="宋体" w:hAnsi="宋体" w:cs="宋体"/>
                <w:color w:val="000000"/>
                <w:sz w:val="22"/>
              </w:rPr>
            </w:pPr>
            <w:r>
              <w:rPr>
                <w:rFonts w:hint="eastAsia" w:ascii="宋体" w:hAnsi="宋体" w:cs="宋体"/>
                <w:color w:val="000000"/>
                <w:sz w:val="22"/>
              </w:rPr>
              <w:t>1、尺寸：L100cm*W33cm*H54cm（±</w:t>
            </w:r>
            <w:r>
              <w:rPr>
                <w:rFonts w:hint="eastAsia" w:ascii="宋体" w:hAnsi="宋体" w:cs="宋体"/>
                <w:color w:val="000000"/>
                <w:sz w:val="22"/>
                <w:lang w:val="en-US" w:eastAsia="zh-CN"/>
              </w:rPr>
              <w:t>2</w:t>
            </w:r>
            <w:r>
              <w:rPr>
                <w:rFonts w:hint="eastAsia" w:ascii="宋体" w:hAnsi="宋体" w:cs="宋体"/>
                <w:color w:val="000000"/>
                <w:sz w:val="22"/>
              </w:rPr>
              <w:t>cm）</w:t>
            </w:r>
          </w:p>
        </w:tc>
      </w:tr>
      <w:tr w14:paraId="12A94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61" w:type="pct"/>
            <w:vMerge w:val="continue"/>
            <w:shd w:val="clear" w:color="auto" w:fill="auto"/>
            <w:noWrap w:val="0"/>
            <w:vAlign w:val="center"/>
          </w:tcPr>
          <w:p w14:paraId="62E8B3DA">
            <w:pPr>
              <w:jc w:val="center"/>
            </w:pPr>
          </w:p>
        </w:tc>
        <w:tc>
          <w:tcPr>
            <w:tcW w:w="1243" w:type="pct"/>
            <w:vMerge w:val="continue"/>
            <w:shd w:val="clear" w:color="auto" w:fill="auto"/>
            <w:noWrap w:val="0"/>
            <w:vAlign w:val="center"/>
          </w:tcPr>
          <w:p w14:paraId="3DA1C8BB">
            <w:pPr>
              <w:jc w:val="center"/>
            </w:pPr>
          </w:p>
        </w:tc>
        <w:tc>
          <w:tcPr>
            <w:tcW w:w="3194" w:type="pct"/>
            <w:noWrap w:val="0"/>
            <w:vAlign w:val="center"/>
          </w:tcPr>
          <w:p w14:paraId="7CDA1759">
            <w:pPr>
              <w:jc w:val="both"/>
              <w:rPr>
                <w:rFonts w:hint="eastAsia" w:ascii="宋体" w:hAnsi="宋体" w:cs="宋体"/>
                <w:color w:val="000000"/>
                <w:sz w:val="22"/>
              </w:rPr>
            </w:pPr>
            <w:r>
              <w:rPr>
                <w:rFonts w:hint="eastAsia" w:ascii="宋体" w:hAnsi="宋体" w:cs="宋体"/>
                <w:color w:val="000000"/>
                <w:sz w:val="22"/>
              </w:rPr>
              <w:t>2、基材：桦木实木多层板，其中侧板及顶板为白色防火板贴面，表面纹理清晰且全白、无结疤、无黑疤、无红点。柜体分三层无隔断，自上而下第一层为中空，顶板尺寸不大于97*28cm（±</w:t>
            </w:r>
            <w:r>
              <w:rPr>
                <w:rFonts w:hint="eastAsia" w:ascii="宋体" w:hAnsi="宋体" w:cs="宋体"/>
                <w:color w:val="000000"/>
                <w:sz w:val="22"/>
                <w:lang w:val="en-US" w:eastAsia="zh-CN"/>
              </w:rPr>
              <w:t>1</w:t>
            </w:r>
            <w:r>
              <w:rPr>
                <w:rFonts w:hint="eastAsia" w:ascii="宋体" w:hAnsi="宋体" w:cs="宋体"/>
                <w:color w:val="000000"/>
                <w:sz w:val="22"/>
              </w:rPr>
              <w:t>cm）,第二层层板宽度不大于32.5cm（±</w:t>
            </w:r>
            <w:r>
              <w:rPr>
                <w:rFonts w:hint="eastAsia" w:ascii="宋体" w:hAnsi="宋体" w:cs="宋体"/>
                <w:color w:val="000000"/>
                <w:sz w:val="22"/>
                <w:lang w:val="en-US" w:eastAsia="zh-CN"/>
              </w:rPr>
              <w:t>1</w:t>
            </w:r>
            <w:r>
              <w:rPr>
                <w:rFonts w:hint="eastAsia" w:ascii="宋体" w:hAnsi="宋体" w:cs="宋体"/>
                <w:color w:val="000000"/>
                <w:sz w:val="22"/>
              </w:rPr>
              <w:t>cm），中空区域尺寸不大于97*32.5*21cm（±</w:t>
            </w:r>
            <w:r>
              <w:rPr>
                <w:rFonts w:hint="eastAsia" w:ascii="宋体" w:hAnsi="宋体" w:cs="宋体"/>
                <w:color w:val="000000"/>
                <w:sz w:val="22"/>
                <w:lang w:val="en-US" w:eastAsia="zh-CN"/>
              </w:rPr>
              <w:t>1</w:t>
            </w:r>
            <w:r>
              <w:rPr>
                <w:rFonts w:hint="eastAsia" w:ascii="宋体" w:hAnsi="宋体" w:cs="宋体"/>
                <w:color w:val="000000"/>
                <w:sz w:val="22"/>
              </w:rPr>
              <w:t>cm）,第二三层有背板内径尺寸不大于97*30.5*21cm（±</w:t>
            </w:r>
            <w:r>
              <w:rPr>
                <w:rFonts w:hint="eastAsia" w:ascii="宋体" w:hAnsi="宋体" w:cs="宋体"/>
                <w:color w:val="000000"/>
                <w:sz w:val="22"/>
                <w:lang w:val="en-US" w:eastAsia="zh-CN"/>
              </w:rPr>
              <w:t>1</w:t>
            </w:r>
            <w:r>
              <w:rPr>
                <w:rFonts w:hint="eastAsia" w:ascii="宋体" w:hAnsi="宋体" w:cs="宋体"/>
                <w:color w:val="000000"/>
                <w:sz w:val="22"/>
              </w:rPr>
              <w:t>cm）,每层可以竖向放置尺寸31*20*13.5cm（±</w:t>
            </w:r>
            <w:r>
              <w:rPr>
                <w:rFonts w:hint="eastAsia" w:ascii="宋体" w:hAnsi="宋体" w:cs="宋体"/>
                <w:color w:val="000000"/>
                <w:sz w:val="22"/>
                <w:lang w:val="en-US" w:eastAsia="zh-CN"/>
              </w:rPr>
              <w:t>1</w:t>
            </w:r>
            <w:r>
              <w:rPr>
                <w:rFonts w:hint="eastAsia" w:ascii="宋体" w:hAnsi="宋体" w:cs="宋体"/>
                <w:color w:val="000000"/>
                <w:sz w:val="22"/>
              </w:rPr>
              <w:t>cm）的收纳盒4个，横向放置同等尺寸收纳盒3个，柜体层板为原木色，两边侧片为白色。柜体用螺丝固定。</w:t>
            </w:r>
          </w:p>
          <w:p w14:paraId="4EFFAE25">
            <w:pPr>
              <w:jc w:val="both"/>
              <w:rPr>
                <w:rFonts w:hint="eastAsia" w:ascii="宋体" w:hAnsi="宋体" w:cs="宋体"/>
                <w:color w:val="FF0000"/>
                <w:sz w:val="22"/>
              </w:rPr>
            </w:pPr>
            <w:r>
              <w:rPr>
                <w:rFonts w:hint="eastAsia" w:ascii="宋体" w:hAnsi="宋体" w:cs="宋体"/>
                <w:color w:val="000000"/>
                <w:sz w:val="22"/>
              </w:rPr>
              <w:t>▲</w:t>
            </w:r>
            <w:r>
              <w:rPr>
                <w:rFonts w:hint="eastAsia" w:ascii="宋体" w:hAnsi="宋体" w:cs="宋体"/>
                <w:color w:val="FF0000"/>
                <w:sz w:val="22"/>
              </w:rPr>
              <w:t>提供具有CMA或CNAS标识的桦木实木多层板符合《GB/T 39600-2021 桦木实木多层板的甲醛释放量符合ENF级别》的检测报告扫描件。（报告委托单位或报告抬头公司名称须与投标人或本次投标所提供货物制造商一致）</w:t>
            </w:r>
          </w:p>
          <w:p w14:paraId="7BE984ED">
            <w:pPr>
              <w:jc w:val="both"/>
              <w:rPr>
                <w:rFonts w:hint="eastAsia" w:ascii="宋体" w:hAnsi="宋体" w:cs="宋体"/>
                <w:color w:val="000000"/>
                <w:sz w:val="22"/>
              </w:rPr>
            </w:pPr>
            <w:r>
              <w:rPr>
                <w:rFonts w:hint="eastAsia" w:ascii="宋体" w:hAnsi="宋体" w:cs="宋体"/>
                <w:color w:val="FF0000"/>
                <w:sz w:val="22"/>
              </w:rPr>
              <w:t>要求：提供检测报告关键信息扫描件；检测报告在全国认证认可信息公共服务平台网站（http://cx.cnca.cn/CertECloud/qts/qts/qtsPage）查询截图扫描件。投标人必须是所投产品的制造商或代理商，代理商需提供产品制造商品牌授权委托书。</w:t>
            </w:r>
          </w:p>
        </w:tc>
      </w:tr>
      <w:tr w14:paraId="0E856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61" w:type="pct"/>
            <w:vMerge w:val="continue"/>
            <w:shd w:val="clear" w:color="auto" w:fill="auto"/>
            <w:noWrap w:val="0"/>
            <w:vAlign w:val="center"/>
          </w:tcPr>
          <w:p w14:paraId="5ADF376B">
            <w:pPr>
              <w:jc w:val="center"/>
              <w:rPr>
                <w:rFonts w:hint="eastAsia" w:ascii="宋体" w:hAnsi="宋体" w:cs="宋体"/>
                <w:color w:val="000000"/>
                <w:sz w:val="22"/>
              </w:rPr>
            </w:pPr>
          </w:p>
        </w:tc>
        <w:tc>
          <w:tcPr>
            <w:tcW w:w="1243" w:type="pct"/>
            <w:vMerge w:val="continue"/>
            <w:shd w:val="clear" w:color="auto" w:fill="auto"/>
            <w:noWrap w:val="0"/>
            <w:vAlign w:val="center"/>
          </w:tcPr>
          <w:p w14:paraId="09FCB0F8">
            <w:pPr>
              <w:jc w:val="center"/>
              <w:rPr>
                <w:rFonts w:hint="eastAsia" w:ascii="宋体" w:hAnsi="宋体" w:cs="宋体"/>
                <w:color w:val="000000"/>
                <w:sz w:val="22"/>
              </w:rPr>
            </w:pPr>
          </w:p>
        </w:tc>
        <w:tc>
          <w:tcPr>
            <w:tcW w:w="3194" w:type="pct"/>
            <w:noWrap w:val="0"/>
            <w:vAlign w:val="center"/>
          </w:tcPr>
          <w:p w14:paraId="1D5C632F">
            <w:pPr>
              <w:jc w:val="both"/>
              <w:rPr>
                <w:rFonts w:hint="eastAsia" w:ascii="宋体" w:hAnsi="宋体" w:cs="宋体"/>
                <w:color w:val="000000"/>
                <w:sz w:val="22"/>
              </w:rPr>
            </w:pPr>
            <w:r>
              <w:rPr>
                <w:rFonts w:hint="eastAsia" w:ascii="宋体" w:hAnsi="宋体" w:cs="宋体"/>
                <w:color w:val="000000"/>
                <w:sz w:val="22"/>
              </w:rPr>
              <w:t>3、五金：选用环保五金，安全无毒，色泽丰富。</w:t>
            </w:r>
          </w:p>
        </w:tc>
      </w:tr>
      <w:tr w14:paraId="60E99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61" w:type="pct"/>
            <w:vMerge w:val="continue"/>
            <w:shd w:val="clear" w:color="auto" w:fill="auto"/>
            <w:noWrap w:val="0"/>
            <w:vAlign w:val="center"/>
          </w:tcPr>
          <w:p w14:paraId="0CC1C5D0">
            <w:pPr>
              <w:jc w:val="center"/>
              <w:rPr>
                <w:rFonts w:hint="eastAsia" w:ascii="宋体" w:hAnsi="宋体" w:cs="宋体"/>
                <w:color w:val="000000"/>
                <w:sz w:val="22"/>
              </w:rPr>
            </w:pPr>
          </w:p>
        </w:tc>
        <w:tc>
          <w:tcPr>
            <w:tcW w:w="1243" w:type="pct"/>
            <w:vMerge w:val="continue"/>
            <w:shd w:val="clear" w:color="auto" w:fill="auto"/>
            <w:noWrap w:val="0"/>
            <w:vAlign w:val="center"/>
          </w:tcPr>
          <w:p w14:paraId="437566B6">
            <w:pPr>
              <w:jc w:val="center"/>
              <w:rPr>
                <w:rFonts w:hint="eastAsia" w:ascii="宋体" w:hAnsi="宋体" w:cs="宋体"/>
                <w:color w:val="000000"/>
                <w:sz w:val="22"/>
              </w:rPr>
            </w:pPr>
          </w:p>
        </w:tc>
        <w:tc>
          <w:tcPr>
            <w:tcW w:w="3194" w:type="pct"/>
            <w:noWrap w:val="0"/>
            <w:vAlign w:val="center"/>
          </w:tcPr>
          <w:p w14:paraId="7FC5AC0C">
            <w:pPr>
              <w:jc w:val="both"/>
              <w:rPr>
                <w:rFonts w:hint="eastAsia" w:ascii="宋体" w:hAnsi="宋体" w:cs="宋体"/>
                <w:color w:val="000000"/>
                <w:sz w:val="22"/>
              </w:rPr>
            </w:pPr>
            <w:r>
              <w:rPr>
                <w:rFonts w:hint="eastAsia" w:ascii="宋体" w:hAnsi="宋体" w:cs="宋体"/>
                <w:color w:val="000000"/>
                <w:sz w:val="22"/>
              </w:rPr>
              <w:t>4、油漆：采用绿色环保无毒水性漆，经过两底一面工艺制作。附着力、耐冲击、耐磨、耐湿不小于3 级，灼烧、耐液、耐干、 耐冷热。</w:t>
            </w:r>
          </w:p>
        </w:tc>
      </w:tr>
      <w:tr w14:paraId="6F9E7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61" w:type="pct"/>
            <w:vMerge w:val="continue"/>
            <w:shd w:val="clear" w:color="auto" w:fill="auto"/>
            <w:noWrap w:val="0"/>
            <w:vAlign w:val="center"/>
          </w:tcPr>
          <w:p w14:paraId="566DF651">
            <w:pPr>
              <w:jc w:val="center"/>
              <w:rPr>
                <w:rFonts w:hint="eastAsia" w:ascii="宋体" w:hAnsi="宋体" w:cs="宋体"/>
                <w:color w:val="000000"/>
                <w:sz w:val="22"/>
              </w:rPr>
            </w:pPr>
          </w:p>
        </w:tc>
        <w:tc>
          <w:tcPr>
            <w:tcW w:w="1243" w:type="pct"/>
            <w:vMerge w:val="continue"/>
            <w:shd w:val="clear" w:color="auto" w:fill="auto"/>
            <w:noWrap w:val="0"/>
            <w:vAlign w:val="center"/>
          </w:tcPr>
          <w:p w14:paraId="6267E658">
            <w:pPr>
              <w:jc w:val="center"/>
              <w:rPr>
                <w:rFonts w:hint="eastAsia" w:ascii="宋体" w:hAnsi="宋体" w:cs="宋体"/>
                <w:color w:val="000000"/>
                <w:sz w:val="22"/>
              </w:rPr>
            </w:pPr>
          </w:p>
        </w:tc>
        <w:tc>
          <w:tcPr>
            <w:tcW w:w="3194" w:type="pct"/>
            <w:noWrap w:val="0"/>
            <w:vAlign w:val="center"/>
          </w:tcPr>
          <w:p w14:paraId="4EF3AEC0">
            <w:pPr>
              <w:jc w:val="both"/>
              <w:rPr>
                <w:rFonts w:hint="eastAsia" w:ascii="宋体" w:hAnsi="宋体" w:cs="宋体"/>
                <w:color w:val="000000"/>
                <w:sz w:val="22"/>
              </w:rPr>
            </w:pPr>
            <w:r>
              <w:rPr>
                <w:rFonts w:hint="eastAsia" w:ascii="宋体" w:hAnsi="宋体" w:cs="宋体"/>
                <w:color w:val="000000"/>
                <w:sz w:val="22"/>
              </w:rPr>
              <w:t>5、其他：外延打磨指甲圆，光滑平整，正反面均无毛刺。</w:t>
            </w:r>
          </w:p>
        </w:tc>
      </w:tr>
      <w:tr w14:paraId="5F99F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61" w:type="pct"/>
            <w:vMerge w:val="continue"/>
            <w:shd w:val="clear" w:color="auto" w:fill="auto"/>
            <w:noWrap w:val="0"/>
            <w:vAlign w:val="center"/>
          </w:tcPr>
          <w:p w14:paraId="4D4C3386">
            <w:pPr>
              <w:jc w:val="center"/>
              <w:rPr>
                <w:rFonts w:hint="eastAsia" w:ascii="宋体" w:hAnsi="宋体" w:cs="宋体"/>
                <w:color w:val="000000"/>
                <w:sz w:val="22"/>
              </w:rPr>
            </w:pPr>
          </w:p>
        </w:tc>
        <w:tc>
          <w:tcPr>
            <w:tcW w:w="1243" w:type="pct"/>
            <w:vMerge w:val="continue"/>
            <w:shd w:val="clear" w:color="auto" w:fill="auto"/>
            <w:noWrap w:val="0"/>
            <w:vAlign w:val="center"/>
          </w:tcPr>
          <w:p w14:paraId="3468E2DF">
            <w:pPr>
              <w:jc w:val="center"/>
              <w:rPr>
                <w:rFonts w:hint="eastAsia" w:ascii="宋体" w:hAnsi="宋体" w:cs="宋体"/>
                <w:color w:val="000000"/>
                <w:sz w:val="22"/>
              </w:rPr>
            </w:pPr>
          </w:p>
        </w:tc>
        <w:tc>
          <w:tcPr>
            <w:tcW w:w="3194" w:type="pct"/>
            <w:noWrap w:val="0"/>
            <w:vAlign w:val="center"/>
          </w:tcPr>
          <w:p w14:paraId="1B2B2F49">
            <w:pPr>
              <w:jc w:val="both"/>
              <w:rPr>
                <w:rFonts w:hint="eastAsia" w:ascii="宋体" w:hAnsi="宋体" w:cs="宋体"/>
                <w:color w:val="000000"/>
                <w:sz w:val="22"/>
              </w:rPr>
            </w:pPr>
            <w:r>
              <w:rPr>
                <w:rFonts w:hint="eastAsia" w:ascii="宋体" w:hAnsi="宋体" w:cs="宋体"/>
                <w:color w:val="000000"/>
                <w:sz w:val="22"/>
              </w:rPr>
              <w:t>6、产品符合儿童家具通用技术标准。</w:t>
            </w:r>
          </w:p>
        </w:tc>
      </w:tr>
      <w:tr w14:paraId="0161A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61" w:type="pct"/>
            <w:vMerge w:val="restart"/>
            <w:shd w:val="clear" w:color="auto" w:fill="auto"/>
            <w:noWrap w:val="0"/>
            <w:vAlign w:val="center"/>
          </w:tcPr>
          <w:p w14:paraId="2D17F868">
            <w:pPr>
              <w:jc w:val="center"/>
              <w:rPr>
                <w:rFonts w:hint="eastAsia" w:ascii="宋体" w:hAnsi="宋体" w:eastAsia="宋体" w:cs="宋体"/>
                <w:color w:val="000000"/>
                <w:kern w:val="2"/>
                <w:sz w:val="22"/>
                <w:szCs w:val="22"/>
                <w:lang w:val="en-US" w:eastAsia="zh-CN" w:bidi="ar-SA"/>
              </w:rPr>
            </w:pPr>
            <w:r>
              <w:rPr>
                <w:rFonts w:hint="eastAsia" w:ascii="宋体" w:hAnsi="宋体" w:cs="宋体"/>
                <w:color w:val="000000"/>
                <w:sz w:val="22"/>
              </w:rPr>
              <w:t>4</w:t>
            </w:r>
          </w:p>
        </w:tc>
        <w:tc>
          <w:tcPr>
            <w:tcW w:w="1243" w:type="pct"/>
            <w:vMerge w:val="restart"/>
            <w:shd w:val="clear" w:color="auto" w:fill="auto"/>
            <w:noWrap w:val="0"/>
            <w:vAlign w:val="center"/>
          </w:tcPr>
          <w:p w14:paraId="2D619D3A">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一层柜（无背板）</w:t>
            </w:r>
          </w:p>
        </w:tc>
        <w:tc>
          <w:tcPr>
            <w:tcW w:w="3194" w:type="pct"/>
            <w:noWrap w:val="0"/>
            <w:vAlign w:val="center"/>
          </w:tcPr>
          <w:p w14:paraId="6F1F84A6">
            <w:pPr>
              <w:jc w:val="both"/>
              <w:rPr>
                <w:rFonts w:hint="eastAsia" w:ascii="宋体" w:hAnsi="宋体" w:cs="宋体"/>
                <w:color w:val="000000"/>
                <w:sz w:val="22"/>
              </w:rPr>
            </w:pPr>
            <w:r>
              <w:rPr>
                <w:rFonts w:hint="eastAsia" w:ascii="宋体" w:hAnsi="宋体" w:cs="宋体"/>
                <w:color w:val="000000"/>
                <w:sz w:val="22"/>
              </w:rPr>
              <w:t>1、尺寸：L80cm*W33cm*H30cm（±</w:t>
            </w:r>
            <w:r>
              <w:rPr>
                <w:rFonts w:hint="eastAsia" w:ascii="宋体" w:hAnsi="宋体" w:cs="宋体"/>
                <w:color w:val="000000"/>
                <w:sz w:val="22"/>
                <w:lang w:val="en-US" w:eastAsia="zh-CN"/>
              </w:rPr>
              <w:t>2</w:t>
            </w:r>
            <w:r>
              <w:rPr>
                <w:rFonts w:hint="eastAsia" w:ascii="宋体" w:hAnsi="宋体" w:cs="宋体"/>
                <w:color w:val="000000"/>
                <w:sz w:val="22"/>
              </w:rPr>
              <w:t>cm）</w:t>
            </w:r>
          </w:p>
        </w:tc>
      </w:tr>
      <w:tr w14:paraId="45868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61" w:type="pct"/>
            <w:vMerge w:val="continue"/>
            <w:shd w:val="clear" w:color="auto" w:fill="auto"/>
            <w:noWrap w:val="0"/>
            <w:vAlign w:val="center"/>
          </w:tcPr>
          <w:p w14:paraId="7F091282">
            <w:pPr>
              <w:jc w:val="center"/>
            </w:pPr>
          </w:p>
        </w:tc>
        <w:tc>
          <w:tcPr>
            <w:tcW w:w="1243" w:type="pct"/>
            <w:vMerge w:val="continue"/>
            <w:shd w:val="clear" w:color="auto" w:fill="auto"/>
            <w:noWrap w:val="0"/>
            <w:vAlign w:val="center"/>
          </w:tcPr>
          <w:p w14:paraId="62080F86">
            <w:pPr>
              <w:jc w:val="center"/>
            </w:pPr>
          </w:p>
        </w:tc>
        <w:tc>
          <w:tcPr>
            <w:tcW w:w="3194" w:type="pct"/>
            <w:noWrap w:val="0"/>
            <w:vAlign w:val="center"/>
          </w:tcPr>
          <w:p w14:paraId="120F1143">
            <w:pPr>
              <w:jc w:val="both"/>
              <w:rPr>
                <w:rFonts w:hint="eastAsia" w:ascii="宋体" w:hAnsi="宋体" w:cs="宋体"/>
                <w:color w:val="000000"/>
                <w:sz w:val="22"/>
              </w:rPr>
            </w:pPr>
            <w:r>
              <w:rPr>
                <w:rFonts w:hint="eastAsia" w:ascii="宋体" w:hAnsi="宋体" w:cs="宋体"/>
                <w:color w:val="000000"/>
                <w:sz w:val="22"/>
              </w:rPr>
              <w:t>2、基材：桦木实木多层板，表面纹理清晰且全白、无结疤、无黑疤、无红点。柜体为一层中空，储物空间内径长度不大于77cm（±</w:t>
            </w:r>
            <w:r>
              <w:rPr>
                <w:rFonts w:hint="eastAsia" w:ascii="宋体" w:hAnsi="宋体" w:cs="宋体"/>
                <w:color w:val="000000"/>
                <w:sz w:val="22"/>
                <w:lang w:val="en-US" w:eastAsia="zh-CN"/>
              </w:rPr>
              <w:t>1</w:t>
            </w:r>
            <w:r>
              <w:rPr>
                <w:rFonts w:hint="eastAsia" w:ascii="宋体" w:hAnsi="宋体" w:cs="宋体"/>
                <w:color w:val="000000"/>
                <w:sz w:val="22"/>
              </w:rPr>
              <w:t>cm），内径宽度不大于33cm（±</w:t>
            </w:r>
            <w:r>
              <w:rPr>
                <w:rFonts w:hint="eastAsia" w:ascii="宋体" w:hAnsi="宋体" w:cs="宋体"/>
                <w:color w:val="000000"/>
                <w:sz w:val="22"/>
                <w:lang w:val="en-US" w:eastAsia="zh-CN"/>
              </w:rPr>
              <w:t>1</w:t>
            </w:r>
            <w:r>
              <w:rPr>
                <w:rFonts w:hint="eastAsia" w:ascii="宋体" w:hAnsi="宋体" w:cs="宋体"/>
                <w:color w:val="000000"/>
                <w:sz w:val="22"/>
              </w:rPr>
              <w:t>cm），柜体整体为原木色，柜体用螺丝固定。</w:t>
            </w:r>
          </w:p>
        </w:tc>
      </w:tr>
      <w:tr w14:paraId="0663A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61" w:type="pct"/>
            <w:vMerge w:val="continue"/>
            <w:shd w:val="clear" w:color="auto" w:fill="auto"/>
            <w:noWrap w:val="0"/>
            <w:vAlign w:val="center"/>
          </w:tcPr>
          <w:p w14:paraId="4CA31C25">
            <w:pPr>
              <w:jc w:val="center"/>
              <w:rPr>
                <w:rFonts w:hint="eastAsia" w:ascii="宋体" w:hAnsi="宋体" w:cs="宋体"/>
                <w:color w:val="000000"/>
                <w:sz w:val="22"/>
              </w:rPr>
            </w:pPr>
          </w:p>
        </w:tc>
        <w:tc>
          <w:tcPr>
            <w:tcW w:w="1243" w:type="pct"/>
            <w:vMerge w:val="continue"/>
            <w:shd w:val="clear" w:color="auto" w:fill="auto"/>
            <w:noWrap w:val="0"/>
            <w:vAlign w:val="center"/>
          </w:tcPr>
          <w:p w14:paraId="110205A2">
            <w:pPr>
              <w:jc w:val="center"/>
              <w:rPr>
                <w:rFonts w:hint="eastAsia" w:ascii="宋体" w:hAnsi="宋体" w:cs="宋体"/>
                <w:color w:val="000000"/>
                <w:sz w:val="22"/>
              </w:rPr>
            </w:pPr>
          </w:p>
        </w:tc>
        <w:tc>
          <w:tcPr>
            <w:tcW w:w="3194" w:type="pct"/>
            <w:noWrap w:val="0"/>
            <w:vAlign w:val="center"/>
          </w:tcPr>
          <w:p w14:paraId="4832F083">
            <w:pPr>
              <w:jc w:val="both"/>
              <w:rPr>
                <w:rFonts w:hint="eastAsia" w:ascii="宋体" w:hAnsi="宋体" w:cs="宋体"/>
                <w:color w:val="000000"/>
                <w:sz w:val="22"/>
              </w:rPr>
            </w:pPr>
            <w:r>
              <w:rPr>
                <w:rFonts w:hint="eastAsia" w:ascii="宋体" w:hAnsi="宋体" w:cs="宋体"/>
                <w:color w:val="000000"/>
                <w:sz w:val="22"/>
              </w:rPr>
              <w:t xml:space="preserve">3、五金：选用环保五金，安全无毒，色泽丰富。 </w:t>
            </w:r>
          </w:p>
        </w:tc>
      </w:tr>
      <w:tr w14:paraId="4AD47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61" w:type="pct"/>
            <w:vMerge w:val="continue"/>
            <w:shd w:val="clear" w:color="auto" w:fill="auto"/>
            <w:noWrap w:val="0"/>
            <w:vAlign w:val="center"/>
          </w:tcPr>
          <w:p w14:paraId="0EADC1C9">
            <w:pPr>
              <w:jc w:val="center"/>
              <w:rPr>
                <w:rFonts w:hint="eastAsia" w:ascii="宋体" w:hAnsi="宋体" w:cs="宋体"/>
                <w:color w:val="000000"/>
                <w:sz w:val="22"/>
              </w:rPr>
            </w:pPr>
          </w:p>
        </w:tc>
        <w:tc>
          <w:tcPr>
            <w:tcW w:w="1243" w:type="pct"/>
            <w:vMerge w:val="continue"/>
            <w:shd w:val="clear" w:color="auto" w:fill="auto"/>
            <w:noWrap w:val="0"/>
            <w:vAlign w:val="center"/>
          </w:tcPr>
          <w:p w14:paraId="560F8206">
            <w:pPr>
              <w:jc w:val="center"/>
              <w:rPr>
                <w:rFonts w:hint="eastAsia" w:ascii="宋体" w:hAnsi="宋体" w:cs="宋体"/>
                <w:color w:val="000000"/>
                <w:sz w:val="22"/>
              </w:rPr>
            </w:pPr>
          </w:p>
        </w:tc>
        <w:tc>
          <w:tcPr>
            <w:tcW w:w="3194" w:type="pct"/>
            <w:noWrap w:val="0"/>
            <w:vAlign w:val="center"/>
          </w:tcPr>
          <w:p w14:paraId="53097AC2">
            <w:pPr>
              <w:jc w:val="both"/>
              <w:rPr>
                <w:rFonts w:hint="eastAsia" w:ascii="宋体" w:hAnsi="宋体" w:cs="宋体"/>
                <w:color w:val="000000"/>
                <w:sz w:val="22"/>
              </w:rPr>
            </w:pPr>
            <w:r>
              <w:rPr>
                <w:rFonts w:hint="eastAsia" w:ascii="宋体" w:hAnsi="宋体" w:cs="宋体"/>
                <w:color w:val="000000"/>
                <w:sz w:val="22"/>
              </w:rPr>
              <w:t>4、油漆：采用绿色环保无毒水性漆，经过两底一面工艺制作。附着力、耐冲击、耐磨、耐湿不小于3 级，灼烧、耐液、耐干、 耐冷热。</w:t>
            </w:r>
          </w:p>
        </w:tc>
      </w:tr>
      <w:tr w14:paraId="79E31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61" w:type="pct"/>
            <w:vMerge w:val="continue"/>
            <w:shd w:val="clear" w:color="auto" w:fill="auto"/>
            <w:noWrap w:val="0"/>
            <w:vAlign w:val="center"/>
          </w:tcPr>
          <w:p w14:paraId="08B1CA6C">
            <w:pPr>
              <w:jc w:val="center"/>
              <w:rPr>
                <w:rFonts w:hint="eastAsia" w:ascii="宋体" w:hAnsi="宋体" w:cs="宋体"/>
                <w:color w:val="000000"/>
                <w:sz w:val="22"/>
              </w:rPr>
            </w:pPr>
          </w:p>
        </w:tc>
        <w:tc>
          <w:tcPr>
            <w:tcW w:w="1243" w:type="pct"/>
            <w:vMerge w:val="continue"/>
            <w:shd w:val="clear" w:color="auto" w:fill="auto"/>
            <w:noWrap w:val="0"/>
            <w:vAlign w:val="center"/>
          </w:tcPr>
          <w:p w14:paraId="1480BB86">
            <w:pPr>
              <w:jc w:val="center"/>
              <w:rPr>
                <w:rFonts w:hint="eastAsia" w:ascii="宋体" w:hAnsi="宋体" w:cs="宋体"/>
                <w:color w:val="000000"/>
                <w:sz w:val="22"/>
              </w:rPr>
            </w:pPr>
          </w:p>
        </w:tc>
        <w:tc>
          <w:tcPr>
            <w:tcW w:w="3194" w:type="pct"/>
            <w:noWrap w:val="0"/>
            <w:vAlign w:val="center"/>
          </w:tcPr>
          <w:p w14:paraId="7DD392C2">
            <w:pPr>
              <w:jc w:val="both"/>
              <w:rPr>
                <w:rFonts w:hint="eastAsia" w:ascii="宋体" w:hAnsi="宋体" w:cs="宋体"/>
                <w:color w:val="000000"/>
                <w:sz w:val="22"/>
              </w:rPr>
            </w:pPr>
            <w:r>
              <w:rPr>
                <w:rFonts w:hint="eastAsia" w:ascii="宋体" w:hAnsi="宋体" w:cs="宋体"/>
                <w:color w:val="000000"/>
                <w:sz w:val="22"/>
              </w:rPr>
              <w:t>5、其他：外延打磨指甲圆，光滑平整，正反面均无毛刺。</w:t>
            </w:r>
          </w:p>
        </w:tc>
      </w:tr>
      <w:tr w14:paraId="38E83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61" w:type="pct"/>
            <w:vMerge w:val="continue"/>
            <w:shd w:val="clear" w:color="auto" w:fill="auto"/>
            <w:noWrap w:val="0"/>
            <w:vAlign w:val="center"/>
          </w:tcPr>
          <w:p w14:paraId="393D12BE">
            <w:pPr>
              <w:jc w:val="center"/>
              <w:rPr>
                <w:rFonts w:hint="eastAsia" w:ascii="宋体" w:hAnsi="宋体" w:cs="宋体"/>
                <w:color w:val="000000"/>
                <w:sz w:val="22"/>
              </w:rPr>
            </w:pPr>
          </w:p>
        </w:tc>
        <w:tc>
          <w:tcPr>
            <w:tcW w:w="1243" w:type="pct"/>
            <w:vMerge w:val="continue"/>
            <w:shd w:val="clear" w:color="auto" w:fill="auto"/>
            <w:noWrap w:val="0"/>
            <w:vAlign w:val="center"/>
          </w:tcPr>
          <w:p w14:paraId="451AF017">
            <w:pPr>
              <w:jc w:val="center"/>
              <w:rPr>
                <w:rFonts w:hint="eastAsia" w:ascii="宋体" w:hAnsi="宋体" w:cs="宋体"/>
                <w:color w:val="000000"/>
                <w:sz w:val="22"/>
              </w:rPr>
            </w:pPr>
          </w:p>
        </w:tc>
        <w:tc>
          <w:tcPr>
            <w:tcW w:w="3194" w:type="pct"/>
            <w:noWrap w:val="0"/>
            <w:vAlign w:val="center"/>
          </w:tcPr>
          <w:p w14:paraId="3CB2FD8F">
            <w:pPr>
              <w:jc w:val="both"/>
              <w:rPr>
                <w:rFonts w:hint="eastAsia" w:ascii="宋体" w:hAnsi="宋体" w:cs="宋体"/>
                <w:color w:val="000000"/>
                <w:sz w:val="22"/>
              </w:rPr>
            </w:pPr>
            <w:r>
              <w:rPr>
                <w:rFonts w:hint="eastAsia" w:ascii="宋体" w:hAnsi="宋体" w:cs="宋体"/>
                <w:color w:val="000000"/>
                <w:sz w:val="22"/>
              </w:rPr>
              <w:t>6、产品符合儿童家具通用技术标准。</w:t>
            </w:r>
          </w:p>
        </w:tc>
      </w:tr>
      <w:tr w14:paraId="2DA6B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561" w:type="pct"/>
            <w:vMerge w:val="restart"/>
            <w:shd w:val="clear" w:color="auto" w:fill="auto"/>
            <w:noWrap w:val="0"/>
            <w:vAlign w:val="center"/>
          </w:tcPr>
          <w:p w14:paraId="1A662F02">
            <w:pPr>
              <w:jc w:val="center"/>
              <w:rPr>
                <w:rFonts w:hint="eastAsia" w:ascii="宋体" w:hAnsi="宋体" w:eastAsia="宋体" w:cs="宋体"/>
                <w:color w:val="000000"/>
                <w:kern w:val="2"/>
                <w:sz w:val="22"/>
                <w:szCs w:val="22"/>
                <w:lang w:val="en-US" w:eastAsia="zh-CN" w:bidi="ar-SA"/>
              </w:rPr>
            </w:pPr>
            <w:r>
              <w:rPr>
                <w:rFonts w:hint="eastAsia" w:ascii="宋体" w:hAnsi="宋体" w:cs="宋体"/>
                <w:color w:val="000000"/>
                <w:sz w:val="22"/>
              </w:rPr>
              <w:t>5</w:t>
            </w:r>
          </w:p>
        </w:tc>
        <w:tc>
          <w:tcPr>
            <w:tcW w:w="1243" w:type="pct"/>
            <w:vMerge w:val="restart"/>
            <w:shd w:val="clear" w:color="auto" w:fill="auto"/>
            <w:noWrap w:val="0"/>
            <w:vAlign w:val="center"/>
          </w:tcPr>
          <w:p w14:paraId="2B7B0669">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两层扇形柜 - 无背板</w:t>
            </w:r>
          </w:p>
        </w:tc>
        <w:tc>
          <w:tcPr>
            <w:tcW w:w="3194" w:type="pct"/>
            <w:noWrap w:val="0"/>
            <w:vAlign w:val="center"/>
          </w:tcPr>
          <w:p w14:paraId="7FF386AD">
            <w:pPr>
              <w:jc w:val="both"/>
              <w:rPr>
                <w:rFonts w:hint="eastAsia" w:ascii="宋体" w:hAnsi="宋体" w:cs="宋体"/>
                <w:color w:val="000000"/>
                <w:sz w:val="22"/>
              </w:rPr>
            </w:pPr>
            <w:r>
              <w:rPr>
                <w:rFonts w:hint="eastAsia" w:ascii="宋体" w:hAnsi="宋体" w:cs="宋体"/>
                <w:color w:val="000000"/>
                <w:sz w:val="22"/>
              </w:rPr>
              <w:t>1、尺寸：L54cm*W33cm*H60.5cm（±</w:t>
            </w:r>
            <w:r>
              <w:rPr>
                <w:rFonts w:hint="eastAsia" w:ascii="宋体" w:hAnsi="宋体" w:cs="宋体"/>
                <w:color w:val="000000"/>
                <w:sz w:val="22"/>
                <w:lang w:val="en-US" w:eastAsia="zh-CN"/>
              </w:rPr>
              <w:t>2</w:t>
            </w:r>
            <w:r>
              <w:rPr>
                <w:rFonts w:hint="eastAsia" w:ascii="宋体" w:hAnsi="宋体" w:cs="宋体"/>
                <w:color w:val="000000"/>
                <w:sz w:val="22"/>
              </w:rPr>
              <w:t>cm）</w:t>
            </w:r>
          </w:p>
        </w:tc>
      </w:tr>
      <w:tr w14:paraId="76777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561" w:type="pct"/>
            <w:vMerge w:val="continue"/>
            <w:shd w:val="clear" w:color="auto" w:fill="auto"/>
            <w:noWrap w:val="0"/>
            <w:vAlign w:val="center"/>
          </w:tcPr>
          <w:p w14:paraId="6C77A17E">
            <w:pPr>
              <w:jc w:val="center"/>
            </w:pPr>
          </w:p>
        </w:tc>
        <w:tc>
          <w:tcPr>
            <w:tcW w:w="1243" w:type="pct"/>
            <w:vMerge w:val="continue"/>
            <w:shd w:val="clear" w:color="auto" w:fill="auto"/>
            <w:noWrap w:val="0"/>
            <w:vAlign w:val="center"/>
          </w:tcPr>
          <w:p w14:paraId="6F41F04D">
            <w:pPr>
              <w:jc w:val="center"/>
            </w:pPr>
          </w:p>
        </w:tc>
        <w:tc>
          <w:tcPr>
            <w:tcW w:w="3194" w:type="pct"/>
            <w:noWrap w:val="0"/>
            <w:vAlign w:val="center"/>
          </w:tcPr>
          <w:p w14:paraId="72CEA361">
            <w:pPr>
              <w:jc w:val="both"/>
              <w:rPr>
                <w:rFonts w:hint="eastAsia" w:ascii="宋体" w:hAnsi="宋体" w:cs="宋体"/>
                <w:color w:val="000000"/>
                <w:sz w:val="22"/>
              </w:rPr>
            </w:pPr>
            <w:r>
              <w:rPr>
                <w:rFonts w:hint="eastAsia" w:ascii="宋体" w:hAnsi="宋体" w:cs="宋体"/>
                <w:color w:val="000000"/>
                <w:sz w:val="22"/>
              </w:rPr>
              <w:t>2、基材：桦木实木多层板，表面纹理清晰且全白、无结疤、无黑疤、无红点。柜体为二层扇形中空，每层层板上弧和下弧间距最宽不大于32.5cm（±</w:t>
            </w:r>
            <w:r>
              <w:rPr>
                <w:rFonts w:hint="eastAsia" w:ascii="宋体" w:hAnsi="宋体" w:cs="宋体"/>
                <w:color w:val="000000"/>
                <w:sz w:val="22"/>
                <w:lang w:val="en-US" w:eastAsia="zh-CN"/>
              </w:rPr>
              <w:t>1</w:t>
            </w:r>
            <w:r>
              <w:rPr>
                <w:rFonts w:hint="eastAsia" w:ascii="宋体" w:hAnsi="宋体" w:cs="宋体"/>
                <w:color w:val="000000"/>
                <w:sz w:val="22"/>
              </w:rPr>
              <w:t>cm），间距最窄不大于32cm（±</w:t>
            </w:r>
            <w:r>
              <w:rPr>
                <w:rFonts w:hint="eastAsia" w:ascii="宋体" w:hAnsi="宋体" w:cs="宋体"/>
                <w:color w:val="000000"/>
                <w:sz w:val="22"/>
                <w:lang w:val="en-US" w:eastAsia="zh-CN"/>
              </w:rPr>
              <w:t>1</w:t>
            </w:r>
            <w:r>
              <w:rPr>
                <w:rFonts w:hint="eastAsia" w:ascii="宋体" w:hAnsi="宋体" w:cs="宋体"/>
                <w:color w:val="000000"/>
                <w:sz w:val="22"/>
              </w:rPr>
              <w:t>cm），每隔层板都可以放置尺寸31*20*13.5cm（±</w:t>
            </w:r>
            <w:r>
              <w:rPr>
                <w:rFonts w:hint="eastAsia" w:ascii="宋体" w:hAnsi="宋体" w:cs="宋体"/>
                <w:color w:val="000000"/>
                <w:sz w:val="22"/>
                <w:lang w:val="en-US" w:eastAsia="zh-CN"/>
              </w:rPr>
              <w:t>1</w:t>
            </w:r>
            <w:r>
              <w:rPr>
                <w:rFonts w:hint="eastAsia" w:ascii="宋体" w:hAnsi="宋体" w:cs="宋体"/>
                <w:color w:val="000000"/>
                <w:sz w:val="22"/>
              </w:rPr>
              <w:t>cm）的收纳盒。柜体为原木色，柜体用螺丝固定。</w:t>
            </w:r>
          </w:p>
        </w:tc>
      </w:tr>
      <w:tr w14:paraId="7C8DA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561" w:type="pct"/>
            <w:vMerge w:val="continue"/>
            <w:shd w:val="clear" w:color="auto" w:fill="auto"/>
            <w:noWrap w:val="0"/>
            <w:vAlign w:val="center"/>
          </w:tcPr>
          <w:p w14:paraId="3FF67464">
            <w:pPr>
              <w:jc w:val="center"/>
              <w:rPr>
                <w:rFonts w:hint="eastAsia" w:ascii="宋体" w:hAnsi="宋体" w:cs="宋体"/>
                <w:color w:val="000000"/>
                <w:sz w:val="22"/>
              </w:rPr>
            </w:pPr>
          </w:p>
        </w:tc>
        <w:tc>
          <w:tcPr>
            <w:tcW w:w="1243" w:type="pct"/>
            <w:vMerge w:val="continue"/>
            <w:shd w:val="clear" w:color="auto" w:fill="auto"/>
            <w:noWrap w:val="0"/>
            <w:vAlign w:val="center"/>
          </w:tcPr>
          <w:p w14:paraId="5FCFC201">
            <w:pPr>
              <w:jc w:val="center"/>
              <w:rPr>
                <w:rFonts w:hint="eastAsia" w:ascii="宋体" w:hAnsi="宋体" w:cs="宋体"/>
                <w:color w:val="000000"/>
                <w:sz w:val="22"/>
              </w:rPr>
            </w:pPr>
          </w:p>
        </w:tc>
        <w:tc>
          <w:tcPr>
            <w:tcW w:w="3194" w:type="pct"/>
            <w:noWrap w:val="0"/>
            <w:vAlign w:val="center"/>
          </w:tcPr>
          <w:p w14:paraId="76B5AB08">
            <w:pPr>
              <w:jc w:val="both"/>
              <w:rPr>
                <w:rFonts w:hint="eastAsia" w:ascii="宋体" w:hAnsi="宋体" w:cs="宋体"/>
                <w:color w:val="000000"/>
                <w:sz w:val="22"/>
              </w:rPr>
            </w:pPr>
            <w:r>
              <w:rPr>
                <w:rFonts w:hint="eastAsia" w:ascii="宋体" w:hAnsi="宋体" w:cs="宋体"/>
                <w:color w:val="000000"/>
                <w:sz w:val="22"/>
              </w:rPr>
              <w:t>3、五金：选用环保五金，安全无毒，色泽丰富。</w:t>
            </w:r>
          </w:p>
        </w:tc>
      </w:tr>
      <w:tr w14:paraId="75DCE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561" w:type="pct"/>
            <w:vMerge w:val="continue"/>
            <w:shd w:val="clear" w:color="auto" w:fill="auto"/>
            <w:noWrap w:val="0"/>
            <w:vAlign w:val="center"/>
          </w:tcPr>
          <w:p w14:paraId="2604A615">
            <w:pPr>
              <w:jc w:val="center"/>
              <w:rPr>
                <w:rFonts w:hint="eastAsia" w:ascii="宋体" w:hAnsi="宋体" w:cs="宋体"/>
                <w:color w:val="000000"/>
                <w:sz w:val="22"/>
              </w:rPr>
            </w:pPr>
          </w:p>
        </w:tc>
        <w:tc>
          <w:tcPr>
            <w:tcW w:w="1243" w:type="pct"/>
            <w:vMerge w:val="continue"/>
            <w:shd w:val="clear" w:color="auto" w:fill="auto"/>
            <w:noWrap w:val="0"/>
            <w:vAlign w:val="center"/>
          </w:tcPr>
          <w:p w14:paraId="1BF47EAD">
            <w:pPr>
              <w:jc w:val="center"/>
              <w:rPr>
                <w:rFonts w:hint="eastAsia" w:ascii="宋体" w:hAnsi="宋体" w:cs="宋体"/>
                <w:color w:val="000000"/>
                <w:sz w:val="22"/>
              </w:rPr>
            </w:pPr>
          </w:p>
        </w:tc>
        <w:tc>
          <w:tcPr>
            <w:tcW w:w="3194" w:type="pct"/>
            <w:noWrap w:val="0"/>
            <w:vAlign w:val="center"/>
          </w:tcPr>
          <w:p w14:paraId="14AEF00B">
            <w:pPr>
              <w:jc w:val="both"/>
              <w:rPr>
                <w:rFonts w:hint="eastAsia" w:ascii="宋体" w:hAnsi="宋体" w:cs="宋体"/>
                <w:color w:val="000000"/>
                <w:sz w:val="22"/>
              </w:rPr>
            </w:pPr>
            <w:r>
              <w:rPr>
                <w:rFonts w:hint="eastAsia" w:ascii="宋体" w:hAnsi="宋体" w:cs="宋体"/>
                <w:color w:val="000000"/>
                <w:sz w:val="22"/>
              </w:rPr>
              <w:t>4、油漆：采用绿色环保无毒水性漆，经过两底一面工艺制作。附着力、耐冲击、耐磨、耐湿不小于3 级，灼烧、耐液、耐干、 耐冷热。</w:t>
            </w:r>
          </w:p>
        </w:tc>
      </w:tr>
      <w:tr w14:paraId="75420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561" w:type="pct"/>
            <w:vMerge w:val="continue"/>
            <w:shd w:val="clear" w:color="auto" w:fill="auto"/>
            <w:noWrap w:val="0"/>
            <w:vAlign w:val="center"/>
          </w:tcPr>
          <w:p w14:paraId="6F9FBC94">
            <w:pPr>
              <w:jc w:val="center"/>
              <w:rPr>
                <w:rFonts w:hint="eastAsia" w:ascii="宋体" w:hAnsi="宋体" w:cs="宋体"/>
                <w:color w:val="000000"/>
                <w:sz w:val="22"/>
              </w:rPr>
            </w:pPr>
          </w:p>
        </w:tc>
        <w:tc>
          <w:tcPr>
            <w:tcW w:w="1243" w:type="pct"/>
            <w:vMerge w:val="continue"/>
            <w:shd w:val="clear" w:color="auto" w:fill="auto"/>
            <w:noWrap w:val="0"/>
            <w:vAlign w:val="center"/>
          </w:tcPr>
          <w:p w14:paraId="6C5CA5EE">
            <w:pPr>
              <w:jc w:val="center"/>
              <w:rPr>
                <w:rFonts w:hint="eastAsia" w:ascii="宋体" w:hAnsi="宋体" w:cs="宋体"/>
                <w:color w:val="000000"/>
                <w:sz w:val="22"/>
              </w:rPr>
            </w:pPr>
          </w:p>
        </w:tc>
        <w:tc>
          <w:tcPr>
            <w:tcW w:w="3194" w:type="pct"/>
            <w:noWrap w:val="0"/>
            <w:vAlign w:val="center"/>
          </w:tcPr>
          <w:p w14:paraId="3D94C09F">
            <w:pPr>
              <w:jc w:val="both"/>
              <w:rPr>
                <w:rFonts w:hint="eastAsia" w:ascii="宋体" w:hAnsi="宋体" w:cs="宋体"/>
                <w:color w:val="000000"/>
                <w:sz w:val="22"/>
              </w:rPr>
            </w:pPr>
            <w:r>
              <w:rPr>
                <w:rFonts w:hint="eastAsia" w:ascii="宋体" w:hAnsi="宋体" w:cs="宋体"/>
                <w:color w:val="000000"/>
                <w:sz w:val="22"/>
              </w:rPr>
              <w:t>5、其他：外延打磨指甲圆，光滑平整，正反面均无毛刺。</w:t>
            </w:r>
          </w:p>
        </w:tc>
      </w:tr>
      <w:tr w14:paraId="4A967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561" w:type="pct"/>
            <w:vMerge w:val="continue"/>
            <w:shd w:val="clear" w:color="auto" w:fill="auto"/>
            <w:noWrap w:val="0"/>
            <w:vAlign w:val="center"/>
          </w:tcPr>
          <w:p w14:paraId="2F17DA1D">
            <w:pPr>
              <w:jc w:val="center"/>
              <w:rPr>
                <w:rFonts w:hint="eastAsia" w:ascii="宋体" w:hAnsi="宋体" w:cs="宋体"/>
                <w:color w:val="000000"/>
                <w:sz w:val="22"/>
              </w:rPr>
            </w:pPr>
          </w:p>
        </w:tc>
        <w:tc>
          <w:tcPr>
            <w:tcW w:w="1243" w:type="pct"/>
            <w:vMerge w:val="continue"/>
            <w:shd w:val="clear" w:color="auto" w:fill="auto"/>
            <w:noWrap w:val="0"/>
            <w:vAlign w:val="center"/>
          </w:tcPr>
          <w:p w14:paraId="4EC78E17">
            <w:pPr>
              <w:jc w:val="center"/>
              <w:rPr>
                <w:rFonts w:hint="eastAsia" w:ascii="宋体" w:hAnsi="宋体" w:cs="宋体"/>
                <w:color w:val="000000"/>
                <w:sz w:val="22"/>
              </w:rPr>
            </w:pPr>
          </w:p>
        </w:tc>
        <w:tc>
          <w:tcPr>
            <w:tcW w:w="3194" w:type="pct"/>
            <w:noWrap w:val="0"/>
            <w:vAlign w:val="center"/>
          </w:tcPr>
          <w:p w14:paraId="7892CBD3">
            <w:pPr>
              <w:jc w:val="both"/>
              <w:rPr>
                <w:rFonts w:hint="eastAsia" w:ascii="宋体" w:hAnsi="宋体" w:cs="宋体"/>
                <w:color w:val="000000"/>
                <w:sz w:val="22"/>
              </w:rPr>
            </w:pPr>
            <w:r>
              <w:rPr>
                <w:rFonts w:hint="eastAsia" w:ascii="宋体" w:hAnsi="宋体" w:cs="宋体"/>
                <w:color w:val="000000"/>
                <w:sz w:val="22"/>
              </w:rPr>
              <w:t>6、产品符合儿童家具通用技术标准。</w:t>
            </w:r>
          </w:p>
        </w:tc>
      </w:tr>
      <w:tr w14:paraId="3698E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561" w:type="pct"/>
            <w:vMerge w:val="restart"/>
            <w:shd w:val="clear" w:color="auto" w:fill="auto"/>
            <w:noWrap w:val="0"/>
            <w:vAlign w:val="center"/>
          </w:tcPr>
          <w:p w14:paraId="434B1301">
            <w:pPr>
              <w:jc w:val="center"/>
              <w:rPr>
                <w:rFonts w:hint="eastAsia" w:ascii="宋体" w:hAnsi="宋体" w:eastAsia="宋体" w:cs="宋体"/>
                <w:color w:val="000000"/>
                <w:kern w:val="2"/>
                <w:sz w:val="22"/>
                <w:szCs w:val="22"/>
                <w:lang w:val="en-US" w:eastAsia="zh-CN" w:bidi="ar-SA"/>
              </w:rPr>
            </w:pPr>
            <w:r>
              <w:rPr>
                <w:rFonts w:hint="eastAsia" w:ascii="宋体" w:hAnsi="宋体" w:cs="宋体"/>
                <w:color w:val="000000"/>
                <w:sz w:val="22"/>
              </w:rPr>
              <w:t>6</w:t>
            </w:r>
          </w:p>
        </w:tc>
        <w:tc>
          <w:tcPr>
            <w:tcW w:w="1243" w:type="pct"/>
            <w:vMerge w:val="restart"/>
            <w:shd w:val="clear" w:color="auto" w:fill="auto"/>
            <w:noWrap w:val="0"/>
            <w:vAlign w:val="center"/>
          </w:tcPr>
          <w:p w14:paraId="7F9AF8CA">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一层两格柜（无背板）</w:t>
            </w:r>
          </w:p>
        </w:tc>
        <w:tc>
          <w:tcPr>
            <w:tcW w:w="3194" w:type="pct"/>
            <w:noWrap w:val="0"/>
            <w:vAlign w:val="center"/>
          </w:tcPr>
          <w:p w14:paraId="245C930F">
            <w:pPr>
              <w:jc w:val="both"/>
              <w:rPr>
                <w:rFonts w:hint="eastAsia" w:ascii="宋体" w:hAnsi="宋体" w:cs="宋体"/>
                <w:color w:val="000000"/>
                <w:sz w:val="22"/>
              </w:rPr>
            </w:pPr>
            <w:r>
              <w:rPr>
                <w:rFonts w:hint="eastAsia" w:ascii="宋体" w:hAnsi="宋体" w:cs="宋体"/>
                <w:color w:val="000000"/>
                <w:sz w:val="22"/>
              </w:rPr>
              <w:t>1、尺寸：L80cm*W33cm*H30cm（±</w:t>
            </w:r>
            <w:r>
              <w:rPr>
                <w:rFonts w:hint="eastAsia" w:ascii="宋体" w:hAnsi="宋体" w:cs="宋体"/>
                <w:color w:val="000000"/>
                <w:sz w:val="22"/>
                <w:lang w:val="en-US" w:eastAsia="zh-CN"/>
              </w:rPr>
              <w:t>2</w:t>
            </w:r>
            <w:r>
              <w:rPr>
                <w:rFonts w:hint="eastAsia" w:ascii="宋体" w:hAnsi="宋体" w:cs="宋体"/>
                <w:color w:val="000000"/>
                <w:sz w:val="22"/>
              </w:rPr>
              <w:t>cm）</w:t>
            </w:r>
          </w:p>
        </w:tc>
      </w:tr>
      <w:tr w14:paraId="40310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561" w:type="pct"/>
            <w:vMerge w:val="continue"/>
            <w:shd w:val="clear" w:color="auto" w:fill="auto"/>
            <w:noWrap w:val="0"/>
            <w:vAlign w:val="center"/>
          </w:tcPr>
          <w:p w14:paraId="0E212F68">
            <w:pPr>
              <w:jc w:val="center"/>
            </w:pPr>
          </w:p>
        </w:tc>
        <w:tc>
          <w:tcPr>
            <w:tcW w:w="1243" w:type="pct"/>
            <w:vMerge w:val="continue"/>
            <w:shd w:val="clear" w:color="auto" w:fill="auto"/>
            <w:noWrap w:val="0"/>
            <w:vAlign w:val="center"/>
          </w:tcPr>
          <w:p w14:paraId="7FAE0485">
            <w:pPr>
              <w:jc w:val="center"/>
            </w:pPr>
          </w:p>
        </w:tc>
        <w:tc>
          <w:tcPr>
            <w:tcW w:w="3194" w:type="pct"/>
            <w:noWrap w:val="0"/>
            <w:vAlign w:val="center"/>
          </w:tcPr>
          <w:p w14:paraId="75C36D08">
            <w:pPr>
              <w:numPr>
                <w:ilvl w:val="0"/>
                <w:numId w:val="3"/>
              </w:numPr>
              <w:ind w:left="0" w:leftChars="0" w:firstLine="0" w:firstLineChars="0"/>
              <w:jc w:val="both"/>
              <w:rPr>
                <w:rFonts w:hint="eastAsia" w:ascii="宋体" w:hAnsi="宋体" w:cs="宋体"/>
                <w:color w:val="000000"/>
                <w:sz w:val="22"/>
              </w:rPr>
            </w:pPr>
            <w:r>
              <w:rPr>
                <w:rFonts w:hint="eastAsia" w:ascii="宋体" w:hAnsi="宋体" w:cs="宋体"/>
                <w:color w:val="000000"/>
                <w:sz w:val="22"/>
              </w:rPr>
              <w:t>基材：桦木实木多层板，表面纹理清晰且全白、无结疤、无黑疤、无红点。柜体为一层中空，分左右两格，隔断空间内径长度不大于38cm（±</w:t>
            </w:r>
            <w:r>
              <w:rPr>
                <w:rFonts w:hint="eastAsia" w:ascii="宋体" w:hAnsi="宋体" w:cs="宋体"/>
                <w:color w:val="000000"/>
                <w:sz w:val="22"/>
                <w:lang w:val="en-US" w:eastAsia="zh-CN"/>
              </w:rPr>
              <w:t>1</w:t>
            </w:r>
            <w:r>
              <w:rPr>
                <w:rFonts w:hint="eastAsia" w:ascii="宋体" w:hAnsi="宋体" w:cs="宋体"/>
                <w:color w:val="000000"/>
                <w:sz w:val="22"/>
              </w:rPr>
              <w:t>cm）,深度不大于33cm（±</w:t>
            </w:r>
            <w:r>
              <w:rPr>
                <w:rFonts w:hint="eastAsia" w:ascii="宋体" w:hAnsi="宋体" w:cs="宋体"/>
                <w:color w:val="000000"/>
                <w:sz w:val="22"/>
                <w:lang w:val="en-US" w:eastAsia="zh-CN"/>
              </w:rPr>
              <w:t>1</w:t>
            </w:r>
            <w:r>
              <w:rPr>
                <w:rFonts w:hint="eastAsia" w:ascii="宋体" w:hAnsi="宋体" w:cs="宋体"/>
                <w:color w:val="000000"/>
                <w:sz w:val="22"/>
              </w:rPr>
              <w:t>cm），柜体整体为原木色，柜体用螺丝固定。</w:t>
            </w:r>
          </w:p>
          <w:p w14:paraId="4A5DE4E4">
            <w:pPr>
              <w:numPr>
                <w:ilvl w:val="0"/>
                <w:numId w:val="0"/>
              </w:numPr>
              <w:ind w:leftChars="0"/>
              <w:jc w:val="both"/>
              <w:rPr>
                <w:rFonts w:hint="eastAsia" w:ascii="宋体" w:hAnsi="宋体" w:cs="宋体"/>
                <w:color w:val="FF0000"/>
                <w:sz w:val="22"/>
              </w:rPr>
            </w:pPr>
            <w:r>
              <w:rPr>
                <w:rFonts w:hint="eastAsia" w:ascii="宋体" w:hAnsi="宋体" w:cs="宋体"/>
                <w:color w:val="000000"/>
                <w:sz w:val="22"/>
              </w:rPr>
              <w:t>▲</w:t>
            </w:r>
            <w:r>
              <w:rPr>
                <w:rFonts w:hint="eastAsia" w:ascii="宋体" w:hAnsi="宋体" w:cs="宋体"/>
                <w:color w:val="FF0000"/>
                <w:sz w:val="22"/>
              </w:rPr>
              <w:t>提供具有CMA或CNAS标识的桦木实木多层板符合《GB/T 40908-2021 桦木实木多层板中禁限阻燃剂》的检测报告扫描件。（报告委托单位或报告抬头公司名称须与投标人或本次投标所提供货物制造商一致）</w:t>
            </w:r>
          </w:p>
          <w:p w14:paraId="52C720BD">
            <w:pPr>
              <w:numPr>
                <w:ilvl w:val="0"/>
                <w:numId w:val="0"/>
              </w:numPr>
              <w:ind w:leftChars="0"/>
              <w:jc w:val="both"/>
              <w:rPr>
                <w:rFonts w:hint="eastAsia" w:ascii="宋体" w:hAnsi="宋体" w:cs="宋体"/>
                <w:color w:val="000000"/>
                <w:sz w:val="22"/>
              </w:rPr>
            </w:pPr>
            <w:r>
              <w:rPr>
                <w:rFonts w:hint="eastAsia" w:ascii="宋体" w:hAnsi="宋体" w:cs="宋体"/>
                <w:color w:val="FF0000"/>
                <w:sz w:val="22"/>
              </w:rPr>
              <w:t>要求：提供检测报告关键信息扫描件；检测报告在全国认证认可信息公共服务平台网站（http://cx.cnca.cn/CertECloud/qts/qts/qtsPage）查询截图扫描件。投标人必须是所投产品的制造商或代理商，代理商需提供产品制造商品牌授权委托书。</w:t>
            </w:r>
          </w:p>
        </w:tc>
      </w:tr>
      <w:tr w14:paraId="1C9B8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561" w:type="pct"/>
            <w:vMerge w:val="continue"/>
            <w:shd w:val="clear" w:color="auto" w:fill="auto"/>
            <w:noWrap w:val="0"/>
            <w:vAlign w:val="center"/>
          </w:tcPr>
          <w:p w14:paraId="4B7E42B8">
            <w:pPr>
              <w:jc w:val="center"/>
              <w:rPr>
                <w:rFonts w:hint="eastAsia" w:ascii="宋体" w:hAnsi="宋体" w:cs="宋体"/>
                <w:color w:val="000000"/>
                <w:sz w:val="22"/>
              </w:rPr>
            </w:pPr>
          </w:p>
        </w:tc>
        <w:tc>
          <w:tcPr>
            <w:tcW w:w="1243" w:type="pct"/>
            <w:vMerge w:val="continue"/>
            <w:shd w:val="clear" w:color="auto" w:fill="auto"/>
            <w:noWrap w:val="0"/>
            <w:vAlign w:val="center"/>
          </w:tcPr>
          <w:p w14:paraId="1987FDA7">
            <w:pPr>
              <w:jc w:val="center"/>
              <w:rPr>
                <w:rFonts w:hint="eastAsia" w:ascii="宋体" w:hAnsi="宋体" w:cs="宋体"/>
                <w:color w:val="000000"/>
                <w:sz w:val="22"/>
              </w:rPr>
            </w:pPr>
          </w:p>
        </w:tc>
        <w:tc>
          <w:tcPr>
            <w:tcW w:w="3194" w:type="pct"/>
            <w:noWrap w:val="0"/>
            <w:vAlign w:val="center"/>
          </w:tcPr>
          <w:p w14:paraId="31165D47">
            <w:pPr>
              <w:jc w:val="both"/>
              <w:rPr>
                <w:rFonts w:hint="eastAsia" w:ascii="宋体" w:hAnsi="宋体" w:cs="宋体"/>
                <w:color w:val="000000"/>
                <w:sz w:val="22"/>
              </w:rPr>
            </w:pPr>
            <w:r>
              <w:rPr>
                <w:rFonts w:hint="eastAsia" w:ascii="宋体" w:hAnsi="宋体" w:cs="宋体"/>
                <w:color w:val="000000"/>
                <w:sz w:val="22"/>
              </w:rPr>
              <w:t xml:space="preserve">3、五金：选用环保五金，安全无毒，色泽丰富。 </w:t>
            </w:r>
          </w:p>
        </w:tc>
      </w:tr>
      <w:tr w14:paraId="4F513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561" w:type="pct"/>
            <w:vMerge w:val="continue"/>
            <w:shd w:val="clear" w:color="auto" w:fill="auto"/>
            <w:noWrap w:val="0"/>
            <w:vAlign w:val="center"/>
          </w:tcPr>
          <w:p w14:paraId="00BBBB78">
            <w:pPr>
              <w:jc w:val="center"/>
              <w:rPr>
                <w:rFonts w:hint="eastAsia" w:ascii="宋体" w:hAnsi="宋体" w:cs="宋体"/>
                <w:color w:val="000000"/>
                <w:sz w:val="22"/>
              </w:rPr>
            </w:pPr>
          </w:p>
        </w:tc>
        <w:tc>
          <w:tcPr>
            <w:tcW w:w="1243" w:type="pct"/>
            <w:vMerge w:val="continue"/>
            <w:shd w:val="clear" w:color="auto" w:fill="auto"/>
            <w:noWrap w:val="0"/>
            <w:vAlign w:val="center"/>
          </w:tcPr>
          <w:p w14:paraId="78E5E789">
            <w:pPr>
              <w:jc w:val="center"/>
              <w:rPr>
                <w:rFonts w:hint="eastAsia" w:ascii="宋体" w:hAnsi="宋体" w:cs="宋体"/>
                <w:color w:val="000000"/>
                <w:sz w:val="22"/>
              </w:rPr>
            </w:pPr>
          </w:p>
        </w:tc>
        <w:tc>
          <w:tcPr>
            <w:tcW w:w="3194" w:type="pct"/>
            <w:noWrap w:val="0"/>
            <w:vAlign w:val="center"/>
          </w:tcPr>
          <w:p w14:paraId="4A1A3C88">
            <w:pPr>
              <w:jc w:val="both"/>
              <w:rPr>
                <w:rFonts w:hint="eastAsia" w:ascii="宋体" w:hAnsi="宋体" w:cs="宋体"/>
                <w:color w:val="000000"/>
                <w:sz w:val="22"/>
              </w:rPr>
            </w:pPr>
            <w:r>
              <w:rPr>
                <w:rFonts w:hint="eastAsia" w:ascii="宋体" w:hAnsi="宋体" w:cs="宋体"/>
                <w:color w:val="000000"/>
                <w:sz w:val="22"/>
              </w:rPr>
              <w:t>4、油漆：采用绿色环保无毒水性漆，经过两底一面工艺制作。附着力、耐冲击、耐磨、耐湿不小于3 级，灼烧、耐液、耐干、 耐冷热。</w:t>
            </w:r>
          </w:p>
        </w:tc>
      </w:tr>
      <w:tr w14:paraId="3FC0A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561" w:type="pct"/>
            <w:vMerge w:val="continue"/>
            <w:shd w:val="clear" w:color="auto" w:fill="auto"/>
            <w:noWrap w:val="0"/>
            <w:vAlign w:val="center"/>
          </w:tcPr>
          <w:p w14:paraId="0E14E534">
            <w:pPr>
              <w:jc w:val="center"/>
              <w:rPr>
                <w:rFonts w:hint="eastAsia" w:ascii="宋体" w:hAnsi="宋体" w:cs="宋体"/>
                <w:color w:val="000000"/>
                <w:sz w:val="22"/>
              </w:rPr>
            </w:pPr>
          </w:p>
        </w:tc>
        <w:tc>
          <w:tcPr>
            <w:tcW w:w="1243" w:type="pct"/>
            <w:vMerge w:val="continue"/>
            <w:shd w:val="clear" w:color="auto" w:fill="auto"/>
            <w:noWrap w:val="0"/>
            <w:vAlign w:val="center"/>
          </w:tcPr>
          <w:p w14:paraId="410D7669">
            <w:pPr>
              <w:jc w:val="center"/>
              <w:rPr>
                <w:rFonts w:hint="eastAsia" w:ascii="宋体" w:hAnsi="宋体" w:cs="宋体"/>
                <w:color w:val="000000"/>
                <w:sz w:val="22"/>
              </w:rPr>
            </w:pPr>
          </w:p>
        </w:tc>
        <w:tc>
          <w:tcPr>
            <w:tcW w:w="3194" w:type="pct"/>
            <w:noWrap w:val="0"/>
            <w:vAlign w:val="center"/>
          </w:tcPr>
          <w:p w14:paraId="23CBD070">
            <w:pPr>
              <w:jc w:val="both"/>
              <w:rPr>
                <w:rFonts w:hint="eastAsia" w:ascii="宋体" w:hAnsi="宋体" w:cs="宋体"/>
                <w:color w:val="000000"/>
                <w:sz w:val="22"/>
              </w:rPr>
            </w:pPr>
            <w:r>
              <w:rPr>
                <w:rFonts w:hint="eastAsia" w:ascii="宋体" w:hAnsi="宋体" w:cs="宋体"/>
                <w:color w:val="000000"/>
                <w:sz w:val="22"/>
              </w:rPr>
              <w:t>5、其他：外延打磨指甲圆，光滑平整，正反面均无毛刺。</w:t>
            </w:r>
          </w:p>
        </w:tc>
      </w:tr>
      <w:tr w14:paraId="1A685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561" w:type="pct"/>
            <w:vMerge w:val="continue"/>
            <w:shd w:val="clear" w:color="auto" w:fill="auto"/>
            <w:noWrap w:val="0"/>
            <w:vAlign w:val="center"/>
          </w:tcPr>
          <w:p w14:paraId="0C3392FE">
            <w:pPr>
              <w:jc w:val="center"/>
              <w:rPr>
                <w:rFonts w:hint="eastAsia" w:ascii="宋体" w:hAnsi="宋体" w:cs="宋体"/>
                <w:color w:val="000000"/>
                <w:sz w:val="22"/>
              </w:rPr>
            </w:pPr>
          </w:p>
        </w:tc>
        <w:tc>
          <w:tcPr>
            <w:tcW w:w="1243" w:type="pct"/>
            <w:vMerge w:val="continue"/>
            <w:shd w:val="clear" w:color="auto" w:fill="auto"/>
            <w:noWrap w:val="0"/>
            <w:vAlign w:val="center"/>
          </w:tcPr>
          <w:p w14:paraId="75929F0E">
            <w:pPr>
              <w:jc w:val="center"/>
              <w:rPr>
                <w:rFonts w:hint="eastAsia" w:ascii="宋体" w:hAnsi="宋体" w:cs="宋体"/>
                <w:color w:val="000000"/>
                <w:sz w:val="22"/>
              </w:rPr>
            </w:pPr>
          </w:p>
        </w:tc>
        <w:tc>
          <w:tcPr>
            <w:tcW w:w="3194" w:type="pct"/>
            <w:noWrap w:val="0"/>
            <w:vAlign w:val="center"/>
          </w:tcPr>
          <w:p w14:paraId="0757323A">
            <w:pPr>
              <w:jc w:val="both"/>
              <w:rPr>
                <w:rFonts w:hint="eastAsia" w:ascii="宋体" w:hAnsi="宋体" w:cs="宋体"/>
                <w:color w:val="000000"/>
                <w:sz w:val="22"/>
              </w:rPr>
            </w:pPr>
            <w:r>
              <w:rPr>
                <w:rFonts w:hint="eastAsia" w:ascii="宋体" w:hAnsi="宋体" w:cs="宋体"/>
                <w:color w:val="000000"/>
                <w:sz w:val="22"/>
              </w:rPr>
              <w:t>6、产品符合儿童家具通用技术标准。</w:t>
            </w:r>
          </w:p>
        </w:tc>
      </w:tr>
      <w:tr w14:paraId="5B442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61" w:type="pct"/>
            <w:vMerge w:val="restart"/>
            <w:shd w:val="clear" w:color="auto" w:fill="auto"/>
            <w:noWrap w:val="0"/>
            <w:vAlign w:val="center"/>
          </w:tcPr>
          <w:p w14:paraId="0E34E3C8">
            <w:pPr>
              <w:jc w:val="center"/>
              <w:rPr>
                <w:rFonts w:hint="eastAsia" w:ascii="宋体" w:hAnsi="宋体" w:eastAsia="宋体" w:cs="宋体"/>
                <w:color w:val="000000"/>
                <w:kern w:val="2"/>
                <w:sz w:val="22"/>
                <w:szCs w:val="22"/>
                <w:lang w:val="en-US" w:eastAsia="zh-CN" w:bidi="ar-SA"/>
              </w:rPr>
            </w:pPr>
            <w:r>
              <w:rPr>
                <w:rFonts w:hint="eastAsia" w:ascii="宋体" w:hAnsi="宋体" w:cs="宋体"/>
                <w:color w:val="000000"/>
                <w:sz w:val="22"/>
              </w:rPr>
              <w:t>7</w:t>
            </w:r>
          </w:p>
        </w:tc>
        <w:tc>
          <w:tcPr>
            <w:tcW w:w="1243" w:type="pct"/>
            <w:vMerge w:val="restart"/>
            <w:shd w:val="clear" w:color="auto" w:fill="auto"/>
            <w:noWrap w:val="0"/>
            <w:vAlign w:val="center"/>
          </w:tcPr>
          <w:p w14:paraId="0ADE33C5">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方桌</w:t>
            </w:r>
          </w:p>
        </w:tc>
        <w:tc>
          <w:tcPr>
            <w:tcW w:w="3194" w:type="pct"/>
            <w:noWrap w:val="0"/>
            <w:vAlign w:val="center"/>
          </w:tcPr>
          <w:p w14:paraId="7ED39927">
            <w:pPr>
              <w:jc w:val="both"/>
              <w:rPr>
                <w:rFonts w:hint="eastAsia" w:ascii="宋体" w:hAnsi="宋体" w:cs="宋体"/>
                <w:color w:val="000000"/>
                <w:sz w:val="22"/>
              </w:rPr>
            </w:pPr>
            <w:r>
              <w:rPr>
                <w:rFonts w:hint="eastAsia" w:ascii="宋体" w:hAnsi="宋体" w:cs="宋体"/>
                <w:color w:val="000000"/>
                <w:sz w:val="22"/>
              </w:rPr>
              <w:t>1、尺寸：L60*W60cm（±</w:t>
            </w:r>
            <w:r>
              <w:rPr>
                <w:rFonts w:hint="eastAsia" w:ascii="宋体" w:hAnsi="宋体" w:cs="宋体"/>
                <w:color w:val="000000"/>
                <w:sz w:val="22"/>
                <w:lang w:val="en-US" w:eastAsia="zh-CN"/>
              </w:rPr>
              <w:t>1</w:t>
            </w:r>
            <w:r>
              <w:rPr>
                <w:rFonts w:hint="eastAsia" w:ascii="宋体" w:hAnsi="宋体" w:cs="宋体"/>
                <w:color w:val="000000"/>
                <w:sz w:val="22"/>
              </w:rPr>
              <w:t>cm）;小班H50cm（±</w:t>
            </w:r>
            <w:r>
              <w:rPr>
                <w:rFonts w:hint="eastAsia" w:ascii="宋体" w:hAnsi="宋体" w:cs="宋体"/>
                <w:color w:val="000000"/>
                <w:sz w:val="22"/>
                <w:lang w:val="en-US" w:eastAsia="zh-CN"/>
              </w:rPr>
              <w:t>1</w:t>
            </w:r>
            <w:r>
              <w:rPr>
                <w:rFonts w:hint="eastAsia" w:ascii="宋体" w:hAnsi="宋体" w:cs="宋体"/>
                <w:color w:val="000000"/>
                <w:sz w:val="22"/>
              </w:rPr>
              <w:t>cm）、中班H54cm（±</w:t>
            </w:r>
            <w:r>
              <w:rPr>
                <w:rFonts w:hint="eastAsia" w:ascii="宋体" w:hAnsi="宋体" w:cs="宋体"/>
                <w:color w:val="000000"/>
                <w:sz w:val="22"/>
                <w:lang w:val="en-US" w:eastAsia="zh-CN"/>
              </w:rPr>
              <w:t>1</w:t>
            </w:r>
            <w:r>
              <w:rPr>
                <w:rFonts w:hint="eastAsia" w:ascii="宋体" w:hAnsi="宋体" w:cs="宋体"/>
                <w:color w:val="000000"/>
                <w:sz w:val="22"/>
              </w:rPr>
              <w:t>cm）、大班H58cm （±</w:t>
            </w:r>
            <w:r>
              <w:rPr>
                <w:rFonts w:hint="eastAsia" w:ascii="宋体" w:hAnsi="宋体" w:cs="宋体"/>
                <w:color w:val="000000"/>
                <w:sz w:val="22"/>
                <w:lang w:val="en-US" w:eastAsia="zh-CN"/>
              </w:rPr>
              <w:t>1</w:t>
            </w:r>
            <w:r>
              <w:rPr>
                <w:rFonts w:hint="eastAsia" w:ascii="宋体" w:hAnsi="宋体" w:cs="宋体"/>
                <w:color w:val="000000"/>
                <w:sz w:val="22"/>
              </w:rPr>
              <w:t xml:space="preserve">cm）；     </w:t>
            </w:r>
          </w:p>
        </w:tc>
      </w:tr>
      <w:tr w14:paraId="10D3F5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61" w:type="pct"/>
            <w:vMerge w:val="continue"/>
            <w:shd w:val="clear" w:color="auto" w:fill="auto"/>
            <w:noWrap w:val="0"/>
            <w:vAlign w:val="center"/>
          </w:tcPr>
          <w:p w14:paraId="490AD99A">
            <w:pPr>
              <w:jc w:val="center"/>
            </w:pPr>
          </w:p>
        </w:tc>
        <w:tc>
          <w:tcPr>
            <w:tcW w:w="1243" w:type="pct"/>
            <w:vMerge w:val="continue"/>
            <w:shd w:val="clear" w:color="auto" w:fill="auto"/>
            <w:noWrap w:val="0"/>
            <w:vAlign w:val="center"/>
          </w:tcPr>
          <w:p w14:paraId="37A0BD21">
            <w:pPr>
              <w:jc w:val="center"/>
            </w:pPr>
          </w:p>
        </w:tc>
        <w:tc>
          <w:tcPr>
            <w:tcW w:w="3194" w:type="pct"/>
            <w:noWrap w:val="0"/>
            <w:vAlign w:val="center"/>
          </w:tcPr>
          <w:p w14:paraId="0D0CFE28">
            <w:pPr>
              <w:jc w:val="both"/>
              <w:rPr>
                <w:rFonts w:hint="eastAsia" w:ascii="宋体" w:hAnsi="宋体" w:cs="宋体"/>
                <w:color w:val="000000"/>
                <w:sz w:val="22"/>
              </w:rPr>
            </w:pPr>
            <w:r>
              <w:rPr>
                <w:rFonts w:hint="eastAsia" w:ascii="宋体" w:hAnsi="宋体" w:cs="宋体"/>
                <w:color w:val="000000"/>
                <w:sz w:val="22"/>
              </w:rPr>
              <w:t>2、基材：桦木实木多层板，其中桌面正反面贴白色防火板，桌面厚度15mm（±</w:t>
            </w:r>
            <w:r>
              <w:rPr>
                <w:rFonts w:hint="eastAsia" w:ascii="宋体" w:hAnsi="宋体" w:cs="宋体"/>
                <w:color w:val="000000"/>
                <w:sz w:val="22"/>
                <w:lang w:val="en-US" w:eastAsia="zh-CN"/>
              </w:rPr>
              <w:t>0.2</w:t>
            </w:r>
            <w:r>
              <w:rPr>
                <w:rFonts w:hint="eastAsia" w:ascii="宋体" w:hAnsi="宋体" w:cs="宋体"/>
                <w:color w:val="000000"/>
                <w:sz w:val="22"/>
              </w:rPr>
              <w:t xml:space="preserve">cm）；表面纹理清晰且全白、无结疤、无黑疤、无红点。桌腿使用优质桦木实木，四角倒圆角，无尖角。   </w:t>
            </w:r>
          </w:p>
        </w:tc>
      </w:tr>
      <w:tr w14:paraId="2D824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61" w:type="pct"/>
            <w:vMerge w:val="continue"/>
            <w:shd w:val="clear" w:color="auto" w:fill="auto"/>
            <w:noWrap w:val="0"/>
            <w:vAlign w:val="center"/>
          </w:tcPr>
          <w:p w14:paraId="5CD47EC6">
            <w:pPr>
              <w:jc w:val="center"/>
              <w:rPr>
                <w:rFonts w:hint="eastAsia" w:ascii="宋体" w:hAnsi="宋体" w:cs="宋体"/>
                <w:color w:val="000000"/>
                <w:sz w:val="22"/>
              </w:rPr>
            </w:pPr>
          </w:p>
        </w:tc>
        <w:tc>
          <w:tcPr>
            <w:tcW w:w="1243" w:type="pct"/>
            <w:vMerge w:val="continue"/>
            <w:shd w:val="clear" w:color="auto" w:fill="auto"/>
            <w:noWrap w:val="0"/>
            <w:vAlign w:val="center"/>
          </w:tcPr>
          <w:p w14:paraId="249A5DB0">
            <w:pPr>
              <w:jc w:val="center"/>
              <w:rPr>
                <w:rFonts w:hint="eastAsia" w:ascii="宋体" w:hAnsi="宋体" w:cs="宋体"/>
                <w:color w:val="000000"/>
                <w:sz w:val="22"/>
              </w:rPr>
            </w:pPr>
          </w:p>
        </w:tc>
        <w:tc>
          <w:tcPr>
            <w:tcW w:w="3194" w:type="pct"/>
            <w:noWrap w:val="0"/>
            <w:vAlign w:val="center"/>
          </w:tcPr>
          <w:p w14:paraId="52C10E28">
            <w:pPr>
              <w:jc w:val="both"/>
              <w:rPr>
                <w:rFonts w:hint="eastAsia" w:ascii="宋体" w:hAnsi="宋体" w:cs="宋体"/>
                <w:color w:val="000000"/>
                <w:sz w:val="22"/>
              </w:rPr>
            </w:pPr>
            <w:r>
              <w:rPr>
                <w:rFonts w:hint="eastAsia" w:ascii="宋体" w:hAnsi="宋体" w:cs="宋体"/>
                <w:color w:val="000000"/>
                <w:sz w:val="22"/>
              </w:rPr>
              <w:t>3、五金：选用环保五金，安全无毒，色泽丰富。</w:t>
            </w:r>
          </w:p>
        </w:tc>
      </w:tr>
      <w:tr w14:paraId="1A563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61" w:type="pct"/>
            <w:vMerge w:val="continue"/>
            <w:shd w:val="clear" w:color="auto" w:fill="auto"/>
            <w:noWrap w:val="0"/>
            <w:vAlign w:val="center"/>
          </w:tcPr>
          <w:p w14:paraId="11E3C5DC">
            <w:pPr>
              <w:jc w:val="center"/>
              <w:rPr>
                <w:rFonts w:hint="eastAsia" w:ascii="宋体" w:hAnsi="宋体" w:cs="宋体"/>
                <w:color w:val="000000"/>
                <w:sz w:val="22"/>
              </w:rPr>
            </w:pPr>
          </w:p>
        </w:tc>
        <w:tc>
          <w:tcPr>
            <w:tcW w:w="1243" w:type="pct"/>
            <w:vMerge w:val="continue"/>
            <w:shd w:val="clear" w:color="auto" w:fill="auto"/>
            <w:noWrap w:val="0"/>
            <w:vAlign w:val="center"/>
          </w:tcPr>
          <w:p w14:paraId="792B2384">
            <w:pPr>
              <w:jc w:val="center"/>
              <w:rPr>
                <w:rFonts w:hint="eastAsia" w:ascii="宋体" w:hAnsi="宋体" w:cs="宋体"/>
                <w:color w:val="000000"/>
                <w:sz w:val="22"/>
              </w:rPr>
            </w:pPr>
          </w:p>
        </w:tc>
        <w:tc>
          <w:tcPr>
            <w:tcW w:w="3194" w:type="pct"/>
            <w:noWrap w:val="0"/>
            <w:vAlign w:val="center"/>
          </w:tcPr>
          <w:p w14:paraId="6BC2119E">
            <w:pPr>
              <w:jc w:val="both"/>
              <w:rPr>
                <w:rFonts w:hint="eastAsia" w:ascii="宋体" w:hAnsi="宋体" w:cs="宋体"/>
                <w:color w:val="000000"/>
                <w:sz w:val="22"/>
              </w:rPr>
            </w:pPr>
            <w:r>
              <w:rPr>
                <w:rFonts w:hint="eastAsia" w:ascii="宋体" w:hAnsi="宋体" w:cs="宋体"/>
                <w:color w:val="000000"/>
                <w:sz w:val="22"/>
              </w:rPr>
              <w:t>4、油漆：采用绿色环保无毒水性漆，经过两底一面工艺制作。附着力、耐冲击、耐磨、耐湿不小于3 级，灼烧、耐液、耐干、 耐冷热。</w:t>
            </w:r>
          </w:p>
        </w:tc>
      </w:tr>
      <w:tr w14:paraId="63728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61" w:type="pct"/>
            <w:vMerge w:val="continue"/>
            <w:shd w:val="clear" w:color="auto" w:fill="auto"/>
            <w:noWrap w:val="0"/>
            <w:vAlign w:val="center"/>
          </w:tcPr>
          <w:p w14:paraId="5BCD18E4">
            <w:pPr>
              <w:jc w:val="center"/>
              <w:rPr>
                <w:rFonts w:hint="eastAsia" w:ascii="宋体" w:hAnsi="宋体" w:cs="宋体"/>
                <w:color w:val="000000"/>
                <w:sz w:val="22"/>
              </w:rPr>
            </w:pPr>
          </w:p>
        </w:tc>
        <w:tc>
          <w:tcPr>
            <w:tcW w:w="1243" w:type="pct"/>
            <w:vMerge w:val="continue"/>
            <w:shd w:val="clear" w:color="auto" w:fill="auto"/>
            <w:noWrap w:val="0"/>
            <w:vAlign w:val="center"/>
          </w:tcPr>
          <w:p w14:paraId="6108946A">
            <w:pPr>
              <w:jc w:val="center"/>
              <w:rPr>
                <w:rFonts w:hint="eastAsia" w:ascii="宋体" w:hAnsi="宋体" w:cs="宋体"/>
                <w:color w:val="000000"/>
                <w:sz w:val="22"/>
              </w:rPr>
            </w:pPr>
          </w:p>
        </w:tc>
        <w:tc>
          <w:tcPr>
            <w:tcW w:w="3194" w:type="pct"/>
            <w:noWrap w:val="0"/>
            <w:vAlign w:val="center"/>
          </w:tcPr>
          <w:p w14:paraId="1B709125">
            <w:pPr>
              <w:numPr>
                <w:ilvl w:val="0"/>
                <w:numId w:val="4"/>
              </w:numPr>
              <w:jc w:val="both"/>
              <w:rPr>
                <w:rFonts w:hint="eastAsia" w:ascii="宋体" w:hAnsi="宋体" w:cs="宋体"/>
                <w:color w:val="000000"/>
                <w:sz w:val="22"/>
              </w:rPr>
            </w:pPr>
            <w:r>
              <w:rPr>
                <w:rFonts w:hint="eastAsia" w:ascii="宋体" w:hAnsi="宋体" w:cs="宋体"/>
                <w:color w:val="000000"/>
                <w:sz w:val="22"/>
              </w:rPr>
              <w:t>其他：外延打磨指甲圆，光滑平整，正反面均无毛刺。底部加毛毡，起到防滑作用。</w:t>
            </w:r>
          </w:p>
          <w:p w14:paraId="028184B4">
            <w:pPr>
              <w:numPr>
                <w:ilvl w:val="0"/>
                <w:numId w:val="0"/>
              </w:numPr>
              <w:jc w:val="both"/>
              <w:rPr>
                <w:rFonts w:hint="eastAsia" w:ascii="宋体" w:hAnsi="宋体" w:cs="宋体"/>
                <w:color w:val="FF0000"/>
                <w:sz w:val="22"/>
              </w:rPr>
            </w:pPr>
            <w:r>
              <w:rPr>
                <w:rFonts w:hint="eastAsia" w:ascii="宋体" w:hAnsi="宋体" w:cs="宋体"/>
                <w:color w:val="000000"/>
                <w:sz w:val="22"/>
              </w:rPr>
              <w:t>▲</w:t>
            </w:r>
            <w:r>
              <w:rPr>
                <w:rFonts w:hint="eastAsia" w:ascii="宋体" w:hAnsi="宋体" w:cs="宋体"/>
                <w:color w:val="FF0000"/>
                <w:sz w:val="22"/>
              </w:rPr>
              <w:t>提供具有CMA或CNAS标识的毛毡符合《GB/T 38424-2019  毛毡中致敏芳香剂测试》的检测报告扫描件。（报告委托单位或报告抬头公司名称须与投标人或本次投标所提供货物制造商一致）</w:t>
            </w:r>
          </w:p>
          <w:p w14:paraId="2ACADC57">
            <w:pPr>
              <w:numPr>
                <w:ilvl w:val="0"/>
                <w:numId w:val="0"/>
              </w:numPr>
              <w:jc w:val="both"/>
              <w:rPr>
                <w:rFonts w:hint="eastAsia" w:ascii="宋体" w:hAnsi="宋体" w:cs="宋体"/>
                <w:color w:val="000000"/>
                <w:sz w:val="22"/>
              </w:rPr>
            </w:pPr>
            <w:r>
              <w:rPr>
                <w:rFonts w:hint="eastAsia" w:ascii="宋体" w:hAnsi="宋体" w:cs="宋体"/>
                <w:color w:val="FF0000"/>
                <w:sz w:val="22"/>
              </w:rPr>
              <w:t>要求：提供检测报告关键信息扫描件，检测报告在全国认证认可信息公共服务平台网站（http://cx.cnca.cn/CertECloud/qts/qts/qtsPage）查询截图扫描件。投标人必须是所投产品的制造商或代理商，代理商需提供产品制造商品牌授权委托书。</w:t>
            </w:r>
          </w:p>
        </w:tc>
      </w:tr>
      <w:tr w14:paraId="47F1A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61" w:type="pct"/>
            <w:vMerge w:val="continue"/>
            <w:shd w:val="clear" w:color="auto" w:fill="auto"/>
            <w:noWrap w:val="0"/>
            <w:vAlign w:val="center"/>
          </w:tcPr>
          <w:p w14:paraId="4E75A87B">
            <w:pPr>
              <w:jc w:val="center"/>
              <w:rPr>
                <w:rFonts w:hint="eastAsia" w:ascii="宋体" w:hAnsi="宋体" w:cs="宋体"/>
                <w:color w:val="000000"/>
                <w:sz w:val="22"/>
              </w:rPr>
            </w:pPr>
          </w:p>
        </w:tc>
        <w:tc>
          <w:tcPr>
            <w:tcW w:w="1243" w:type="pct"/>
            <w:vMerge w:val="continue"/>
            <w:shd w:val="clear" w:color="auto" w:fill="auto"/>
            <w:noWrap w:val="0"/>
            <w:vAlign w:val="center"/>
          </w:tcPr>
          <w:p w14:paraId="015F5320">
            <w:pPr>
              <w:jc w:val="center"/>
              <w:rPr>
                <w:rFonts w:hint="eastAsia" w:ascii="宋体" w:hAnsi="宋体" w:cs="宋体"/>
                <w:color w:val="000000"/>
                <w:sz w:val="22"/>
              </w:rPr>
            </w:pPr>
          </w:p>
        </w:tc>
        <w:tc>
          <w:tcPr>
            <w:tcW w:w="3194" w:type="pct"/>
            <w:noWrap w:val="0"/>
            <w:vAlign w:val="center"/>
          </w:tcPr>
          <w:p w14:paraId="0B98BF48">
            <w:pPr>
              <w:jc w:val="both"/>
              <w:rPr>
                <w:rFonts w:hint="eastAsia" w:ascii="宋体" w:hAnsi="宋体" w:cs="宋体"/>
                <w:color w:val="000000"/>
                <w:sz w:val="22"/>
              </w:rPr>
            </w:pPr>
            <w:r>
              <w:rPr>
                <w:rFonts w:hint="eastAsia" w:ascii="宋体" w:hAnsi="宋体" w:cs="宋体"/>
                <w:color w:val="000000"/>
                <w:sz w:val="22"/>
              </w:rPr>
              <w:t>6、产品符合儿童家具通用技术标准。</w:t>
            </w:r>
          </w:p>
        </w:tc>
      </w:tr>
      <w:tr w14:paraId="31993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61" w:type="pct"/>
            <w:vMerge w:val="restart"/>
            <w:shd w:val="clear" w:color="auto" w:fill="auto"/>
            <w:noWrap w:val="0"/>
            <w:vAlign w:val="center"/>
          </w:tcPr>
          <w:p w14:paraId="5BDD36C2">
            <w:pPr>
              <w:jc w:val="center"/>
              <w:rPr>
                <w:rFonts w:hint="eastAsia" w:ascii="宋体" w:hAnsi="宋体" w:eastAsia="宋体" w:cs="宋体"/>
                <w:color w:val="000000"/>
                <w:kern w:val="2"/>
                <w:sz w:val="22"/>
                <w:szCs w:val="22"/>
                <w:lang w:val="en-US" w:eastAsia="zh-CN" w:bidi="ar-SA"/>
              </w:rPr>
            </w:pPr>
            <w:r>
              <w:rPr>
                <w:rFonts w:hint="eastAsia" w:ascii="宋体" w:hAnsi="宋体" w:cs="宋体"/>
                <w:color w:val="000000"/>
                <w:sz w:val="22"/>
              </w:rPr>
              <w:t>8</w:t>
            </w:r>
          </w:p>
        </w:tc>
        <w:tc>
          <w:tcPr>
            <w:tcW w:w="1243" w:type="pct"/>
            <w:vMerge w:val="restart"/>
            <w:shd w:val="clear" w:color="auto" w:fill="auto"/>
            <w:noWrap w:val="0"/>
            <w:vAlign w:val="center"/>
          </w:tcPr>
          <w:p w14:paraId="29A67B60">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单面书架储物柜</w:t>
            </w:r>
          </w:p>
        </w:tc>
        <w:tc>
          <w:tcPr>
            <w:tcW w:w="3194" w:type="pct"/>
            <w:noWrap w:val="0"/>
            <w:vAlign w:val="center"/>
          </w:tcPr>
          <w:p w14:paraId="6689FBD7">
            <w:pPr>
              <w:jc w:val="both"/>
              <w:rPr>
                <w:rFonts w:hint="eastAsia" w:ascii="宋体" w:hAnsi="宋体" w:cs="宋体"/>
                <w:color w:val="000000"/>
                <w:sz w:val="22"/>
              </w:rPr>
            </w:pPr>
            <w:r>
              <w:rPr>
                <w:rFonts w:hint="eastAsia" w:ascii="宋体" w:hAnsi="宋体" w:cs="宋体"/>
                <w:color w:val="000000"/>
                <w:sz w:val="22"/>
              </w:rPr>
              <w:t>1、尺寸：L82cm*W33cm*H76cm（±</w:t>
            </w:r>
            <w:r>
              <w:rPr>
                <w:rFonts w:hint="eastAsia" w:ascii="宋体" w:hAnsi="宋体" w:cs="宋体"/>
                <w:color w:val="000000"/>
                <w:sz w:val="22"/>
                <w:lang w:val="en-US" w:eastAsia="zh-CN"/>
              </w:rPr>
              <w:t>2</w:t>
            </w:r>
            <w:r>
              <w:rPr>
                <w:rFonts w:hint="eastAsia" w:ascii="宋体" w:hAnsi="宋体" w:cs="宋体"/>
                <w:color w:val="000000"/>
                <w:sz w:val="22"/>
              </w:rPr>
              <w:t>cm）</w:t>
            </w:r>
          </w:p>
        </w:tc>
      </w:tr>
      <w:tr w14:paraId="03BA3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61" w:type="pct"/>
            <w:vMerge w:val="continue"/>
            <w:shd w:val="clear" w:color="auto" w:fill="auto"/>
            <w:noWrap w:val="0"/>
            <w:vAlign w:val="center"/>
          </w:tcPr>
          <w:p w14:paraId="3FCBBD02">
            <w:pPr>
              <w:jc w:val="both"/>
            </w:pPr>
          </w:p>
        </w:tc>
        <w:tc>
          <w:tcPr>
            <w:tcW w:w="1243" w:type="pct"/>
            <w:vMerge w:val="continue"/>
            <w:shd w:val="clear" w:color="auto" w:fill="auto"/>
            <w:noWrap w:val="0"/>
            <w:vAlign w:val="center"/>
          </w:tcPr>
          <w:p w14:paraId="1D78B4EF">
            <w:pPr>
              <w:jc w:val="both"/>
            </w:pPr>
          </w:p>
        </w:tc>
        <w:tc>
          <w:tcPr>
            <w:tcW w:w="3194" w:type="pct"/>
            <w:noWrap w:val="0"/>
            <w:vAlign w:val="center"/>
          </w:tcPr>
          <w:p w14:paraId="4444CA7C">
            <w:pPr>
              <w:jc w:val="both"/>
              <w:rPr>
                <w:rFonts w:hint="eastAsia" w:ascii="宋体" w:hAnsi="宋体" w:cs="宋体"/>
                <w:color w:val="000000"/>
                <w:sz w:val="22"/>
              </w:rPr>
            </w:pPr>
            <w:r>
              <w:rPr>
                <w:rFonts w:hint="eastAsia" w:ascii="宋体" w:hAnsi="宋体" w:cs="宋体"/>
                <w:color w:val="000000"/>
                <w:sz w:val="22"/>
              </w:rPr>
              <w:t>2、基材：桦木实木多层板，表面纹理清晰且全白、无结疤、无黑疤、无红点。柜体由上下两部分组成，柜体上部分前后两面，一面为书架，共分三层自下而上呈阶梯斜坡式，每层隔断间隙最窄处不大于2cm（±0.2cm），最宽处不大于4cm（±0.2cm），底层书架档板厚度1.5cm（±0.2cm）,中间2层档板厚度为0.5cm（±0.2cm），反面上方为长度不大于79cm（±</w:t>
            </w:r>
            <w:r>
              <w:rPr>
                <w:rFonts w:hint="eastAsia" w:ascii="宋体" w:hAnsi="宋体" w:cs="宋体"/>
                <w:color w:val="000000"/>
                <w:sz w:val="22"/>
                <w:lang w:val="en-US" w:eastAsia="zh-CN"/>
              </w:rPr>
              <w:t>1</w:t>
            </w:r>
            <w:r>
              <w:rPr>
                <w:rFonts w:hint="eastAsia" w:ascii="宋体" w:hAnsi="宋体" w:cs="宋体"/>
                <w:color w:val="000000"/>
                <w:sz w:val="22"/>
              </w:rPr>
              <w:t>cm）的圆棒，用以悬挂画纸，下方层板内径宽度不大于8.5cm（±0.2cm）,中间高度不大于52cm（±</w:t>
            </w:r>
            <w:r>
              <w:rPr>
                <w:rFonts w:hint="eastAsia" w:ascii="宋体" w:hAnsi="宋体" w:cs="宋体"/>
                <w:color w:val="000000"/>
                <w:sz w:val="22"/>
                <w:lang w:val="en-US" w:eastAsia="zh-CN"/>
              </w:rPr>
              <w:t>1</w:t>
            </w:r>
            <w:r>
              <w:rPr>
                <w:rFonts w:hint="eastAsia" w:ascii="宋体" w:hAnsi="宋体" w:cs="宋体"/>
                <w:color w:val="000000"/>
                <w:sz w:val="22"/>
              </w:rPr>
              <w:t>cm），柜体下方分隔为两个中空储物空间，空间尺寸不大于39*32.5*17.5cm（±</w:t>
            </w:r>
            <w:r>
              <w:rPr>
                <w:rFonts w:hint="eastAsia" w:ascii="宋体" w:hAnsi="宋体" w:cs="宋体"/>
                <w:color w:val="000000"/>
                <w:sz w:val="22"/>
                <w:lang w:val="en-US" w:eastAsia="zh-CN"/>
              </w:rPr>
              <w:t>1</w:t>
            </w:r>
            <w:r>
              <w:rPr>
                <w:rFonts w:hint="eastAsia" w:ascii="宋体" w:hAnsi="宋体" w:cs="宋体"/>
                <w:color w:val="000000"/>
                <w:sz w:val="22"/>
              </w:rPr>
              <w:t>cm）。可以放置尺寸31*20*13.5cm（±</w:t>
            </w:r>
            <w:r>
              <w:rPr>
                <w:rFonts w:hint="eastAsia" w:ascii="宋体" w:hAnsi="宋体" w:cs="宋体"/>
                <w:color w:val="000000"/>
                <w:sz w:val="22"/>
                <w:lang w:val="en-US" w:eastAsia="zh-CN"/>
              </w:rPr>
              <w:t>1</w:t>
            </w:r>
            <w:r>
              <w:rPr>
                <w:rFonts w:hint="eastAsia" w:ascii="宋体" w:hAnsi="宋体" w:cs="宋体"/>
                <w:color w:val="000000"/>
                <w:sz w:val="22"/>
              </w:rPr>
              <w:t xml:space="preserve">cm）的收纳盒，柜体用螺丝固定。 </w:t>
            </w:r>
          </w:p>
        </w:tc>
      </w:tr>
      <w:tr w14:paraId="11E716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61" w:type="pct"/>
            <w:vMerge w:val="continue"/>
            <w:shd w:val="clear" w:color="auto" w:fill="auto"/>
            <w:noWrap w:val="0"/>
            <w:vAlign w:val="center"/>
          </w:tcPr>
          <w:p w14:paraId="17DF27B1">
            <w:pPr>
              <w:jc w:val="both"/>
              <w:rPr>
                <w:rFonts w:hint="eastAsia" w:ascii="宋体" w:hAnsi="宋体" w:cs="宋体"/>
                <w:color w:val="000000"/>
                <w:sz w:val="22"/>
              </w:rPr>
            </w:pPr>
          </w:p>
        </w:tc>
        <w:tc>
          <w:tcPr>
            <w:tcW w:w="1243" w:type="pct"/>
            <w:vMerge w:val="continue"/>
            <w:shd w:val="clear" w:color="auto" w:fill="auto"/>
            <w:noWrap w:val="0"/>
            <w:vAlign w:val="center"/>
          </w:tcPr>
          <w:p w14:paraId="739C878B">
            <w:pPr>
              <w:jc w:val="both"/>
              <w:rPr>
                <w:rFonts w:hint="eastAsia" w:ascii="宋体" w:hAnsi="宋体" w:cs="宋体"/>
                <w:color w:val="000000"/>
                <w:sz w:val="22"/>
              </w:rPr>
            </w:pPr>
          </w:p>
        </w:tc>
        <w:tc>
          <w:tcPr>
            <w:tcW w:w="3194" w:type="pct"/>
            <w:noWrap w:val="0"/>
            <w:vAlign w:val="center"/>
          </w:tcPr>
          <w:p w14:paraId="3788435C">
            <w:pPr>
              <w:jc w:val="both"/>
              <w:rPr>
                <w:rFonts w:hint="eastAsia" w:ascii="宋体" w:hAnsi="宋体" w:cs="宋体"/>
                <w:color w:val="000000"/>
                <w:sz w:val="22"/>
              </w:rPr>
            </w:pPr>
            <w:r>
              <w:rPr>
                <w:rFonts w:hint="eastAsia" w:ascii="宋体" w:hAnsi="宋体" w:cs="宋体"/>
                <w:color w:val="000000"/>
                <w:sz w:val="22"/>
              </w:rPr>
              <w:t xml:space="preserve">3、五金：选用环保五金，安全无毒，色泽丰富。 </w:t>
            </w:r>
          </w:p>
        </w:tc>
      </w:tr>
      <w:tr w14:paraId="30600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61" w:type="pct"/>
            <w:vMerge w:val="continue"/>
            <w:shd w:val="clear" w:color="auto" w:fill="auto"/>
            <w:noWrap w:val="0"/>
            <w:vAlign w:val="center"/>
          </w:tcPr>
          <w:p w14:paraId="522053B7">
            <w:pPr>
              <w:jc w:val="both"/>
              <w:rPr>
                <w:rFonts w:hint="eastAsia" w:ascii="宋体" w:hAnsi="宋体" w:cs="宋体"/>
                <w:color w:val="000000"/>
                <w:sz w:val="22"/>
              </w:rPr>
            </w:pPr>
          </w:p>
        </w:tc>
        <w:tc>
          <w:tcPr>
            <w:tcW w:w="1243" w:type="pct"/>
            <w:vMerge w:val="continue"/>
            <w:shd w:val="clear" w:color="auto" w:fill="auto"/>
            <w:noWrap w:val="0"/>
            <w:vAlign w:val="center"/>
          </w:tcPr>
          <w:p w14:paraId="3CB9A1FF">
            <w:pPr>
              <w:jc w:val="both"/>
              <w:rPr>
                <w:rFonts w:hint="eastAsia" w:ascii="宋体" w:hAnsi="宋体" w:cs="宋体"/>
                <w:color w:val="000000"/>
                <w:sz w:val="22"/>
              </w:rPr>
            </w:pPr>
          </w:p>
        </w:tc>
        <w:tc>
          <w:tcPr>
            <w:tcW w:w="3194" w:type="pct"/>
            <w:noWrap w:val="0"/>
            <w:vAlign w:val="center"/>
          </w:tcPr>
          <w:p w14:paraId="1DBF3041">
            <w:pPr>
              <w:jc w:val="both"/>
              <w:rPr>
                <w:rFonts w:hint="eastAsia" w:ascii="宋体" w:hAnsi="宋体" w:cs="宋体"/>
                <w:color w:val="000000"/>
                <w:sz w:val="22"/>
              </w:rPr>
            </w:pPr>
            <w:r>
              <w:rPr>
                <w:rFonts w:hint="eastAsia" w:ascii="宋体" w:hAnsi="宋体" w:cs="宋体"/>
                <w:color w:val="000000"/>
                <w:sz w:val="22"/>
              </w:rPr>
              <w:t>4、油漆：采用绿色环保无毒水性漆，经过两底一面工艺制作。附着力、耐冲击、耐磨、耐湿不小于3 级，灼烧、耐液、耐干、 耐冷热。</w:t>
            </w:r>
          </w:p>
        </w:tc>
      </w:tr>
      <w:tr w14:paraId="32D2A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61" w:type="pct"/>
            <w:vMerge w:val="continue"/>
            <w:shd w:val="clear" w:color="auto" w:fill="auto"/>
            <w:noWrap w:val="0"/>
            <w:vAlign w:val="center"/>
          </w:tcPr>
          <w:p w14:paraId="29EBEDDE">
            <w:pPr>
              <w:jc w:val="both"/>
              <w:rPr>
                <w:rFonts w:hint="eastAsia" w:ascii="宋体" w:hAnsi="宋体" w:cs="宋体"/>
                <w:color w:val="000000"/>
                <w:sz w:val="22"/>
              </w:rPr>
            </w:pPr>
          </w:p>
        </w:tc>
        <w:tc>
          <w:tcPr>
            <w:tcW w:w="1243" w:type="pct"/>
            <w:vMerge w:val="continue"/>
            <w:shd w:val="clear" w:color="auto" w:fill="auto"/>
            <w:noWrap w:val="0"/>
            <w:vAlign w:val="center"/>
          </w:tcPr>
          <w:p w14:paraId="0399F4DF">
            <w:pPr>
              <w:jc w:val="both"/>
              <w:rPr>
                <w:rFonts w:hint="eastAsia" w:ascii="宋体" w:hAnsi="宋体" w:cs="宋体"/>
                <w:color w:val="000000"/>
                <w:sz w:val="22"/>
              </w:rPr>
            </w:pPr>
          </w:p>
        </w:tc>
        <w:tc>
          <w:tcPr>
            <w:tcW w:w="3194" w:type="pct"/>
            <w:noWrap w:val="0"/>
            <w:vAlign w:val="center"/>
          </w:tcPr>
          <w:p w14:paraId="39AB8F77">
            <w:pPr>
              <w:jc w:val="both"/>
              <w:rPr>
                <w:rFonts w:hint="eastAsia" w:ascii="宋体" w:hAnsi="宋体" w:cs="宋体"/>
                <w:color w:val="000000"/>
                <w:sz w:val="22"/>
              </w:rPr>
            </w:pPr>
            <w:r>
              <w:rPr>
                <w:rFonts w:hint="eastAsia" w:ascii="宋体" w:hAnsi="宋体" w:cs="宋体"/>
                <w:color w:val="000000"/>
                <w:sz w:val="22"/>
              </w:rPr>
              <w:t>5、其他：外延打磨指甲圆，光滑平整，正反面均无毛刺。</w:t>
            </w:r>
          </w:p>
        </w:tc>
      </w:tr>
      <w:tr w14:paraId="116FD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61" w:type="pct"/>
            <w:vMerge w:val="continue"/>
            <w:shd w:val="clear" w:color="auto" w:fill="auto"/>
            <w:noWrap w:val="0"/>
            <w:vAlign w:val="center"/>
          </w:tcPr>
          <w:p w14:paraId="3A34B5FC">
            <w:pPr>
              <w:jc w:val="both"/>
              <w:rPr>
                <w:rFonts w:hint="eastAsia" w:ascii="宋体" w:hAnsi="宋体" w:cs="宋体"/>
                <w:color w:val="000000"/>
                <w:sz w:val="22"/>
              </w:rPr>
            </w:pPr>
          </w:p>
        </w:tc>
        <w:tc>
          <w:tcPr>
            <w:tcW w:w="1243" w:type="pct"/>
            <w:vMerge w:val="continue"/>
            <w:shd w:val="clear" w:color="auto" w:fill="auto"/>
            <w:noWrap w:val="0"/>
            <w:vAlign w:val="center"/>
          </w:tcPr>
          <w:p w14:paraId="0B5000C4">
            <w:pPr>
              <w:jc w:val="both"/>
              <w:rPr>
                <w:rFonts w:hint="eastAsia" w:ascii="宋体" w:hAnsi="宋体" w:cs="宋体"/>
                <w:color w:val="000000"/>
                <w:sz w:val="22"/>
              </w:rPr>
            </w:pPr>
          </w:p>
        </w:tc>
        <w:tc>
          <w:tcPr>
            <w:tcW w:w="3194" w:type="pct"/>
            <w:noWrap w:val="0"/>
            <w:vAlign w:val="center"/>
          </w:tcPr>
          <w:p w14:paraId="2F011F8F">
            <w:pPr>
              <w:jc w:val="both"/>
              <w:rPr>
                <w:rFonts w:hint="eastAsia" w:ascii="宋体" w:hAnsi="宋体" w:cs="宋体"/>
                <w:color w:val="000000"/>
                <w:sz w:val="22"/>
              </w:rPr>
            </w:pPr>
            <w:r>
              <w:rPr>
                <w:rFonts w:hint="eastAsia" w:ascii="宋体" w:hAnsi="宋体" w:cs="宋体"/>
                <w:color w:val="000000"/>
                <w:sz w:val="22"/>
              </w:rPr>
              <w:t>6、产品符合儿童家具通用技术标准。</w:t>
            </w:r>
          </w:p>
        </w:tc>
      </w:tr>
      <w:tr w14:paraId="00F50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61" w:type="pct"/>
            <w:vMerge w:val="restart"/>
            <w:shd w:val="clear" w:color="auto" w:fill="auto"/>
            <w:noWrap w:val="0"/>
            <w:vAlign w:val="center"/>
          </w:tcPr>
          <w:p w14:paraId="4E16E8F2">
            <w:pPr>
              <w:jc w:val="center"/>
              <w:rPr>
                <w:rFonts w:hint="eastAsia" w:ascii="宋体" w:hAnsi="宋体" w:eastAsia="宋体" w:cs="宋体"/>
                <w:color w:val="000000"/>
                <w:kern w:val="2"/>
                <w:sz w:val="22"/>
                <w:szCs w:val="22"/>
                <w:lang w:val="en-US" w:eastAsia="zh-CN" w:bidi="ar-SA"/>
              </w:rPr>
            </w:pPr>
            <w:r>
              <w:rPr>
                <w:rFonts w:hint="eastAsia" w:ascii="宋体" w:hAnsi="宋体" w:cs="宋体"/>
                <w:color w:val="000000"/>
                <w:sz w:val="22"/>
              </w:rPr>
              <w:t>9</w:t>
            </w:r>
          </w:p>
        </w:tc>
        <w:tc>
          <w:tcPr>
            <w:tcW w:w="1243" w:type="pct"/>
            <w:vMerge w:val="restart"/>
            <w:shd w:val="clear" w:color="auto" w:fill="auto"/>
            <w:noWrap w:val="0"/>
            <w:vAlign w:val="center"/>
          </w:tcPr>
          <w:p w14:paraId="1454067F">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材料展示抽屉桌</w:t>
            </w:r>
          </w:p>
        </w:tc>
        <w:tc>
          <w:tcPr>
            <w:tcW w:w="3194" w:type="pct"/>
            <w:noWrap w:val="0"/>
            <w:vAlign w:val="center"/>
          </w:tcPr>
          <w:p w14:paraId="6959100F">
            <w:pPr>
              <w:jc w:val="both"/>
              <w:rPr>
                <w:rFonts w:hint="eastAsia" w:ascii="宋体" w:hAnsi="宋体" w:cs="宋体"/>
                <w:color w:val="000000"/>
                <w:sz w:val="22"/>
              </w:rPr>
            </w:pPr>
            <w:r>
              <w:rPr>
                <w:rFonts w:hint="eastAsia" w:ascii="宋体" w:hAnsi="宋体" w:cs="宋体"/>
                <w:color w:val="000000"/>
                <w:sz w:val="22"/>
              </w:rPr>
              <w:t>1、尺寸：L110cm*W110cm*H54cm（±</w:t>
            </w:r>
            <w:r>
              <w:rPr>
                <w:rFonts w:hint="eastAsia" w:ascii="宋体" w:hAnsi="宋体" w:cs="宋体"/>
                <w:color w:val="000000"/>
                <w:sz w:val="22"/>
                <w:lang w:val="en-US" w:eastAsia="zh-CN"/>
              </w:rPr>
              <w:t>2</w:t>
            </w:r>
            <w:r>
              <w:rPr>
                <w:rFonts w:hint="eastAsia" w:ascii="宋体" w:hAnsi="宋体" w:cs="宋体"/>
                <w:color w:val="000000"/>
                <w:sz w:val="22"/>
              </w:rPr>
              <w:t>cm）</w:t>
            </w:r>
          </w:p>
        </w:tc>
      </w:tr>
      <w:tr w14:paraId="78AB2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61" w:type="pct"/>
            <w:vMerge w:val="continue"/>
            <w:shd w:val="clear" w:color="auto" w:fill="auto"/>
            <w:noWrap w:val="0"/>
            <w:vAlign w:val="center"/>
          </w:tcPr>
          <w:p w14:paraId="735EA53B">
            <w:pPr>
              <w:jc w:val="both"/>
            </w:pPr>
          </w:p>
        </w:tc>
        <w:tc>
          <w:tcPr>
            <w:tcW w:w="1243" w:type="pct"/>
            <w:vMerge w:val="continue"/>
            <w:shd w:val="clear" w:color="auto" w:fill="auto"/>
            <w:noWrap w:val="0"/>
            <w:vAlign w:val="center"/>
          </w:tcPr>
          <w:p w14:paraId="2261695F">
            <w:pPr>
              <w:jc w:val="both"/>
            </w:pPr>
          </w:p>
        </w:tc>
        <w:tc>
          <w:tcPr>
            <w:tcW w:w="3194" w:type="pct"/>
            <w:noWrap w:val="0"/>
            <w:vAlign w:val="center"/>
          </w:tcPr>
          <w:p w14:paraId="28EBE0B1">
            <w:pPr>
              <w:jc w:val="both"/>
              <w:rPr>
                <w:rFonts w:hint="eastAsia" w:ascii="宋体" w:hAnsi="宋体" w:cs="宋体"/>
                <w:color w:val="000000"/>
                <w:sz w:val="22"/>
              </w:rPr>
            </w:pPr>
            <w:r>
              <w:rPr>
                <w:rFonts w:hint="eastAsia" w:ascii="宋体" w:hAnsi="宋体" w:cs="宋体"/>
                <w:color w:val="000000"/>
                <w:sz w:val="22"/>
              </w:rPr>
              <w:t>2、基材：桦木实木多层板，表面纹理清晰且全白、无结疤、无黑疤、无红点。桌面为亚克力材质。</w:t>
            </w:r>
          </w:p>
        </w:tc>
      </w:tr>
      <w:tr w14:paraId="317E2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61" w:type="pct"/>
            <w:vMerge w:val="continue"/>
            <w:shd w:val="clear" w:color="auto" w:fill="auto"/>
            <w:noWrap w:val="0"/>
            <w:vAlign w:val="center"/>
          </w:tcPr>
          <w:p w14:paraId="7B150C9F">
            <w:pPr>
              <w:jc w:val="both"/>
              <w:rPr>
                <w:rFonts w:hint="eastAsia" w:ascii="宋体" w:hAnsi="宋体" w:cs="宋体"/>
                <w:color w:val="000000"/>
                <w:sz w:val="22"/>
              </w:rPr>
            </w:pPr>
          </w:p>
        </w:tc>
        <w:tc>
          <w:tcPr>
            <w:tcW w:w="1243" w:type="pct"/>
            <w:vMerge w:val="continue"/>
            <w:shd w:val="clear" w:color="auto" w:fill="auto"/>
            <w:noWrap w:val="0"/>
            <w:vAlign w:val="center"/>
          </w:tcPr>
          <w:p w14:paraId="1A67686F">
            <w:pPr>
              <w:jc w:val="both"/>
              <w:rPr>
                <w:rFonts w:hint="eastAsia" w:ascii="宋体" w:hAnsi="宋体" w:cs="宋体"/>
                <w:color w:val="000000"/>
                <w:sz w:val="22"/>
              </w:rPr>
            </w:pPr>
          </w:p>
        </w:tc>
        <w:tc>
          <w:tcPr>
            <w:tcW w:w="3194" w:type="pct"/>
            <w:noWrap w:val="0"/>
            <w:vAlign w:val="center"/>
          </w:tcPr>
          <w:p w14:paraId="3FAD52D5">
            <w:pPr>
              <w:jc w:val="both"/>
              <w:rPr>
                <w:rFonts w:hint="eastAsia" w:ascii="宋体" w:hAnsi="宋体" w:cs="宋体"/>
                <w:color w:val="000000"/>
                <w:sz w:val="22"/>
              </w:rPr>
            </w:pPr>
            <w:r>
              <w:rPr>
                <w:rFonts w:hint="eastAsia" w:ascii="宋体" w:hAnsi="宋体" w:cs="宋体"/>
                <w:color w:val="000000"/>
                <w:sz w:val="22"/>
              </w:rPr>
              <w:t>3、五金：选用环保五金，安全无毒，色泽丰富。</w:t>
            </w:r>
          </w:p>
        </w:tc>
      </w:tr>
      <w:tr w14:paraId="03BA7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61" w:type="pct"/>
            <w:vMerge w:val="continue"/>
            <w:shd w:val="clear" w:color="auto" w:fill="auto"/>
            <w:noWrap w:val="0"/>
            <w:vAlign w:val="center"/>
          </w:tcPr>
          <w:p w14:paraId="15D0D05F">
            <w:pPr>
              <w:jc w:val="both"/>
              <w:rPr>
                <w:rFonts w:hint="eastAsia" w:ascii="宋体" w:hAnsi="宋体" w:cs="宋体"/>
                <w:color w:val="000000"/>
                <w:sz w:val="22"/>
              </w:rPr>
            </w:pPr>
          </w:p>
        </w:tc>
        <w:tc>
          <w:tcPr>
            <w:tcW w:w="1243" w:type="pct"/>
            <w:vMerge w:val="continue"/>
            <w:shd w:val="clear" w:color="auto" w:fill="auto"/>
            <w:noWrap w:val="0"/>
            <w:vAlign w:val="center"/>
          </w:tcPr>
          <w:p w14:paraId="5B942FCC">
            <w:pPr>
              <w:jc w:val="both"/>
              <w:rPr>
                <w:rFonts w:hint="eastAsia" w:ascii="宋体" w:hAnsi="宋体" w:cs="宋体"/>
                <w:color w:val="000000"/>
                <w:sz w:val="22"/>
              </w:rPr>
            </w:pPr>
          </w:p>
        </w:tc>
        <w:tc>
          <w:tcPr>
            <w:tcW w:w="3194" w:type="pct"/>
            <w:noWrap w:val="0"/>
            <w:vAlign w:val="center"/>
          </w:tcPr>
          <w:p w14:paraId="5776816E">
            <w:pPr>
              <w:jc w:val="both"/>
              <w:rPr>
                <w:rFonts w:hint="eastAsia" w:ascii="宋体" w:hAnsi="宋体" w:cs="宋体"/>
                <w:color w:val="000000"/>
                <w:sz w:val="22"/>
              </w:rPr>
            </w:pPr>
            <w:r>
              <w:rPr>
                <w:rFonts w:hint="eastAsia" w:ascii="宋体" w:hAnsi="宋体" w:cs="宋体"/>
                <w:color w:val="000000"/>
                <w:sz w:val="22"/>
              </w:rPr>
              <w:t>4、油漆：采用绿色环保无毒水性漆，经过两底一面工艺制作。附着力、耐冲击、耐磨、耐湿不小于3 级，灼烧、耐液、耐干、 耐冷热。</w:t>
            </w:r>
          </w:p>
        </w:tc>
      </w:tr>
      <w:tr w14:paraId="7EC15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61" w:type="pct"/>
            <w:vMerge w:val="continue"/>
            <w:shd w:val="clear" w:color="auto" w:fill="auto"/>
            <w:noWrap w:val="0"/>
            <w:vAlign w:val="center"/>
          </w:tcPr>
          <w:p w14:paraId="7598E053">
            <w:pPr>
              <w:jc w:val="both"/>
              <w:rPr>
                <w:rFonts w:hint="eastAsia" w:ascii="宋体" w:hAnsi="宋体" w:cs="宋体"/>
                <w:color w:val="000000"/>
                <w:sz w:val="22"/>
              </w:rPr>
            </w:pPr>
          </w:p>
        </w:tc>
        <w:tc>
          <w:tcPr>
            <w:tcW w:w="1243" w:type="pct"/>
            <w:vMerge w:val="continue"/>
            <w:shd w:val="clear" w:color="auto" w:fill="auto"/>
            <w:noWrap w:val="0"/>
            <w:vAlign w:val="center"/>
          </w:tcPr>
          <w:p w14:paraId="7AC97BA9">
            <w:pPr>
              <w:jc w:val="both"/>
              <w:rPr>
                <w:rFonts w:hint="eastAsia" w:ascii="宋体" w:hAnsi="宋体" w:cs="宋体"/>
                <w:color w:val="000000"/>
                <w:sz w:val="22"/>
              </w:rPr>
            </w:pPr>
          </w:p>
        </w:tc>
        <w:tc>
          <w:tcPr>
            <w:tcW w:w="3194" w:type="pct"/>
            <w:noWrap w:val="0"/>
            <w:vAlign w:val="center"/>
          </w:tcPr>
          <w:p w14:paraId="5C0E7094">
            <w:pPr>
              <w:jc w:val="both"/>
              <w:rPr>
                <w:rFonts w:hint="eastAsia" w:ascii="宋体" w:hAnsi="宋体" w:cs="宋体"/>
                <w:color w:val="000000"/>
                <w:sz w:val="22"/>
              </w:rPr>
            </w:pPr>
            <w:r>
              <w:rPr>
                <w:rFonts w:hint="eastAsia" w:ascii="宋体" w:hAnsi="宋体" w:cs="宋体"/>
                <w:color w:val="000000"/>
                <w:sz w:val="22"/>
              </w:rPr>
              <w:t>5、其他：外延打磨指甲圆，光滑平整，正反面均无毛刺。</w:t>
            </w:r>
          </w:p>
        </w:tc>
      </w:tr>
      <w:tr w14:paraId="07525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61" w:type="pct"/>
            <w:vMerge w:val="continue"/>
            <w:shd w:val="clear" w:color="auto" w:fill="auto"/>
            <w:noWrap w:val="0"/>
            <w:vAlign w:val="center"/>
          </w:tcPr>
          <w:p w14:paraId="4B05F5EF">
            <w:pPr>
              <w:jc w:val="both"/>
              <w:rPr>
                <w:rFonts w:hint="eastAsia" w:ascii="宋体" w:hAnsi="宋体" w:cs="宋体"/>
                <w:color w:val="000000"/>
                <w:sz w:val="22"/>
              </w:rPr>
            </w:pPr>
          </w:p>
        </w:tc>
        <w:tc>
          <w:tcPr>
            <w:tcW w:w="1243" w:type="pct"/>
            <w:vMerge w:val="continue"/>
            <w:shd w:val="clear" w:color="auto" w:fill="auto"/>
            <w:noWrap w:val="0"/>
            <w:vAlign w:val="center"/>
          </w:tcPr>
          <w:p w14:paraId="084D7AC1">
            <w:pPr>
              <w:jc w:val="both"/>
              <w:rPr>
                <w:rFonts w:hint="eastAsia" w:ascii="宋体" w:hAnsi="宋体" w:cs="宋体"/>
                <w:color w:val="000000"/>
                <w:sz w:val="22"/>
              </w:rPr>
            </w:pPr>
          </w:p>
        </w:tc>
        <w:tc>
          <w:tcPr>
            <w:tcW w:w="3194" w:type="pct"/>
            <w:noWrap w:val="0"/>
            <w:vAlign w:val="center"/>
          </w:tcPr>
          <w:p w14:paraId="58F5B6C5">
            <w:pPr>
              <w:jc w:val="both"/>
              <w:rPr>
                <w:rFonts w:hint="eastAsia" w:ascii="宋体" w:hAnsi="宋体" w:cs="宋体"/>
                <w:color w:val="000000"/>
                <w:sz w:val="22"/>
              </w:rPr>
            </w:pPr>
            <w:r>
              <w:rPr>
                <w:rFonts w:hint="eastAsia" w:ascii="宋体" w:hAnsi="宋体" w:cs="宋体"/>
                <w:color w:val="000000"/>
                <w:sz w:val="22"/>
              </w:rPr>
              <w:t>6、产品符合儿童家具通用技术标准。</w:t>
            </w:r>
          </w:p>
        </w:tc>
      </w:tr>
      <w:tr w14:paraId="0D236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61" w:type="pct"/>
            <w:vMerge w:val="restart"/>
            <w:shd w:val="clear" w:color="auto" w:fill="auto"/>
            <w:noWrap w:val="0"/>
            <w:vAlign w:val="center"/>
          </w:tcPr>
          <w:p w14:paraId="1AEF4D97">
            <w:pPr>
              <w:jc w:val="center"/>
              <w:rPr>
                <w:rFonts w:hint="eastAsia" w:ascii="宋体" w:hAnsi="宋体" w:eastAsia="宋体" w:cs="宋体"/>
                <w:color w:val="000000"/>
                <w:kern w:val="2"/>
                <w:sz w:val="22"/>
                <w:szCs w:val="22"/>
                <w:lang w:val="en-US" w:eastAsia="zh-CN" w:bidi="ar-SA"/>
              </w:rPr>
            </w:pPr>
            <w:r>
              <w:rPr>
                <w:rFonts w:hint="eastAsia" w:ascii="宋体" w:hAnsi="宋体" w:cs="宋体"/>
                <w:color w:val="000000"/>
                <w:sz w:val="22"/>
              </w:rPr>
              <w:t>10</w:t>
            </w:r>
          </w:p>
        </w:tc>
        <w:tc>
          <w:tcPr>
            <w:tcW w:w="1243" w:type="pct"/>
            <w:vMerge w:val="restart"/>
            <w:shd w:val="clear" w:color="auto" w:fill="auto"/>
            <w:noWrap w:val="0"/>
            <w:vAlign w:val="center"/>
          </w:tcPr>
          <w:p w14:paraId="16DCFC99">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eastAsia="宋体" w:cs="Times New Roman"/>
                <w:color w:val="000000"/>
                <w:kern w:val="2"/>
                <w:sz w:val="22"/>
                <w:szCs w:val="24"/>
                <w:lang w:val="en-US" w:eastAsia="zh-CN" w:bidi="ar-SA"/>
              </w:rPr>
              <w:t>移动材料柜</w:t>
            </w:r>
          </w:p>
        </w:tc>
        <w:tc>
          <w:tcPr>
            <w:tcW w:w="3194" w:type="pct"/>
            <w:noWrap w:val="0"/>
            <w:vAlign w:val="center"/>
          </w:tcPr>
          <w:p w14:paraId="791057CC">
            <w:pPr>
              <w:jc w:val="both"/>
              <w:rPr>
                <w:rFonts w:hint="eastAsia" w:ascii="宋体" w:hAnsi="宋体" w:cs="宋体"/>
                <w:color w:val="000000"/>
                <w:sz w:val="22"/>
              </w:rPr>
            </w:pPr>
            <w:r>
              <w:rPr>
                <w:rFonts w:hint="eastAsia" w:ascii="宋体" w:hAnsi="宋体" w:cs="宋体"/>
                <w:color w:val="000000"/>
                <w:sz w:val="22"/>
              </w:rPr>
              <w:t>1、尺寸：L60cm*W45cm*H91cm（±</w:t>
            </w:r>
            <w:r>
              <w:rPr>
                <w:rFonts w:hint="eastAsia" w:ascii="宋体" w:hAnsi="宋体" w:cs="宋体"/>
                <w:color w:val="000000"/>
                <w:sz w:val="22"/>
                <w:lang w:val="en-US" w:eastAsia="zh-CN"/>
              </w:rPr>
              <w:t>2</w:t>
            </w:r>
            <w:r>
              <w:rPr>
                <w:rFonts w:hint="eastAsia" w:ascii="宋体" w:hAnsi="宋体" w:cs="宋体"/>
                <w:color w:val="000000"/>
                <w:sz w:val="22"/>
              </w:rPr>
              <w:t>cm）</w:t>
            </w:r>
          </w:p>
        </w:tc>
      </w:tr>
      <w:tr w14:paraId="3A5AA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61" w:type="pct"/>
            <w:vMerge w:val="continue"/>
            <w:shd w:val="clear" w:color="auto" w:fill="auto"/>
            <w:noWrap w:val="0"/>
            <w:vAlign w:val="center"/>
          </w:tcPr>
          <w:p w14:paraId="2746EDF4">
            <w:pPr>
              <w:jc w:val="both"/>
            </w:pPr>
          </w:p>
        </w:tc>
        <w:tc>
          <w:tcPr>
            <w:tcW w:w="1243" w:type="pct"/>
            <w:vMerge w:val="continue"/>
            <w:shd w:val="clear" w:color="auto" w:fill="auto"/>
            <w:noWrap w:val="0"/>
            <w:vAlign w:val="center"/>
          </w:tcPr>
          <w:p w14:paraId="65EF0C73">
            <w:pPr>
              <w:jc w:val="both"/>
            </w:pPr>
          </w:p>
        </w:tc>
        <w:tc>
          <w:tcPr>
            <w:tcW w:w="3194" w:type="pct"/>
            <w:noWrap w:val="0"/>
            <w:vAlign w:val="center"/>
          </w:tcPr>
          <w:p w14:paraId="2AA74483">
            <w:pPr>
              <w:jc w:val="both"/>
              <w:rPr>
                <w:rFonts w:hint="eastAsia" w:ascii="宋体" w:hAnsi="宋体" w:cs="宋体"/>
                <w:color w:val="000000"/>
                <w:sz w:val="22"/>
              </w:rPr>
            </w:pPr>
            <w:r>
              <w:rPr>
                <w:rFonts w:hint="eastAsia" w:ascii="宋体" w:hAnsi="宋体" w:cs="宋体"/>
                <w:color w:val="000000"/>
                <w:sz w:val="22"/>
              </w:rPr>
              <w:t>2、基材：桦木实木多层板，表面纹理清晰且全白、无结疤、无黑疤、无红点。搭配矩形收纳盒，便于收纳。</w:t>
            </w:r>
          </w:p>
        </w:tc>
      </w:tr>
      <w:tr w14:paraId="42E4E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61" w:type="pct"/>
            <w:vMerge w:val="continue"/>
            <w:shd w:val="clear" w:color="auto" w:fill="auto"/>
            <w:noWrap w:val="0"/>
            <w:vAlign w:val="center"/>
          </w:tcPr>
          <w:p w14:paraId="1601ACB6">
            <w:pPr>
              <w:jc w:val="both"/>
              <w:rPr>
                <w:rFonts w:hint="eastAsia" w:ascii="宋体" w:hAnsi="宋体" w:cs="宋体"/>
                <w:color w:val="000000"/>
                <w:sz w:val="22"/>
              </w:rPr>
            </w:pPr>
          </w:p>
        </w:tc>
        <w:tc>
          <w:tcPr>
            <w:tcW w:w="1243" w:type="pct"/>
            <w:vMerge w:val="continue"/>
            <w:shd w:val="clear" w:color="auto" w:fill="auto"/>
            <w:noWrap w:val="0"/>
            <w:vAlign w:val="center"/>
          </w:tcPr>
          <w:p w14:paraId="67CEB844">
            <w:pPr>
              <w:jc w:val="both"/>
              <w:rPr>
                <w:rFonts w:hint="eastAsia" w:ascii="宋体" w:hAnsi="宋体" w:cs="宋体"/>
                <w:color w:val="000000"/>
                <w:sz w:val="22"/>
              </w:rPr>
            </w:pPr>
          </w:p>
        </w:tc>
        <w:tc>
          <w:tcPr>
            <w:tcW w:w="3194" w:type="pct"/>
            <w:noWrap w:val="0"/>
            <w:vAlign w:val="center"/>
          </w:tcPr>
          <w:p w14:paraId="154EC55F">
            <w:pPr>
              <w:jc w:val="both"/>
              <w:rPr>
                <w:rFonts w:hint="eastAsia" w:ascii="宋体" w:hAnsi="宋体" w:cs="宋体"/>
                <w:color w:val="000000"/>
                <w:sz w:val="22"/>
              </w:rPr>
            </w:pPr>
            <w:r>
              <w:rPr>
                <w:rFonts w:hint="eastAsia" w:ascii="宋体" w:hAnsi="宋体" w:cs="宋体"/>
                <w:color w:val="000000"/>
                <w:sz w:val="22"/>
              </w:rPr>
              <w:t xml:space="preserve">3、五金：选用环保五金，安全无毒，色泽丰富。 </w:t>
            </w:r>
          </w:p>
        </w:tc>
      </w:tr>
      <w:tr w14:paraId="358DA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61" w:type="pct"/>
            <w:vMerge w:val="continue"/>
            <w:shd w:val="clear" w:color="auto" w:fill="auto"/>
            <w:noWrap w:val="0"/>
            <w:vAlign w:val="center"/>
          </w:tcPr>
          <w:p w14:paraId="2B16B8E4">
            <w:pPr>
              <w:jc w:val="both"/>
              <w:rPr>
                <w:rFonts w:hint="eastAsia" w:ascii="宋体" w:hAnsi="宋体" w:cs="宋体"/>
                <w:color w:val="000000"/>
                <w:sz w:val="22"/>
              </w:rPr>
            </w:pPr>
          </w:p>
        </w:tc>
        <w:tc>
          <w:tcPr>
            <w:tcW w:w="1243" w:type="pct"/>
            <w:vMerge w:val="continue"/>
            <w:shd w:val="clear" w:color="auto" w:fill="auto"/>
            <w:noWrap w:val="0"/>
            <w:vAlign w:val="center"/>
          </w:tcPr>
          <w:p w14:paraId="7D1468D4">
            <w:pPr>
              <w:jc w:val="both"/>
              <w:rPr>
                <w:rFonts w:hint="eastAsia" w:ascii="宋体" w:hAnsi="宋体" w:cs="宋体"/>
                <w:color w:val="000000"/>
                <w:sz w:val="22"/>
              </w:rPr>
            </w:pPr>
          </w:p>
        </w:tc>
        <w:tc>
          <w:tcPr>
            <w:tcW w:w="3194" w:type="pct"/>
            <w:noWrap w:val="0"/>
            <w:vAlign w:val="center"/>
          </w:tcPr>
          <w:p w14:paraId="205EB846">
            <w:pPr>
              <w:jc w:val="both"/>
              <w:rPr>
                <w:rFonts w:hint="eastAsia" w:ascii="宋体" w:hAnsi="宋体" w:cs="宋体"/>
                <w:color w:val="000000"/>
                <w:sz w:val="22"/>
              </w:rPr>
            </w:pPr>
            <w:r>
              <w:rPr>
                <w:rFonts w:hint="eastAsia" w:ascii="宋体" w:hAnsi="宋体" w:cs="宋体"/>
                <w:color w:val="000000"/>
                <w:sz w:val="22"/>
              </w:rPr>
              <w:t>4、油漆：采用绿色环保无毒水性漆，经过两底一面工艺制作。附着力、耐冲击、耐磨、耐湿不小于3 级，灼烧、耐液、耐干、 耐冷热。</w:t>
            </w:r>
          </w:p>
        </w:tc>
      </w:tr>
      <w:tr w14:paraId="618C4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61" w:type="pct"/>
            <w:vMerge w:val="continue"/>
            <w:shd w:val="clear" w:color="auto" w:fill="auto"/>
            <w:noWrap w:val="0"/>
            <w:vAlign w:val="center"/>
          </w:tcPr>
          <w:p w14:paraId="229A0410">
            <w:pPr>
              <w:jc w:val="both"/>
              <w:rPr>
                <w:rFonts w:hint="eastAsia" w:ascii="宋体" w:hAnsi="宋体" w:cs="宋体"/>
                <w:color w:val="000000"/>
                <w:sz w:val="22"/>
              </w:rPr>
            </w:pPr>
          </w:p>
        </w:tc>
        <w:tc>
          <w:tcPr>
            <w:tcW w:w="1243" w:type="pct"/>
            <w:vMerge w:val="continue"/>
            <w:shd w:val="clear" w:color="auto" w:fill="auto"/>
            <w:noWrap w:val="0"/>
            <w:vAlign w:val="center"/>
          </w:tcPr>
          <w:p w14:paraId="793E09C2">
            <w:pPr>
              <w:jc w:val="both"/>
              <w:rPr>
                <w:rFonts w:hint="eastAsia" w:ascii="宋体" w:hAnsi="宋体" w:cs="宋体"/>
                <w:color w:val="000000"/>
                <w:sz w:val="22"/>
              </w:rPr>
            </w:pPr>
          </w:p>
        </w:tc>
        <w:tc>
          <w:tcPr>
            <w:tcW w:w="3194" w:type="pct"/>
            <w:noWrap w:val="0"/>
            <w:vAlign w:val="center"/>
          </w:tcPr>
          <w:p w14:paraId="660A5718">
            <w:pPr>
              <w:jc w:val="both"/>
              <w:rPr>
                <w:rFonts w:hint="eastAsia" w:ascii="宋体" w:hAnsi="宋体" w:cs="宋体"/>
                <w:color w:val="000000"/>
                <w:sz w:val="22"/>
              </w:rPr>
            </w:pPr>
            <w:r>
              <w:rPr>
                <w:rFonts w:hint="eastAsia" w:ascii="宋体" w:hAnsi="宋体" w:cs="宋体"/>
                <w:color w:val="000000"/>
                <w:sz w:val="22"/>
              </w:rPr>
              <w:t>5、其他：外延打磨指甲圆，光滑平整，正反面均无毛刺。底部配万向轮，方便移动。</w:t>
            </w:r>
          </w:p>
        </w:tc>
      </w:tr>
      <w:tr w14:paraId="313CA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61" w:type="pct"/>
            <w:vMerge w:val="continue"/>
            <w:shd w:val="clear" w:color="auto" w:fill="auto"/>
            <w:noWrap w:val="0"/>
            <w:vAlign w:val="center"/>
          </w:tcPr>
          <w:p w14:paraId="3AEBD08D">
            <w:pPr>
              <w:jc w:val="both"/>
              <w:rPr>
                <w:rFonts w:hint="eastAsia" w:ascii="宋体" w:hAnsi="宋体" w:cs="宋体"/>
                <w:color w:val="000000"/>
                <w:sz w:val="22"/>
              </w:rPr>
            </w:pPr>
          </w:p>
        </w:tc>
        <w:tc>
          <w:tcPr>
            <w:tcW w:w="1243" w:type="pct"/>
            <w:vMerge w:val="continue"/>
            <w:shd w:val="clear" w:color="auto" w:fill="auto"/>
            <w:noWrap w:val="0"/>
            <w:vAlign w:val="center"/>
          </w:tcPr>
          <w:p w14:paraId="45B02D1E">
            <w:pPr>
              <w:jc w:val="both"/>
              <w:rPr>
                <w:rFonts w:hint="eastAsia" w:ascii="宋体" w:hAnsi="宋体" w:cs="宋体"/>
                <w:color w:val="000000"/>
                <w:sz w:val="22"/>
              </w:rPr>
            </w:pPr>
          </w:p>
        </w:tc>
        <w:tc>
          <w:tcPr>
            <w:tcW w:w="3194" w:type="pct"/>
            <w:noWrap w:val="0"/>
            <w:vAlign w:val="center"/>
          </w:tcPr>
          <w:p w14:paraId="2BDFF7C2">
            <w:pPr>
              <w:jc w:val="both"/>
              <w:rPr>
                <w:rFonts w:hint="eastAsia" w:ascii="宋体" w:hAnsi="宋体" w:cs="宋体"/>
                <w:color w:val="000000"/>
                <w:sz w:val="22"/>
              </w:rPr>
            </w:pPr>
            <w:r>
              <w:rPr>
                <w:rFonts w:hint="eastAsia" w:ascii="宋体" w:hAnsi="宋体" w:cs="宋体"/>
                <w:color w:val="000000"/>
                <w:sz w:val="22"/>
              </w:rPr>
              <w:t>6、产品符合儿童家具通用技术标准。</w:t>
            </w:r>
          </w:p>
        </w:tc>
      </w:tr>
      <w:tr w14:paraId="288ED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61" w:type="pct"/>
            <w:vMerge w:val="restart"/>
            <w:shd w:val="clear" w:color="auto" w:fill="auto"/>
            <w:noWrap w:val="0"/>
            <w:vAlign w:val="center"/>
          </w:tcPr>
          <w:p w14:paraId="17D0F112">
            <w:pPr>
              <w:jc w:val="center"/>
              <w:rPr>
                <w:rFonts w:hint="eastAsia" w:ascii="宋体" w:hAnsi="宋体" w:eastAsia="宋体" w:cs="宋体"/>
                <w:color w:val="000000"/>
                <w:kern w:val="2"/>
                <w:sz w:val="22"/>
                <w:szCs w:val="22"/>
                <w:lang w:val="en-US" w:eastAsia="zh-CN" w:bidi="ar-SA"/>
              </w:rPr>
            </w:pPr>
            <w:r>
              <w:rPr>
                <w:rFonts w:hint="eastAsia" w:ascii="宋体" w:hAnsi="宋体" w:cs="宋体"/>
                <w:color w:val="000000"/>
                <w:sz w:val="22"/>
              </w:rPr>
              <w:t>11</w:t>
            </w:r>
          </w:p>
        </w:tc>
        <w:tc>
          <w:tcPr>
            <w:tcW w:w="1243" w:type="pct"/>
            <w:vMerge w:val="restart"/>
            <w:shd w:val="clear" w:color="auto" w:fill="auto"/>
            <w:noWrap w:val="0"/>
            <w:vAlign w:val="center"/>
          </w:tcPr>
          <w:p w14:paraId="104C5FFE">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简易美工柜</w:t>
            </w:r>
          </w:p>
        </w:tc>
        <w:tc>
          <w:tcPr>
            <w:tcW w:w="3194" w:type="pct"/>
            <w:noWrap w:val="0"/>
            <w:vAlign w:val="center"/>
          </w:tcPr>
          <w:p w14:paraId="3763F3BA">
            <w:pPr>
              <w:jc w:val="both"/>
              <w:rPr>
                <w:rFonts w:hint="eastAsia" w:ascii="宋体" w:hAnsi="宋体" w:cs="宋体"/>
                <w:color w:val="000000"/>
                <w:sz w:val="22"/>
              </w:rPr>
            </w:pPr>
            <w:r>
              <w:rPr>
                <w:rFonts w:hint="eastAsia" w:ascii="宋体" w:hAnsi="宋体" w:cs="宋体"/>
                <w:color w:val="000000"/>
                <w:sz w:val="22"/>
              </w:rPr>
              <w:t>1、尺寸：L80cm*W40cm*H76.5cm（±</w:t>
            </w:r>
            <w:r>
              <w:rPr>
                <w:rFonts w:hint="eastAsia" w:ascii="宋体" w:hAnsi="宋体" w:cs="宋体"/>
                <w:color w:val="000000"/>
                <w:sz w:val="22"/>
                <w:lang w:val="en-US" w:eastAsia="zh-CN"/>
              </w:rPr>
              <w:t>2</w:t>
            </w:r>
            <w:r>
              <w:rPr>
                <w:rFonts w:hint="eastAsia" w:ascii="宋体" w:hAnsi="宋体" w:cs="宋体"/>
                <w:color w:val="000000"/>
                <w:sz w:val="22"/>
              </w:rPr>
              <w:t>cm）</w:t>
            </w:r>
          </w:p>
        </w:tc>
      </w:tr>
      <w:tr w14:paraId="2CEBC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61" w:type="pct"/>
            <w:vMerge w:val="continue"/>
            <w:shd w:val="clear" w:color="auto" w:fill="auto"/>
            <w:noWrap w:val="0"/>
            <w:vAlign w:val="center"/>
          </w:tcPr>
          <w:p w14:paraId="7429D739">
            <w:pPr>
              <w:jc w:val="both"/>
            </w:pPr>
          </w:p>
        </w:tc>
        <w:tc>
          <w:tcPr>
            <w:tcW w:w="1243" w:type="pct"/>
            <w:vMerge w:val="continue"/>
            <w:shd w:val="clear" w:color="auto" w:fill="auto"/>
            <w:noWrap w:val="0"/>
            <w:vAlign w:val="center"/>
          </w:tcPr>
          <w:p w14:paraId="0B77799A">
            <w:pPr>
              <w:jc w:val="both"/>
            </w:pPr>
          </w:p>
        </w:tc>
        <w:tc>
          <w:tcPr>
            <w:tcW w:w="3194" w:type="pct"/>
            <w:noWrap w:val="0"/>
            <w:vAlign w:val="center"/>
          </w:tcPr>
          <w:p w14:paraId="153F1EAA">
            <w:pPr>
              <w:jc w:val="both"/>
              <w:rPr>
                <w:rFonts w:hint="eastAsia" w:ascii="宋体" w:hAnsi="宋体" w:cs="宋体"/>
                <w:color w:val="000000"/>
                <w:sz w:val="22"/>
              </w:rPr>
            </w:pPr>
            <w:r>
              <w:rPr>
                <w:rFonts w:hint="eastAsia" w:ascii="宋体" w:hAnsi="宋体" w:cs="宋体"/>
                <w:color w:val="000000"/>
                <w:sz w:val="22"/>
              </w:rPr>
              <w:t>2、基材：桦木实木多层板，表面纹理清晰且全白、无结疤、无黑疤、无红点。柜体为三层向上开口式分层，顶层均分为内径尺寸不大于 25*35.5*6cm（±</w:t>
            </w:r>
            <w:r>
              <w:rPr>
                <w:rFonts w:hint="eastAsia" w:ascii="宋体" w:hAnsi="宋体" w:cs="宋体"/>
                <w:color w:val="000000"/>
                <w:sz w:val="22"/>
                <w:lang w:val="en-US" w:eastAsia="zh-CN"/>
              </w:rPr>
              <w:t>1</w:t>
            </w:r>
            <w:r>
              <w:rPr>
                <w:rFonts w:hint="eastAsia" w:ascii="宋体" w:hAnsi="宋体" w:cs="宋体"/>
                <w:color w:val="000000"/>
                <w:sz w:val="22"/>
              </w:rPr>
              <w:t>cm）的三分格，第二层为内径不大于 77*32.5*6cm（±</w:t>
            </w:r>
            <w:r>
              <w:rPr>
                <w:rFonts w:hint="eastAsia" w:ascii="宋体" w:hAnsi="宋体" w:cs="宋体"/>
                <w:color w:val="000000"/>
                <w:sz w:val="22"/>
                <w:lang w:val="en-US" w:eastAsia="zh-CN"/>
              </w:rPr>
              <w:t>1</w:t>
            </w:r>
            <w:r>
              <w:rPr>
                <w:rFonts w:hint="eastAsia" w:ascii="宋体" w:hAnsi="宋体" w:cs="宋体"/>
                <w:color w:val="000000"/>
                <w:sz w:val="22"/>
              </w:rPr>
              <w:t>cm）的向上开口储物空间，第三层为内径不大于 77*35.5*6cm（±</w:t>
            </w:r>
            <w:r>
              <w:rPr>
                <w:rFonts w:hint="eastAsia" w:ascii="宋体" w:hAnsi="宋体" w:cs="宋体"/>
                <w:color w:val="000000"/>
                <w:sz w:val="22"/>
                <w:lang w:val="en-US" w:eastAsia="zh-CN"/>
              </w:rPr>
              <w:t>1</w:t>
            </w:r>
            <w:r>
              <w:rPr>
                <w:rFonts w:hint="eastAsia" w:ascii="宋体" w:hAnsi="宋体" w:cs="宋体"/>
                <w:color w:val="000000"/>
                <w:sz w:val="22"/>
              </w:rPr>
              <w:t>cm）的向上开口储物空间中空内径高度不大于 30cm（±</w:t>
            </w:r>
            <w:r>
              <w:rPr>
                <w:rFonts w:hint="eastAsia" w:ascii="宋体" w:hAnsi="宋体" w:cs="宋体"/>
                <w:color w:val="000000"/>
                <w:sz w:val="22"/>
                <w:lang w:val="en-US" w:eastAsia="zh-CN"/>
              </w:rPr>
              <w:t>1</w:t>
            </w:r>
            <w:r>
              <w:rPr>
                <w:rFonts w:hint="eastAsia" w:ascii="宋体" w:hAnsi="宋体" w:cs="宋体"/>
                <w:color w:val="000000"/>
                <w:sz w:val="22"/>
              </w:rPr>
              <w:t>cm），底部为万向轮 4 个，离地高度不小于 3cm（±0.1cm）。</w:t>
            </w:r>
          </w:p>
        </w:tc>
      </w:tr>
      <w:tr w14:paraId="4638D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61" w:type="pct"/>
            <w:vMerge w:val="continue"/>
            <w:shd w:val="clear" w:color="auto" w:fill="auto"/>
            <w:noWrap w:val="0"/>
            <w:vAlign w:val="center"/>
          </w:tcPr>
          <w:p w14:paraId="0C972FA1">
            <w:pPr>
              <w:jc w:val="both"/>
              <w:rPr>
                <w:rFonts w:hint="eastAsia" w:ascii="宋体" w:hAnsi="宋体" w:cs="宋体"/>
                <w:color w:val="000000"/>
                <w:sz w:val="22"/>
              </w:rPr>
            </w:pPr>
          </w:p>
        </w:tc>
        <w:tc>
          <w:tcPr>
            <w:tcW w:w="1243" w:type="pct"/>
            <w:vMerge w:val="continue"/>
            <w:shd w:val="clear" w:color="auto" w:fill="auto"/>
            <w:noWrap w:val="0"/>
            <w:vAlign w:val="center"/>
          </w:tcPr>
          <w:p w14:paraId="2120C57C">
            <w:pPr>
              <w:jc w:val="both"/>
              <w:rPr>
                <w:rFonts w:hint="eastAsia" w:ascii="宋体" w:hAnsi="宋体" w:cs="宋体"/>
                <w:color w:val="000000"/>
                <w:sz w:val="22"/>
              </w:rPr>
            </w:pPr>
          </w:p>
        </w:tc>
        <w:tc>
          <w:tcPr>
            <w:tcW w:w="3194" w:type="pct"/>
            <w:noWrap w:val="0"/>
            <w:vAlign w:val="center"/>
          </w:tcPr>
          <w:p w14:paraId="53097D22">
            <w:pPr>
              <w:jc w:val="both"/>
              <w:rPr>
                <w:rFonts w:hint="eastAsia" w:ascii="宋体" w:hAnsi="宋体" w:cs="宋体"/>
                <w:color w:val="000000"/>
                <w:sz w:val="22"/>
              </w:rPr>
            </w:pPr>
            <w:r>
              <w:rPr>
                <w:rFonts w:hint="eastAsia" w:ascii="宋体" w:hAnsi="宋体" w:cs="宋体"/>
                <w:color w:val="000000"/>
                <w:sz w:val="22"/>
              </w:rPr>
              <w:t xml:space="preserve">3、五金：选用环保五金，安全无毒，色泽丰富。 </w:t>
            </w:r>
          </w:p>
        </w:tc>
      </w:tr>
      <w:tr w14:paraId="5F1E0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61" w:type="pct"/>
            <w:vMerge w:val="continue"/>
            <w:shd w:val="clear" w:color="auto" w:fill="auto"/>
            <w:noWrap w:val="0"/>
            <w:vAlign w:val="center"/>
          </w:tcPr>
          <w:p w14:paraId="29D00766">
            <w:pPr>
              <w:jc w:val="both"/>
              <w:rPr>
                <w:rFonts w:hint="eastAsia" w:ascii="宋体" w:hAnsi="宋体" w:cs="宋体"/>
                <w:color w:val="000000"/>
                <w:sz w:val="22"/>
              </w:rPr>
            </w:pPr>
          </w:p>
        </w:tc>
        <w:tc>
          <w:tcPr>
            <w:tcW w:w="1243" w:type="pct"/>
            <w:vMerge w:val="continue"/>
            <w:shd w:val="clear" w:color="auto" w:fill="auto"/>
            <w:noWrap w:val="0"/>
            <w:vAlign w:val="center"/>
          </w:tcPr>
          <w:p w14:paraId="7AF2B805">
            <w:pPr>
              <w:jc w:val="both"/>
              <w:rPr>
                <w:rFonts w:hint="eastAsia" w:ascii="宋体" w:hAnsi="宋体" w:cs="宋体"/>
                <w:color w:val="000000"/>
                <w:sz w:val="22"/>
              </w:rPr>
            </w:pPr>
          </w:p>
        </w:tc>
        <w:tc>
          <w:tcPr>
            <w:tcW w:w="3194" w:type="pct"/>
            <w:noWrap w:val="0"/>
            <w:vAlign w:val="center"/>
          </w:tcPr>
          <w:p w14:paraId="75E24C0A">
            <w:pPr>
              <w:jc w:val="both"/>
              <w:rPr>
                <w:rFonts w:hint="eastAsia" w:ascii="宋体" w:hAnsi="宋体" w:cs="宋体"/>
                <w:color w:val="000000"/>
                <w:sz w:val="22"/>
              </w:rPr>
            </w:pPr>
            <w:r>
              <w:rPr>
                <w:rFonts w:hint="eastAsia" w:ascii="宋体" w:hAnsi="宋体" w:cs="宋体"/>
                <w:color w:val="000000"/>
                <w:sz w:val="22"/>
              </w:rPr>
              <w:t>4、油漆：采用绿色环保无毒水性漆，经过两底一面工艺制作。附着力、耐冲击、耐磨、耐湿不小于3 级，灼烧、耐液、耐干、 耐冷热。</w:t>
            </w:r>
          </w:p>
        </w:tc>
      </w:tr>
      <w:tr w14:paraId="71B8F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61" w:type="pct"/>
            <w:vMerge w:val="continue"/>
            <w:shd w:val="clear" w:color="auto" w:fill="auto"/>
            <w:noWrap w:val="0"/>
            <w:vAlign w:val="center"/>
          </w:tcPr>
          <w:p w14:paraId="57E25E69">
            <w:pPr>
              <w:jc w:val="both"/>
              <w:rPr>
                <w:rFonts w:hint="eastAsia" w:ascii="宋体" w:hAnsi="宋体" w:cs="宋体"/>
                <w:color w:val="000000"/>
                <w:sz w:val="22"/>
              </w:rPr>
            </w:pPr>
          </w:p>
        </w:tc>
        <w:tc>
          <w:tcPr>
            <w:tcW w:w="1243" w:type="pct"/>
            <w:vMerge w:val="continue"/>
            <w:shd w:val="clear" w:color="auto" w:fill="auto"/>
            <w:noWrap w:val="0"/>
            <w:vAlign w:val="center"/>
          </w:tcPr>
          <w:p w14:paraId="199E0195">
            <w:pPr>
              <w:jc w:val="both"/>
              <w:rPr>
                <w:rFonts w:hint="eastAsia" w:ascii="宋体" w:hAnsi="宋体" w:cs="宋体"/>
                <w:color w:val="000000"/>
                <w:sz w:val="22"/>
              </w:rPr>
            </w:pPr>
          </w:p>
        </w:tc>
        <w:tc>
          <w:tcPr>
            <w:tcW w:w="3194" w:type="pct"/>
            <w:noWrap w:val="0"/>
            <w:vAlign w:val="center"/>
          </w:tcPr>
          <w:p w14:paraId="4A429275">
            <w:pPr>
              <w:jc w:val="both"/>
              <w:rPr>
                <w:rFonts w:hint="eastAsia" w:ascii="宋体" w:hAnsi="宋体" w:cs="宋体"/>
                <w:color w:val="000000"/>
                <w:sz w:val="22"/>
              </w:rPr>
            </w:pPr>
            <w:r>
              <w:rPr>
                <w:rFonts w:hint="eastAsia" w:ascii="宋体" w:hAnsi="宋体" w:cs="宋体"/>
                <w:color w:val="000000"/>
                <w:sz w:val="22"/>
              </w:rPr>
              <w:t>5、其他：外延打磨指甲圆，光滑平整，正反面均无毛刺。底部黑色万向轮，方便移动。</w:t>
            </w:r>
          </w:p>
        </w:tc>
      </w:tr>
      <w:tr w14:paraId="3D183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61" w:type="pct"/>
            <w:vMerge w:val="continue"/>
            <w:shd w:val="clear" w:color="auto" w:fill="auto"/>
            <w:noWrap w:val="0"/>
            <w:vAlign w:val="center"/>
          </w:tcPr>
          <w:p w14:paraId="014B1FEF">
            <w:pPr>
              <w:jc w:val="both"/>
              <w:rPr>
                <w:rFonts w:hint="eastAsia" w:ascii="宋体" w:hAnsi="宋体" w:cs="宋体"/>
                <w:color w:val="000000"/>
                <w:sz w:val="22"/>
              </w:rPr>
            </w:pPr>
          </w:p>
        </w:tc>
        <w:tc>
          <w:tcPr>
            <w:tcW w:w="1243" w:type="pct"/>
            <w:vMerge w:val="continue"/>
            <w:shd w:val="clear" w:color="auto" w:fill="auto"/>
            <w:noWrap w:val="0"/>
            <w:vAlign w:val="center"/>
          </w:tcPr>
          <w:p w14:paraId="557AF911">
            <w:pPr>
              <w:jc w:val="both"/>
              <w:rPr>
                <w:rFonts w:hint="eastAsia" w:ascii="宋体" w:hAnsi="宋体" w:cs="宋体"/>
                <w:color w:val="000000"/>
                <w:sz w:val="22"/>
              </w:rPr>
            </w:pPr>
          </w:p>
        </w:tc>
        <w:tc>
          <w:tcPr>
            <w:tcW w:w="3194" w:type="pct"/>
            <w:noWrap w:val="0"/>
            <w:vAlign w:val="center"/>
          </w:tcPr>
          <w:p w14:paraId="25333D94">
            <w:pPr>
              <w:jc w:val="both"/>
              <w:rPr>
                <w:rFonts w:hint="eastAsia" w:ascii="宋体" w:hAnsi="宋体" w:cs="宋体"/>
                <w:color w:val="000000"/>
                <w:sz w:val="22"/>
              </w:rPr>
            </w:pPr>
            <w:r>
              <w:rPr>
                <w:rFonts w:hint="eastAsia" w:ascii="宋体" w:hAnsi="宋体" w:cs="宋体"/>
                <w:color w:val="000000"/>
                <w:sz w:val="22"/>
              </w:rPr>
              <w:t>6、产品符合儿童家具通用技术标准。</w:t>
            </w:r>
          </w:p>
        </w:tc>
      </w:tr>
      <w:tr w14:paraId="6E18C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561" w:type="pct"/>
            <w:vMerge w:val="restart"/>
            <w:shd w:val="clear" w:color="auto" w:fill="auto"/>
            <w:noWrap w:val="0"/>
            <w:vAlign w:val="center"/>
          </w:tcPr>
          <w:p w14:paraId="00815727">
            <w:pPr>
              <w:jc w:val="center"/>
              <w:rPr>
                <w:rFonts w:hint="eastAsia" w:ascii="宋体" w:hAnsi="宋体" w:eastAsia="宋体" w:cs="宋体"/>
                <w:color w:val="000000"/>
                <w:kern w:val="2"/>
                <w:sz w:val="22"/>
                <w:szCs w:val="22"/>
                <w:lang w:val="en-US" w:eastAsia="zh-CN" w:bidi="ar-SA"/>
              </w:rPr>
            </w:pPr>
            <w:r>
              <w:rPr>
                <w:rFonts w:hint="eastAsia" w:ascii="宋体" w:hAnsi="宋体" w:cs="宋体"/>
                <w:color w:val="000000"/>
                <w:sz w:val="22"/>
              </w:rPr>
              <w:t>12</w:t>
            </w:r>
          </w:p>
        </w:tc>
        <w:tc>
          <w:tcPr>
            <w:tcW w:w="1243" w:type="pct"/>
            <w:vMerge w:val="restart"/>
            <w:shd w:val="clear" w:color="auto" w:fill="auto"/>
            <w:noWrap w:val="0"/>
            <w:vAlign w:val="center"/>
          </w:tcPr>
          <w:p w14:paraId="4C022267">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三层玩具架- 含12个塑料盒</w:t>
            </w:r>
          </w:p>
        </w:tc>
        <w:tc>
          <w:tcPr>
            <w:tcW w:w="3194" w:type="pct"/>
            <w:noWrap w:val="0"/>
            <w:vAlign w:val="center"/>
          </w:tcPr>
          <w:p w14:paraId="1C2784AD">
            <w:pPr>
              <w:jc w:val="both"/>
              <w:rPr>
                <w:rFonts w:hint="eastAsia" w:ascii="宋体" w:hAnsi="宋体" w:cs="宋体"/>
                <w:color w:val="000000"/>
                <w:sz w:val="22"/>
              </w:rPr>
            </w:pPr>
            <w:r>
              <w:rPr>
                <w:rFonts w:hint="eastAsia" w:ascii="宋体" w:hAnsi="宋体" w:cs="宋体"/>
                <w:color w:val="000000"/>
                <w:sz w:val="22"/>
              </w:rPr>
              <w:t>1、尺寸：L88cm*W30cm*H59cm（±</w:t>
            </w:r>
            <w:r>
              <w:rPr>
                <w:rFonts w:hint="eastAsia" w:ascii="宋体" w:hAnsi="宋体" w:cs="宋体"/>
                <w:color w:val="000000"/>
                <w:sz w:val="22"/>
                <w:lang w:val="en-US" w:eastAsia="zh-CN"/>
              </w:rPr>
              <w:t>2</w:t>
            </w:r>
            <w:r>
              <w:rPr>
                <w:rFonts w:hint="eastAsia" w:ascii="宋体" w:hAnsi="宋体" w:cs="宋体"/>
                <w:color w:val="000000"/>
                <w:sz w:val="22"/>
              </w:rPr>
              <w:t>cm）</w:t>
            </w:r>
          </w:p>
        </w:tc>
      </w:tr>
      <w:tr w14:paraId="671D7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561" w:type="pct"/>
            <w:vMerge w:val="continue"/>
            <w:shd w:val="clear" w:color="auto" w:fill="auto"/>
            <w:noWrap w:val="0"/>
            <w:vAlign w:val="center"/>
          </w:tcPr>
          <w:p w14:paraId="629E875E">
            <w:pPr>
              <w:jc w:val="both"/>
            </w:pPr>
          </w:p>
        </w:tc>
        <w:tc>
          <w:tcPr>
            <w:tcW w:w="1243" w:type="pct"/>
            <w:vMerge w:val="continue"/>
            <w:shd w:val="clear" w:color="auto" w:fill="auto"/>
            <w:noWrap w:val="0"/>
            <w:vAlign w:val="center"/>
          </w:tcPr>
          <w:p w14:paraId="51130F94">
            <w:pPr>
              <w:jc w:val="both"/>
            </w:pPr>
          </w:p>
        </w:tc>
        <w:tc>
          <w:tcPr>
            <w:tcW w:w="3194" w:type="pct"/>
            <w:noWrap w:val="0"/>
            <w:vAlign w:val="center"/>
          </w:tcPr>
          <w:p w14:paraId="1F588C4B">
            <w:pPr>
              <w:jc w:val="both"/>
              <w:rPr>
                <w:rFonts w:hint="eastAsia" w:ascii="宋体" w:hAnsi="宋体" w:cs="宋体"/>
                <w:color w:val="000000"/>
                <w:sz w:val="22"/>
              </w:rPr>
            </w:pPr>
            <w:r>
              <w:rPr>
                <w:rFonts w:hint="eastAsia" w:ascii="宋体" w:hAnsi="宋体" w:cs="宋体"/>
                <w:color w:val="000000"/>
                <w:sz w:val="22"/>
              </w:rPr>
              <w:t>2、基材：桦木实木多层板，表面纹理清晰且全白、无结疤、无黑疤、无红点。柜体为上下三层，每一层都用三根细实木圆棒作为隔断支撑，圆棒的长度不大于 85cm（±</w:t>
            </w:r>
            <w:r>
              <w:rPr>
                <w:rFonts w:hint="eastAsia" w:ascii="宋体" w:hAnsi="宋体" w:cs="宋体"/>
                <w:color w:val="000000"/>
                <w:sz w:val="22"/>
                <w:lang w:val="en-US" w:eastAsia="zh-CN"/>
              </w:rPr>
              <w:t>1</w:t>
            </w:r>
            <w:r>
              <w:rPr>
                <w:rFonts w:hint="eastAsia" w:ascii="宋体" w:hAnsi="宋体" w:cs="宋体"/>
                <w:color w:val="000000"/>
                <w:sz w:val="22"/>
              </w:rPr>
              <w:t>cm），其中正视图每层第一二根圆木在同一高度，两者间隔不大于 13.5cm（±0.2cm），同一层另一根圆棒放置距离最近圆棒 5.5cm（±0.2cm）处，且高于两根实木圆棒 5cm（±0.2cm），形成斜坡式空间，同一层可以竖向放置尺寸 31*20*13.5cm（±</w:t>
            </w:r>
            <w:r>
              <w:rPr>
                <w:rFonts w:hint="eastAsia" w:ascii="宋体" w:hAnsi="宋体" w:cs="宋体"/>
                <w:color w:val="000000"/>
                <w:sz w:val="22"/>
                <w:lang w:val="en-US" w:eastAsia="zh-CN"/>
              </w:rPr>
              <w:t>1</w:t>
            </w:r>
            <w:r>
              <w:rPr>
                <w:rFonts w:hint="eastAsia" w:ascii="宋体" w:hAnsi="宋体" w:cs="宋体"/>
                <w:color w:val="000000"/>
                <w:sz w:val="22"/>
              </w:rPr>
              <w:t xml:space="preserve">cm）的收纳盒4个，总计可放置12个收纳盒，细圆木共计9根。柜体用螺丝固定。 </w:t>
            </w:r>
          </w:p>
        </w:tc>
      </w:tr>
      <w:tr w14:paraId="36169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561" w:type="pct"/>
            <w:vMerge w:val="continue"/>
            <w:shd w:val="clear" w:color="auto" w:fill="auto"/>
            <w:noWrap w:val="0"/>
            <w:vAlign w:val="center"/>
          </w:tcPr>
          <w:p w14:paraId="56866580">
            <w:pPr>
              <w:jc w:val="both"/>
              <w:rPr>
                <w:rFonts w:hint="eastAsia" w:ascii="宋体" w:hAnsi="宋体" w:cs="宋体"/>
                <w:color w:val="000000"/>
                <w:sz w:val="22"/>
              </w:rPr>
            </w:pPr>
          </w:p>
        </w:tc>
        <w:tc>
          <w:tcPr>
            <w:tcW w:w="1243" w:type="pct"/>
            <w:vMerge w:val="continue"/>
            <w:shd w:val="clear" w:color="auto" w:fill="auto"/>
            <w:noWrap w:val="0"/>
            <w:vAlign w:val="center"/>
          </w:tcPr>
          <w:p w14:paraId="18DEAB86">
            <w:pPr>
              <w:jc w:val="both"/>
              <w:rPr>
                <w:rFonts w:hint="eastAsia" w:ascii="宋体" w:hAnsi="宋体" w:cs="宋体"/>
                <w:color w:val="000000"/>
                <w:sz w:val="22"/>
              </w:rPr>
            </w:pPr>
          </w:p>
        </w:tc>
        <w:tc>
          <w:tcPr>
            <w:tcW w:w="3194" w:type="pct"/>
            <w:noWrap w:val="0"/>
            <w:vAlign w:val="center"/>
          </w:tcPr>
          <w:p w14:paraId="419EE5FA">
            <w:pPr>
              <w:jc w:val="both"/>
              <w:rPr>
                <w:rFonts w:hint="eastAsia" w:ascii="宋体" w:hAnsi="宋体" w:cs="宋体"/>
                <w:color w:val="000000"/>
                <w:sz w:val="22"/>
              </w:rPr>
            </w:pPr>
            <w:r>
              <w:rPr>
                <w:rFonts w:hint="eastAsia" w:ascii="宋体" w:hAnsi="宋体" w:cs="宋体"/>
                <w:color w:val="000000"/>
                <w:sz w:val="22"/>
              </w:rPr>
              <w:t xml:space="preserve">3、五金：选用环保五金，安全无毒，色泽丰富。 </w:t>
            </w:r>
          </w:p>
        </w:tc>
      </w:tr>
      <w:tr w14:paraId="45261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561" w:type="pct"/>
            <w:vMerge w:val="continue"/>
            <w:shd w:val="clear" w:color="auto" w:fill="auto"/>
            <w:noWrap w:val="0"/>
            <w:vAlign w:val="center"/>
          </w:tcPr>
          <w:p w14:paraId="6E5D238E">
            <w:pPr>
              <w:jc w:val="both"/>
              <w:rPr>
                <w:rFonts w:hint="eastAsia" w:ascii="宋体" w:hAnsi="宋体" w:cs="宋体"/>
                <w:color w:val="000000"/>
                <w:sz w:val="22"/>
              </w:rPr>
            </w:pPr>
          </w:p>
        </w:tc>
        <w:tc>
          <w:tcPr>
            <w:tcW w:w="1243" w:type="pct"/>
            <w:vMerge w:val="continue"/>
            <w:shd w:val="clear" w:color="auto" w:fill="auto"/>
            <w:noWrap w:val="0"/>
            <w:vAlign w:val="center"/>
          </w:tcPr>
          <w:p w14:paraId="216F3D6E">
            <w:pPr>
              <w:jc w:val="both"/>
              <w:rPr>
                <w:rFonts w:hint="eastAsia" w:ascii="宋体" w:hAnsi="宋体" w:cs="宋体"/>
                <w:color w:val="000000"/>
                <w:sz w:val="22"/>
              </w:rPr>
            </w:pPr>
          </w:p>
        </w:tc>
        <w:tc>
          <w:tcPr>
            <w:tcW w:w="3194" w:type="pct"/>
            <w:noWrap w:val="0"/>
            <w:vAlign w:val="center"/>
          </w:tcPr>
          <w:p w14:paraId="6477DDC0">
            <w:pPr>
              <w:jc w:val="both"/>
              <w:rPr>
                <w:rFonts w:hint="eastAsia" w:ascii="宋体" w:hAnsi="宋体" w:cs="宋体"/>
                <w:color w:val="000000"/>
                <w:sz w:val="22"/>
              </w:rPr>
            </w:pPr>
            <w:r>
              <w:rPr>
                <w:rFonts w:hint="eastAsia" w:ascii="宋体" w:hAnsi="宋体" w:cs="宋体"/>
                <w:color w:val="000000"/>
                <w:sz w:val="22"/>
              </w:rPr>
              <w:t>4、油漆：采用绿色环保无毒水性漆，经过两底一面工艺制作。附着力、耐冲击、耐磨、耐湿不小于3 级，灼烧、耐液、耐干、 耐冷热。</w:t>
            </w:r>
          </w:p>
        </w:tc>
      </w:tr>
      <w:tr w14:paraId="05382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561" w:type="pct"/>
            <w:vMerge w:val="continue"/>
            <w:shd w:val="clear" w:color="auto" w:fill="auto"/>
            <w:noWrap w:val="0"/>
            <w:vAlign w:val="center"/>
          </w:tcPr>
          <w:p w14:paraId="41F6D541">
            <w:pPr>
              <w:jc w:val="both"/>
              <w:rPr>
                <w:rFonts w:hint="eastAsia" w:ascii="宋体" w:hAnsi="宋体" w:cs="宋体"/>
                <w:color w:val="000000"/>
                <w:sz w:val="22"/>
              </w:rPr>
            </w:pPr>
          </w:p>
        </w:tc>
        <w:tc>
          <w:tcPr>
            <w:tcW w:w="1243" w:type="pct"/>
            <w:vMerge w:val="continue"/>
            <w:shd w:val="clear" w:color="auto" w:fill="auto"/>
            <w:noWrap w:val="0"/>
            <w:vAlign w:val="center"/>
          </w:tcPr>
          <w:p w14:paraId="4BB63555">
            <w:pPr>
              <w:jc w:val="both"/>
              <w:rPr>
                <w:rFonts w:hint="eastAsia" w:ascii="宋体" w:hAnsi="宋体" w:cs="宋体"/>
                <w:color w:val="000000"/>
                <w:sz w:val="22"/>
              </w:rPr>
            </w:pPr>
          </w:p>
        </w:tc>
        <w:tc>
          <w:tcPr>
            <w:tcW w:w="3194" w:type="pct"/>
            <w:noWrap w:val="0"/>
            <w:vAlign w:val="center"/>
          </w:tcPr>
          <w:p w14:paraId="6AE1E830">
            <w:pPr>
              <w:jc w:val="both"/>
              <w:rPr>
                <w:rFonts w:hint="eastAsia" w:ascii="宋体" w:hAnsi="宋体" w:cs="宋体"/>
                <w:color w:val="000000"/>
                <w:sz w:val="22"/>
              </w:rPr>
            </w:pPr>
            <w:r>
              <w:rPr>
                <w:rFonts w:hint="eastAsia" w:ascii="宋体" w:hAnsi="宋体" w:cs="宋体"/>
                <w:color w:val="000000"/>
                <w:sz w:val="22"/>
              </w:rPr>
              <w:t>5、其他：外延打磨指甲圆，光滑平整，正反面均无毛刺。</w:t>
            </w:r>
          </w:p>
        </w:tc>
      </w:tr>
      <w:tr w14:paraId="5E8B5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561" w:type="pct"/>
            <w:vMerge w:val="continue"/>
            <w:shd w:val="clear" w:color="auto" w:fill="auto"/>
            <w:noWrap w:val="0"/>
            <w:vAlign w:val="center"/>
          </w:tcPr>
          <w:p w14:paraId="6C4F5518">
            <w:pPr>
              <w:jc w:val="both"/>
              <w:rPr>
                <w:rFonts w:hint="eastAsia" w:ascii="宋体" w:hAnsi="宋体" w:cs="宋体"/>
                <w:color w:val="000000"/>
                <w:sz w:val="22"/>
              </w:rPr>
            </w:pPr>
          </w:p>
        </w:tc>
        <w:tc>
          <w:tcPr>
            <w:tcW w:w="1243" w:type="pct"/>
            <w:vMerge w:val="continue"/>
            <w:shd w:val="clear" w:color="auto" w:fill="auto"/>
            <w:noWrap w:val="0"/>
            <w:vAlign w:val="center"/>
          </w:tcPr>
          <w:p w14:paraId="6502524B">
            <w:pPr>
              <w:jc w:val="both"/>
              <w:rPr>
                <w:rFonts w:hint="eastAsia" w:ascii="宋体" w:hAnsi="宋体" w:cs="宋体"/>
                <w:color w:val="000000"/>
                <w:sz w:val="22"/>
              </w:rPr>
            </w:pPr>
          </w:p>
        </w:tc>
        <w:tc>
          <w:tcPr>
            <w:tcW w:w="3194" w:type="pct"/>
            <w:noWrap w:val="0"/>
            <w:vAlign w:val="center"/>
          </w:tcPr>
          <w:p w14:paraId="7C2393A3">
            <w:pPr>
              <w:jc w:val="both"/>
              <w:rPr>
                <w:rFonts w:hint="eastAsia" w:ascii="宋体" w:hAnsi="宋体" w:cs="宋体"/>
                <w:color w:val="000000"/>
                <w:sz w:val="22"/>
              </w:rPr>
            </w:pPr>
            <w:r>
              <w:rPr>
                <w:rFonts w:hint="eastAsia" w:ascii="宋体" w:hAnsi="宋体" w:cs="宋体"/>
                <w:color w:val="000000"/>
                <w:sz w:val="22"/>
              </w:rPr>
              <w:t>6、产品符合儿童家具通用技术标准。</w:t>
            </w:r>
          </w:p>
        </w:tc>
      </w:tr>
      <w:tr w14:paraId="5058D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61" w:type="pct"/>
            <w:vMerge w:val="restart"/>
            <w:shd w:val="clear" w:color="auto" w:fill="auto"/>
            <w:noWrap w:val="0"/>
            <w:vAlign w:val="center"/>
          </w:tcPr>
          <w:p w14:paraId="6DBFC1EF">
            <w:pPr>
              <w:jc w:val="center"/>
              <w:rPr>
                <w:rFonts w:hint="eastAsia" w:ascii="宋体" w:hAnsi="宋体" w:eastAsia="宋体" w:cs="宋体"/>
                <w:color w:val="000000"/>
                <w:kern w:val="2"/>
                <w:sz w:val="22"/>
                <w:szCs w:val="22"/>
                <w:lang w:val="en-US" w:eastAsia="zh-CN" w:bidi="ar-SA"/>
              </w:rPr>
            </w:pPr>
            <w:r>
              <w:rPr>
                <w:rFonts w:hint="eastAsia" w:ascii="宋体" w:hAnsi="宋体" w:cs="宋体"/>
                <w:color w:val="000000"/>
                <w:sz w:val="22"/>
              </w:rPr>
              <w:t>13</w:t>
            </w:r>
          </w:p>
        </w:tc>
        <w:tc>
          <w:tcPr>
            <w:tcW w:w="1243" w:type="pct"/>
            <w:vMerge w:val="restart"/>
            <w:shd w:val="clear" w:color="auto" w:fill="auto"/>
            <w:noWrap w:val="0"/>
            <w:vAlign w:val="center"/>
          </w:tcPr>
          <w:p w14:paraId="5EEBBE6E">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阶梯玩具柜 - 低</w:t>
            </w:r>
          </w:p>
        </w:tc>
        <w:tc>
          <w:tcPr>
            <w:tcW w:w="3194" w:type="pct"/>
            <w:noWrap w:val="0"/>
            <w:vAlign w:val="center"/>
          </w:tcPr>
          <w:p w14:paraId="1B2B802B">
            <w:pPr>
              <w:jc w:val="both"/>
              <w:rPr>
                <w:rFonts w:hint="eastAsia" w:ascii="宋体" w:hAnsi="宋体" w:cs="宋体"/>
                <w:color w:val="000000"/>
                <w:sz w:val="22"/>
              </w:rPr>
            </w:pPr>
            <w:r>
              <w:rPr>
                <w:rFonts w:hint="eastAsia" w:ascii="宋体" w:hAnsi="宋体" w:cs="宋体"/>
                <w:color w:val="000000"/>
                <w:sz w:val="22"/>
              </w:rPr>
              <w:t>1、尺寸：L110cm*W33cm*H60.5cm（±</w:t>
            </w:r>
            <w:r>
              <w:rPr>
                <w:rFonts w:hint="eastAsia" w:ascii="宋体" w:hAnsi="宋体" w:cs="宋体"/>
                <w:color w:val="000000"/>
                <w:sz w:val="22"/>
                <w:lang w:val="en-US" w:eastAsia="zh-CN"/>
              </w:rPr>
              <w:t>2</w:t>
            </w:r>
            <w:r>
              <w:rPr>
                <w:rFonts w:hint="eastAsia" w:ascii="宋体" w:hAnsi="宋体" w:cs="宋体"/>
                <w:color w:val="000000"/>
                <w:sz w:val="22"/>
              </w:rPr>
              <w:t>cm）</w:t>
            </w:r>
          </w:p>
        </w:tc>
      </w:tr>
      <w:tr w14:paraId="47272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61" w:type="pct"/>
            <w:vMerge w:val="continue"/>
            <w:shd w:val="clear" w:color="auto" w:fill="auto"/>
            <w:noWrap w:val="0"/>
            <w:vAlign w:val="center"/>
          </w:tcPr>
          <w:p w14:paraId="6DAFF08B">
            <w:pPr>
              <w:jc w:val="both"/>
            </w:pPr>
          </w:p>
        </w:tc>
        <w:tc>
          <w:tcPr>
            <w:tcW w:w="1243" w:type="pct"/>
            <w:vMerge w:val="continue"/>
            <w:shd w:val="clear" w:color="auto" w:fill="auto"/>
            <w:noWrap w:val="0"/>
            <w:vAlign w:val="center"/>
          </w:tcPr>
          <w:p w14:paraId="153841A0">
            <w:pPr>
              <w:jc w:val="both"/>
            </w:pPr>
          </w:p>
        </w:tc>
        <w:tc>
          <w:tcPr>
            <w:tcW w:w="3194" w:type="pct"/>
            <w:noWrap w:val="0"/>
            <w:vAlign w:val="center"/>
          </w:tcPr>
          <w:p w14:paraId="1F32790B">
            <w:pPr>
              <w:jc w:val="both"/>
              <w:rPr>
                <w:rFonts w:hint="eastAsia" w:ascii="宋体" w:hAnsi="宋体" w:cs="宋体"/>
                <w:color w:val="000000"/>
                <w:sz w:val="22"/>
              </w:rPr>
            </w:pPr>
            <w:r>
              <w:rPr>
                <w:rFonts w:hint="eastAsia" w:ascii="宋体" w:hAnsi="宋体" w:cs="宋体"/>
                <w:color w:val="000000"/>
                <w:sz w:val="22"/>
              </w:rPr>
              <w:t>2、基材：桦木实木多层板，表面纹理清晰且全白、无结疤、无黑疤、 无红点。柜体为三层阶梯式，自下而上共6格中空储物隔断，最底层为左中右3格，中间层为左中2格，顶层为1格分区，隔断空间的内径长度不大于35cm（±</w:t>
            </w:r>
            <w:r>
              <w:rPr>
                <w:rFonts w:hint="eastAsia" w:ascii="宋体" w:hAnsi="宋体" w:cs="宋体"/>
                <w:color w:val="000000"/>
                <w:sz w:val="22"/>
                <w:lang w:val="en-US" w:eastAsia="zh-CN"/>
              </w:rPr>
              <w:t>1</w:t>
            </w:r>
            <w:r>
              <w:rPr>
                <w:rFonts w:hint="eastAsia" w:ascii="宋体" w:hAnsi="宋体" w:cs="宋体"/>
                <w:color w:val="000000"/>
                <w:sz w:val="22"/>
              </w:rPr>
              <w:t>cm），内径深度不小于31cm（±</w:t>
            </w:r>
            <w:r>
              <w:rPr>
                <w:rFonts w:hint="eastAsia" w:ascii="宋体" w:hAnsi="宋体" w:cs="宋体"/>
                <w:color w:val="000000"/>
                <w:sz w:val="22"/>
                <w:lang w:val="en-US" w:eastAsia="zh-CN"/>
              </w:rPr>
              <w:t>1</w:t>
            </w:r>
            <w:r>
              <w:rPr>
                <w:rFonts w:hint="eastAsia" w:ascii="宋体" w:hAnsi="宋体" w:cs="宋体"/>
                <w:color w:val="000000"/>
                <w:sz w:val="22"/>
              </w:rPr>
              <w:t>cm）,内径高度不大于16.5cm（±</w:t>
            </w:r>
            <w:r>
              <w:rPr>
                <w:rFonts w:hint="eastAsia" w:ascii="宋体" w:hAnsi="宋体" w:cs="宋体"/>
                <w:color w:val="000000"/>
                <w:sz w:val="22"/>
                <w:lang w:val="en-US" w:eastAsia="zh-CN"/>
              </w:rPr>
              <w:t>1</w:t>
            </w:r>
            <w:r>
              <w:rPr>
                <w:rFonts w:hint="eastAsia" w:ascii="宋体" w:hAnsi="宋体" w:cs="宋体"/>
                <w:color w:val="000000"/>
                <w:sz w:val="22"/>
              </w:rPr>
              <w:t>cm）,中空区域均可放置尺寸31*20*13.5cm（±</w:t>
            </w:r>
            <w:r>
              <w:rPr>
                <w:rFonts w:hint="eastAsia" w:ascii="宋体" w:hAnsi="宋体" w:cs="宋体"/>
                <w:color w:val="000000"/>
                <w:sz w:val="22"/>
                <w:lang w:val="en-US" w:eastAsia="zh-CN"/>
              </w:rPr>
              <w:t>1</w:t>
            </w:r>
            <w:r>
              <w:rPr>
                <w:rFonts w:hint="eastAsia" w:ascii="宋体" w:hAnsi="宋体" w:cs="宋体"/>
                <w:color w:val="000000"/>
                <w:sz w:val="22"/>
              </w:rPr>
              <w:t>cm）的收纳盒,柜体用螺丝固定。</w:t>
            </w:r>
          </w:p>
        </w:tc>
      </w:tr>
      <w:tr w14:paraId="5EAB5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61" w:type="pct"/>
            <w:vMerge w:val="continue"/>
            <w:shd w:val="clear" w:color="auto" w:fill="auto"/>
            <w:noWrap w:val="0"/>
            <w:vAlign w:val="center"/>
          </w:tcPr>
          <w:p w14:paraId="23CB43D3">
            <w:pPr>
              <w:jc w:val="both"/>
              <w:rPr>
                <w:rFonts w:hint="eastAsia" w:ascii="宋体" w:hAnsi="宋体" w:cs="宋体"/>
                <w:color w:val="000000"/>
                <w:sz w:val="22"/>
              </w:rPr>
            </w:pPr>
          </w:p>
        </w:tc>
        <w:tc>
          <w:tcPr>
            <w:tcW w:w="1243" w:type="pct"/>
            <w:vMerge w:val="continue"/>
            <w:shd w:val="clear" w:color="auto" w:fill="auto"/>
            <w:noWrap w:val="0"/>
            <w:vAlign w:val="center"/>
          </w:tcPr>
          <w:p w14:paraId="65273E3D">
            <w:pPr>
              <w:jc w:val="both"/>
              <w:rPr>
                <w:rFonts w:hint="eastAsia" w:ascii="宋体" w:hAnsi="宋体" w:cs="宋体"/>
                <w:color w:val="000000"/>
                <w:sz w:val="22"/>
              </w:rPr>
            </w:pPr>
          </w:p>
        </w:tc>
        <w:tc>
          <w:tcPr>
            <w:tcW w:w="3194" w:type="pct"/>
            <w:noWrap w:val="0"/>
            <w:vAlign w:val="center"/>
          </w:tcPr>
          <w:p w14:paraId="13F8EDB3">
            <w:pPr>
              <w:jc w:val="both"/>
              <w:rPr>
                <w:rFonts w:hint="eastAsia" w:ascii="宋体" w:hAnsi="宋体" w:cs="宋体"/>
                <w:color w:val="000000"/>
                <w:sz w:val="22"/>
              </w:rPr>
            </w:pPr>
            <w:r>
              <w:rPr>
                <w:rFonts w:hint="eastAsia" w:ascii="宋体" w:hAnsi="宋体" w:cs="宋体"/>
                <w:color w:val="000000"/>
                <w:sz w:val="22"/>
              </w:rPr>
              <w:t>3、五金：选用环保五金，安全无毒，色泽丰富。</w:t>
            </w:r>
          </w:p>
        </w:tc>
      </w:tr>
      <w:tr w14:paraId="4096E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61" w:type="pct"/>
            <w:vMerge w:val="continue"/>
            <w:shd w:val="clear" w:color="auto" w:fill="auto"/>
            <w:noWrap w:val="0"/>
            <w:vAlign w:val="center"/>
          </w:tcPr>
          <w:p w14:paraId="03732CA9">
            <w:pPr>
              <w:jc w:val="both"/>
              <w:rPr>
                <w:rFonts w:hint="eastAsia" w:ascii="宋体" w:hAnsi="宋体" w:cs="宋体"/>
                <w:color w:val="000000"/>
                <w:sz w:val="22"/>
              </w:rPr>
            </w:pPr>
          </w:p>
        </w:tc>
        <w:tc>
          <w:tcPr>
            <w:tcW w:w="1243" w:type="pct"/>
            <w:vMerge w:val="continue"/>
            <w:shd w:val="clear" w:color="auto" w:fill="auto"/>
            <w:noWrap w:val="0"/>
            <w:vAlign w:val="center"/>
          </w:tcPr>
          <w:p w14:paraId="08F10B93">
            <w:pPr>
              <w:jc w:val="both"/>
              <w:rPr>
                <w:rFonts w:hint="eastAsia" w:ascii="宋体" w:hAnsi="宋体" w:cs="宋体"/>
                <w:color w:val="000000"/>
                <w:sz w:val="22"/>
              </w:rPr>
            </w:pPr>
          </w:p>
        </w:tc>
        <w:tc>
          <w:tcPr>
            <w:tcW w:w="3194" w:type="pct"/>
            <w:noWrap w:val="0"/>
            <w:vAlign w:val="center"/>
          </w:tcPr>
          <w:p w14:paraId="6F285087">
            <w:pPr>
              <w:jc w:val="both"/>
              <w:rPr>
                <w:rFonts w:hint="eastAsia" w:ascii="宋体" w:hAnsi="宋体" w:cs="宋体"/>
                <w:color w:val="000000"/>
                <w:sz w:val="22"/>
              </w:rPr>
            </w:pPr>
            <w:r>
              <w:rPr>
                <w:rFonts w:hint="eastAsia" w:ascii="宋体" w:hAnsi="宋体" w:cs="宋体"/>
                <w:color w:val="000000"/>
                <w:sz w:val="22"/>
              </w:rPr>
              <w:t>4、油漆：采用绿色环保无毒水性漆，经过两底一面工艺制作。附着力、耐冲击、耐磨、耐湿不小于3 级，灼烧、耐液、耐干、 耐冷热。</w:t>
            </w:r>
          </w:p>
        </w:tc>
      </w:tr>
      <w:tr w14:paraId="7AF7D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61" w:type="pct"/>
            <w:vMerge w:val="continue"/>
            <w:shd w:val="clear" w:color="auto" w:fill="auto"/>
            <w:noWrap w:val="0"/>
            <w:vAlign w:val="center"/>
          </w:tcPr>
          <w:p w14:paraId="0E57C9A8">
            <w:pPr>
              <w:jc w:val="both"/>
              <w:rPr>
                <w:rFonts w:hint="eastAsia" w:ascii="宋体" w:hAnsi="宋体" w:cs="宋体"/>
                <w:color w:val="000000"/>
                <w:sz w:val="22"/>
              </w:rPr>
            </w:pPr>
          </w:p>
        </w:tc>
        <w:tc>
          <w:tcPr>
            <w:tcW w:w="1243" w:type="pct"/>
            <w:vMerge w:val="continue"/>
            <w:shd w:val="clear" w:color="auto" w:fill="auto"/>
            <w:noWrap w:val="0"/>
            <w:vAlign w:val="center"/>
          </w:tcPr>
          <w:p w14:paraId="5353059B">
            <w:pPr>
              <w:jc w:val="both"/>
              <w:rPr>
                <w:rFonts w:hint="eastAsia" w:ascii="宋体" w:hAnsi="宋体" w:cs="宋体"/>
                <w:color w:val="000000"/>
                <w:sz w:val="22"/>
              </w:rPr>
            </w:pPr>
          </w:p>
        </w:tc>
        <w:tc>
          <w:tcPr>
            <w:tcW w:w="3194" w:type="pct"/>
            <w:noWrap w:val="0"/>
            <w:vAlign w:val="center"/>
          </w:tcPr>
          <w:p w14:paraId="7D6C807E">
            <w:pPr>
              <w:jc w:val="both"/>
              <w:rPr>
                <w:rFonts w:hint="eastAsia" w:ascii="宋体" w:hAnsi="宋体" w:cs="宋体"/>
                <w:color w:val="000000"/>
                <w:sz w:val="22"/>
              </w:rPr>
            </w:pPr>
            <w:r>
              <w:rPr>
                <w:rFonts w:hint="eastAsia" w:ascii="宋体" w:hAnsi="宋体" w:cs="宋体"/>
                <w:color w:val="000000"/>
                <w:sz w:val="22"/>
              </w:rPr>
              <w:t>5、其他：外延打磨指甲圆，光滑平整，正反面均无毛刺。</w:t>
            </w:r>
          </w:p>
        </w:tc>
      </w:tr>
      <w:tr w14:paraId="1D55D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61" w:type="pct"/>
            <w:vMerge w:val="continue"/>
            <w:shd w:val="clear" w:color="auto" w:fill="auto"/>
            <w:noWrap w:val="0"/>
            <w:vAlign w:val="center"/>
          </w:tcPr>
          <w:p w14:paraId="1C377C8D">
            <w:pPr>
              <w:jc w:val="both"/>
              <w:rPr>
                <w:rFonts w:hint="eastAsia" w:ascii="宋体" w:hAnsi="宋体" w:cs="宋体"/>
                <w:color w:val="000000"/>
                <w:sz w:val="22"/>
              </w:rPr>
            </w:pPr>
          </w:p>
        </w:tc>
        <w:tc>
          <w:tcPr>
            <w:tcW w:w="1243" w:type="pct"/>
            <w:vMerge w:val="continue"/>
            <w:shd w:val="clear" w:color="auto" w:fill="auto"/>
            <w:noWrap w:val="0"/>
            <w:vAlign w:val="center"/>
          </w:tcPr>
          <w:p w14:paraId="596FE3A1">
            <w:pPr>
              <w:jc w:val="both"/>
              <w:rPr>
                <w:rFonts w:hint="eastAsia" w:ascii="宋体" w:hAnsi="宋体" w:cs="宋体"/>
                <w:color w:val="000000"/>
                <w:sz w:val="22"/>
              </w:rPr>
            </w:pPr>
          </w:p>
        </w:tc>
        <w:tc>
          <w:tcPr>
            <w:tcW w:w="3194" w:type="pct"/>
            <w:noWrap w:val="0"/>
            <w:vAlign w:val="center"/>
          </w:tcPr>
          <w:p w14:paraId="46F366EC">
            <w:pPr>
              <w:jc w:val="both"/>
              <w:rPr>
                <w:rFonts w:hint="eastAsia" w:ascii="宋体" w:hAnsi="宋体" w:cs="宋体"/>
                <w:color w:val="000000"/>
                <w:sz w:val="22"/>
              </w:rPr>
            </w:pPr>
            <w:r>
              <w:rPr>
                <w:rFonts w:hint="eastAsia" w:ascii="宋体" w:hAnsi="宋体" w:cs="宋体"/>
                <w:color w:val="000000"/>
                <w:sz w:val="22"/>
              </w:rPr>
              <w:t>6、产品符合儿童家具通用技术标准。</w:t>
            </w:r>
          </w:p>
        </w:tc>
      </w:tr>
      <w:tr w14:paraId="2FF14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61" w:type="pct"/>
            <w:vMerge w:val="restart"/>
            <w:shd w:val="clear" w:color="auto" w:fill="auto"/>
            <w:noWrap w:val="0"/>
            <w:vAlign w:val="center"/>
          </w:tcPr>
          <w:p w14:paraId="035F92E6">
            <w:pPr>
              <w:jc w:val="center"/>
              <w:rPr>
                <w:rFonts w:hint="eastAsia" w:ascii="宋体" w:hAnsi="宋体" w:eastAsia="宋体" w:cs="宋体"/>
                <w:color w:val="000000"/>
                <w:kern w:val="2"/>
                <w:sz w:val="22"/>
                <w:szCs w:val="22"/>
                <w:lang w:val="en-US" w:eastAsia="zh-CN" w:bidi="ar-SA"/>
              </w:rPr>
            </w:pPr>
            <w:r>
              <w:rPr>
                <w:rFonts w:hint="eastAsia" w:ascii="宋体" w:hAnsi="宋体" w:cs="宋体"/>
                <w:color w:val="000000"/>
                <w:sz w:val="22"/>
              </w:rPr>
              <w:t>14</w:t>
            </w:r>
          </w:p>
        </w:tc>
        <w:tc>
          <w:tcPr>
            <w:tcW w:w="1243" w:type="pct"/>
            <w:vMerge w:val="restart"/>
            <w:shd w:val="clear" w:color="auto" w:fill="auto"/>
            <w:noWrap w:val="0"/>
            <w:vAlign w:val="center"/>
          </w:tcPr>
          <w:p w14:paraId="60A14796">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干画架</w:t>
            </w:r>
          </w:p>
        </w:tc>
        <w:tc>
          <w:tcPr>
            <w:tcW w:w="3194" w:type="pct"/>
            <w:noWrap w:val="0"/>
            <w:vAlign w:val="center"/>
          </w:tcPr>
          <w:p w14:paraId="2EE7792E">
            <w:pPr>
              <w:jc w:val="both"/>
              <w:rPr>
                <w:rFonts w:hint="eastAsia" w:ascii="宋体" w:hAnsi="宋体" w:cs="宋体"/>
                <w:color w:val="000000"/>
                <w:sz w:val="22"/>
              </w:rPr>
            </w:pPr>
            <w:r>
              <w:rPr>
                <w:rFonts w:hint="eastAsia" w:ascii="宋体" w:hAnsi="宋体" w:cs="宋体"/>
                <w:color w:val="000000"/>
                <w:sz w:val="22"/>
              </w:rPr>
              <w:t>1、尺寸：L66cm*W33cm*H121cm（±</w:t>
            </w:r>
            <w:r>
              <w:rPr>
                <w:rFonts w:hint="eastAsia" w:ascii="宋体" w:hAnsi="宋体" w:cs="宋体"/>
                <w:color w:val="000000"/>
                <w:sz w:val="22"/>
                <w:lang w:val="en-US" w:eastAsia="zh-CN"/>
              </w:rPr>
              <w:t>2</w:t>
            </w:r>
            <w:r>
              <w:rPr>
                <w:rFonts w:hint="eastAsia" w:ascii="宋体" w:hAnsi="宋体" w:cs="宋体"/>
                <w:color w:val="000000"/>
                <w:sz w:val="22"/>
              </w:rPr>
              <w:t>cm）</w:t>
            </w:r>
          </w:p>
        </w:tc>
      </w:tr>
      <w:tr w14:paraId="5F952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61" w:type="pct"/>
            <w:vMerge w:val="continue"/>
            <w:shd w:val="clear" w:color="auto" w:fill="auto"/>
            <w:noWrap w:val="0"/>
            <w:vAlign w:val="center"/>
          </w:tcPr>
          <w:p w14:paraId="488D6C32">
            <w:pPr>
              <w:jc w:val="both"/>
            </w:pPr>
          </w:p>
        </w:tc>
        <w:tc>
          <w:tcPr>
            <w:tcW w:w="1243" w:type="pct"/>
            <w:vMerge w:val="continue"/>
            <w:shd w:val="clear" w:color="auto" w:fill="auto"/>
            <w:noWrap w:val="0"/>
            <w:vAlign w:val="center"/>
          </w:tcPr>
          <w:p w14:paraId="2E8BD33B">
            <w:pPr>
              <w:jc w:val="both"/>
            </w:pPr>
          </w:p>
        </w:tc>
        <w:tc>
          <w:tcPr>
            <w:tcW w:w="3194" w:type="pct"/>
            <w:noWrap w:val="0"/>
            <w:vAlign w:val="center"/>
          </w:tcPr>
          <w:p w14:paraId="7C4791BB">
            <w:pPr>
              <w:jc w:val="both"/>
              <w:rPr>
                <w:rFonts w:hint="eastAsia" w:ascii="宋体" w:hAnsi="宋体" w:cs="宋体"/>
                <w:color w:val="000000"/>
                <w:sz w:val="22"/>
              </w:rPr>
            </w:pPr>
            <w:r>
              <w:rPr>
                <w:rFonts w:hint="eastAsia" w:ascii="宋体" w:hAnsi="宋体" w:cs="宋体"/>
                <w:color w:val="000000"/>
                <w:sz w:val="22"/>
              </w:rPr>
              <w:t>2、基材：桦木实木多层板，表面纹理清晰且全白、无结疤、无黑疤、无红点。柜体外部为木质，顶部呈尖顶式，下方第一层为分隔木质层板，用于放置物品，第二层起共 10 层白色涂漆铁艺网格层，网格呈方孔型，每层间距不小于 6cm（±0.2cm），铁艺网格尺寸不大于 62*30cm（±</w:t>
            </w:r>
            <w:r>
              <w:rPr>
                <w:rFonts w:hint="eastAsia" w:ascii="宋体" w:hAnsi="宋体" w:cs="宋体"/>
                <w:color w:val="000000"/>
                <w:sz w:val="22"/>
                <w:lang w:val="en-US" w:eastAsia="zh-CN"/>
              </w:rPr>
              <w:t>1</w:t>
            </w:r>
            <w:r>
              <w:rPr>
                <w:rFonts w:hint="eastAsia" w:ascii="宋体" w:hAnsi="宋体" w:cs="宋体"/>
                <w:color w:val="000000"/>
                <w:sz w:val="22"/>
              </w:rPr>
              <w:t>cm）,用于放置卡纸及晾晒未干透水粉、油彩画等。</w:t>
            </w:r>
          </w:p>
        </w:tc>
      </w:tr>
      <w:tr w14:paraId="5562A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61" w:type="pct"/>
            <w:vMerge w:val="continue"/>
            <w:shd w:val="clear" w:color="auto" w:fill="auto"/>
            <w:noWrap w:val="0"/>
            <w:vAlign w:val="center"/>
          </w:tcPr>
          <w:p w14:paraId="51EE3137">
            <w:pPr>
              <w:jc w:val="both"/>
              <w:rPr>
                <w:rFonts w:hint="eastAsia" w:ascii="宋体" w:hAnsi="宋体" w:cs="宋体"/>
                <w:color w:val="000000"/>
                <w:sz w:val="22"/>
              </w:rPr>
            </w:pPr>
          </w:p>
        </w:tc>
        <w:tc>
          <w:tcPr>
            <w:tcW w:w="1243" w:type="pct"/>
            <w:vMerge w:val="continue"/>
            <w:shd w:val="clear" w:color="auto" w:fill="auto"/>
            <w:noWrap w:val="0"/>
            <w:vAlign w:val="center"/>
          </w:tcPr>
          <w:p w14:paraId="4A6A1F19">
            <w:pPr>
              <w:jc w:val="both"/>
              <w:rPr>
                <w:rFonts w:hint="eastAsia" w:ascii="宋体" w:hAnsi="宋体" w:cs="宋体"/>
                <w:color w:val="000000"/>
                <w:sz w:val="22"/>
              </w:rPr>
            </w:pPr>
          </w:p>
        </w:tc>
        <w:tc>
          <w:tcPr>
            <w:tcW w:w="3194" w:type="pct"/>
            <w:noWrap w:val="0"/>
            <w:vAlign w:val="center"/>
          </w:tcPr>
          <w:p w14:paraId="75DB370F">
            <w:pPr>
              <w:jc w:val="both"/>
              <w:rPr>
                <w:rFonts w:hint="eastAsia" w:ascii="宋体" w:hAnsi="宋体" w:cs="宋体"/>
                <w:color w:val="000000"/>
                <w:sz w:val="22"/>
              </w:rPr>
            </w:pPr>
            <w:r>
              <w:rPr>
                <w:rFonts w:hint="eastAsia" w:ascii="宋体" w:hAnsi="宋体" w:cs="宋体"/>
                <w:color w:val="000000"/>
                <w:sz w:val="22"/>
              </w:rPr>
              <w:t>3、五金：选用环保五金，安全无毒，色泽丰富。</w:t>
            </w:r>
          </w:p>
        </w:tc>
      </w:tr>
      <w:tr w14:paraId="6CC5A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61" w:type="pct"/>
            <w:vMerge w:val="continue"/>
            <w:shd w:val="clear" w:color="auto" w:fill="auto"/>
            <w:noWrap w:val="0"/>
            <w:vAlign w:val="center"/>
          </w:tcPr>
          <w:p w14:paraId="701A24C4">
            <w:pPr>
              <w:jc w:val="both"/>
              <w:rPr>
                <w:rFonts w:hint="eastAsia" w:ascii="宋体" w:hAnsi="宋体" w:cs="宋体"/>
                <w:color w:val="000000"/>
                <w:sz w:val="22"/>
              </w:rPr>
            </w:pPr>
          </w:p>
        </w:tc>
        <w:tc>
          <w:tcPr>
            <w:tcW w:w="1243" w:type="pct"/>
            <w:vMerge w:val="continue"/>
            <w:shd w:val="clear" w:color="auto" w:fill="auto"/>
            <w:noWrap w:val="0"/>
            <w:vAlign w:val="center"/>
          </w:tcPr>
          <w:p w14:paraId="7CE11D54">
            <w:pPr>
              <w:jc w:val="both"/>
              <w:rPr>
                <w:rFonts w:hint="eastAsia" w:ascii="宋体" w:hAnsi="宋体" w:cs="宋体"/>
                <w:color w:val="000000"/>
                <w:sz w:val="22"/>
              </w:rPr>
            </w:pPr>
          </w:p>
        </w:tc>
        <w:tc>
          <w:tcPr>
            <w:tcW w:w="3194" w:type="pct"/>
            <w:noWrap w:val="0"/>
            <w:vAlign w:val="center"/>
          </w:tcPr>
          <w:p w14:paraId="65263D8A">
            <w:pPr>
              <w:jc w:val="both"/>
              <w:rPr>
                <w:rFonts w:hint="eastAsia" w:ascii="宋体" w:hAnsi="宋体" w:cs="宋体"/>
                <w:color w:val="000000"/>
                <w:sz w:val="22"/>
              </w:rPr>
            </w:pPr>
            <w:r>
              <w:rPr>
                <w:rFonts w:hint="eastAsia" w:ascii="宋体" w:hAnsi="宋体" w:cs="宋体"/>
                <w:color w:val="000000"/>
                <w:sz w:val="22"/>
              </w:rPr>
              <w:t>4、油漆：采用绿色环保无毒水性漆，经过两底一面工艺制作。附着力、耐冲击、耐磨、耐湿不小于3 级，灼烧、耐液、耐干、 耐冷热。</w:t>
            </w:r>
          </w:p>
        </w:tc>
      </w:tr>
      <w:tr w14:paraId="029B2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61" w:type="pct"/>
            <w:vMerge w:val="continue"/>
            <w:shd w:val="clear" w:color="auto" w:fill="auto"/>
            <w:noWrap w:val="0"/>
            <w:vAlign w:val="center"/>
          </w:tcPr>
          <w:p w14:paraId="5EB8FE6D">
            <w:pPr>
              <w:jc w:val="both"/>
              <w:rPr>
                <w:rFonts w:hint="eastAsia" w:ascii="宋体" w:hAnsi="宋体" w:cs="宋体"/>
                <w:color w:val="000000"/>
                <w:sz w:val="22"/>
              </w:rPr>
            </w:pPr>
          </w:p>
        </w:tc>
        <w:tc>
          <w:tcPr>
            <w:tcW w:w="1243" w:type="pct"/>
            <w:vMerge w:val="continue"/>
            <w:shd w:val="clear" w:color="auto" w:fill="auto"/>
            <w:noWrap w:val="0"/>
            <w:vAlign w:val="center"/>
          </w:tcPr>
          <w:p w14:paraId="1D3E5667">
            <w:pPr>
              <w:jc w:val="both"/>
              <w:rPr>
                <w:rFonts w:hint="eastAsia" w:ascii="宋体" w:hAnsi="宋体" w:cs="宋体"/>
                <w:color w:val="000000"/>
                <w:sz w:val="22"/>
              </w:rPr>
            </w:pPr>
          </w:p>
        </w:tc>
        <w:tc>
          <w:tcPr>
            <w:tcW w:w="3194" w:type="pct"/>
            <w:noWrap w:val="0"/>
            <w:vAlign w:val="center"/>
          </w:tcPr>
          <w:p w14:paraId="7DC0179D">
            <w:pPr>
              <w:jc w:val="both"/>
              <w:rPr>
                <w:rFonts w:hint="eastAsia" w:ascii="宋体" w:hAnsi="宋体" w:cs="宋体"/>
                <w:color w:val="000000"/>
                <w:sz w:val="22"/>
              </w:rPr>
            </w:pPr>
            <w:r>
              <w:rPr>
                <w:rFonts w:hint="eastAsia" w:ascii="宋体" w:hAnsi="宋体" w:cs="宋体"/>
                <w:color w:val="000000"/>
                <w:sz w:val="22"/>
              </w:rPr>
              <w:t>5、其他：外延打磨指甲圆，光滑平整，正反面均无毛刺。</w:t>
            </w:r>
          </w:p>
        </w:tc>
      </w:tr>
      <w:tr w14:paraId="076B3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61" w:type="pct"/>
            <w:vMerge w:val="continue"/>
            <w:shd w:val="clear" w:color="auto" w:fill="auto"/>
            <w:noWrap w:val="0"/>
            <w:vAlign w:val="center"/>
          </w:tcPr>
          <w:p w14:paraId="32C4D512">
            <w:pPr>
              <w:jc w:val="both"/>
              <w:rPr>
                <w:rFonts w:hint="eastAsia" w:ascii="宋体" w:hAnsi="宋体" w:cs="宋体"/>
                <w:color w:val="000000"/>
                <w:sz w:val="22"/>
              </w:rPr>
            </w:pPr>
          </w:p>
        </w:tc>
        <w:tc>
          <w:tcPr>
            <w:tcW w:w="1243" w:type="pct"/>
            <w:vMerge w:val="continue"/>
            <w:shd w:val="clear" w:color="auto" w:fill="auto"/>
            <w:noWrap w:val="0"/>
            <w:vAlign w:val="center"/>
          </w:tcPr>
          <w:p w14:paraId="2963DC12">
            <w:pPr>
              <w:jc w:val="both"/>
              <w:rPr>
                <w:rFonts w:hint="eastAsia" w:ascii="宋体" w:hAnsi="宋体" w:cs="宋体"/>
                <w:color w:val="000000"/>
                <w:sz w:val="22"/>
              </w:rPr>
            </w:pPr>
          </w:p>
        </w:tc>
        <w:tc>
          <w:tcPr>
            <w:tcW w:w="3194" w:type="pct"/>
            <w:noWrap w:val="0"/>
            <w:vAlign w:val="center"/>
          </w:tcPr>
          <w:p w14:paraId="745797EF">
            <w:pPr>
              <w:jc w:val="both"/>
              <w:rPr>
                <w:rFonts w:hint="eastAsia" w:ascii="宋体" w:hAnsi="宋体" w:cs="宋体"/>
                <w:color w:val="000000"/>
                <w:sz w:val="22"/>
              </w:rPr>
            </w:pPr>
            <w:r>
              <w:rPr>
                <w:rFonts w:hint="eastAsia" w:ascii="宋体" w:hAnsi="宋体" w:cs="宋体"/>
                <w:color w:val="000000"/>
                <w:sz w:val="22"/>
              </w:rPr>
              <w:t>6、产品符合儿童家具通用技术标准。</w:t>
            </w:r>
          </w:p>
        </w:tc>
      </w:tr>
      <w:tr w14:paraId="4CFB6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61" w:type="pct"/>
            <w:vMerge w:val="restart"/>
            <w:shd w:val="clear" w:color="auto" w:fill="auto"/>
            <w:noWrap w:val="0"/>
            <w:vAlign w:val="center"/>
          </w:tcPr>
          <w:p w14:paraId="5C118C96">
            <w:pPr>
              <w:jc w:val="center"/>
              <w:rPr>
                <w:rFonts w:hint="eastAsia" w:ascii="宋体" w:hAnsi="宋体" w:eastAsia="宋体" w:cs="宋体"/>
                <w:color w:val="000000"/>
                <w:kern w:val="2"/>
                <w:sz w:val="22"/>
                <w:szCs w:val="22"/>
                <w:lang w:val="en-US" w:eastAsia="zh-CN" w:bidi="ar-SA"/>
              </w:rPr>
            </w:pPr>
            <w:r>
              <w:rPr>
                <w:rFonts w:hint="eastAsia" w:ascii="宋体" w:hAnsi="宋体" w:cs="宋体"/>
                <w:color w:val="000000"/>
                <w:sz w:val="22"/>
              </w:rPr>
              <w:t>15</w:t>
            </w:r>
          </w:p>
        </w:tc>
        <w:tc>
          <w:tcPr>
            <w:tcW w:w="1243" w:type="pct"/>
            <w:vMerge w:val="restart"/>
            <w:shd w:val="clear" w:color="auto" w:fill="auto"/>
            <w:noWrap w:val="0"/>
            <w:vAlign w:val="center"/>
          </w:tcPr>
          <w:p w14:paraId="391417AA">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圆桌</w:t>
            </w:r>
          </w:p>
        </w:tc>
        <w:tc>
          <w:tcPr>
            <w:tcW w:w="3194" w:type="pct"/>
            <w:noWrap w:val="0"/>
            <w:vAlign w:val="center"/>
          </w:tcPr>
          <w:p w14:paraId="79D3D2B6">
            <w:pPr>
              <w:jc w:val="both"/>
              <w:rPr>
                <w:rFonts w:hint="eastAsia" w:ascii="宋体" w:hAnsi="宋体" w:cs="宋体"/>
                <w:color w:val="000000"/>
                <w:sz w:val="22"/>
              </w:rPr>
            </w:pPr>
            <w:r>
              <w:rPr>
                <w:rFonts w:hint="eastAsia" w:ascii="宋体" w:hAnsi="宋体" w:cs="宋体"/>
                <w:color w:val="000000"/>
                <w:sz w:val="22"/>
              </w:rPr>
              <w:t>1、尺寸：直径Ф90cm（±</w:t>
            </w:r>
            <w:r>
              <w:rPr>
                <w:rFonts w:hint="eastAsia" w:ascii="宋体" w:hAnsi="宋体" w:cs="宋体"/>
                <w:color w:val="000000"/>
                <w:sz w:val="22"/>
                <w:lang w:val="en-US" w:eastAsia="zh-CN"/>
              </w:rPr>
              <w:t>1</w:t>
            </w:r>
            <w:r>
              <w:rPr>
                <w:rFonts w:hint="eastAsia" w:ascii="宋体" w:hAnsi="宋体" w:cs="宋体"/>
                <w:color w:val="000000"/>
                <w:sz w:val="22"/>
              </w:rPr>
              <w:t>cm）;小班H50cm（±</w:t>
            </w:r>
            <w:r>
              <w:rPr>
                <w:rFonts w:hint="eastAsia" w:ascii="宋体" w:hAnsi="宋体" w:cs="宋体"/>
                <w:color w:val="000000"/>
                <w:sz w:val="22"/>
                <w:lang w:val="en-US" w:eastAsia="zh-CN"/>
              </w:rPr>
              <w:t>1</w:t>
            </w:r>
            <w:r>
              <w:rPr>
                <w:rFonts w:hint="eastAsia" w:ascii="宋体" w:hAnsi="宋体" w:cs="宋体"/>
                <w:color w:val="000000"/>
                <w:sz w:val="22"/>
              </w:rPr>
              <w:t>cm）、中班H54cm（±</w:t>
            </w:r>
            <w:r>
              <w:rPr>
                <w:rFonts w:hint="eastAsia" w:ascii="宋体" w:hAnsi="宋体" w:cs="宋体"/>
                <w:color w:val="000000"/>
                <w:sz w:val="22"/>
                <w:lang w:val="en-US" w:eastAsia="zh-CN"/>
              </w:rPr>
              <w:t>1</w:t>
            </w:r>
            <w:r>
              <w:rPr>
                <w:rFonts w:hint="eastAsia" w:ascii="宋体" w:hAnsi="宋体" w:cs="宋体"/>
                <w:color w:val="000000"/>
                <w:sz w:val="22"/>
              </w:rPr>
              <w:t>cm）、大班H58cm （±</w:t>
            </w:r>
            <w:r>
              <w:rPr>
                <w:rFonts w:hint="eastAsia" w:ascii="宋体" w:hAnsi="宋体" w:cs="宋体"/>
                <w:color w:val="000000"/>
                <w:sz w:val="22"/>
                <w:lang w:val="en-US" w:eastAsia="zh-CN"/>
              </w:rPr>
              <w:t>1</w:t>
            </w:r>
            <w:r>
              <w:rPr>
                <w:rFonts w:hint="eastAsia" w:ascii="宋体" w:hAnsi="宋体" w:cs="宋体"/>
                <w:color w:val="000000"/>
                <w:sz w:val="22"/>
              </w:rPr>
              <w:t xml:space="preserve">cm）；     </w:t>
            </w:r>
          </w:p>
        </w:tc>
      </w:tr>
      <w:tr w14:paraId="7EF53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61" w:type="pct"/>
            <w:vMerge w:val="continue"/>
            <w:shd w:val="clear" w:color="auto" w:fill="auto"/>
            <w:noWrap w:val="0"/>
            <w:vAlign w:val="center"/>
          </w:tcPr>
          <w:p w14:paraId="545B3C52">
            <w:pPr>
              <w:jc w:val="both"/>
            </w:pPr>
          </w:p>
        </w:tc>
        <w:tc>
          <w:tcPr>
            <w:tcW w:w="1243" w:type="pct"/>
            <w:vMerge w:val="continue"/>
            <w:shd w:val="clear" w:color="auto" w:fill="auto"/>
            <w:noWrap w:val="0"/>
            <w:vAlign w:val="center"/>
          </w:tcPr>
          <w:p w14:paraId="09E06D9F">
            <w:pPr>
              <w:jc w:val="both"/>
            </w:pPr>
          </w:p>
        </w:tc>
        <w:tc>
          <w:tcPr>
            <w:tcW w:w="3194" w:type="pct"/>
            <w:noWrap w:val="0"/>
            <w:vAlign w:val="center"/>
          </w:tcPr>
          <w:p w14:paraId="37D43A02">
            <w:pPr>
              <w:jc w:val="both"/>
              <w:rPr>
                <w:rFonts w:hint="eastAsia" w:ascii="宋体" w:hAnsi="宋体" w:cs="宋体"/>
                <w:color w:val="000000"/>
                <w:sz w:val="22"/>
              </w:rPr>
            </w:pPr>
            <w:r>
              <w:rPr>
                <w:rFonts w:hint="eastAsia" w:ascii="宋体" w:hAnsi="宋体" w:cs="宋体"/>
                <w:color w:val="000000"/>
                <w:sz w:val="22"/>
              </w:rPr>
              <w:t xml:space="preserve">2、基材：桦木实木多层板，其中桌面正反面贴白色防火板，桌面厚度15mm（±0.2cm）；表面纹理清晰且全白、无结疤、无黑疤、无红点。桌腿使用优质桦木实木，四角倒圆角，无尖角。   </w:t>
            </w:r>
          </w:p>
        </w:tc>
      </w:tr>
      <w:tr w14:paraId="429A7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61" w:type="pct"/>
            <w:vMerge w:val="continue"/>
            <w:shd w:val="clear" w:color="auto" w:fill="auto"/>
            <w:noWrap w:val="0"/>
            <w:vAlign w:val="center"/>
          </w:tcPr>
          <w:p w14:paraId="384C3B7E">
            <w:pPr>
              <w:jc w:val="both"/>
              <w:rPr>
                <w:rFonts w:hint="eastAsia" w:ascii="宋体" w:hAnsi="宋体" w:cs="宋体"/>
                <w:color w:val="000000"/>
                <w:sz w:val="22"/>
              </w:rPr>
            </w:pPr>
          </w:p>
        </w:tc>
        <w:tc>
          <w:tcPr>
            <w:tcW w:w="1243" w:type="pct"/>
            <w:vMerge w:val="continue"/>
            <w:shd w:val="clear" w:color="auto" w:fill="auto"/>
            <w:noWrap w:val="0"/>
            <w:vAlign w:val="center"/>
          </w:tcPr>
          <w:p w14:paraId="2F825263">
            <w:pPr>
              <w:jc w:val="both"/>
              <w:rPr>
                <w:rFonts w:hint="eastAsia" w:ascii="宋体" w:hAnsi="宋体" w:cs="宋体"/>
                <w:color w:val="000000"/>
                <w:sz w:val="22"/>
              </w:rPr>
            </w:pPr>
          </w:p>
        </w:tc>
        <w:tc>
          <w:tcPr>
            <w:tcW w:w="3194" w:type="pct"/>
            <w:noWrap w:val="0"/>
            <w:vAlign w:val="center"/>
          </w:tcPr>
          <w:p w14:paraId="7EB7B391">
            <w:pPr>
              <w:jc w:val="both"/>
              <w:rPr>
                <w:rFonts w:hint="eastAsia" w:ascii="宋体" w:hAnsi="宋体" w:cs="宋体"/>
                <w:color w:val="000000"/>
                <w:sz w:val="22"/>
              </w:rPr>
            </w:pPr>
            <w:r>
              <w:rPr>
                <w:rFonts w:hint="eastAsia" w:ascii="宋体" w:hAnsi="宋体" w:cs="宋体"/>
                <w:color w:val="000000"/>
                <w:sz w:val="22"/>
              </w:rPr>
              <w:t xml:space="preserve">3、五金：选用环保五金，安全无毒，色泽丰富。 </w:t>
            </w:r>
          </w:p>
        </w:tc>
      </w:tr>
      <w:tr w14:paraId="2BE22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61" w:type="pct"/>
            <w:vMerge w:val="continue"/>
            <w:shd w:val="clear" w:color="auto" w:fill="auto"/>
            <w:noWrap w:val="0"/>
            <w:vAlign w:val="center"/>
          </w:tcPr>
          <w:p w14:paraId="2578A81A">
            <w:pPr>
              <w:jc w:val="both"/>
              <w:rPr>
                <w:rFonts w:hint="eastAsia" w:ascii="宋体" w:hAnsi="宋体" w:cs="宋体"/>
                <w:color w:val="000000"/>
                <w:sz w:val="22"/>
              </w:rPr>
            </w:pPr>
          </w:p>
        </w:tc>
        <w:tc>
          <w:tcPr>
            <w:tcW w:w="1243" w:type="pct"/>
            <w:vMerge w:val="continue"/>
            <w:shd w:val="clear" w:color="auto" w:fill="auto"/>
            <w:noWrap w:val="0"/>
            <w:vAlign w:val="center"/>
          </w:tcPr>
          <w:p w14:paraId="71C33A6E">
            <w:pPr>
              <w:jc w:val="both"/>
              <w:rPr>
                <w:rFonts w:hint="eastAsia" w:ascii="宋体" w:hAnsi="宋体" w:cs="宋体"/>
                <w:color w:val="000000"/>
                <w:sz w:val="22"/>
              </w:rPr>
            </w:pPr>
          </w:p>
        </w:tc>
        <w:tc>
          <w:tcPr>
            <w:tcW w:w="3194" w:type="pct"/>
            <w:noWrap w:val="0"/>
            <w:vAlign w:val="center"/>
          </w:tcPr>
          <w:p w14:paraId="50FF485B">
            <w:pPr>
              <w:jc w:val="both"/>
              <w:rPr>
                <w:rFonts w:hint="eastAsia" w:ascii="宋体" w:hAnsi="宋体" w:cs="宋体"/>
                <w:color w:val="000000"/>
                <w:sz w:val="22"/>
              </w:rPr>
            </w:pPr>
            <w:r>
              <w:rPr>
                <w:rFonts w:hint="eastAsia" w:ascii="宋体" w:hAnsi="宋体" w:cs="宋体"/>
                <w:color w:val="000000"/>
                <w:sz w:val="22"/>
              </w:rPr>
              <w:t>4、油漆：采用绿色环保无毒水性漆，经过两底一面工艺制作。附着力、耐冲击、耐磨、耐湿不小于3 级，灼烧、耐液、耐干、 耐冷热。</w:t>
            </w:r>
          </w:p>
        </w:tc>
      </w:tr>
      <w:tr w14:paraId="21797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61" w:type="pct"/>
            <w:vMerge w:val="continue"/>
            <w:shd w:val="clear" w:color="auto" w:fill="auto"/>
            <w:noWrap w:val="0"/>
            <w:vAlign w:val="center"/>
          </w:tcPr>
          <w:p w14:paraId="3DAFE0A9">
            <w:pPr>
              <w:jc w:val="both"/>
              <w:rPr>
                <w:rFonts w:hint="eastAsia" w:ascii="宋体" w:hAnsi="宋体" w:cs="宋体"/>
                <w:color w:val="000000"/>
                <w:sz w:val="22"/>
              </w:rPr>
            </w:pPr>
          </w:p>
        </w:tc>
        <w:tc>
          <w:tcPr>
            <w:tcW w:w="1243" w:type="pct"/>
            <w:vMerge w:val="continue"/>
            <w:shd w:val="clear" w:color="auto" w:fill="auto"/>
            <w:noWrap w:val="0"/>
            <w:vAlign w:val="center"/>
          </w:tcPr>
          <w:p w14:paraId="21B5EDBA">
            <w:pPr>
              <w:jc w:val="both"/>
              <w:rPr>
                <w:rFonts w:hint="eastAsia" w:ascii="宋体" w:hAnsi="宋体" w:cs="宋体"/>
                <w:color w:val="000000"/>
                <w:sz w:val="22"/>
              </w:rPr>
            </w:pPr>
          </w:p>
        </w:tc>
        <w:tc>
          <w:tcPr>
            <w:tcW w:w="3194" w:type="pct"/>
            <w:noWrap w:val="0"/>
            <w:vAlign w:val="center"/>
          </w:tcPr>
          <w:p w14:paraId="2F088452">
            <w:pPr>
              <w:jc w:val="both"/>
              <w:rPr>
                <w:rFonts w:hint="eastAsia" w:ascii="宋体" w:hAnsi="宋体" w:cs="宋体"/>
                <w:color w:val="000000"/>
                <w:sz w:val="22"/>
              </w:rPr>
            </w:pPr>
            <w:r>
              <w:rPr>
                <w:rFonts w:hint="eastAsia" w:ascii="宋体" w:hAnsi="宋体" w:cs="宋体"/>
                <w:color w:val="000000"/>
                <w:sz w:val="22"/>
              </w:rPr>
              <w:t>5、其他：外延打磨指甲圆，光滑平整，正反面均无毛刺。底部加毛毡，起到防滑作用。</w:t>
            </w:r>
          </w:p>
        </w:tc>
      </w:tr>
      <w:tr w14:paraId="2CCD6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61" w:type="pct"/>
            <w:vMerge w:val="continue"/>
            <w:shd w:val="clear" w:color="auto" w:fill="auto"/>
            <w:noWrap w:val="0"/>
            <w:vAlign w:val="center"/>
          </w:tcPr>
          <w:p w14:paraId="4D54C0E4">
            <w:pPr>
              <w:jc w:val="both"/>
              <w:rPr>
                <w:rFonts w:hint="eastAsia" w:ascii="宋体" w:hAnsi="宋体" w:cs="宋体"/>
                <w:color w:val="000000"/>
                <w:sz w:val="22"/>
              </w:rPr>
            </w:pPr>
          </w:p>
        </w:tc>
        <w:tc>
          <w:tcPr>
            <w:tcW w:w="1243" w:type="pct"/>
            <w:vMerge w:val="continue"/>
            <w:shd w:val="clear" w:color="auto" w:fill="auto"/>
            <w:noWrap w:val="0"/>
            <w:vAlign w:val="center"/>
          </w:tcPr>
          <w:p w14:paraId="417DDF54">
            <w:pPr>
              <w:jc w:val="both"/>
              <w:rPr>
                <w:rFonts w:hint="eastAsia" w:ascii="宋体" w:hAnsi="宋体" w:cs="宋体"/>
                <w:color w:val="000000"/>
                <w:sz w:val="22"/>
              </w:rPr>
            </w:pPr>
          </w:p>
        </w:tc>
        <w:tc>
          <w:tcPr>
            <w:tcW w:w="3194" w:type="pct"/>
            <w:noWrap w:val="0"/>
            <w:vAlign w:val="center"/>
          </w:tcPr>
          <w:p w14:paraId="1D3BFE9E">
            <w:pPr>
              <w:jc w:val="both"/>
              <w:rPr>
                <w:rFonts w:hint="eastAsia" w:ascii="宋体" w:hAnsi="宋体" w:cs="宋体"/>
                <w:color w:val="000000"/>
                <w:sz w:val="22"/>
              </w:rPr>
            </w:pPr>
            <w:r>
              <w:rPr>
                <w:rFonts w:hint="eastAsia" w:ascii="宋体" w:hAnsi="宋体" w:cs="宋体"/>
                <w:color w:val="000000"/>
                <w:sz w:val="22"/>
              </w:rPr>
              <w:t>6、产品符合儿童家具通用技术标准。</w:t>
            </w:r>
          </w:p>
        </w:tc>
      </w:tr>
      <w:tr w14:paraId="15029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561" w:type="pct"/>
            <w:vMerge w:val="restart"/>
            <w:shd w:val="clear" w:color="auto" w:fill="auto"/>
            <w:noWrap w:val="0"/>
            <w:vAlign w:val="center"/>
          </w:tcPr>
          <w:p w14:paraId="1FBA4D74">
            <w:pPr>
              <w:jc w:val="center"/>
              <w:rPr>
                <w:rFonts w:hint="eastAsia" w:ascii="宋体" w:hAnsi="宋体" w:eastAsia="宋体" w:cs="宋体"/>
                <w:color w:val="000000"/>
                <w:kern w:val="2"/>
                <w:sz w:val="22"/>
                <w:szCs w:val="22"/>
                <w:lang w:val="en-US" w:eastAsia="zh-CN" w:bidi="ar-SA"/>
              </w:rPr>
            </w:pPr>
            <w:r>
              <w:rPr>
                <w:rFonts w:hint="eastAsia" w:ascii="宋体" w:hAnsi="宋体" w:cs="宋体"/>
                <w:color w:val="000000"/>
                <w:sz w:val="22"/>
              </w:rPr>
              <w:t>16</w:t>
            </w:r>
          </w:p>
        </w:tc>
        <w:tc>
          <w:tcPr>
            <w:tcW w:w="1243" w:type="pct"/>
            <w:vMerge w:val="restart"/>
            <w:shd w:val="clear" w:color="auto" w:fill="auto"/>
            <w:noWrap w:val="0"/>
            <w:vAlign w:val="center"/>
          </w:tcPr>
          <w:p w14:paraId="73031D4C">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哥德堡两层三格矩形柜</w:t>
            </w:r>
          </w:p>
        </w:tc>
        <w:tc>
          <w:tcPr>
            <w:tcW w:w="3194" w:type="pct"/>
            <w:noWrap w:val="0"/>
            <w:vAlign w:val="center"/>
          </w:tcPr>
          <w:p w14:paraId="13C60176">
            <w:pPr>
              <w:jc w:val="both"/>
              <w:rPr>
                <w:rFonts w:hint="eastAsia" w:ascii="宋体" w:hAnsi="宋体" w:cs="宋体"/>
                <w:color w:val="000000"/>
                <w:sz w:val="22"/>
              </w:rPr>
            </w:pPr>
            <w:r>
              <w:rPr>
                <w:rFonts w:hint="eastAsia" w:ascii="宋体" w:hAnsi="宋体" w:cs="宋体"/>
                <w:color w:val="000000"/>
                <w:sz w:val="22"/>
              </w:rPr>
              <w:t>1、尺寸：L100cm*W33cm*H54cm（±</w:t>
            </w:r>
            <w:r>
              <w:rPr>
                <w:rFonts w:hint="eastAsia" w:ascii="宋体" w:hAnsi="宋体" w:cs="宋体"/>
                <w:color w:val="000000"/>
                <w:sz w:val="22"/>
                <w:lang w:val="en-US" w:eastAsia="zh-CN"/>
              </w:rPr>
              <w:t>2</w:t>
            </w:r>
            <w:r>
              <w:rPr>
                <w:rFonts w:hint="eastAsia" w:ascii="宋体" w:hAnsi="宋体" w:cs="宋体"/>
                <w:color w:val="000000"/>
                <w:sz w:val="22"/>
              </w:rPr>
              <w:t>cm）</w:t>
            </w:r>
          </w:p>
        </w:tc>
      </w:tr>
      <w:tr w14:paraId="4C574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561" w:type="pct"/>
            <w:vMerge w:val="continue"/>
            <w:shd w:val="clear" w:color="auto" w:fill="auto"/>
            <w:noWrap w:val="0"/>
            <w:vAlign w:val="center"/>
          </w:tcPr>
          <w:p w14:paraId="5DB0FB0B">
            <w:pPr>
              <w:jc w:val="both"/>
            </w:pPr>
          </w:p>
        </w:tc>
        <w:tc>
          <w:tcPr>
            <w:tcW w:w="1243" w:type="pct"/>
            <w:vMerge w:val="continue"/>
            <w:shd w:val="clear" w:color="auto" w:fill="auto"/>
            <w:noWrap w:val="0"/>
            <w:vAlign w:val="center"/>
          </w:tcPr>
          <w:p w14:paraId="3D41899E">
            <w:pPr>
              <w:jc w:val="both"/>
            </w:pPr>
          </w:p>
        </w:tc>
        <w:tc>
          <w:tcPr>
            <w:tcW w:w="3194" w:type="pct"/>
            <w:noWrap w:val="0"/>
            <w:vAlign w:val="center"/>
          </w:tcPr>
          <w:p w14:paraId="37C40552">
            <w:pPr>
              <w:jc w:val="both"/>
              <w:rPr>
                <w:rFonts w:hint="eastAsia" w:ascii="宋体" w:hAnsi="宋体" w:cs="宋体"/>
                <w:color w:val="000000"/>
                <w:sz w:val="22"/>
              </w:rPr>
            </w:pPr>
            <w:r>
              <w:rPr>
                <w:rFonts w:hint="eastAsia" w:ascii="宋体" w:hAnsi="宋体" w:cs="宋体"/>
                <w:color w:val="000000"/>
                <w:sz w:val="22"/>
              </w:rPr>
              <w:t>2、基材：桦木实木多层板，其中侧板及顶板为白色防火板贴面，表面纹理清晰且全白、无结疤、无黑疤、无红点。柜体分二层，自上而下第一层为中空，顶部层板内径长度不大于97cm（±</w:t>
            </w:r>
            <w:r>
              <w:rPr>
                <w:rFonts w:hint="eastAsia" w:ascii="宋体" w:hAnsi="宋体" w:cs="宋体"/>
                <w:color w:val="000000"/>
                <w:sz w:val="22"/>
                <w:lang w:val="en-US" w:eastAsia="zh-CN"/>
              </w:rPr>
              <w:t>1</w:t>
            </w:r>
            <w:r>
              <w:rPr>
                <w:rFonts w:hint="eastAsia" w:ascii="宋体" w:hAnsi="宋体" w:cs="宋体"/>
                <w:color w:val="000000"/>
                <w:sz w:val="22"/>
              </w:rPr>
              <w:t>cm），内径宽度不大于28cm（±</w:t>
            </w:r>
            <w:r>
              <w:rPr>
                <w:rFonts w:hint="eastAsia" w:ascii="宋体" w:hAnsi="宋体" w:cs="宋体"/>
                <w:color w:val="000000"/>
                <w:sz w:val="22"/>
                <w:lang w:val="en-US" w:eastAsia="zh-CN"/>
              </w:rPr>
              <w:t>1</w:t>
            </w:r>
            <w:r>
              <w:rPr>
                <w:rFonts w:hint="eastAsia" w:ascii="宋体" w:hAnsi="宋体" w:cs="宋体"/>
                <w:color w:val="000000"/>
                <w:sz w:val="22"/>
              </w:rPr>
              <w:t>cm），第二层层板内径宽度不大于33cm（±</w:t>
            </w:r>
            <w:r>
              <w:rPr>
                <w:rFonts w:hint="eastAsia" w:ascii="宋体" w:hAnsi="宋体" w:cs="宋体"/>
                <w:color w:val="000000"/>
                <w:sz w:val="22"/>
                <w:lang w:val="en-US" w:eastAsia="zh-CN"/>
              </w:rPr>
              <w:t>1</w:t>
            </w:r>
            <w:r>
              <w:rPr>
                <w:rFonts w:hint="eastAsia" w:ascii="宋体" w:hAnsi="宋体" w:cs="宋体"/>
                <w:color w:val="000000"/>
                <w:sz w:val="22"/>
              </w:rPr>
              <w:t>cm），中空高度不大于21cm（±</w:t>
            </w:r>
            <w:r>
              <w:rPr>
                <w:rFonts w:hint="eastAsia" w:ascii="宋体" w:hAnsi="宋体" w:cs="宋体"/>
                <w:color w:val="000000"/>
                <w:sz w:val="22"/>
                <w:lang w:val="en-US" w:eastAsia="zh-CN"/>
              </w:rPr>
              <w:t>1</w:t>
            </w:r>
            <w:r>
              <w:rPr>
                <w:rFonts w:hint="eastAsia" w:ascii="宋体" w:hAnsi="宋体" w:cs="宋体"/>
                <w:color w:val="000000"/>
                <w:sz w:val="22"/>
              </w:rPr>
              <w:t>cm），下层为有背板三格储物空间，分区尺寸不大于31.5*30.5*21cm（±</w:t>
            </w:r>
            <w:r>
              <w:rPr>
                <w:rFonts w:hint="eastAsia" w:ascii="宋体" w:hAnsi="宋体" w:cs="宋体"/>
                <w:color w:val="000000"/>
                <w:sz w:val="22"/>
                <w:lang w:val="en-US" w:eastAsia="zh-CN"/>
              </w:rPr>
              <w:t>1</w:t>
            </w:r>
            <w:r>
              <w:rPr>
                <w:rFonts w:hint="eastAsia" w:ascii="宋体" w:hAnsi="宋体" w:cs="宋体"/>
                <w:color w:val="000000"/>
                <w:sz w:val="22"/>
              </w:rPr>
              <w:t>cm），可以放置尺寸31*20*13.5cm（±</w:t>
            </w:r>
            <w:r>
              <w:rPr>
                <w:rFonts w:hint="eastAsia" w:ascii="宋体" w:hAnsi="宋体" w:cs="宋体"/>
                <w:color w:val="000000"/>
                <w:sz w:val="22"/>
                <w:lang w:val="en-US" w:eastAsia="zh-CN"/>
              </w:rPr>
              <w:t>1</w:t>
            </w:r>
            <w:r>
              <w:rPr>
                <w:rFonts w:hint="eastAsia" w:ascii="宋体" w:hAnsi="宋体" w:cs="宋体"/>
                <w:color w:val="000000"/>
                <w:sz w:val="22"/>
              </w:rPr>
              <w:t>cm）的收纳盒，柜体层板为原木色，两边侧片为白色。柜体用螺丝固定。</w:t>
            </w:r>
          </w:p>
        </w:tc>
      </w:tr>
      <w:tr w14:paraId="66CA4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561" w:type="pct"/>
            <w:vMerge w:val="continue"/>
            <w:shd w:val="clear" w:color="auto" w:fill="auto"/>
            <w:noWrap w:val="0"/>
            <w:vAlign w:val="center"/>
          </w:tcPr>
          <w:p w14:paraId="10D2314C">
            <w:pPr>
              <w:jc w:val="both"/>
              <w:rPr>
                <w:rFonts w:hint="eastAsia" w:ascii="宋体" w:hAnsi="宋体" w:cs="宋体"/>
                <w:color w:val="000000"/>
                <w:sz w:val="22"/>
              </w:rPr>
            </w:pPr>
          </w:p>
        </w:tc>
        <w:tc>
          <w:tcPr>
            <w:tcW w:w="1243" w:type="pct"/>
            <w:vMerge w:val="continue"/>
            <w:shd w:val="clear" w:color="auto" w:fill="auto"/>
            <w:noWrap w:val="0"/>
            <w:vAlign w:val="center"/>
          </w:tcPr>
          <w:p w14:paraId="09CA3766">
            <w:pPr>
              <w:jc w:val="both"/>
              <w:rPr>
                <w:rFonts w:hint="eastAsia" w:ascii="宋体" w:hAnsi="宋体" w:cs="宋体"/>
                <w:color w:val="000000"/>
                <w:sz w:val="22"/>
              </w:rPr>
            </w:pPr>
          </w:p>
        </w:tc>
        <w:tc>
          <w:tcPr>
            <w:tcW w:w="3194" w:type="pct"/>
            <w:noWrap w:val="0"/>
            <w:vAlign w:val="center"/>
          </w:tcPr>
          <w:p w14:paraId="13824755">
            <w:pPr>
              <w:jc w:val="both"/>
              <w:rPr>
                <w:rFonts w:hint="eastAsia" w:ascii="宋体" w:hAnsi="宋体" w:cs="宋体"/>
                <w:color w:val="000000"/>
                <w:sz w:val="22"/>
              </w:rPr>
            </w:pPr>
            <w:r>
              <w:rPr>
                <w:rFonts w:hint="eastAsia" w:ascii="宋体" w:hAnsi="宋体" w:cs="宋体"/>
                <w:color w:val="000000"/>
                <w:sz w:val="22"/>
              </w:rPr>
              <w:t>3、五金：选用环保五金，安全无毒，色泽丰富。</w:t>
            </w:r>
          </w:p>
        </w:tc>
      </w:tr>
      <w:tr w14:paraId="73BA1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561" w:type="pct"/>
            <w:vMerge w:val="continue"/>
            <w:shd w:val="clear" w:color="auto" w:fill="auto"/>
            <w:noWrap w:val="0"/>
            <w:vAlign w:val="center"/>
          </w:tcPr>
          <w:p w14:paraId="1F89F704">
            <w:pPr>
              <w:jc w:val="both"/>
              <w:rPr>
                <w:rFonts w:hint="eastAsia" w:ascii="宋体" w:hAnsi="宋体" w:cs="宋体"/>
                <w:color w:val="000000"/>
                <w:sz w:val="22"/>
              </w:rPr>
            </w:pPr>
          </w:p>
        </w:tc>
        <w:tc>
          <w:tcPr>
            <w:tcW w:w="1243" w:type="pct"/>
            <w:vMerge w:val="continue"/>
            <w:shd w:val="clear" w:color="auto" w:fill="auto"/>
            <w:noWrap w:val="0"/>
            <w:vAlign w:val="center"/>
          </w:tcPr>
          <w:p w14:paraId="51FC3CDD">
            <w:pPr>
              <w:jc w:val="both"/>
              <w:rPr>
                <w:rFonts w:hint="eastAsia" w:ascii="宋体" w:hAnsi="宋体" w:cs="宋体"/>
                <w:color w:val="000000"/>
                <w:sz w:val="22"/>
              </w:rPr>
            </w:pPr>
          </w:p>
        </w:tc>
        <w:tc>
          <w:tcPr>
            <w:tcW w:w="3194" w:type="pct"/>
            <w:noWrap w:val="0"/>
            <w:vAlign w:val="center"/>
          </w:tcPr>
          <w:p w14:paraId="03D9CEF3">
            <w:pPr>
              <w:jc w:val="both"/>
              <w:rPr>
                <w:rFonts w:hint="eastAsia" w:ascii="宋体" w:hAnsi="宋体" w:cs="宋体"/>
                <w:color w:val="000000"/>
                <w:sz w:val="22"/>
              </w:rPr>
            </w:pPr>
            <w:r>
              <w:rPr>
                <w:rFonts w:hint="eastAsia" w:ascii="宋体" w:hAnsi="宋体" w:cs="宋体"/>
                <w:color w:val="000000"/>
                <w:sz w:val="22"/>
              </w:rPr>
              <w:t>4、油漆：采用绿色环保无毒水性漆，经过两底一面工艺制作。附着力、耐冲击、耐磨、耐湿不小于3 级，灼烧、耐液、耐干、 耐冷热。</w:t>
            </w:r>
          </w:p>
        </w:tc>
      </w:tr>
      <w:tr w14:paraId="71740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561" w:type="pct"/>
            <w:vMerge w:val="continue"/>
            <w:shd w:val="clear" w:color="auto" w:fill="auto"/>
            <w:noWrap w:val="0"/>
            <w:vAlign w:val="center"/>
          </w:tcPr>
          <w:p w14:paraId="40261CD2">
            <w:pPr>
              <w:jc w:val="both"/>
              <w:rPr>
                <w:rFonts w:hint="eastAsia" w:ascii="宋体" w:hAnsi="宋体" w:cs="宋体"/>
                <w:color w:val="000000"/>
                <w:sz w:val="22"/>
              </w:rPr>
            </w:pPr>
          </w:p>
        </w:tc>
        <w:tc>
          <w:tcPr>
            <w:tcW w:w="1243" w:type="pct"/>
            <w:vMerge w:val="continue"/>
            <w:shd w:val="clear" w:color="auto" w:fill="auto"/>
            <w:noWrap w:val="0"/>
            <w:vAlign w:val="center"/>
          </w:tcPr>
          <w:p w14:paraId="7DCB75DD">
            <w:pPr>
              <w:jc w:val="both"/>
              <w:rPr>
                <w:rFonts w:hint="eastAsia" w:ascii="宋体" w:hAnsi="宋体" w:cs="宋体"/>
                <w:color w:val="000000"/>
                <w:sz w:val="22"/>
              </w:rPr>
            </w:pPr>
          </w:p>
        </w:tc>
        <w:tc>
          <w:tcPr>
            <w:tcW w:w="3194" w:type="pct"/>
            <w:noWrap w:val="0"/>
            <w:vAlign w:val="center"/>
          </w:tcPr>
          <w:p w14:paraId="08BA79D8">
            <w:pPr>
              <w:jc w:val="both"/>
              <w:rPr>
                <w:rFonts w:hint="eastAsia" w:ascii="宋体" w:hAnsi="宋体" w:cs="宋体"/>
                <w:color w:val="000000"/>
                <w:sz w:val="22"/>
              </w:rPr>
            </w:pPr>
            <w:r>
              <w:rPr>
                <w:rFonts w:hint="eastAsia" w:ascii="宋体" w:hAnsi="宋体" w:cs="宋体"/>
                <w:color w:val="000000"/>
                <w:sz w:val="22"/>
              </w:rPr>
              <w:t>5、其他：外延打磨指甲圆，光滑平整，正反面均无毛刺。</w:t>
            </w:r>
          </w:p>
        </w:tc>
      </w:tr>
      <w:tr w14:paraId="1A482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561" w:type="pct"/>
            <w:vMerge w:val="continue"/>
            <w:shd w:val="clear" w:color="auto" w:fill="auto"/>
            <w:noWrap w:val="0"/>
            <w:vAlign w:val="center"/>
          </w:tcPr>
          <w:p w14:paraId="5B49354A">
            <w:pPr>
              <w:jc w:val="both"/>
              <w:rPr>
                <w:rFonts w:hint="eastAsia" w:ascii="宋体" w:hAnsi="宋体" w:cs="宋体"/>
                <w:color w:val="000000"/>
                <w:sz w:val="22"/>
              </w:rPr>
            </w:pPr>
          </w:p>
        </w:tc>
        <w:tc>
          <w:tcPr>
            <w:tcW w:w="1243" w:type="pct"/>
            <w:vMerge w:val="continue"/>
            <w:shd w:val="clear" w:color="auto" w:fill="auto"/>
            <w:noWrap w:val="0"/>
            <w:vAlign w:val="center"/>
          </w:tcPr>
          <w:p w14:paraId="14FD2244">
            <w:pPr>
              <w:jc w:val="both"/>
              <w:rPr>
                <w:rFonts w:hint="eastAsia" w:ascii="宋体" w:hAnsi="宋体" w:cs="宋体"/>
                <w:color w:val="000000"/>
                <w:sz w:val="22"/>
              </w:rPr>
            </w:pPr>
          </w:p>
        </w:tc>
        <w:tc>
          <w:tcPr>
            <w:tcW w:w="3194" w:type="pct"/>
            <w:noWrap w:val="0"/>
            <w:vAlign w:val="center"/>
          </w:tcPr>
          <w:p w14:paraId="6E7F370A">
            <w:pPr>
              <w:jc w:val="both"/>
              <w:rPr>
                <w:rFonts w:hint="eastAsia" w:ascii="宋体" w:hAnsi="宋体" w:cs="宋体"/>
                <w:color w:val="000000"/>
                <w:sz w:val="22"/>
              </w:rPr>
            </w:pPr>
            <w:r>
              <w:rPr>
                <w:rFonts w:hint="eastAsia" w:ascii="宋体" w:hAnsi="宋体" w:cs="宋体"/>
                <w:color w:val="000000"/>
                <w:sz w:val="22"/>
              </w:rPr>
              <w:t>6、产品符合儿童家具通用技术标准。</w:t>
            </w:r>
          </w:p>
        </w:tc>
      </w:tr>
      <w:tr w14:paraId="19AA2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61" w:type="pct"/>
            <w:vMerge w:val="restart"/>
            <w:shd w:val="clear" w:color="auto" w:fill="auto"/>
            <w:noWrap w:val="0"/>
            <w:vAlign w:val="center"/>
          </w:tcPr>
          <w:p w14:paraId="469D8340">
            <w:pPr>
              <w:jc w:val="center"/>
              <w:rPr>
                <w:rFonts w:hint="eastAsia" w:ascii="宋体" w:hAnsi="宋体" w:eastAsia="宋体" w:cs="宋体"/>
                <w:color w:val="000000"/>
                <w:kern w:val="2"/>
                <w:sz w:val="22"/>
                <w:szCs w:val="22"/>
                <w:lang w:val="en-US" w:eastAsia="zh-CN" w:bidi="ar-SA"/>
              </w:rPr>
            </w:pPr>
            <w:r>
              <w:rPr>
                <w:rFonts w:hint="eastAsia" w:ascii="宋体" w:hAnsi="宋体" w:cs="宋体"/>
                <w:color w:val="000000"/>
                <w:sz w:val="22"/>
              </w:rPr>
              <w:t>17</w:t>
            </w:r>
          </w:p>
        </w:tc>
        <w:tc>
          <w:tcPr>
            <w:tcW w:w="1243" w:type="pct"/>
            <w:vMerge w:val="restart"/>
            <w:shd w:val="clear" w:color="auto" w:fill="auto"/>
            <w:noWrap w:val="0"/>
            <w:vAlign w:val="center"/>
          </w:tcPr>
          <w:p w14:paraId="0D35F93E">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长方桌</w:t>
            </w:r>
          </w:p>
        </w:tc>
        <w:tc>
          <w:tcPr>
            <w:tcW w:w="3194" w:type="pct"/>
            <w:noWrap w:val="0"/>
            <w:vAlign w:val="center"/>
          </w:tcPr>
          <w:p w14:paraId="43306B2B">
            <w:pPr>
              <w:jc w:val="both"/>
              <w:rPr>
                <w:rFonts w:hint="eastAsia" w:ascii="宋体" w:hAnsi="宋体" w:cs="宋体"/>
                <w:color w:val="000000"/>
                <w:sz w:val="22"/>
              </w:rPr>
            </w:pPr>
            <w:r>
              <w:rPr>
                <w:rFonts w:hint="eastAsia" w:ascii="宋体" w:hAnsi="宋体" w:cs="宋体"/>
                <w:color w:val="000000"/>
                <w:sz w:val="22"/>
              </w:rPr>
              <w:t>1、尺寸：L120*W60cm（±</w:t>
            </w:r>
            <w:r>
              <w:rPr>
                <w:rFonts w:hint="eastAsia" w:ascii="宋体" w:hAnsi="宋体" w:cs="宋体"/>
                <w:color w:val="000000"/>
                <w:sz w:val="22"/>
                <w:lang w:val="en-US" w:eastAsia="zh-CN"/>
              </w:rPr>
              <w:t>1</w:t>
            </w:r>
            <w:r>
              <w:rPr>
                <w:rFonts w:hint="eastAsia" w:ascii="宋体" w:hAnsi="宋体" w:cs="宋体"/>
                <w:color w:val="000000"/>
                <w:sz w:val="22"/>
              </w:rPr>
              <w:t>cm）;小班H50cm（±</w:t>
            </w:r>
            <w:r>
              <w:rPr>
                <w:rFonts w:hint="eastAsia" w:ascii="宋体" w:hAnsi="宋体" w:cs="宋体"/>
                <w:color w:val="000000"/>
                <w:sz w:val="22"/>
                <w:lang w:val="en-US" w:eastAsia="zh-CN"/>
              </w:rPr>
              <w:t>1</w:t>
            </w:r>
            <w:r>
              <w:rPr>
                <w:rFonts w:hint="eastAsia" w:ascii="宋体" w:hAnsi="宋体" w:cs="宋体"/>
                <w:color w:val="000000"/>
                <w:sz w:val="22"/>
              </w:rPr>
              <w:t>cm）、中班H54cm（±</w:t>
            </w:r>
            <w:r>
              <w:rPr>
                <w:rFonts w:hint="eastAsia" w:ascii="宋体" w:hAnsi="宋体" w:cs="宋体"/>
                <w:color w:val="000000"/>
                <w:sz w:val="22"/>
                <w:lang w:val="en-US" w:eastAsia="zh-CN"/>
              </w:rPr>
              <w:t>1</w:t>
            </w:r>
            <w:r>
              <w:rPr>
                <w:rFonts w:hint="eastAsia" w:ascii="宋体" w:hAnsi="宋体" w:cs="宋体"/>
                <w:color w:val="000000"/>
                <w:sz w:val="22"/>
              </w:rPr>
              <w:t>cm）、大班H58cm （±</w:t>
            </w:r>
            <w:r>
              <w:rPr>
                <w:rFonts w:hint="eastAsia" w:ascii="宋体" w:hAnsi="宋体" w:cs="宋体"/>
                <w:color w:val="000000"/>
                <w:sz w:val="22"/>
                <w:lang w:val="en-US" w:eastAsia="zh-CN"/>
              </w:rPr>
              <w:t>1</w:t>
            </w:r>
            <w:r>
              <w:rPr>
                <w:rFonts w:hint="eastAsia" w:ascii="宋体" w:hAnsi="宋体" w:cs="宋体"/>
                <w:color w:val="000000"/>
                <w:sz w:val="22"/>
              </w:rPr>
              <w:t xml:space="preserve">cm）；     </w:t>
            </w:r>
          </w:p>
        </w:tc>
      </w:tr>
      <w:tr w14:paraId="657E9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61" w:type="pct"/>
            <w:vMerge w:val="continue"/>
            <w:shd w:val="clear" w:color="auto" w:fill="auto"/>
            <w:noWrap w:val="0"/>
            <w:vAlign w:val="center"/>
          </w:tcPr>
          <w:p w14:paraId="21667305">
            <w:pPr>
              <w:jc w:val="both"/>
            </w:pPr>
          </w:p>
        </w:tc>
        <w:tc>
          <w:tcPr>
            <w:tcW w:w="1243" w:type="pct"/>
            <w:vMerge w:val="continue"/>
            <w:shd w:val="clear" w:color="auto" w:fill="auto"/>
            <w:noWrap w:val="0"/>
            <w:vAlign w:val="center"/>
          </w:tcPr>
          <w:p w14:paraId="1A29AC56">
            <w:pPr>
              <w:jc w:val="both"/>
            </w:pPr>
          </w:p>
        </w:tc>
        <w:tc>
          <w:tcPr>
            <w:tcW w:w="3194" w:type="pct"/>
            <w:noWrap w:val="0"/>
            <w:vAlign w:val="center"/>
          </w:tcPr>
          <w:p w14:paraId="4E91118F">
            <w:pPr>
              <w:jc w:val="both"/>
              <w:rPr>
                <w:rFonts w:hint="eastAsia" w:ascii="宋体" w:hAnsi="宋体" w:cs="宋体"/>
                <w:color w:val="000000"/>
                <w:sz w:val="22"/>
              </w:rPr>
            </w:pPr>
            <w:r>
              <w:rPr>
                <w:rFonts w:hint="eastAsia" w:ascii="宋体" w:hAnsi="宋体" w:cs="宋体"/>
                <w:color w:val="000000"/>
                <w:sz w:val="22"/>
              </w:rPr>
              <w:t xml:space="preserve">2、基材：桦木实木多层板，其中桌面正反面贴白色防火板，桌面厚度15mm（±0.2cm）；表面纹理清晰且全白、无结疤、无黑疤、无红点。桌腿使用优质桦木实木，四角倒圆角，无尖角。 </w:t>
            </w:r>
          </w:p>
        </w:tc>
      </w:tr>
      <w:tr w14:paraId="2BB24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61" w:type="pct"/>
            <w:vMerge w:val="continue"/>
            <w:shd w:val="clear" w:color="auto" w:fill="auto"/>
            <w:noWrap w:val="0"/>
            <w:vAlign w:val="center"/>
          </w:tcPr>
          <w:p w14:paraId="7BDBEA9C">
            <w:pPr>
              <w:jc w:val="both"/>
              <w:rPr>
                <w:rFonts w:hint="eastAsia" w:ascii="宋体" w:hAnsi="宋体" w:cs="宋体"/>
                <w:color w:val="000000"/>
                <w:sz w:val="22"/>
              </w:rPr>
            </w:pPr>
          </w:p>
        </w:tc>
        <w:tc>
          <w:tcPr>
            <w:tcW w:w="1243" w:type="pct"/>
            <w:vMerge w:val="continue"/>
            <w:shd w:val="clear" w:color="auto" w:fill="auto"/>
            <w:noWrap w:val="0"/>
            <w:vAlign w:val="center"/>
          </w:tcPr>
          <w:p w14:paraId="79F38132">
            <w:pPr>
              <w:jc w:val="both"/>
              <w:rPr>
                <w:rFonts w:hint="eastAsia" w:ascii="宋体" w:hAnsi="宋体" w:cs="宋体"/>
                <w:color w:val="000000"/>
                <w:sz w:val="22"/>
              </w:rPr>
            </w:pPr>
          </w:p>
        </w:tc>
        <w:tc>
          <w:tcPr>
            <w:tcW w:w="3194" w:type="pct"/>
            <w:noWrap w:val="0"/>
            <w:vAlign w:val="center"/>
          </w:tcPr>
          <w:p w14:paraId="59391193">
            <w:pPr>
              <w:jc w:val="both"/>
              <w:rPr>
                <w:rFonts w:hint="eastAsia" w:ascii="宋体" w:hAnsi="宋体" w:cs="宋体"/>
                <w:color w:val="000000"/>
                <w:sz w:val="22"/>
              </w:rPr>
            </w:pPr>
            <w:r>
              <w:rPr>
                <w:rFonts w:hint="eastAsia" w:ascii="宋体" w:hAnsi="宋体" w:cs="宋体"/>
                <w:color w:val="000000"/>
                <w:sz w:val="22"/>
              </w:rPr>
              <w:t>3、五金：选用环保五金，安全无毒，色泽丰富。</w:t>
            </w:r>
          </w:p>
        </w:tc>
      </w:tr>
      <w:tr w14:paraId="58519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61" w:type="pct"/>
            <w:vMerge w:val="continue"/>
            <w:shd w:val="clear" w:color="auto" w:fill="auto"/>
            <w:noWrap w:val="0"/>
            <w:vAlign w:val="center"/>
          </w:tcPr>
          <w:p w14:paraId="7929B4E4">
            <w:pPr>
              <w:jc w:val="both"/>
              <w:rPr>
                <w:rFonts w:hint="eastAsia" w:ascii="宋体" w:hAnsi="宋体" w:cs="宋体"/>
                <w:color w:val="000000"/>
                <w:sz w:val="22"/>
              </w:rPr>
            </w:pPr>
          </w:p>
        </w:tc>
        <w:tc>
          <w:tcPr>
            <w:tcW w:w="1243" w:type="pct"/>
            <w:vMerge w:val="continue"/>
            <w:shd w:val="clear" w:color="auto" w:fill="auto"/>
            <w:noWrap w:val="0"/>
            <w:vAlign w:val="center"/>
          </w:tcPr>
          <w:p w14:paraId="40F0B9C3">
            <w:pPr>
              <w:jc w:val="both"/>
              <w:rPr>
                <w:rFonts w:hint="eastAsia" w:ascii="宋体" w:hAnsi="宋体" w:cs="宋体"/>
                <w:color w:val="000000"/>
                <w:sz w:val="22"/>
              </w:rPr>
            </w:pPr>
          </w:p>
        </w:tc>
        <w:tc>
          <w:tcPr>
            <w:tcW w:w="3194" w:type="pct"/>
            <w:noWrap w:val="0"/>
            <w:vAlign w:val="center"/>
          </w:tcPr>
          <w:p w14:paraId="75703FF9">
            <w:pPr>
              <w:jc w:val="both"/>
              <w:rPr>
                <w:rFonts w:hint="eastAsia" w:ascii="宋体" w:hAnsi="宋体" w:cs="宋体"/>
                <w:color w:val="000000"/>
                <w:sz w:val="22"/>
              </w:rPr>
            </w:pPr>
            <w:r>
              <w:rPr>
                <w:rFonts w:hint="eastAsia" w:ascii="宋体" w:hAnsi="宋体" w:cs="宋体"/>
                <w:color w:val="000000"/>
                <w:sz w:val="22"/>
              </w:rPr>
              <w:t>4、油漆：采用绿色环保无毒水性漆，经过两底一面工艺制作。附着力、耐冲击、耐磨、耐湿不小于3 级，灼烧、耐液、耐干、 耐冷热。</w:t>
            </w:r>
          </w:p>
        </w:tc>
      </w:tr>
      <w:tr w14:paraId="1CD3C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61" w:type="pct"/>
            <w:vMerge w:val="continue"/>
            <w:shd w:val="clear" w:color="auto" w:fill="auto"/>
            <w:noWrap w:val="0"/>
            <w:vAlign w:val="center"/>
          </w:tcPr>
          <w:p w14:paraId="4FBACCD4">
            <w:pPr>
              <w:jc w:val="both"/>
              <w:rPr>
                <w:rFonts w:hint="eastAsia" w:ascii="宋体" w:hAnsi="宋体" w:cs="宋体"/>
                <w:color w:val="000000"/>
                <w:sz w:val="22"/>
              </w:rPr>
            </w:pPr>
          </w:p>
        </w:tc>
        <w:tc>
          <w:tcPr>
            <w:tcW w:w="1243" w:type="pct"/>
            <w:vMerge w:val="continue"/>
            <w:shd w:val="clear" w:color="auto" w:fill="auto"/>
            <w:noWrap w:val="0"/>
            <w:vAlign w:val="center"/>
          </w:tcPr>
          <w:p w14:paraId="2E681B16">
            <w:pPr>
              <w:jc w:val="both"/>
              <w:rPr>
                <w:rFonts w:hint="eastAsia" w:ascii="宋体" w:hAnsi="宋体" w:cs="宋体"/>
                <w:color w:val="000000"/>
                <w:sz w:val="22"/>
              </w:rPr>
            </w:pPr>
          </w:p>
        </w:tc>
        <w:tc>
          <w:tcPr>
            <w:tcW w:w="3194" w:type="pct"/>
            <w:noWrap w:val="0"/>
            <w:vAlign w:val="center"/>
          </w:tcPr>
          <w:p w14:paraId="0EC578F0">
            <w:pPr>
              <w:jc w:val="both"/>
              <w:rPr>
                <w:rFonts w:hint="eastAsia" w:ascii="宋体" w:hAnsi="宋体" w:cs="宋体"/>
                <w:color w:val="000000"/>
                <w:sz w:val="22"/>
              </w:rPr>
            </w:pPr>
            <w:r>
              <w:rPr>
                <w:rFonts w:hint="eastAsia" w:ascii="宋体" w:hAnsi="宋体" w:cs="宋体"/>
                <w:color w:val="000000"/>
                <w:sz w:val="22"/>
              </w:rPr>
              <w:t>5、其他：外延打磨指甲圆，光滑平整，正反面均无毛刺。底部加毛毡，起到防滑作用。</w:t>
            </w:r>
          </w:p>
        </w:tc>
      </w:tr>
      <w:tr w14:paraId="0ECDA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61" w:type="pct"/>
            <w:vMerge w:val="continue"/>
            <w:shd w:val="clear" w:color="auto" w:fill="auto"/>
            <w:noWrap w:val="0"/>
            <w:vAlign w:val="center"/>
          </w:tcPr>
          <w:p w14:paraId="1A7FD198">
            <w:pPr>
              <w:jc w:val="both"/>
              <w:rPr>
                <w:rFonts w:hint="eastAsia" w:ascii="宋体" w:hAnsi="宋体" w:cs="宋体"/>
                <w:color w:val="000000"/>
                <w:sz w:val="22"/>
              </w:rPr>
            </w:pPr>
          </w:p>
        </w:tc>
        <w:tc>
          <w:tcPr>
            <w:tcW w:w="1243" w:type="pct"/>
            <w:vMerge w:val="continue"/>
            <w:shd w:val="clear" w:color="auto" w:fill="auto"/>
            <w:noWrap w:val="0"/>
            <w:vAlign w:val="center"/>
          </w:tcPr>
          <w:p w14:paraId="37F3D998">
            <w:pPr>
              <w:jc w:val="both"/>
              <w:rPr>
                <w:rFonts w:hint="eastAsia" w:ascii="宋体" w:hAnsi="宋体" w:cs="宋体"/>
                <w:color w:val="000000"/>
                <w:sz w:val="22"/>
              </w:rPr>
            </w:pPr>
          </w:p>
        </w:tc>
        <w:tc>
          <w:tcPr>
            <w:tcW w:w="3194" w:type="pct"/>
            <w:noWrap w:val="0"/>
            <w:vAlign w:val="center"/>
          </w:tcPr>
          <w:p w14:paraId="6E222908">
            <w:pPr>
              <w:jc w:val="both"/>
              <w:rPr>
                <w:rFonts w:hint="eastAsia" w:ascii="宋体" w:hAnsi="宋体" w:cs="宋体"/>
                <w:color w:val="000000"/>
                <w:sz w:val="22"/>
              </w:rPr>
            </w:pPr>
            <w:r>
              <w:rPr>
                <w:rFonts w:hint="eastAsia" w:ascii="宋体" w:hAnsi="宋体" w:cs="宋体"/>
                <w:color w:val="000000"/>
                <w:sz w:val="22"/>
              </w:rPr>
              <w:t>6、产品符合儿童家具通用技术标准。</w:t>
            </w:r>
          </w:p>
        </w:tc>
      </w:tr>
      <w:tr w14:paraId="68F55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61" w:type="pct"/>
            <w:vMerge w:val="restart"/>
            <w:shd w:val="clear" w:color="auto" w:fill="auto"/>
            <w:noWrap w:val="0"/>
            <w:vAlign w:val="center"/>
          </w:tcPr>
          <w:p w14:paraId="37125536">
            <w:pPr>
              <w:jc w:val="center"/>
              <w:rPr>
                <w:rFonts w:hint="eastAsia" w:ascii="宋体" w:hAnsi="宋体" w:eastAsia="宋体" w:cs="宋体"/>
                <w:color w:val="000000"/>
                <w:kern w:val="2"/>
                <w:sz w:val="22"/>
                <w:szCs w:val="22"/>
                <w:lang w:val="en-US" w:eastAsia="zh-CN" w:bidi="ar-SA"/>
              </w:rPr>
            </w:pPr>
            <w:r>
              <w:rPr>
                <w:rFonts w:hint="eastAsia" w:ascii="宋体" w:hAnsi="宋体" w:cs="宋体"/>
                <w:color w:val="000000"/>
                <w:sz w:val="22"/>
              </w:rPr>
              <w:t>18</w:t>
            </w:r>
          </w:p>
        </w:tc>
        <w:tc>
          <w:tcPr>
            <w:tcW w:w="1243" w:type="pct"/>
            <w:vMerge w:val="restart"/>
            <w:shd w:val="clear" w:color="auto" w:fill="auto"/>
            <w:noWrap w:val="0"/>
            <w:vAlign w:val="center"/>
          </w:tcPr>
          <w:p w14:paraId="737F6482">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阶梯玩具柜</w:t>
            </w:r>
          </w:p>
        </w:tc>
        <w:tc>
          <w:tcPr>
            <w:tcW w:w="3194" w:type="pct"/>
            <w:noWrap w:val="0"/>
            <w:vAlign w:val="center"/>
          </w:tcPr>
          <w:p w14:paraId="162BABA1">
            <w:pPr>
              <w:jc w:val="both"/>
              <w:rPr>
                <w:rFonts w:hint="eastAsia" w:ascii="宋体" w:hAnsi="宋体" w:cs="宋体"/>
                <w:color w:val="000000"/>
                <w:sz w:val="22"/>
              </w:rPr>
            </w:pPr>
            <w:r>
              <w:rPr>
                <w:rFonts w:hint="eastAsia" w:ascii="宋体" w:hAnsi="宋体" w:cs="宋体"/>
                <w:color w:val="000000"/>
                <w:sz w:val="22"/>
              </w:rPr>
              <w:t>1、尺寸：L110cm*W33cm*H76cm（±</w:t>
            </w:r>
            <w:r>
              <w:rPr>
                <w:rFonts w:hint="eastAsia" w:ascii="宋体" w:hAnsi="宋体" w:cs="宋体"/>
                <w:color w:val="000000"/>
                <w:sz w:val="22"/>
                <w:lang w:val="en-US" w:eastAsia="zh-CN"/>
              </w:rPr>
              <w:t>2</w:t>
            </w:r>
            <w:r>
              <w:rPr>
                <w:rFonts w:hint="eastAsia" w:ascii="宋体" w:hAnsi="宋体" w:cs="宋体"/>
                <w:color w:val="000000"/>
                <w:sz w:val="22"/>
              </w:rPr>
              <w:t>cm）</w:t>
            </w:r>
          </w:p>
        </w:tc>
      </w:tr>
      <w:tr w14:paraId="540D9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61" w:type="pct"/>
            <w:vMerge w:val="continue"/>
            <w:shd w:val="clear" w:color="auto" w:fill="auto"/>
            <w:noWrap w:val="0"/>
            <w:vAlign w:val="center"/>
          </w:tcPr>
          <w:p w14:paraId="63797C3C">
            <w:pPr>
              <w:jc w:val="both"/>
            </w:pPr>
          </w:p>
        </w:tc>
        <w:tc>
          <w:tcPr>
            <w:tcW w:w="1243" w:type="pct"/>
            <w:vMerge w:val="continue"/>
            <w:shd w:val="clear" w:color="auto" w:fill="auto"/>
            <w:noWrap w:val="0"/>
            <w:vAlign w:val="center"/>
          </w:tcPr>
          <w:p w14:paraId="71D49543">
            <w:pPr>
              <w:jc w:val="both"/>
            </w:pPr>
          </w:p>
        </w:tc>
        <w:tc>
          <w:tcPr>
            <w:tcW w:w="3194" w:type="pct"/>
            <w:noWrap w:val="0"/>
            <w:vAlign w:val="center"/>
          </w:tcPr>
          <w:p w14:paraId="2F4FFC9A">
            <w:pPr>
              <w:jc w:val="both"/>
              <w:rPr>
                <w:rFonts w:hint="eastAsia" w:ascii="宋体" w:hAnsi="宋体" w:cs="宋体"/>
                <w:color w:val="000000"/>
                <w:sz w:val="22"/>
              </w:rPr>
            </w:pPr>
            <w:r>
              <w:rPr>
                <w:rFonts w:hint="eastAsia" w:ascii="宋体" w:hAnsi="宋体" w:cs="宋体"/>
                <w:color w:val="000000"/>
                <w:sz w:val="22"/>
              </w:rPr>
              <w:t>2、基材：桦木实木多层板，表面纹理清晰且全白、无结疤、无黑疤、无红点。柜体为三层阶梯式，自下而上共6格中空储物隔断，最底层为左中右3格，中间层为左中2格，顶层为1 格分区，隔断空间的内径长度不大于35cm（±</w:t>
            </w:r>
            <w:r>
              <w:rPr>
                <w:rFonts w:hint="eastAsia" w:ascii="宋体" w:hAnsi="宋体" w:cs="宋体"/>
                <w:color w:val="000000"/>
                <w:sz w:val="22"/>
                <w:lang w:val="en-US" w:eastAsia="zh-CN"/>
              </w:rPr>
              <w:t>1</w:t>
            </w:r>
            <w:r>
              <w:rPr>
                <w:rFonts w:hint="eastAsia" w:ascii="宋体" w:hAnsi="宋体" w:cs="宋体"/>
                <w:color w:val="000000"/>
                <w:sz w:val="22"/>
              </w:rPr>
              <w:t>cm），内径深度不小于31cm（±</w:t>
            </w:r>
            <w:r>
              <w:rPr>
                <w:rFonts w:hint="eastAsia" w:ascii="宋体" w:hAnsi="宋体" w:cs="宋体"/>
                <w:color w:val="000000"/>
                <w:sz w:val="22"/>
                <w:lang w:val="en-US" w:eastAsia="zh-CN"/>
              </w:rPr>
              <w:t>1</w:t>
            </w:r>
            <w:r>
              <w:rPr>
                <w:rFonts w:hint="eastAsia" w:ascii="宋体" w:hAnsi="宋体" w:cs="宋体"/>
                <w:color w:val="000000"/>
                <w:sz w:val="22"/>
              </w:rPr>
              <w:t>cm）,内径高度不大于21cm（±</w:t>
            </w:r>
            <w:r>
              <w:rPr>
                <w:rFonts w:hint="eastAsia" w:ascii="宋体" w:hAnsi="宋体" w:cs="宋体"/>
                <w:color w:val="000000"/>
                <w:sz w:val="22"/>
                <w:lang w:val="en-US" w:eastAsia="zh-CN"/>
              </w:rPr>
              <w:t>1</w:t>
            </w:r>
            <w:r>
              <w:rPr>
                <w:rFonts w:hint="eastAsia" w:ascii="宋体" w:hAnsi="宋体" w:cs="宋体"/>
                <w:color w:val="000000"/>
                <w:sz w:val="22"/>
              </w:rPr>
              <w:t>cm），中空区域均可放置尺寸31*20*13.5cm（±</w:t>
            </w:r>
            <w:r>
              <w:rPr>
                <w:rFonts w:hint="eastAsia" w:ascii="宋体" w:hAnsi="宋体" w:cs="宋体"/>
                <w:color w:val="000000"/>
                <w:sz w:val="22"/>
                <w:lang w:val="en-US" w:eastAsia="zh-CN"/>
              </w:rPr>
              <w:t>1</w:t>
            </w:r>
            <w:r>
              <w:rPr>
                <w:rFonts w:hint="eastAsia" w:ascii="宋体" w:hAnsi="宋体" w:cs="宋体"/>
                <w:color w:val="000000"/>
                <w:sz w:val="22"/>
              </w:rPr>
              <w:t>cm）的收纳盒，柜体用螺丝固定。</w:t>
            </w:r>
          </w:p>
        </w:tc>
      </w:tr>
      <w:tr w14:paraId="36334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61" w:type="pct"/>
            <w:vMerge w:val="continue"/>
            <w:shd w:val="clear" w:color="auto" w:fill="auto"/>
            <w:noWrap w:val="0"/>
            <w:vAlign w:val="center"/>
          </w:tcPr>
          <w:p w14:paraId="669F4ED3">
            <w:pPr>
              <w:jc w:val="both"/>
              <w:rPr>
                <w:rFonts w:hint="eastAsia" w:ascii="宋体" w:hAnsi="宋体" w:cs="宋体"/>
                <w:color w:val="000000"/>
                <w:sz w:val="22"/>
              </w:rPr>
            </w:pPr>
          </w:p>
        </w:tc>
        <w:tc>
          <w:tcPr>
            <w:tcW w:w="1243" w:type="pct"/>
            <w:vMerge w:val="continue"/>
            <w:shd w:val="clear" w:color="auto" w:fill="auto"/>
            <w:noWrap w:val="0"/>
            <w:vAlign w:val="center"/>
          </w:tcPr>
          <w:p w14:paraId="4E588245">
            <w:pPr>
              <w:jc w:val="both"/>
              <w:rPr>
                <w:rFonts w:hint="eastAsia" w:ascii="宋体" w:hAnsi="宋体" w:cs="宋体"/>
                <w:color w:val="000000"/>
                <w:sz w:val="22"/>
              </w:rPr>
            </w:pPr>
          </w:p>
        </w:tc>
        <w:tc>
          <w:tcPr>
            <w:tcW w:w="3194" w:type="pct"/>
            <w:noWrap w:val="0"/>
            <w:vAlign w:val="center"/>
          </w:tcPr>
          <w:p w14:paraId="003B5572">
            <w:pPr>
              <w:jc w:val="both"/>
              <w:rPr>
                <w:rFonts w:hint="eastAsia" w:ascii="宋体" w:hAnsi="宋体" w:cs="宋体"/>
                <w:color w:val="000000"/>
                <w:sz w:val="22"/>
              </w:rPr>
            </w:pPr>
            <w:r>
              <w:rPr>
                <w:rFonts w:hint="eastAsia" w:ascii="宋体" w:hAnsi="宋体" w:cs="宋体"/>
                <w:color w:val="000000"/>
                <w:sz w:val="22"/>
              </w:rPr>
              <w:t>3、五金：选用环保五金，安全无毒，色泽丰富。</w:t>
            </w:r>
          </w:p>
        </w:tc>
      </w:tr>
      <w:tr w14:paraId="49AD6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61" w:type="pct"/>
            <w:vMerge w:val="continue"/>
            <w:shd w:val="clear" w:color="auto" w:fill="auto"/>
            <w:noWrap w:val="0"/>
            <w:vAlign w:val="center"/>
          </w:tcPr>
          <w:p w14:paraId="26289CAE">
            <w:pPr>
              <w:jc w:val="both"/>
              <w:rPr>
                <w:rFonts w:hint="eastAsia" w:ascii="宋体" w:hAnsi="宋体" w:cs="宋体"/>
                <w:color w:val="000000"/>
                <w:sz w:val="22"/>
              </w:rPr>
            </w:pPr>
          </w:p>
        </w:tc>
        <w:tc>
          <w:tcPr>
            <w:tcW w:w="1243" w:type="pct"/>
            <w:vMerge w:val="continue"/>
            <w:shd w:val="clear" w:color="auto" w:fill="auto"/>
            <w:noWrap w:val="0"/>
            <w:vAlign w:val="center"/>
          </w:tcPr>
          <w:p w14:paraId="7D0D0B76">
            <w:pPr>
              <w:jc w:val="both"/>
              <w:rPr>
                <w:rFonts w:hint="eastAsia" w:ascii="宋体" w:hAnsi="宋体" w:cs="宋体"/>
                <w:color w:val="000000"/>
                <w:sz w:val="22"/>
              </w:rPr>
            </w:pPr>
          </w:p>
        </w:tc>
        <w:tc>
          <w:tcPr>
            <w:tcW w:w="3194" w:type="pct"/>
            <w:noWrap w:val="0"/>
            <w:vAlign w:val="center"/>
          </w:tcPr>
          <w:p w14:paraId="307BED4D">
            <w:pPr>
              <w:jc w:val="both"/>
              <w:rPr>
                <w:rFonts w:hint="eastAsia" w:ascii="宋体" w:hAnsi="宋体" w:cs="宋体"/>
                <w:color w:val="000000"/>
                <w:sz w:val="22"/>
              </w:rPr>
            </w:pPr>
            <w:r>
              <w:rPr>
                <w:rFonts w:hint="eastAsia" w:ascii="宋体" w:hAnsi="宋体" w:cs="宋体"/>
                <w:color w:val="000000"/>
                <w:sz w:val="22"/>
              </w:rPr>
              <w:t>4、油漆：采用绿色环保无毒水性漆，经过两底一面工艺制作。附着力、耐冲击、耐磨、耐湿不小于3 级，灼烧、耐液、耐干、 耐冷热。</w:t>
            </w:r>
          </w:p>
        </w:tc>
      </w:tr>
      <w:tr w14:paraId="49CED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61" w:type="pct"/>
            <w:vMerge w:val="continue"/>
            <w:shd w:val="clear" w:color="auto" w:fill="auto"/>
            <w:noWrap w:val="0"/>
            <w:vAlign w:val="center"/>
          </w:tcPr>
          <w:p w14:paraId="49E93B6A">
            <w:pPr>
              <w:jc w:val="both"/>
              <w:rPr>
                <w:rFonts w:hint="eastAsia" w:ascii="宋体" w:hAnsi="宋体" w:cs="宋体"/>
                <w:color w:val="000000"/>
                <w:sz w:val="22"/>
              </w:rPr>
            </w:pPr>
          </w:p>
        </w:tc>
        <w:tc>
          <w:tcPr>
            <w:tcW w:w="1243" w:type="pct"/>
            <w:vMerge w:val="continue"/>
            <w:shd w:val="clear" w:color="auto" w:fill="auto"/>
            <w:noWrap w:val="0"/>
            <w:vAlign w:val="center"/>
          </w:tcPr>
          <w:p w14:paraId="4D92EE74">
            <w:pPr>
              <w:jc w:val="both"/>
              <w:rPr>
                <w:rFonts w:hint="eastAsia" w:ascii="宋体" w:hAnsi="宋体" w:cs="宋体"/>
                <w:color w:val="000000"/>
                <w:sz w:val="22"/>
              </w:rPr>
            </w:pPr>
          </w:p>
        </w:tc>
        <w:tc>
          <w:tcPr>
            <w:tcW w:w="3194" w:type="pct"/>
            <w:noWrap w:val="0"/>
            <w:vAlign w:val="center"/>
          </w:tcPr>
          <w:p w14:paraId="265C2F88">
            <w:pPr>
              <w:jc w:val="both"/>
              <w:rPr>
                <w:rFonts w:hint="eastAsia" w:ascii="宋体" w:hAnsi="宋体" w:cs="宋体"/>
                <w:color w:val="000000"/>
                <w:sz w:val="22"/>
              </w:rPr>
            </w:pPr>
            <w:r>
              <w:rPr>
                <w:rFonts w:hint="eastAsia" w:ascii="宋体" w:hAnsi="宋体" w:cs="宋体"/>
                <w:color w:val="000000"/>
                <w:sz w:val="22"/>
              </w:rPr>
              <w:t>5、其他：外延打磨指甲圆，光滑平整，正反面均无毛刺。</w:t>
            </w:r>
          </w:p>
        </w:tc>
      </w:tr>
      <w:tr w14:paraId="56F92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61" w:type="pct"/>
            <w:vMerge w:val="continue"/>
            <w:shd w:val="clear" w:color="auto" w:fill="auto"/>
            <w:noWrap w:val="0"/>
            <w:vAlign w:val="center"/>
          </w:tcPr>
          <w:p w14:paraId="107B5D4C">
            <w:pPr>
              <w:jc w:val="both"/>
              <w:rPr>
                <w:rFonts w:hint="eastAsia" w:ascii="宋体" w:hAnsi="宋体" w:cs="宋体"/>
                <w:color w:val="000000"/>
                <w:sz w:val="22"/>
              </w:rPr>
            </w:pPr>
          </w:p>
        </w:tc>
        <w:tc>
          <w:tcPr>
            <w:tcW w:w="1243" w:type="pct"/>
            <w:vMerge w:val="continue"/>
            <w:shd w:val="clear" w:color="auto" w:fill="auto"/>
            <w:noWrap w:val="0"/>
            <w:vAlign w:val="center"/>
          </w:tcPr>
          <w:p w14:paraId="32DBE1A0">
            <w:pPr>
              <w:jc w:val="both"/>
              <w:rPr>
                <w:rFonts w:hint="eastAsia" w:ascii="宋体" w:hAnsi="宋体" w:cs="宋体"/>
                <w:color w:val="000000"/>
                <w:sz w:val="22"/>
              </w:rPr>
            </w:pPr>
          </w:p>
        </w:tc>
        <w:tc>
          <w:tcPr>
            <w:tcW w:w="3194" w:type="pct"/>
            <w:noWrap w:val="0"/>
            <w:vAlign w:val="center"/>
          </w:tcPr>
          <w:p w14:paraId="0E06D5E3">
            <w:pPr>
              <w:jc w:val="both"/>
              <w:rPr>
                <w:rFonts w:hint="eastAsia" w:ascii="宋体" w:hAnsi="宋体" w:cs="宋体"/>
                <w:color w:val="000000"/>
                <w:sz w:val="22"/>
              </w:rPr>
            </w:pPr>
            <w:r>
              <w:rPr>
                <w:rFonts w:hint="eastAsia" w:ascii="宋体" w:hAnsi="宋体" w:cs="宋体"/>
                <w:color w:val="000000"/>
                <w:sz w:val="22"/>
              </w:rPr>
              <w:t>6、产品符合儿童家具通用技术标准。</w:t>
            </w:r>
          </w:p>
        </w:tc>
      </w:tr>
      <w:tr w14:paraId="087A3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561" w:type="pct"/>
            <w:vMerge w:val="restart"/>
            <w:shd w:val="clear" w:color="auto" w:fill="auto"/>
            <w:noWrap w:val="0"/>
            <w:vAlign w:val="center"/>
          </w:tcPr>
          <w:p w14:paraId="0087A186">
            <w:pPr>
              <w:jc w:val="center"/>
              <w:rPr>
                <w:rFonts w:hint="eastAsia" w:ascii="宋体" w:hAnsi="宋体" w:eastAsia="宋体" w:cs="宋体"/>
                <w:color w:val="000000"/>
                <w:kern w:val="2"/>
                <w:sz w:val="22"/>
                <w:szCs w:val="22"/>
                <w:lang w:val="en-US" w:eastAsia="zh-CN" w:bidi="ar-SA"/>
              </w:rPr>
            </w:pPr>
            <w:r>
              <w:rPr>
                <w:rFonts w:hint="eastAsia" w:ascii="宋体" w:hAnsi="宋体" w:cs="宋体"/>
                <w:color w:val="000000"/>
                <w:sz w:val="22"/>
              </w:rPr>
              <w:t>19</w:t>
            </w:r>
          </w:p>
        </w:tc>
        <w:tc>
          <w:tcPr>
            <w:tcW w:w="1243" w:type="pct"/>
            <w:vMerge w:val="restart"/>
            <w:shd w:val="clear" w:color="auto" w:fill="auto"/>
            <w:noWrap w:val="0"/>
            <w:vAlign w:val="center"/>
          </w:tcPr>
          <w:p w14:paraId="576DE10A">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1/4 两层圆柜 - 铁艺网格背板</w:t>
            </w:r>
          </w:p>
        </w:tc>
        <w:tc>
          <w:tcPr>
            <w:tcW w:w="3194" w:type="pct"/>
            <w:noWrap w:val="0"/>
            <w:vAlign w:val="center"/>
          </w:tcPr>
          <w:p w14:paraId="5F1C95D4">
            <w:pPr>
              <w:jc w:val="both"/>
              <w:rPr>
                <w:rFonts w:hint="eastAsia" w:ascii="宋体" w:hAnsi="宋体" w:cs="宋体"/>
                <w:color w:val="000000"/>
                <w:sz w:val="22"/>
              </w:rPr>
            </w:pPr>
            <w:r>
              <w:rPr>
                <w:rFonts w:hint="eastAsia" w:ascii="宋体" w:hAnsi="宋体" w:cs="宋体"/>
                <w:color w:val="000000"/>
                <w:sz w:val="22"/>
              </w:rPr>
              <w:t>1、尺寸：L110cm*W33cm*H60.5cm（±</w:t>
            </w:r>
            <w:r>
              <w:rPr>
                <w:rFonts w:hint="eastAsia" w:ascii="宋体" w:hAnsi="宋体" w:cs="宋体"/>
                <w:color w:val="000000"/>
                <w:sz w:val="22"/>
                <w:lang w:val="en-US" w:eastAsia="zh-CN"/>
              </w:rPr>
              <w:t>2</w:t>
            </w:r>
            <w:r>
              <w:rPr>
                <w:rFonts w:hint="eastAsia" w:ascii="宋体" w:hAnsi="宋体" w:cs="宋体"/>
                <w:color w:val="000000"/>
                <w:sz w:val="22"/>
              </w:rPr>
              <w:t>cm）</w:t>
            </w:r>
          </w:p>
        </w:tc>
      </w:tr>
      <w:tr w14:paraId="37BDC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561" w:type="pct"/>
            <w:vMerge w:val="continue"/>
            <w:shd w:val="clear" w:color="auto" w:fill="auto"/>
            <w:noWrap w:val="0"/>
            <w:vAlign w:val="center"/>
          </w:tcPr>
          <w:p w14:paraId="7456D9B8">
            <w:pPr>
              <w:jc w:val="both"/>
            </w:pPr>
          </w:p>
        </w:tc>
        <w:tc>
          <w:tcPr>
            <w:tcW w:w="1243" w:type="pct"/>
            <w:vMerge w:val="continue"/>
            <w:shd w:val="clear" w:color="auto" w:fill="auto"/>
            <w:noWrap w:val="0"/>
            <w:vAlign w:val="center"/>
          </w:tcPr>
          <w:p w14:paraId="06893B19">
            <w:pPr>
              <w:jc w:val="both"/>
            </w:pPr>
          </w:p>
        </w:tc>
        <w:tc>
          <w:tcPr>
            <w:tcW w:w="3194" w:type="pct"/>
            <w:noWrap w:val="0"/>
            <w:vAlign w:val="center"/>
          </w:tcPr>
          <w:p w14:paraId="35CB91B2">
            <w:pPr>
              <w:jc w:val="both"/>
              <w:rPr>
                <w:rFonts w:hint="eastAsia" w:ascii="宋体" w:hAnsi="宋体" w:cs="宋体"/>
                <w:color w:val="000000"/>
                <w:sz w:val="22"/>
              </w:rPr>
            </w:pPr>
            <w:r>
              <w:rPr>
                <w:rFonts w:hint="eastAsia" w:ascii="宋体" w:hAnsi="宋体" w:cs="宋体"/>
                <w:color w:val="000000"/>
                <w:sz w:val="22"/>
              </w:rPr>
              <w:t>2、基材：桦木实木多层板，表面纹理清晰且全白、无结疤、无黑疤、无红点。 柜体为二层式样 1/4 圆形储物空间，二层 4 格分区，顶板为宽距 13cm（±</w:t>
            </w:r>
            <w:r>
              <w:rPr>
                <w:rFonts w:hint="eastAsia" w:ascii="宋体" w:hAnsi="宋体" w:cs="宋体"/>
                <w:color w:val="000000"/>
                <w:sz w:val="22"/>
                <w:lang w:val="en-US" w:eastAsia="zh-CN"/>
              </w:rPr>
              <w:t>1</w:t>
            </w:r>
            <w:r>
              <w:rPr>
                <w:rFonts w:hint="eastAsia" w:ascii="宋体" w:hAnsi="宋体" w:cs="宋体"/>
                <w:color w:val="000000"/>
                <w:sz w:val="22"/>
              </w:rPr>
              <w:t>cm）的 1/4 圆形面板，自上而下第一层为 2 格扇形中空分区，分区空间上弧和下弧最宽处间距不大于 33cm（±</w:t>
            </w:r>
            <w:r>
              <w:rPr>
                <w:rFonts w:hint="eastAsia" w:ascii="宋体" w:hAnsi="宋体" w:cs="宋体"/>
                <w:color w:val="000000"/>
                <w:sz w:val="22"/>
                <w:lang w:val="en-US" w:eastAsia="zh-CN"/>
              </w:rPr>
              <w:t>1</w:t>
            </w:r>
            <w:r>
              <w:rPr>
                <w:rFonts w:hint="eastAsia" w:ascii="宋体" w:hAnsi="宋体" w:cs="宋体"/>
                <w:color w:val="000000"/>
                <w:sz w:val="22"/>
              </w:rPr>
              <w:t>cm），最窄间距不大于 32.5cm（±</w:t>
            </w:r>
            <w:r>
              <w:rPr>
                <w:rFonts w:hint="eastAsia" w:ascii="宋体" w:hAnsi="宋体" w:cs="宋体"/>
                <w:color w:val="000000"/>
                <w:sz w:val="22"/>
                <w:lang w:val="en-US" w:eastAsia="zh-CN"/>
              </w:rPr>
              <w:t>1</w:t>
            </w:r>
            <w:r>
              <w:rPr>
                <w:rFonts w:hint="eastAsia" w:ascii="宋体" w:hAnsi="宋体" w:cs="宋体"/>
                <w:color w:val="000000"/>
                <w:sz w:val="22"/>
              </w:rPr>
              <w:t>cm）,空间内径高度不大于 26cm（±</w:t>
            </w:r>
            <w:r>
              <w:rPr>
                <w:rFonts w:hint="eastAsia" w:ascii="宋体" w:hAnsi="宋体" w:cs="宋体"/>
                <w:color w:val="000000"/>
                <w:sz w:val="22"/>
                <w:lang w:val="en-US" w:eastAsia="zh-CN"/>
              </w:rPr>
              <w:t>1</w:t>
            </w:r>
            <w:r>
              <w:rPr>
                <w:rFonts w:hint="eastAsia" w:ascii="宋体" w:hAnsi="宋体" w:cs="宋体"/>
                <w:color w:val="000000"/>
                <w:sz w:val="22"/>
              </w:rPr>
              <w:t>cm）。 第二层为有灰色网孔低碳钢铁艺背板 2 格扇形分区，网孔为圆形，分区空间上弧和下弧间距最宽不大于 31cm（±</w:t>
            </w:r>
            <w:r>
              <w:rPr>
                <w:rFonts w:hint="eastAsia" w:ascii="宋体" w:hAnsi="宋体" w:cs="宋体"/>
                <w:color w:val="000000"/>
                <w:sz w:val="22"/>
                <w:lang w:val="en-US" w:eastAsia="zh-CN"/>
              </w:rPr>
              <w:t>1</w:t>
            </w:r>
            <w:r>
              <w:rPr>
                <w:rFonts w:hint="eastAsia" w:ascii="宋体" w:hAnsi="宋体" w:cs="宋体"/>
                <w:color w:val="000000"/>
                <w:sz w:val="22"/>
              </w:rPr>
              <w:t>cm），间距最窄不大于 30.5cm（±</w:t>
            </w:r>
            <w:r>
              <w:rPr>
                <w:rFonts w:hint="eastAsia" w:ascii="宋体" w:hAnsi="宋体" w:cs="宋体"/>
                <w:color w:val="000000"/>
                <w:sz w:val="22"/>
                <w:lang w:val="en-US" w:eastAsia="zh-CN"/>
              </w:rPr>
              <w:t>1</w:t>
            </w:r>
            <w:r>
              <w:rPr>
                <w:rFonts w:hint="eastAsia" w:ascii="宋体" w:hAnsi="宋体" w:cs="宋体"/>
                <w:color w:val="000000"/>
                <w:sz w:val="22"/>
              </w:rPr>
              <w:t>cm），空间内径高度不大于 26cm（±</w:t>
            </w:r>
            <w:r>
              <w:rPr>
                <w:rFonts w:hint="eastAsia" w:ascii="宋体" w:hAnsi="宋体" w:cs="宋体"/>
                <w:color w:val="000000"/>
                <w:sz w:val="22"/>
                <w:lang w:val="en-US" w:eastAsia="zh-CN"/>
              </w:rPr>
              <w:t>1</w:t>
            </w:r>
            <w:r>
              <w:rPr>
                <w:rFonts w:hint="eastAsia" w:ascii="宋体" w:hAnsi="宋体" w:cs="宋体"/>
                <w:color w:val="000000"/>
                <w:sz w:val="22"/>
              </w:rPr>
              <w:t>cm）。柜体用螺丝固定。</w:t>
            </w:r>
          </w:p>
        </w:tc>
      </w:tr>
      <w:tr w14:paraId="766EE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561" w:type="pct"/>
            <w:vMerge w:val="continue"/>
            <w:shd w:val="clear" w:color="auto" w:fill="auto"/>
            <w:noWrap w:val="0"/>
            <w:vAlign w:val="center"/>
          </w:tcPr>
          <w:p w14:paraId="31896AE2">
            <w:pPr>
              <w:jc w:val="both"/>
              <w:rPr>
                <w:rFonts w:hint="eastAsia" w:ascii="宋体" w:hAnsi="宋体" w:cs="宋体"/>
                <w:color w:val="000000"/>
                <w:sz w:val="22"/>
              </w:rPr>
            </w:pPr>
          </w:p>
        </w:tc>
        <w:tc>
          <w:tcPr>
            <w:tcW w:w="1243" w:type="pct"/>
            <w:vMerge w:val="continue"/>
            <w:shd w:val="clear" w:color="auto" w:fill="auto"/>
            <w:noWrap w:val="0"/>
            <w:vAlign w:val="center"/>
          </w:tcPr>
          <w:p w14:paraId="7D7187E9">
            <w:pPr>
              <w:jc w:val="both"/>
              <w:rPr>
                <w:rFonts w:hint="eastAsia" w:ascii="宋体" w:hAnsi="宋体" w:cs="宋体"/>
                <w:color w:val="000000"/>
                <w:sz w:val="22"/>
              </w:rPr>
            </w:pPr>
          </w:p>
        </w:tc>
        <w:tc>
          <w:tcPr>
            <w:tcW w:w="3194" w:type="pct"/>
            <w:noWrap w:val="0"/>
            <w:vAlign w:val="center"/>
          </w:tcPr>
          <w:p w14:paraId="65BE3BE1">
            <w:pPr>
              <w:jc w:val="both"/>
              <w:rPr>
                <w:rFonts w:hint="eastAsia" w:ascii="宋体" w:hAnsi="宋体" w:cs="宋体"/>
                <w:color w:val="000000"/>
                <w:sz w:val="22"/>
              </w:rPr>
            </w:pPr>
            <w:r>
              <w:rPr>
                <w:rFonts w:hint="eastAsia" w:ascii="宋体" w:hAnsi="宋体" w:cs="宋体"/>
                <w:color w:val="000000"/>
                <w:sz w:val="22"/>
              </w:rPr>
              <w:t>3、五金：选用环保五金，安全无毒，色泽丰富。</w:t>
            </w:r>
          </w:p>
        </w:tc>
      </w:tr>
      <w:tr w14:paraId="0305B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561" w:type="pct"/>
            <w:vMerge w:val="continue"/>
            <w:shd w:val="clear" w:color="auto" w:fill="auto"/>
            <w:noWrap w:val="0"/>
            <w:vAlign w:val="center"/>
          </w:tcPr>
          <w:p w14:paraId="30617CEF">
            <w:pPr>
              <w:jc w:val="both"/>
              <w:rPr>
                <w:rFonts w:hint="eastAsia" w:ascii="宋体" w:hAnsi="宋体" w:cs="宋体"/>
                <w:color w:val="000000"/>
                <w:sz w:val="22"/>
              </w:rPr>
            </w:pPr>
          </w:p>
        </w:tc>
        <w:tc>
          <w:tcPr>
            <w:tcW w:w="1243" w:type="pct"/>
            <w:vMerge w:val="continue"/>
            <w:shd w:val="clear" w:color="auto" w:fill="auto"/>
            <w:noWrap w:val="0"/>
            <w:vAlign w:val="center"/>
          </w:tcPr>
          <w:p w14:paraId="73FAAA2E">
            <w:pPr>
              <w:jc w:val="both"/>
              <w:rPr>
                <w:rFonts w:hint="eastAsia" w:ascii="宋体" w:hAnsi="宋体" w:cs="宋体"/>
                <w:color w:val="000000"/>
                <w:sz w:val="22"/>
              </w:rPr>
            </w:pPr>
          </w:p>
        </w:tc>
        <w:tc>
          <w:tcPr>
            <w:tcW w:w="3194" w:type="pct"/>
            <w:noWrap w:val="0"/>
            <w:vAlign w:val="center"/>
          </w:tcPr>
          <w:p w14:paraId="25C1B971">
            <w:pPr>
              <w:jc w:val="both"/>
              <w:rPr>
                <w:rFonts w:hint="eastAsia" w:ascii="宋体" w:hAnsi="宋体" w:cs="宋体"/>
                <w:color w:val="000000"/>
                <w:sz w:val="22"/>
              </w:rPr>
            </w:pPr>
            <w:r>
              <w:rPr>
                <w:rFonts w:hint="eastAsia" w:ascii="宋体" w:hAnsi="宋体" w:cs="宋体"/>
                <w:color w:val="000000"/>
                <w:sz w:val="22"/>
              </w:rPr>
              <w:t>4、油漆：采用绿色环保无毒水性漆，经过两底一面工艺制作。附着力、耐冲击、耐磨、耐湿不小于3 级，灼烧、耐液、耐干、 耐冷热。</w:t>
            </w:r>
          </w:p>
        </w:tc>
      </w:tr>
      <w:tr w14:paraId="0B13D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561" w:type="pct"/>
            <w:vMerge w:val="continue"/>
            <w:shd w:val="clear" w:color="auto" w:fill="auto"/>
            <w:noWrap w:val="0"/>
            <w:vAlign w:val="center"/>
          </w:tcPr>
          <w:p w14:paraId="7D9F3CD3">
            <w:pPr>
              <w:jc w:val="both"/>
              <w:rPr>
                <w:rFonts w:hint="eastAsia" w:ascii="宋体" w:hAnsi="宋体" w:cs="宋体"/>
                <w:color w:val="000000"/>
                <w:sz w:val="22"/>
              </w:rPr>
            </w:pPr>
          </w:p>
        </w:tc>
        <w:tc>
          <w:tcPr>
            <w:tcW w:w="1243" w:type="pct"/>
            <w:vMerge w:val="continue"/>
            <w:shd w:val="clear" w:color="auto" w:fill="auto"/>
            <w:noWrap w:val="0"/>
            <w:vAlign w:val="center"/>
          </w:tcPr>
          <w:p w14:paraId="23757680">
            <w:pPr>
              <w:jc w:val="both"/>
              <w:rPr>
                <w:rFonts w:hint="eastAsia" w:ascii="宋体" w:hAnsi="宋体" w:cs="宋体"/>
                <w:color w:val="000000"/>
                <w:sz w:val="22"/>
              </w:rPr>
            </w:pPr>
          </w:p>
        </w:tc>
        <w:tc>
          <w:tcPr>
            <w:tcW w:w="3194" w:type="pct"/>
            <w:noWrap w:val="0"/>
            <w:vAlign w:val="center"/>
          </w:tcPr>
          <w:p w14:paraId="6CC7E3E9">
            <w:pPr>
              <w:jc w:val="both"/>
              <w:rPr>
                <w:rFonts w:hint="eastAsia" w:ascii="宋体" w:hAnsi="宋体" w:cs="宋体"/>
                <w:color w:val="000000"/>
                <w:sz w:val="22"/>
              </w:rPr>
            </w:pPr>
            <w:r>
              <w:rPr>
                <w:rFonts w:hint="eastAsia" w:ascii="宋体" w:hAnsi="宋体" w:cs="宋体"/>
                <w:color w:val="000000"/>
                <w:sz w:val="22"/>
              </w:rPr>
              <w:t>5、其他：外延打磨指甲圆，光滑平整，正反面均无毛刺。铁网，采用低碳钢材质，安装简单方便。</w:t>
            </w:r>
          </w:p>
          <w:p w14:paraId="3A0664AF">
            <w:pPr>
              <w:jc w:val="both"/>
              <w:rPr>
                <w:rFonts w:hint="eastAsia" w:ascii="宋体" w:hAnsi="宋体" w:cs="宋体"/>
                <w:color w:val="FF0000"/>
                <w:sz w:val="22"/>
              </w:rPr>
            </w:pPr>
            <w:r>
              <w:rPr>
                <w:rFonts w:hint="eastAsia" w:ascii="宋体" w:hAnsi="宋体" w:cs="宋体"/>
                <w:color w:val="000000"/>
                <w:sz w:val="22"/>
              </w:rPr>
              <w:t>▲</w:t>
            </w:r>
            <w:r>
              <w:rPr>
                <w:rFonts w:hint="eastAsia" w:ascii="宋体" w:hAnsi="宋体" w:cs="宋体"/>
                <w:color w:val="FF0000"/>
                <w:sz w:val="22"/>
              </w:rPr>
              <w:t>提供具有CMA或CNAS标识的低碳钢符合《GB/T1741-2020 低碳钢的耐霉菌性能》的检测报告扫描件。（报告委托单位或报告抬头公司名称须与投标人或本次投标所提供货物制造商一致）</w:t>
            </w:r>
          </w:p>
          <w:p w14:paraId="58671E9B">
            <w:pPr>
              <w:jc w:val="both"/>
              <w:rPr>
                <w:rFonts w:hint="eastAsia" w:ascii="宋体" w:hAnsi="宋体" w:cs="宋体"/>
                <w:color w:val="000000"/>
                <w:sz w:val="22"/>
              </w:rPr>
            </w:pPr>
            <w:r>
              <w:rPr>
                <w:rFonts w:hint="eastAsia" w:ascii="宋体" w:hAnsi="宋体" w:cs="宋体"/>
                <w:color w:val="FF0000"/>
                <w:sz w:val="22"/>
              </w:rPr>
              <w:t>要求：提供检测报告关键信息扫描件；检测报告在全国认证认可信息公共服务平台网站（http://cx.cnca.cn/CertECloud/qts/qts/qtsPage）查询截图扫描件。投标人必须是所投产品的制造商或代理商，代理商需提供产品制造商品牌授权委托书。</w:t>
            </w:r>
          </w:p>
        </w:tc>
      </w:tr>
      <w:tr w14:paraId="08D58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561" w:type="pct"/>
            <w:vMerge w:val="continue"/>
            <w:shd w:val="clear" w:color="auto" w:fill="auto"/>
            <w:noWrap w:val="0"/>
            <w:vAlign w:val="center"/>
          </w:tcPr>
          <w:p w14:paraId="213D29F8">
            <w:pPr>
              <w:jc w:val="both"/>
              <w:rPr>
                <w:rFonts w:hint="eastAsia" w:ascii="宋体" w:hAnsi="宋体" w:cs="宋体"/>
                <w:color w:val="000000"/>
                <w:sz w:val="22"/>
              </w:rPr>
            </w:pPr>
          </w:p>
        </w:tc>
        <w:tc>
          <w:tcPr>
            <w:tcW w:w="1243" w:type="pct"/>
            <w:vMerge w:val="continue"/>
            <w:shd w:val="clear" w:color="auto" w:fill="auto"/>
            <w:noWrap w:val="0"/>
            <w:vAlign w:val="center"/>
          </w:tcPr>
          <w:p w14:paraId="5EEBC2E2">
            <w:pPr>
              <w:jc w:val="both"/>
              <w:rPr>
                <w:rFonts w:hint="eastAsia" w:ascii="宋体" w:hAnsi="宋体" w:cs="宋体"/>
                <w:color w:val="000000"/>
                <w:sz w:val="22"/>
              </w:rPr>
            </w:pPr>
          </w:p>
        </w:tc>
        <w:tc>
          <w:tcPr>
            <w:tcW w:w="3194" w:type="pct"/>
            <w:noWrap w:val="0"/>
            <w:vAlign w:val="center"/>
          </w:tcPr>
          <w:p w14:paraId="68B14A7B">
            <w:pPr>
              <w:jc w:val="both"/>
              <w:rPr>
                <w:rFonts w:hint="eastAsia" w:ascii="宋体" w:hAnsi="宋体" w:cs="宋体"/>
                <w:color w:val="000000"/>
                <w:sz w:val="22"/>
              </w:rPr>
            </w:pPr>
            <w:r>
              <w:rPr>
                <w:rFonts w:hint="eastAsia" w:ascii="宋体" w:hAnsi="宋体" w:cs="宋体"/>
                <w:color w:val="000000"/>
                <w:sz w:val="22"/>
              </w:rPr>
              <w:t>6、产品符合儿童家具通用技术标准。</w:t>
            </w:r>
          </w:p>
        </w:tc>
      </w:tr>
      <w:tr w14:paraId="39D6A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61" w:type="pct"/>
            <w:vMerge w:val="restart"/>
            <w:shd w:val="clear" w:color="auto" w:fill="auto"/>
            <w:noWrap w:val="0"/>
            <w:vAlign w:val="center"/>
          </w:tcPr>
          <w:p w14:paraId="32CA4763">
            <w:pPr>
              <w:jc w:val="center"/>
              <w:rPr>
                <w:rFonts w:hint="eastAsia" w:ascii="宋体" w:hAnsi="宋体" w:eastAsia="宋体" w:cs="宋体"/>
                <w:color w:val="000000"/>
                <w:kern w:val="2"/>
                <w:sz w:val="22"/>
                <w:szCs w:val="22"/>
                <w:lang w:val="en-US" w:eastAsia="zh-CN" w:bidi="ar-SA"/>
              </w:rPr>
            </w:pPr>
            <w:r>
              <w:rPr>
                <w:rFonts w:hint="eastAsia" w:ascii="宋体" w:hAnsi="宋体" w:cs="宋体"/>
                <w:color w:val="000000"/>
                <w:sz w:val="22"/>
              </w:rPr>
              <w:t>20</w:t>
            </w:r>
          </w:p>
        </w:tc>
        <w:tc>
          <w:tcPr>
            <w:tcW w:w="1243" w:type="pct"/>
            <w:vMerge w:val="restart"/>
            <w:shd w:val="clear" w:color="auto" w:fill="auto"/>
            <w:noWrap w:val="0"/>
            <w:vAlign w:val="center"/>
          </w:tcPr>
          <w:p w14:paraId="4784604C">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哥德堡两层角柜</w:t>
            </w:r>
          </w:p>
        </w:tc>
        <w:tc>
          <w:tcPr>
            <w:tcW w:w="3194" w:type="pct"/>
            <w:noWrap w:val="0"/>
            <w:vAlign w:val="center"/>
          </w:tcPr>
          <w:p w14:paraId="002AFD88">
            <w:pPr>
              <w:jc w:val="both"/>
              <w:rPr>
                <w:rFonts w:hint="eastAsia" w:ascii="宋体" w:hAnsi="宋体" w:cs="宋体"/>
                <w:color w:val="000000"/>
                <w:sz w:val="22"/>
              </w:rPr>
            </w:pPr>
            <w:r>
              <w:rPr>
                <w:rFonts w:hint="eastAsia" w:ascii="宋体" w:hAnsi="宋体" w:cs="宋体"/>
                <w:color w:val="000000"/>
                <w:sz w:val="22"/>
              </w:rPr>
              <w:t>1、尺寸：L33cm*W33cm*H54cm（±</w:t>
            </w:r>
            <w:r>
              <w:rPr>
                <w:rFonts w:hint="eastAsia" w:ascii="宋体" w:hAnsi="宋体" w:cs="宋体"/>
                <w:color w:val="000000"/>
                <w:sz w:val="22"/>
                <w:lang w:val="en-US" w:eastAsia="zh-CN"/>
              </w:rPr>
              <w:t>2</w:t>
            </w:r>
            <w:r>
              <w:rPr>
                <w:rFonts w:hint="eastAsia" w:ascii="宋体" w:hAnsi="宋体" w:cs="宋体"/>
                <w:color w:val="000000"/>
                <w:sz w:val="22"/>
              </w:rPr>
              <w:t>cm）</w:t>
            </w:r>
          </w:p>
        </w:tc>
      </w:tr>
      <w:tr w14:paraId="3FCBA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61" w:type="pct"/>
            <w:vMerge w:val="continue"/>
            <w:shd w:val="clear" w:color="auto" w:fill="auto"/>
            <w:noWrap w:val="0"/>
            <w:vAlign w:val="center"/>
          </w:tcPr>
          <w:p w14:paraId="445103FF">
            <w:pPr>
              <w:jc w:val="both"/>
            </w:pPr>
          </w:p>
        </w:tc>
        <w:tc>
          <w:tcPr>
            <w:tcW w:w="1243" w:type="pct"/>
            <w:vMerge w:val="continue"/>
            <w:shd w:val="clear" w:color="auto" w:fill="auto"/>
            <w:noWrap w:val="0"/>
            <w:vAlign w:val="center"/>
          </w:tcPr>
          <w:p w14:paraId="60B7BEC8">
            <w:pPr>
              <w:jc w:val="both"/>
            </w:pPr>
          </w:p>
        </w:tc>
        <w:tc>
          <w:tcPr>
            <w:tcW w:w="3194" w:type="pct"/>
            <w:noWrap w:val="0"/>
            <w:vAlign w:val="center"/>
          </w:tcPr>
          <w:p w14:paraId="7279BB08">
            <w:pPr>
              <w:jc w:val="both"/>
              <w:rPr>
                <w:rFonts w:hint="eastAsia" w:ascii="宋体" w:hAnsi="宋体" w:cs="宋体"/>
                <w:color w:val="000000"/>
                <w:sz w:val="22"/>
              </w:rPr>
            </w:pPr>
            <w:r>
              <w:rPr>
                <w:rFonts w:hint="eastAsia" w:ascii="宋体" w:hAnsi="宋体" w:cs="宋体"/>
                <w:color w:val="000000"/>
                <w:sz w:val="22"/>
              </w:rPr>
              <w:t>2、基材：桦木实木多层板，其中侧板及顶板为白色防火板贴面，表面纹理清晰且全白、无结疤、无黑疤、无红点。柜体为二层90度扇形储物空间，顶板直角边长不大于26cm（±</w:t>
            </w:r>
            <w:r>
              <w:rPr>
                <w:rFonts w:hint="eastAsia" w:ascii="宋体" w:hAnsi="宋体" w:cs="宋体"/>
                <w:color w:val="000000"/>
                <w:sz w:val="22"/>
                <w:lang w:val="en-US" w:eastAsia="zh-CN"/>
              </w:rPr>
              <w:t>1</w:t>
            </w:r>
            <w:r>
              <w:rPr>
                <w:rFonts w:hint="eastAsia" w:ascii="宋体" w:hAnsi="宋体" w:cs="宋体"/>
                <w:color w:val="000000"/>
                <w:sz w:val="22"/>
              </w:rPr>
              <w:t>cm），下层直角边长不大于31cm（±</w:t>
            </w:r>
            <w:r>
              <w:rPr>
                <w:rFonts w:hint="eastAsia" w:ascii="宋体" w:hAnsi="宋体" w:cs="宋体"/>
                <w:color w:val="000000"/>
                <w:sz w:val="22"/>
                <w:lang w:val="en-US" w:eastAsia="zh-CN"/>
              </w:rPr>
              <w:t>1</w:t>
            </w:r>
            <w:r>
              <w:rPr>
                <w:rFonts w:hint="eastAsia" w:ascii="宋体" w:hAnsi="宋体" w:cs="宋体"/>
                <w:color w:val="000000"/>
                <w:sz w:val="22"/>
              </w:rPr>
              <w:t>cm），内径高度不大于21cm（±</w:t>
            </w:r>
            <w:r>
              <w:rPr>
                <w:rFonts w:hint="eastAsia" w:ascii="宋体" w:hAnsi="宋体" w:cs="宋体"/>
                <w:color w:val="000000"/>
                <w:sz w:val="22"/>
                <w:lang w:val="en-US" w:eastAsia="zh-CN"/>
              </w:rPr>
              <w:t>1</w:t>
            </w:r>
            <w:r>
              <w:rPr>
                <w:rFonts w:hint="eastAsia" w:ascii="宋体" w:hAnsi="宋体" w:cs="宋体"/>
                <w:color w:val="000000"/>
                <w:sz w:val="22"/>
              </w:rPr>
              <w:t>cm）,柜体各层板都为原木色，其他两面侧板内外皆为白色。</w:t>
            </w:r>
          </w:p>
        </w:tc>
      </w:tr>
      <w:tr w14:paraId="29250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61" w:type="pct"/>
            <w:vMerge w:val="continue"/>
            <w:shd w:val="clear" w:color="auto" w:fill="auto"/>
            <w:noWrap w:val="0"/>
            <w:vAlign w:val="center"/>
          </w:tcPr>
          <w:p w14:paraId="1DE0D7FB">
            <w:pPr>
              <w:jc w:val="both"/>
              <w:rPr>
                <w:rFonts w:hint="eastAsia" w:ascii="宋体" w:hAnsi="宋体" w:cs="宋体"/>
                <w:color w:val="000000"/>
                <w:sz w:val="22"/>
              </w:rPr>
            </w:pPr>
          </w:p>
        </w:tc>
        <w:tc>
          <w:tcPr>
            <w:tcW w:w="1243" w:type="pct"/>
            <w:vMerge w:val="continue"/>
            <w:shd w:val="clear" w:color="auto" w:fill="auto"/>
            <w:noWrap w:val="0"/>
            <w:vAlign w:val="center"/>
          </w:tcPr>
          <w:p w14:paraId="449CA906">
            <w:pPr>
              <w:jc w:val="both"/>
              <w:rPr>
                <w:rFonts w:hint="eastAsia" w:ascii="宋体" w:hAnsi="宋体" w:cs="宋体"/>
                <w:color w:val="000000"/>
                <w:sz w:val="22"/>
              </w:rPr>
            </w:pPr>
          </w:p>
        </w:tc>
        <w:tc>
          <w:tcPr>
            <w:tcW w:w="3194" w:type="pct"/>
            <w:noWrap w:val="0"/>
            <w:vAlign w:val="center"/>
          </w:tcPr>
          <w:p w14:paraId="6E62975F">
            <w:pPr>
              <w:jc w:val="both"/>
              <w:rPr>
                <w:rFonts w:hint="eastAsia" w:ascii="宋体" w:hAnsi="宋体" w:cs="宋体"/>
                <w:color w:val="000000"/>
                <w:sz w:val="22"/>
              </w:rPr>
            </w:pPr>
            <w:r>
              <w:rPr>
                <w:rFonts w:hint="eastAsia" w:ascii="宋体" w:hAnsi="宋体" w:cs="宋体"/>
                <w:color w:val="000000"/>
                <w:sz w:val="22"/>
              </w:rPr>
              <w:t>3、五金：选用环保五金，安全无毒，色泽丰富。</w:t>
            </w:r>
          </w:p>
        </w:tc>
      </w:tr>
      <w:tr w14:paraId="47FA1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61" w:type="pct"/>
            <w:vMerge w:val="continue"/>
            <w:shd w:val="clear" w:color="auto" w:fill="auto"/>
            <w:noWrap w:val="0"/>
            <w:vAlign w:val="center"/>
          </w:tcPr>
          <w:p w14:paraId="32CB9D54">
            <w:pPr>
              <w:jc w:val="both"/>
              <w:rPr>
                <w:rFonts w:hint="eastAsia" w:ascii="宋体" w:hAnsi="宋体" w:cs="宋体"/>
                <w:color w:val="000000"/>
                <w:sz w:val="22"/>
              </w:rPr>
            </w:pPr>
          </w:p>
        </w:tc>
        <w:tc>
          <w:tcPr>
            <w:tcW w:w="1243" w:type="pct"/>
            <w:vMerge w:val="continue"/>
            <w:shd w:val="clear" w:color="auto" w:fill="auto"/>
            <w:noWrap w:val="0"/>
            <w:vAlign w:val="center"/>
          </w:tcPr>
          <w:p w14:paraId="6493FE69">
            <w:pPr>
              <w:jc w:val="both"/>
              <w:rPr>
                <w:rFonts w:hint="eastAsia" w:ascii="宋体" w:hAnsi="宋体" w:cs="宋体"/>
                <w:color w:val="000000"/>
                <w:sz w:val="22"/>
              </w:rPr>
            </w:pPr>
          </w:p>
        </w:tc>
        <w:tc>
          <w:tcPr>
            <w:tcW w:w="3194" w:type="pct"/>
            <w:noWrap w:val="0"/>
            <w:vAlign w:val="center"/>
          </w:tcPr>
          <w:p w14:paraId="3A80808D">
            <w:pPr>
              <w:jc w:val="both"/>
              <w:rPr>
                <w:rFonts w:hint="eastAsia" w:ascii="宋体" w:hAnsi="宋体" w:cs="宋体"/>
                <w:color w:val="000000"/>
                <w:sz w:val="22"/>
              </w:rPr>
            </w:pPr>
            <w:r>
              <w:rPr>
                <w:rFonts w:hint="eastAsia" w:ascii="宋体" w:hAnsi="宋体" w:cs="宋体"/>
                <w:color w:val="000000"/>
                <w:sz w:val="22"/>
              </w:rPr>
              <w:t>4、油漆：采用绿色环保无毒水性漆，经过两底一面工艺制作。附着力、耐冲击、耐磨、耐湿不小于3 级，灼烧、耐液、耐干、 耐冷热。</w:t>
            </w:r>
          </w:p>
        </w:tc>
      </w:tr>
      <w:tr w14:paraId="7831E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61" w:type="pct"/>
            <w:vMerge w:val="continue"/>
            <w:shd w:val="clear" w:color="auto" w:fill="auto"/>
            <w:noWrap w:val="0"/>
            <w:vAlign w:val="center"/>
          </w:tcPr>
          <w:p w14:paraId="74C046B5">
            <w:pPr>
              <w:jc w:val="both"/>
              <w:rPr>
                <w:rFonts w:hint="eastAsia" w:ascii="宋体" w:hAnsi="宋体" w:cs="宋体"/>
                <w:color w:val="000000"/>
                <w:sz w:val="22"/>
              </w:rPr>
            </w:pPr>
          </w:p>
        </w:tc>
        <w:tc>
          <w:tcPr>
            <w:tcW w:w="1243" w:type="pct"/>
            <w:vMerge w:val="continue"/>
            <w:shd w:val="clear" w:color="auto" w:fill="auto"/>
            <w:noWrap w:val="0"/>
            <w:vAlign w:val="center"/>
          </w:tcPr>
          <w:p w14:paraId="1886159F">
            <w:pPr>
              <w:jc w:val="both"/>
              <w:rPr>
                <w:rFonts w:hint="eastAsia" w:ascii="宋体" w:hAnsi="宋体" w:cs="宋体"/>
                <w:color w:val="000000"/>
                <w:sz w:val="22"/>
              </w:rPr>
            </w:pPr>
          </w:p>
        </w:tc>
        <w:tc>
          <w:tcPr>
            <w:tcW w:w="3194" w:type="pct"/>
            <w:noWrap w:val="0"/>
            <w:vAlign w:val="center"/>
          </w:tcPr>
          <w:p w14:paraId="0A26EDA7">
            <w:pPr>
              <w:jc w:val="both"/>
              <w:rPr>
                <w:rFonts w:hint="eastAsia" w:ascii="宋体" w:hAnsi="宋体" w:cs="宋体"/>
                <w:color w:val="000000"/>
                <w:sz w:val="22"/>
              </w:rPr>
            </w:pPr>
            <w:r>
              <w:rPr>
                <w:rFonts w:hint="eastAsia" w:ascii="宋体" w:hAnsi="宋体" w:cs="宋体"/>
                <w:color w:val="000000"/>
                <w:sz w:val="22"/>
              </w:rPr>
              <w:t>5、其他：外延打磨指甲圆，光滑平整，正反面均无毛刺。</w:t>
            </w:r>
          </w:p>
        </w:tc>
      </w:tr>
      <w:tr w14:paraId="417FD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61" w:type="pct"/>
            <w:vMerge w:val="continue"/>
            <w:shd w:val="clear" w:color="auto" w:fill="auto"/>
            <w:noWrap w:val="0"/>
            <w:vAlign w:val="center"/>
          </w:tcPr>
          <w:p w14:paraId="1223EAD1">
            <w:pPr>
              <w:jc w:val="both"/>
              <w:rPr>
                <w:rFonts w:hint="eastAsia" w:ascii="宋体" w:hAnsi="宋体" w:cs="宋体"/>
                <w:color w:val="000000"/>
                <w:sz w:val="22"/>
              </w:rPr>
            </w:pPr>
          </w:p>
        </w:tc>
        <w:tc>
          <w:tcPr>
            <w:tcW w:w="1243" w:type="pct"/>
            <w:vMerge w:val="continue"/>
            <w:shd w:val="clear" w:color="auto" w:fill="auto"/>
            <w:noWrap w:val="0"/>
            <w:vAlign w:val="center"/>
          </w:tcPr>
          <w:p w14:paraId="535AA770">
            <w:pPr>
              <w:jc w:val="both"/>
              <w:rPr>
                <w:rFonts w:hint="eastAsia" w:ascii="宋体" w:hAnsi="宋体" w:cs="宋体"/>
                <w:color w:val="000000"/>
                <w:sz w:val="22"/>
              </w:rPr>
            </w:pPr>
          </w:p>
        </w:tc>
        <w:tc>
          <w:tcPr>
            <w:tcW w:w="3194" w:type="pct"/>
            <w:noWrap w:val="0"/>
            <w:vAlign w:val="center"/>
          </w:tcPr>
          <w:p w14:paraId="4554BBA9">
            <w:pPr>
              <w:jc w:val="both"/>
              <w:rPr>
                <w:rFonts w:hint="eastAsia" w:ascii="宋体" w:hAnsi="宋体" w:cs="宋体"/>
                <w:color w:val="000000"/>
                <w:sz w:val="22"/>
              </w:rPr>
            </w:pPr>
            <w:r>
              <w:rPr>
                <w:rFonts w:hint="eastAsia" w:ascii="宋体" w:hAnsi="宋体" w:cs="宋体"/>
                <w:color w:val="000000"/>
                <w:sz w:val="22"/>
              </w:rPr>
              <w:t>6、产品符合儿童家具通用技术标准。</w:t>
            </w:r>
          </w:p>
        </w:tc>
      </w:tr>
      <w:tr w14:paraId="11175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61" w:type="pct"/>
            <w:vMerge w:val="restart"/>
            <w:shd w:val="clear" w:color="auto" w:fill="auto"/>
            <w:noWrap w:val="0"/>
            <w:vAlign w:val="center"/>
          </w:tcPr>
          <w:p w14:paraId="19BAC093">
            <w:pPr>
              <w:jc w:val="center"/>
              <w:rPr>
                <w:rFonts w:hint="eastAsia" w:ascii="宋体" w:hAnsi="宋体" w:eastAsia="宋体" w:cs="宋体"/>
                <w:color w:val="000000"/>
                <w:kern w:val="2"/>
                <w:sz w:val="22"/>
                <w:szCs w:val="22"/>
                <w:lang w:val="en-US" w:eastAsia="zh-CN" w:bidi="ar-SA"/>
              </w:rPr>
            </w:pPr>
            <w:r>
              <w:rPr>
                <w:rFonts w:hint="eastAsia" w:ascii="宋体" w:hAnsi="宋体" w:cs="宋体"/>
                <w:color w:val="000000"/>
                <w:sz w:val="22"/>
              </w:rPr>
              <w:t>21</w:t>
            </w:r>
          </w:p>
        </w:tc>
        <w:tc>
          <w:tcPr>
            <w:tcW w:w="1243" w:type="pct"/>
            <w:vMerge w:val="restart"/>
            <w:shd w:val="clear" w:color="auto" w:fill="auto"/>
            <w:noWrap w:val="0"/>
            <w:vAlign w:val="center"/>
          </w:tcPr>
          <w:p w14:paraId="68D66B1E">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彩虹房 - 白沙幕帘</w:t>
            </w:r>
          </w:p>
        </w:tc>
        <w:tc>
          <w:tcPr>
            <w:tcW w:w="3194" w:type="pct"/>
            <w:noWrap w:val="0"/>
            <w:vAlign w:val="center"/>
          </w:tcPr>
          <w:p w14:paraId="055D979F">
            <w:pPr>
              <w:jc w:val="both"/>
              <w:rPr>
                <w:rFonts w:hint="eastAsia" w:ascii="宋体" w:hAnsi="宋体" w:cs="宋体"/>
                <w:color w:val="000000"/>
                <w:sz w:val="22"/>
              </w:rPr>
            </w:pPr>
            <w:r>
              <w:rPr>
                <w:rFonts w:hint="eastAsia" w:ascii="宋体" w:hAnsi="宋体" w:cs="宋体"/>
                <w:color w:val="000000"/>
                <w:sz w:val="22"/>
              </w:rPr>
              <w:t>1、尺寸：L191cm*W94cm*H127cm（±</w:t>
            </w:r>
            <w:r>
              <w:rPr>
                <w:rFonts w:hint="eastAsia" w:ascii="宋体" w:hAnsi="宋体" w:cs="宋体"/>
                <w:color w:val="000000"/>
                <w:sz w:val="22"/>
                <w:lang w:val="en-US" w:eastAsia="zh-CN"/>
              </w:rPr>
              <w:t>2</w:t>
            </w:r>
            <w:r>
              <w:rPr>
                <w:rFonts w:hint="eastAsia" w:ascii="宋体" w:hAnsi="宋体" w:cs="宋体"/>
                <w:color w:val="000000"/>
                <w:sz w:val="22"/>
              </w:rPr>
              <w:t>cm）</w:t>
            </w:r>
          </w:p>
        </w:tc>
      </w:tr>
      <w:tr w14:paraId="22B55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61" w:type="pct"/>
            <w:vMerge w:val="continue"/>
            <w:shd w:val="clear" w:color="auto" w:fill="auto"/>
            <w:noWrap w:val="0"/>
            <w:vAlign w:val="center"/>
          </w:tcPr>
          <w:p w14:paraId="24B3D27A">
            <w:pPr>
              <w:jc w:val="both"/>
            </w:pPr>
          </w:p>
        </w:tc>
        <w:tc>
          <w:tcPr>
            <w:tcW w:w="1243" w:type="pct"/>
            <w:vMerge w:val="continue"/>
            <w:shd w:val="clear" w:color="auto" w:fill="auto"/>
            <w:noWrap w:val="0"/>
            <w:vAlign w:val="center"/>
          </w:tcPr>
          <w:p w14:paraId="343CDBA5">
            <w:pPr>
              <w:jc w:val="both"/>
            </w:pPr>
          </w:p>
        </w:tc>
        <w:tc>
          <w:tcPr>
            <w:tcW w:w="3194" w:type="pct"/>
            <w:noWrap w:val="0"/>
            <w:vAlign w:val="center"/>
          </w:tcPr>
          <w:p w14:paraId="7122A53A">
            <w:pPr>
              <w:numPr>
                <w:ilvl w:val="0"/>
                <w:numId w:val="0"/>
              </w:numPr>
              <w:ind w:leftChars="0"/>
              <w:jc w:val="both"/>
              <w:rPr>
                <w:rFonts w:hint="eastAsia" w:ascii="宋体" w:hAnsi="宋体" w:cs="宋体"/>
                <w:color w:val="000000"/>
                <w:sz w:val="22"/>
              </w:rPr>
            </w:pPr>
            <w:r>
              <w:rPr>
                <w:rFonts w:hint="eastAsia" w:ascii="宋体" w:hAnsi="宋体" w:cs="宋体"/>
                <w:color w:val="000000"/>
                <w:sz w:val="22"/>
                <w:lang w:val="en-US" w:eastAsia="zh-CN"/>
              </w:rPr>
              <w:t>2、</w:t>
            </w:r>
            <w:r>
              <w:rPr>
                <w:rFonts w:hint="eastAsia" w:ascii="宋体" w:hAnsi="宋体" w:cs="宋体"/>
                <w:color w:val="000000"/>
                <w:sz w:val="22"/>
              </w:rPr>
              <w:t>基材：柜体、竖片、层板侧片、竖板与底板采用桦木实木多层板，表面纹理清晰且全白、无结疤、无黑疤、无红点。柜体以两个两层有背板玩具柜中间用拱形幕帘门连接。幕帘门用拱形弯曲塑料固定于玩具柜两侧面，中间用螺丝将白色网纱布料覆盖于拱形塑料支架上，形成拱形幕帘门。</w:t>
            </w:r>
          </w:p>
          <w:p w14:paraId="7C30BEA8">
            <w:pPr>
              <w:numPr>
                <w:ilvl w:val="0"/>
                <w:numId w:val="0"/>
              </w:numPr>
              <w:ind w:leftChars="0"/>
              <w:jc w:val="both"/>
              <w:rPr>
                <w:rFonts w:hint="eastAsia" w:ascii="宋体" w:hAnsi="宋体" w:cs="宋体"/>
                <w:color w:val="FF0000"/>
                <w:sz w:val="22"/>
              </w:rPr>
            </w:pPr>
            <w:r>
              <w:rPr>
                <w:rFonts w:hint="eastAsia" w:ascii="宋体" w:hAnsi="宋体" w:cs="宋体"/>
                <w:color w:val="000000"/>
                <w:sz w:val="22"/>
              </w:rPr>
              <w:t>▲</w:t>
            </w:r>
            <w:r>
              <w:rPr>
                <w:rFonts w:hint="eastAsia" w:ascii="宋体" w:hAnsi="宋体" w:cs="宋体"/>
                <w:color w:val="FF0000"/>
                <w:sz w:val="22"/>
              </w:rPr>
              <w:t>提供具有CMA或CNAS标识的布料符合《GB/T2912.1-2009中的甲醛释放量及防霉等级》的检测报告扫描件。（报告委托单位或报告抬头公司名称须与投标人或本次投标所提供货物制造商一致）</w:t>
            </w:r>
          </w:p>
          <w:p w14:paraId="7F6B0028">
            <w:pPr>
              <w:numPr>
                <w:ilvl w:val="0"/>
                <w:numId w:val="0"/>
              </w:numPr>
              <w:ind w:leftChars="0"/>
              <w:jc w:val="both"/>
              <w:rPr>
                <w:rFonts w:hint="eastAsia" w:ascii="宋体" w:hAnsi="宋体" w:cs="宋体"/>
                <w:color w:val="000000"/>
                <w:sz w:val="22"/>
              </w:rPr>
            </w:pPr>
            <w:r>
              <w:rPr>
                <w:rFonts w:hint="eastAsia" w:ascii="宋体" w:hAnsi="宋体" w:cs="宋体"/>
                <w:color w:val="FF0000"/>
                <w:sz w:val="22"/>
              </w:rPr>
              <w:t>要求：提供检测报告关键信息扫描件，检测报告在全国认证认可信息公共服务平台网站（http://cx.cnca.cn/CertECloud/qts/qts/qtsPage）查询截图扫描件。投标人必须是所投产品的制造商或代理商，代理商需提供产品制造商品牌授权委托书。</w:t>
            </w:r>
          </w:p>
        </w:tc>
      </w:tr>
      <w:tr w14:paraId="568F8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61" w:type="pct"/>
            <w:vMerge w:val="continue"/>
            <w:shd w:val="clear" w:color="auto" w:fill="auto"/>
            <w:noWrap w:val="0"/>
            <w:vAlign w:val="center"/>
          </w:tcPr>
          <w:p w14:paraId="6F0B3461">
            <w:pPr>
              <w:jc w:val="both"/>
              <w:rPr>
                <w:rFonts w:hint="eastAsia" w:ascii="宋体" w:hAnsi="宋体" w:cs="宋体"/>
                <w:color w:val="000000"/>
                <w:sz w:val="22"/>
              </w:rPr>
            </w:pPr>
          </w:p>
        </w:tc>
        <w:tc>
          <w:tcPr>
            <w:tcW w:w="1243" w:type="pct"/>
            <w:vMerge w:val="continue"/>
            <w:shd w:val="clear" w:color="auto" w:fill="auto"/>
            <w:noWrap w:val="0"/>
            <w:vAlign w:val="center"/>
          </w:tcPr>
          <w:p w14:paraId="54249E9F">
            <w:pPr>
              <w:jc w:val="both"/>
              <w:rPr>
                <w:rFonts w:hint="eastAsia" w:ascii="宋体" w:hAnsi="宋体" w:cs="宋体"/>
                <w:color w:val="000000"/>
                <w:sz w:val="22"/>
              </w:rPr>
            </w:pPr>
          </w:p>
        </w:tc>
        <w:tc>
          <w:tcPr>
            <w:tcW w:w="3194" w:type="pct"/>
            <w:noWrap w:val="0"/>
            <w:vAlign w:val="center"/>
          </w:tcPr>
          <w:p w14:paraId="78CF4644">
            <w:pPr>
              <w:jc w:val="both"/>
              <w:rPr>
                <w:rFonts w:hint="eastAsia" w:ascii="宋体" w:hAnsi="宋体" w:cs="宋体"/>
                <w:color w:val="000000"/>
                <w:sz w:val="22"/>
              </w:rPr>
            </w:pPr>
            <w:r>
              <w:rPr>
                <w:rFonts w:hint="eastAsia" w:ascii="宋体" w:hAnsi="宋体" w:cs="宋体"/>
                <w:color w:val="000000"/>
                <w:sz w:val="22"/>
              </w:rPr>
              <w:t>3、五金：选用环保五金，安全无毒，色泽丰富。</w:t>
            </w:r>
          </w:p>
        </w:tc>
      </w:tr>
      <w:tr w14:paraId="62B74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61" w:type="pct"/>
            <w:vMerge w:val="continue"/>
            <w:shd w:val="clear" w:color="auto" w:fill="auto"/>
            <w:noWrap w:val="0"/>
            <w:vAlign w:val="center"/>
          </w:tcPr>
          <w:p w14:paraId="7BF94ADC">
            <w:pPr>
              <w:jc w:val="both"/>
              <w:rPr>
                <w:rFonts w:hint="eastAsia" w:ascii="宋体" w:hAnsi="宋体" w:cs="宋体"/>
                <w:color w:val="000000"/>
                <w:sz w:val="22"/>
              </w:rPr>
            </w:pPr>
          </w:p>
        </w:tc>
        <w:tc>
          <w:tcPr>
            <w:tcW w:w="1243" w:type="pct"/>
            <w:vMerge w:val="continue"/>
            <w:shd w:val="clear" w:color="auto" w:fill="auto"/>
            <w:noWrap w:val="0"/>
            <w:vAlign w:val="center"/>
          </w:tcPr>
          <w:p w14:paraId="05DAA28C">
            <w:pPr>
              <w:jc w:val="both"/>
              <w:rPr>
                <w:rFonts w:hint="eastAsia" w:ascii="宋体" w:hAnsi="宋体" w:cs="宋体"/>
                <w:color w:val="000000"/>
                <w:sz w:val="22"/>
              </w:rPr>
            </w:pPr>
          </w:p>
        </w:tc>
        <w:tc>
          <w:tcPr>
            <w:tcW w:w="3194" w:type="pct"/>
            <w:noWrap w:val="0"/>
            <w:vAlign w:val="center"/>
          </w:tcPr>
          <w:p w14:paraId="2C6F084E">
            <w:pPr>
              <w:jc w:val="both"/>
              <w:rPr>
                <w:rFonts w:hint="eastAsia" w:ascii="宋体" w:hAnsi="宋体" w:cs="宋体"/>
                <w:color w:val="000000"/>
                <w:sz w:val="22"/>
              </w:rPr>
            </w:pPr>
            <w:r>
              <w:rPr>
                <w:rFonts w:hint="eastAsia" w:ascii="宋体" w:hAnsi="宋体" w:cs="宋体"/>
                <w:color w:val="000000"/>
                <w:sz w:val="22"/>
              </w:rPr>
              <w:t>4、油漆：采用绿色环保无毒水性漆，经过两底一面工艺制作。附着力、耐冲击、耐磨、耐湿不小于3 级，灼烧、耐液、耐干、 耐冷热。</w:t>
            </w:r>
          </w:p>
        </w:tc>
      </w:tr>
      <w:tr w14:paraId="01307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61" w:type="pct"/>
            <w:vMerge w:val="continue"/>
            <w:shd w:val="clear" w:color="auto" w:fill="auto"/>
            <w:noWrap w:val="0"/>
            <w:vAlign w:val="center"/>
          </w:tcPr>
          <w:p w14:paraId="2FD48C2F">
            <w:pPr>
              <w:jc w:val="both"/>
              <w:rPr>
                <w:rFonts w:hint="eastAsia" w:ascii="宋体" w:hAnsi="宋体" w:cs="宋体"/>
                <w:color w:val="000000"/>
                <w:sz w:val="22"/>
              </w:rPr>
            </w:pPr>
          </w:p>
        </w:tc>
        <w:tc>
          <w:tcPr>
            <w:tcW w:w="1243" w:type="pct"/>
            <w:vMerge w:val="continue"/>
            <w:shd w:val="clear" w:color="auto" w:fill="auto"/>
            <w:noWrap w:val="0"/>
            <w:vAlign w:val="center"/>
          </w:tcPr>
          <w:p w14:paraId="53B5791B">
            <w:pPr>
              <w:jc w:val="both"/>
              <w:rPr>
                <w:rFonts w:hint="eastAsia" w:ascii="宋体" w:hAnsi="宋体" w:cs="宋体"/>
                <w:color w:val="000000"/>
                <w:sz w:val="22"/>
              </w:rPr>
            </w:pPr>
          </w:p>
        </w:tc>
        <w:tc>
          <w:tcPr>
            <w:tcW w:w="3194" w:type="pct"/>
            <w:noWrap w:val="0"/>
            <w:vAlign w:val="center"/>
          </w:tcPr>
          <w:p w14:paraId="7C16EC83">
            <w:pPr>
              <w:jc w:val="both"/>
              <w:rPr>
                <w:rFonts w:hint="eastAsia" w:ascii="宋体" w:hAnsi="宋体" w:cs="宋体"/>
                <w:color w:val="000000"/>
                <w:sz w:val="22"/>
              </w:rPr>
            </w:pPr>
            <w:r>
              <w:rPr>
                <w:rFonts w:hint="eastAsia" w:ascii="宋体" w:hAnsi="宋体" w:cs="宋体"/>
                <w:color w:val="000000"/>
                <w:sz w:val="22"/>
              </w:rPr>
              <w:t>5、其他：外延打磨指甲圆，光滑平整，正反面均无毛刺。</w:t>
            </w:r>
          </w:p>
        </w:tc>
      </w:tr>
      <w:tr w14:paraId="21B35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61" w:type="pct"/>
            <w:vMerge w:val="continue"/>
            <w:shd w:val="clear" w:color="auto" w:fill="auto"/>
            <w:noWrap w:val="0"/>
            <w:vAlign w:val="center"/>
          </w:tcPr>
          <w:p w14:paraId="17DE8838">
            <w:pPr>
              <w:jc w:val="both"/>
              <w:rPr>
                <w:rFonts w:hint="eastAsia" w:ascii="宋体" w:hAnsi="宋体" w:cs="宋体"/>
                <w:color w:val="000000"/>
                <w:sz w:val="22"/>
              </w:rPr>
            </w:pPr>
          </w:p>
        </w:tc>
        <w:tc>
          <w:tcPr>
            <w:tcW w:w="1243" w:type="pct"/>
            <w:vMerge w:val="continue"/>
            <w:shd w:val="clear" w:color="auto" w:fill="auto"/>
            <w:noWrap w:val="0"/>
            <w:vAlign w:val="center"/>
          </w:tcPr>
          <w:p w14:paraId="72A742A8">
            <w:pPr>
              <w:jc w:val="both"/>
              <w:rPr>
                <w:rFonts w:hint="eastAsia" w:ascii="宋体" w:hAnsi="宋体" w:cs="宋体"/>
                <w:color w:val="000000"/>
                <w:sz w:val="22"/>
              </w:rPr>
            </w:pPr>
          </w:p>
        </w:tc>
        <w:tc>
          <w:tcPr>
            <w:tcW w:w="3194" w:type="pct"/>
            <w:noWrap w:val="0"/>
            <w:vAlign w:val="center"/>
          </w:tcPr>
          <w:p w14:paraId="740AC58A">
            <w:pPr>
              <w:jc w:val="both"/>
              <w:rPr>
                <w:rFonts w:hint="eastAsia" w:ascii="宋体" w:hAnsi="宋体" w:cs="宋体"/>
                <w:color w:val="000000"/>
                <w:sz w:val="22"/>
              </w:rPr>
            </w:pPr>
            <w:r>
              <w:rPr>
                <w:rFonts w:hint="eastAsia" w:ascii="宋体" w:hAnsi="宋体" w:cs="宋体"/>
                <w:color w:val="000000"/>
                <w:sz w:val="22"/>
              </w:rPr>
              <w:t>6、产品符合儿童家具通用技术标准。</w:t>
            </w:r>
          </w:p>
        </w:tc>
      </w:tr>
      <w:tr w14:paraId="20E27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61" w:type="pct"/>
            <w:vMerge w:val="restart"/>
            <w:shd w:val="clear" w:color="auto" w:fill="auto"/>
            <w:noWrap w:val="0"/>
            <w:vAlign w:val="center"/>
          </w:tcPr>
          <w:p w14:paraId="5034BBFF">
            <w:pPr>
              <w:jc w:val="center"/>
              <w:rPr>
                <w:rFonts w:hint="eastAsia" w:ascii="宋体" w:hAnsi="宋体" w:eastAsia="宋体" w:cs="宋体"/>
                <w:color w:val="000000"/>
                <w:kern w:val="2"/>
                <w:sz w:val="22"/>
                <w:szCs w:val="22"/>
                <w:lang w:val="en-US" w:eastAsia="zh-CN" w:bidi="ar-SA"/>
              </w:rPr>
            </w:pPr>
            <w:r>
              <w:rPr>
                <w:rFonts w:hint="eastAsia" w:ascii="宋体" w:hAnsi="宋体" w:cs="宋体"/>
                <w:color w:val="000000"/>
                <w:sz w:val="22"/>
              </w:rPr>
              <w:t>22</w:t>
            </w:r>
          </w:p>
        </w:tc>
        <w:tc>
          <w:tcPr>
            <w:tcW w:w="1243" w:type="pct"/>
            <w:vMerge w:val="restart"/>
            <w:shd w:val="clear" w:color="auto" w:fill="auto"/>
            <w:noWrap w:val="0"/>
            <w:vAlign w:val="center"/>
          </w:tcPr>
          <w:p w14:paraId="758E8972">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厨房娃娃家-四合一</w:t>
            </w:r>
          </w:p>
        </w:tc>
        <w:tc>
          <w:tcPr>
            <w:tcW w:w="3194" w:type="pct"/>
            <w:noWrap w:val="0"/>
            <w:vAlign w:val="center"/>
          </w:tcPr>
          <w:p w14:paraId="07BCEBD2">
            <w:pPr>
              <w:jc w:val="both"/>
              <w:rPr>
                <w:rFonts w:hint="eastAsia" w:ascii="宋体" w:hAnsi="宋体" w:cs="宋体"/>
                <w:color w:val="000000"/>
                <w:sz w:val="22"/>
              </w:rPr>
            </w:pPr>
            <w:r>
              <w:rPr>
                <w:rFonts w:hint="eastAsia" w:ascii="宋体" w:hAnsi="宋体" w:cs="宋体"/>
                <w:color w:val="000000"/>
                <w:sz w:val="22"/>
              </w:rPr>
              <w:t>1、尺寸：L80cm*W37cm*H83cm（±</w:t>
            </w:r>
            <w:r>
              <w:rPr>
                <w:rFonts w:hint="eastAsia" w:ascii="宋体" w:hAnsi="宋体" w:cs="宋体"/>
                <w:color w:val="000000"/>
                <w:sz w:val="22"/>
                <w:lang w:val="en-US" w:eastAsia="zh-CN"/>
              </w:rPr>
              <w:t>2</w:t>
            </w:r>
            <w:r>
              <w:rPr>
                <w:rFonts w:hint="eastAsia" w:ascii="宋体" w:hAnsi="宋体" w:cs="宋体"/>
                <w:color w:val="000000"/>
                <w:sz w:val="22"/>
              </w:rPr>
              <w:t>cm）</w:t>
            </w:r>
          </w:p>
        </w:tc>
      </w:tr>
      <w:tr w14:paraId="7B992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61" w:type="pct"/>
            <w:vMerge w:val="continue"/>
            <w:shd w:val="clear" w:color="auto" w:fill="auto"/>
            <w:noWrap w:val="0"/>
            <w:vAlign w:val="center"/>
          </w:tcPr>
          <w:p w14:paraId="5C26E5AA">
            <w:pPr>
              <w:jc w:val="both"/>
            </w:pPr>
          </w:p>
        </w:tc>
        <w:tc>
          <w:tcPr>
            <w:tcW w:w="1243" w:type="pct"/>
            <w:vMerge w:val="continue"/>
            <w:shd w:val="clear" w:color="auto" w:fill="auto"/>
            <w:noWrap w:val="0"/>
            <w:vAlign w:val="center"/>
          </w:tcPr>
          <w:p w14:paraId="4F24D530">
            <w:pPr>
              <w:jc w:val="both"/>
            </w:pPr>
          </w:p>
        </w:tc>
        <w:tc>
          <w:tcPr>
            <w:tcW w:w="3194" w:type="pct"/>
            <w:noWrap w:val="0"/>
            <w:vAlign w:val="center"/>
          </w:tcPr>
          <w:p w14:paraId="64D60505">
            <w:pPr>
              <w:jc w:val="both"/>
              <w:rPr>
                <w:rFonts w:hint="eastAsia" w:ascii="宋体" w:hAnsi="宋体" w:cs="宋体"/>
                <w:color w:val="000000"/>
                <w:sz w:val="22"/>
              </w:rPr>
            </w:pPr>
            <w:r>
              <w:rPr>
                <w:rFonts w:hint="eastAsia" w:ascii="宋体" w:hAnsi="宋体" w:cs="宋体"/>
                <w:color w:val="000000"/>
                <w:sz w:val="22"/>
              </w:rPr>
              <w:t>2、基材：桦木实木多层板，表面纹理清晰且全白、无结疤、无黑疤、无红点。四合一为多功能厨房娃娃家组合。上半部分分为有火炉、水槽和微波炉。火炉面板印有2大2小四个炉灶圆形仿真图案。大炉灶圆形直径不小于9cm（±0.2cm），小炉灶圆形直径不小于6.5cm（±0.2cm）。面板下方围板处，有5个圆形转扭。分别控制四个炉灶和火炉的开关。转扭转动时，发出“哒哒哒”响声，形象逼真。水槽面板中间处向下放置一个银色长方形不锈钢水池。不锈钢小水池尺寸不小于26*16cm（±</w:t>
            </w:r>
            <w:r>
              <w:rPr>
                <w:rFonts w:hint="eastAsia" w:ascii="宋体" w:hAnsi="宋体" w:cs="宋体"/>
                <w:color w:val="000000"/>
                <w:sz w:val="22"/>
                <w:lang w:val="en-US" w:eastAsia="zh-CN"/>
              </w:rPr>
              <w:t>1</w:t>
            </w:r>
            <w:r>
              <w:rPr>
                <w:rFonts w:hint="eastAsia" w:ascii="宋体" w:hAnsi="宋体" w:cs="宋体"/>
                <w:color w:val="000000"/>
                <w:sz w:val="22"/>
              </w:rPr>
              <w:t>cm），不大于28*17cm（±</w:t>
            </w:r>
            <w:r>
              <w:rPr>
                <w:rFonts w:hint="eastAsia" w:ascii="宋体" w:hAnsi="宋体" w:cs="宋体"/>
                <w:color w:val="000000"/>
                <w:sz w:val="22"/>
                <w:lang w:val="en-US" w:eastAsia="zh-CN"/>
              </w:rPr>
              <w:t>1</w:t>
            </w:r>
            <w:r>
              <w:rPr>
                <w:rFonts w:hint="eastAsia" w:ascii="宋体" w:hAnsi="宋体" w:cs="宋体"/>
                <w:color w:val="000000"/>
                <w:sz w:val="22"/>
              </w:rPr>
              <w:t>cm）。水池前方配置有仿真水龙头一个及水龙头开关两个。水龙头可转动不小于200度，两个开关可转动不小于180度。水槽上方为碗柜，并配有弧形档板。碗柜储物内径不小于36*8.5*12.5cm（±</w:t>
            </w:r>
            <w:r>
              <w:rPr>
                <w:rFonts w:hint="eastAsia" w:ascii="宋体" w:hAnsi="宋体" w:cs="宋体"/>
                <w:color w:val="000000"/>
                <w:sz w:val="22"/>
                <w:lang w:val="en-US" w:eastAsia="zh-CN"/>
              </w:rPr>
              <w:t>1</w:t>
            </w:r>
            <w:r>
              <w:rPr>
                <w:rFonts w:hint="eastAsia" w:ascii="宋体" w:hAnsi="宋体" w:cs="宋体"/>
                <w:color w:val="000000"/>
                <w:sz w:val="22"/>
              </w:rPr>
              <w:t>cm）。 水槽右边为微波炉。微波炉左边为开门并配有门把手，右边为数字丝印。四合一下半部分为左右对开门的储物空间。左右门上配有茶色亚克力，安全又美观。</w:t>
            </w:r>
          </w:p>
        </w:tc>
      </w:tr>
      <w:tr w14:paraId="1C4E4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61" w:type="pct"/>
            <w:vMerge w:val="continue"/>
            <w:shd w:val="clear" w:color="auto" w:fill="auto"/>
            <w:noWrap w:val="0"/>
            <w:vAlign w:val="center"/>
          </w:tcPr>
          <w:p w14:paraId="13C09C20">
            <w:pPr>
              <w:jc w:val="both"/>
              <w:rPr>
                <w:rFonts w:hint="eastAsia" w:ascii="宋体" w:hAnsi="宋体" w:cs="宋体"/>
                <w:color w:val="000000"/>
                <w:sz w:val="22"/>
              </w:rPr>
            </w:pPr>
          </w:p>
        </w:tc>
        <w:tc>
          <w:tcPr>
            <w:tcW w:w="1243" w:type="pct"/>
            <w:vMerge w:val="continue"/>
            <w:shd w:val="clear" w:color="auto" w:fill="auto"/>
            <w:noWrap w:val="0"/>
            <w:vAlign w:val="center"/>
          </w:tcPr>
          <w:p w14:paraId="7250D9D9">
            <w:pPr>
              <w:jc w:val="both"/>
              <w:rPr>
                <w:rFonts w:hint="eastAsia" w:ascii="宋体" w:hAnsi="宋体" w:cs="宋体"/>
                <w:color w:val="000000"/>
                <w:sz w:val="22"/>
              </w:rPr>
            </w:pPr>
          </w:p>
        </w:tc>
        <w:tc>
          <w:tcPr>
            <w:tcW w:w="3194" w:type="pct"/>
            <w:noWrap w:val="0"/>
            <w:vAlign w:val="center"/>
          </w:tcPr>
          <w:p w14:paraId="2204BF48">
            <w:pPr>
              <w:jc w:val="both"/>
              <w:rPr>
                <w:rFonts w:hint="eastAsia" w:ascii="宋体" w:hAnsi="宋体" w:cs="宋体"/>
                <w:color w:val="000000"/>
                <w:sz w:val="22"/>
              </w:rPr>
            </w:pPr>
            <w:r>
              <w:rPr>
                <w:rFonts w:hint="eastAsia" w:ascii="宋体" w:hAnsi="宋体" w:cs="宋体"/>
                <w:color w:val="000000"/>
                <w:sz w:val="22"/>
              </w:rPr>
              <w:t>3、五金：选用环保五金，安全无毒，色泽丰富。</w:t>
            </w:r>
          </w:p>
        </w:tc>
      </w:tr>
      <w:tr w14:paraId="4DEE5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61" w:type="pct"/>
            <w:vMerge w:val="continue"/>
            <w:shd w:val="clear" w:color="auto" w:fill="auto"/>
            <w:noWrap w:val="0"/>
            <w:vAlign w:val="center"/>
          </w:tcPr>
          <w:p w14:paraId="6E5E8630">
            <w:pPr>
              <w:jc w:val="both"/>
              <w:rPr>
                <w:rFonts w:hint="eastAsia" w:ascii="宋体" w:hAnsi="宋体" w:cs="宋体"/>
                <w:color w:val="000000"/>
                <w:sz w:val="22"/>
              </w:rPr>
            </w:pPr>
          </w:p>
        </w:tc>
        <w:tc>
          <w:tcPr>
            <w:tcW w:w="1243" w:type="pct"/>
            <w:vMerge w:val="continue"/>
            <w:shd w:val="clear" w:color="auto" w:fill="auto"/>
            <w:noWrap w:val="0"/>
            <w:vAlign w:val="center"/>
          </w:tcPr>
          <w:p w14:paraId="1945A34E">
            <w:pPr>
              <w:jc w:val="both"/>
              <w:rPr>
                <w:rFonts w:hint="eastAsia" w:ascii="宋体" w:hAnsi="宋体" w:cs="宋体"/>
                <w:color w:val="000000"/>
                <w:sz w:val="22"/>
              </w:rPr>
            </w:pPr>
          </w:p>
        </w:tc>
        <w:tc>
          <w:tcPr>
            <w:tcW w:w="3194" w:type="pct"/>
            <w:noWrap w:val="0"/>
            <w:vAlign w:val="center"/>
          </w:tcPr>
          <w:p w14:paraId="4E927020">
            <w:pPr>
              <w:jc w:val="both"/>
              <w:rPr>
                <w:rFonts w:hint="eastAsia" w:ascii="宋体" w:hAnsi="宋体" w:cs="宋体"/>
                <w:color w:val="000000"/>
                <w:sz w:val="22"/>
              </w:rPr>
            </w:pPr>
            <w:r>
              <w:rPr>
                <w:rFonts w:hint="eastAsia" w:ascii="宋体" w:hAnsi="宋体" w:cs="宋体"/>
                <w:color w:val="000000"/>
                <w:sz w:val="22"/>
              </w:rPr>
              <w:t>4、油漆：采用绿色环保无毒水性漆，经过两底一面工艺制作。附着力、耐冲击、耐磨、耐湿不小于3 级，灼烧、耐液、耐干、 耐冷热。</w:t>
            </w:r>
          </w:p>
        </w:tc>
      </w:tr>
      <w:tr w14:paraId="66C58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61" w:type="pct"/>
            <w:vMerge w:val="continue"/>
            <w:shd w:val="clear" w:color="auto" w:fill="auto"/>
            <w:noWrap w:val="0"/>
            <w:vAlign w:val="center"/>
          </w:tcPr>
          <w:p w14:paraId="3170C335">
            <w:pPr>
              <w:jc w:val="both"/>
              <w:rPr>
                <w:rFonts w:hint="eastAsia" w:ascii="宋体" w:hAnsi="宋体" w:cs="宋体"/>
                <w:color w:val="000000"/>
                <w:sz w:val="22"/>
              </w:rPr>
            </w:pPr>
          </w:p>
        </w:tc>
        <w:tc>
          <w:tcPr>
            <w:tcW w:w="1243" w:type="pct"/>
            <w:vMerge w:val="continue"/>
            <w:shd w:val="clear" w:color="auto" w:fill="auto"/>
            <w:noWrap w:val="0"/>
            <w:vAlign w:val="center"/>
          </w:tcPr>
          <w:p w14:paraId="0A19B3E1">
            <w:pPr>
              <w:jc w:val="both"/>
              <w:rPr>
                <w:rFonts w:hint="eastAsia" w:ascii="宋体" w:hAnsi="宋体" w:cs="宋体"/>
                <w:color w:val="000000"/>
                <w:sz w:val="22"/>
              </w:rPr>
            </w:pPr>
          </w:p>
        </w:tc>
        <w:tc>
          <w:tcPr>
            <w:tcW w:w="3194" w:type="pct"/>
            <w:noWrap w:val="0"/>
            <w:vAlign w:val="center"/>
          </w:tcPr>
          <w:p w14:paraId="7E1D15E9">
            <w:pPr>
              <w:jc w:val="both"/>
              <w:rPr>
                <w:rFonts w:hint="eastAsia" w:ascii="宋体" w:hAnsi="宋体" w:cs="宋体"/>
                <w:color w:val="000000"/>
                <w:sz w:val="22"/>
              </w:rPr>
            </w:pPr>
            <w:r>
              <w:rPr>
                <w:rFonts w:hint="eastAsia" w:ascii="宋体" w:hAnsi="宋体" w:cs="宋体"/>
                <w:color w:val="000000"/>
                <w:sz w:val="22"/>
              </w:rPr>
              <w:t>5、其他：外延打磨指甲圆，光滑平整，正反面均无毛刺。</w:t>
            </w:r>
          </w:p>
        </w:tc>
      </w:tr>
      <w:tr w14:paraId="7BE2F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61" w:type="pct"/>
            <w:vMerge w:val="continue"/>
            <w:shd w:val="clear" w:color="auto" w:fill="auto"/>
            <w:noWrap w:val="0"/>
            <w:vAlign w:val="center"/>
          </w:tcPr>
          <w:p w14:paraId="3AEEBE92">
            <w:pPr>
              <w:jc w:val="both"/>
              <w:rPr>
                <w:rFonts w:hint="eastAsia" w:ascii="宋体" w:hAnsi="宋体" w:cs="宋体"/>
                <w:color w:val="000000"/>
                <w:sz w:val="22"/>
              </w:rPr>
            </w:pPr>
          </w:p>
        </w:tc>
        <w:tc>
          <w:tcPr>
            <w:tcW w:w="1243" w:type="pct"/>
            <w:vMerge w:val="continue"/>
            <w:shd w:val="clear" w:color="auto" w:fill="auto"/>
            <w:noWrap w:val="0"/>
            <w:vAlign w:val="center"/>
          </w:tcPr>
          <w:p w14:paraId="1F1E2B5F">
            <w:pPr>
              <w:jc w:val="both"/>
              <w:rPr>
                <w:rFonts w:hint="eastAsia" w:ascii="宋体" w:hAnsi="宋体" w:cs="宋体"/>
                <w:color w:val="000000"/>
                <w:sz w:val="22"/>
              </w:rPr>
            </w:pPr>
          </w:p>
        </w:tc>
        <w:tc>
          <w:tcPr>
            <w:tcW w:w="3194" w:type="pct"/>
            <w:noWrap w:val="0"/>
            <w:vAlign w:val="center"/>
          </w:tcPr>
          <w:p w14:paraId="1312F65E">
            <w:pPr>
              <w:jc w:val="both"/>
              <w:rPr>
                <w:rFonts w:hint="eastAsia" w:ascii="宋体" w:hAnsi="宋体" w:cs="宋体"/>
                <w:color w:val="000000"/>
                <w:sz w:val="22"/>
              </w:rPr>
            </w:pPr>
            <w:r>
              <w:rPr>
                <w:rFonts w:hint="eastAsia" w:ascii="宋体" w:hAnsi="宋体" w:cs="宋体"/>
                <w:color w:val="000000"/>
                <w:sz w:val="22"/>
              </w:rPr>
              <w:t>6、产品符合儿童家具通用技术标准。</w:t>
            </w:r>
          </w:p>
        </w:tc>
      </w:tr>
      <w:tr w14:paraId="3E990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61" w:type="pct"/>
            <w:vMerge w:val="restart"/>
            <w:shd w:val="clear" w:color="auto" w:fill="auto"/>
            <w:noWrap w:val="0"/>
            <w:vAlign w:val="center"/>
          </w:tcPr>
          <w:p w14:paraId="62975802">
            <w:pPr>
              <w:jc w:val="center"/>
              <w:rPr>
                <w:rFonts w:hint="eastAsia" w:ascii="宋体" w:hAnsi="宋体" w:eastAsia="宋体" w:cs="宋体"/>
                <w:color w:val="000000"/>
                <w:kern w:val="2"/>
                <w:sz w:val="22"/>
                <w:szCs w:val="22"/>
                <w:lang w:val="en-US" w:eastAsia="zh-CN" w:bidi="ar-SA"/>
              </w:rPr>
            </w:pPr>
            <w:r>
              <w:rPr>
                <w:rFonts w:hint="eastAsia" w:ascii="宋体" w:hAnsi="宋体" w:cs="宋体"/>
                <w:color w:val="000000"/>
                <w:sz w:val="22"/>
              </w:rPr>
              <w:t>23</w:t>
            </w:r>
          </w:p>
        </w:tc>
        <w:tc>
          <w:tcPr>
            <w:tcW w:w="1243" w:type="pct"/>
            <w:vMerge w:val="restart"/>
            <w:shd w:val="clear" w:color="auto" w:fill="auto"/>
            <w:noWrap w:val="0"/>
            <w:vAlign w:val="center"/>
          </w:tcPr>
          <w:p w14:paraId="74C5F8FA">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洗衣烘干机</w:t>
            </w:r>
          </w:p>
        </w:tc>
        <w:tc>
          <w:tcPr>
            <w:tcW w:w="3194" w:type="pct"/>
            <w:noWrap w:val="0"/>
            <w:vAlign w:val="center"/>
          </w:tcPr>
          <w:p w14:paraId="4048A16E">
            <w:pPr>
              <w:jc w:val="both"/>
              <w:rPr>
                <w:rFonts w:hint="eastAsia" w:ascii="宋体" w:hAnsi="宋体" w:cs="宋体"/>
                <w:color w:val="000000"/>
                <w:sz w:val="22"/>
              </w:rPr>
            </w:pPr>
            <w:r>
              <w:rPr>
                <w:rFonts w:hint="eastAsia" w:ascii="宋体" w:hAnsi="宋体" w:cs="宋体"/>
                <w:color w:val="000000"/>
                <w:sz w:val="22"/>
              </w:rPr>
              <w:t>1、尺寸：L48cm*W37cm*H83cm（±</w:t>
            </w:r>
            <w:r>
              <w:rPr>
                <w:rFonts w:hint="eastAsia" w:ascii="宋体" w:hAnsi="宋体" w:cs="宋体"/>
                <w:color w:val="000000"/>
                <w:sz w:val="22"/>
                <w:lang w:val="en-US" w:eastAsia="zh-CN"/>
              </w:rPr>
              <w:t>2</w:t>
            </w:r>
            <w:r>
              <w:rPr>
                <w:rFonts w:hint="eastAsia" w:ascii="宋体" w:hAnsi="宋体" w:cs="宋体"/>
                <w:color w:val="000000"/>
                <w:sz w:val="22"/>
              </w:rPr>
              <w:t>cm）</w:t>
            </w:r>
          </w:p>
        </w:tc>
      </w:tr>
      <w:tr w14:paraId="25A69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61" w:type="pct"/>
            <w:vMerge w:val="continue"/>
            <w:shd w:val="clear" w:color="auto" w:fill="auto"/>
            <w:noWrap w:val="0"/>
            <w:vAlign w:val="center"/>
          </w:tcPr>
          <w:p w14:paraId="0F2CB6B7">
            <w:pPr>
              <w:jc w:val="both"/>
            </w:pPr>
          </w:p>
        </w:tc>
        <w:tc>
          <w:tcPr>
            <w:tcW w:w="1243" w:type="pct"/>
            <w:vMerge w:val="continue"/>
            <w:shd w:val="clear" w:color="auto" w:fill="auto"/>
            <w:noWrap w:val="0"/>
            <w:vAlign w:val="center"/>
          </w:tcPr>
          <w:p w14:paraId="207ED5FA">
            <w:pPr>
              <w:jc w:val="both"/>
            </w:pPr>
          </w:p>
        </w:tc>
        <w:tc>
          <w:tcPr>
            <w:tcW w:w="3194" w:type="pct"/>
            <w:noWrap w:val="0"/>
            <w:vAlign w:val="center"/>
          </w:tcPr>
          <w:p w14:paraId="215303D7">
            <w:pPr>
              <w:jc w:val="both"/>
              <w:rPr>
                <w:rFonts w:hint="eastAsia" w:ascii="宋体" w:hAnsi="宋体" w:cs="宋体"/>
                <w:color w:val="000000"/>
                <w:sz w:val="22"/>
              </w:rPr>
            </w:pPr>
            <w:r>
              <w:rPr>
                <w:rFonts w:hint="eastAsia" w:ascii="宋体" w:hAnsi="宋体" w:cs="宋体"/>
                <w:color w:val="000000"/>
                <w:sz w:val="22"/>
              </w:rPr>
              <w:t>2、基材：桦木实木多层板，表面纹理清晰且全白、无结疤、无黑疤、无红点。烘干机面板印有仿真刻度，并带有两个圆形按钮，可以控制时间和温度，扭动时会发出哒哒哒的的声音，形象逼真，下方有上下两层，分别有上下两扇单门。门上都配有白色把手，门的尺寸不大于42*30cm（±</w:t>
            </w:r>
            <w:r>
              <w:rPr>
                <w:rFonts w:hint="eastAsia" w:ascii="宋体" w:hAnsi="宋体" w:cs="宋体"/>
                <w:color w:val="000000"/>
                <w:sz w:val="22"/>
                <w:lang w:val="en-US" w:eastAsia="zh-CN"/>
              </w:rPr>
              <w:t>1</w:t>
            </w:r>
            <w:r>
              <w:rPr>
                <w:rFonts w:hint="eastAsia" w:ascii="宋体" w:hAnsi="宋体" w:cs="宋体"/>
                <w:color w:val="000000"/>
                <w:sz w:val="22"/>
              </w:rPr>
              <w:t>cm），外圈为原木，中间为茶色有机玻璃。两扇门中间有带磁石档条，用于闭门。上层内部空间不大于43*26*40cm（±</w:t>
            </w:r>
            <w:r>
              <w:rPr>
                <w:rFonts w:hint="eastAsia" w:ascii="宋体" w:hAnsi="宋体" w:cs="宋体"/>
                <w:color w:val="000000"/>
                <w:sz w:val="22"/>
                <w:lang w:val="en-US" w:eastAsia="zh-CN"/>
              </w:rPr>
              <w:t>1</w:t>
            </w:r>
            <w:r>
              <w:rPr>
                <w:rFonts w:hint="eastAsia" w:ascii="宋体" w:hAnsi="宋体" w:cs="宋体"/>
                <w:color w:val="000000"/>
                <w:sz w:val="22"/>
              </w:rPr>
              <w:t>cm），下层内部空间不大于43*28*33cm（±</w:t>
            </w:r>
            <w:r>
              <w:rPr>
                <w:rFonts w:hint="eastAsia" w:ascii="宋体" w:hAnsi="宋体" w:cs="宋体"/>
                <w:color w:val="000000"/>
                <w:sz w:val="22"/>
                <w:lang w:val="en-US" w:eastAsia="zh-CN"/>
              </w:rPr>
              <w:t>1</w:t>
            </w:r>
            <w:r>
              <w:rPr>
                <w:rFonts w:hint="eastAsia" w:ascii="宋体" w:hAnsi="宋体" w:cs="宋体"/>
                <w:color w:val="000000"/>
                <w:sz w:val="22"/>
              </w:rPr>
              <w:t>cm）。</w:t>
            </w:r>
          </w:p>
        </w:tc>
      </w:tr>
      <w:tr w14:paraId="76753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61" w:type="pct"/>
            <w:vMerge w:val="continue"/>
            <w:shd w:val="clear" w:color="auto" w:fill="auto"/>
            <w:noWrap w:val="0"/>
            <w:vAlign w:val="center"/>
          </w:tcPr>
          <w:p w14:paraId="6EBFF412">
            <w:pPr>
              <w:jc w:val="both"/>
              <w:rPr>
                <w:rFonts w:hint="eastAsia" w:ascii="宋体" w:hAnsi="宋体" w:cs="宋体"/>
                <w:color w:val="000000"/>
                <w:sz w:val="22"/>
              </w:rPr>
            </w:pPr>
          </w:p>
        </w:tc>
        <w:tc>
          <w:tcPr>
            <w:tcW w:w="1243" w:type="pct"/>
            <w:vMerge w:val="continue"/>
            <w:shd w:val="clear" w:color="auto" w:fill="auto"/>
            <w:noWrap w:val="0"/>
            <w:vAlign w:val="center"/>
          </w:tcPr>
          <w:p w14:paraId="5E80A7D2">
            <w:pPr>
              <w:jc w:val="both"/>
              <w:rPr>
                <w:rFonts w:hint="eastAsia" w:ascii="宋体" w:hAnsi="宋体" w:cs="宋体"/>
                <w:color w:val="000000"/>
                <w:sz w:val="22"/>
              </w:rPr>
            </w:pPr>
          </w:p>
        </w:tc>
        <w:tc>
          <w:tcPr>
            <w:tcW w:w="3194" w:type="pct"/>
            <w:noWrap w:val="0"/>
            <w:vAlign w:val="center"/>
          </w:tcPr>
          <w:p w14:paraId="335DAC97">
            <w:pPr>
              <w:jc w:val="both"/>
              <w:rPr>
                <w:rFonts w:hint="eastAsia" w:ascii="宋体" w:hAnsi="宋体" w:cs="宋体"/>
                <w:color w:val="000000"/>
                <w:sz w:val="22"/>
              </w:rPr>
            </w:pPr>
            <w:r>
              <w:rPr>
                <w:rFonts w:hint="eastAsia" w:ascii="宋体" w:hAnsi="宋体" w:cs="宋体"/>
                <w:color w:val="000000"/>
                <w:sz w:val="22"/>
              </w:rPr>
              <w:t>3、五金：选用环保五金，安全无毒，色泽丰富。</w:t>
            </w:r>
          </w:p>
        </w:tc>
      </w:tr>
      <w:tr w14:paraId="40564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61" w:type="pct"/>
            <w:vMerge w:val="continue"/>
            <w:shd w:val="clear" w:color="auto" w:fill="auto"/>
            <w:noWrap w:val="0"/>
            <w:vAlign w:val="center"/>
          </w:tcPr>
          <w:p w14:paraId="4238DF27">
            <w:pPr>
              <w:jc w:val="both"/>
              <w:rPr>
                <w:rFonts w:hint="eastAsia" w:ascii="宋体" w:hAnsi="宋体" w:cs="宋体"/>
                <w:color w:val="000000"/>
                <w:sz w:val="22"/>
              </w:rPr>
            </w:pPr>
          </w:p>
        </w:tc>
        <w:tc>
          <w:tcPr>
            <w:tcW w:w="1243" w:type="pct"/>
            <w:vMerge w:val="continue"/>
            <w:shd w:val="clear" w:color="auto" w:fill="auto"/>
            <w:noWrap w:val="0"/>
            <w:vAlign w:val="center"/>
          </w:tcPr>
          <w:p w14:paraId="7A3FD213">
            <w:pPr>
              <w:jc w:val="both"/>
              <w:rPr>
                <w:rFonts w:hint="eastAsia" w:ascii="宋体" w:hAnsi="宋体" w:cs="宋体"/>
                <w:color w:val="000000"/>
                <w:sz w:val="22"/>
              </w:rPr>
            </w:pPr>
          </w:p>
        </w:tc>
        <w:tc>
          <w:tcPr>
            <w:tcW w:w="3194" w:type="pct"/>
            <w:noWrap w:val="0"/>
            <w:vAlign w:val="center"/>
          </w:tcPr>
          <w:p w14:paraId="12205020">
            <w:pPr>
              <w:jc w:val="both"/>
              <w:rPr>
                <w:rFonts w:hint="eastAsia" w:ascii="宋体" w:hAnsi="宋体" w:cs="宋体"/>
                <w:color w:val="000000"/>
                <w:sz w:val="22"/>
              </w:rPr>
            </w:pPr>
            <w:r>
              <w:rPr>
                <w:rFonts w:hint="eastAsia" w:ascii="宋体" w:hAnsi="宋体" w:cs="宋体"/>
                <w:color w:val="000000"/>
                <w:sz w:val="22"/>
              </w:rPr>
              <w:t>4、油漆：采用绿色环保无毒水性漆，经过两底一面工艺制作。附着力、耐冲击、耐磨、耐湿不小于3 级，灼烧、耐液、耐干、 耐冷热。</w:t>
            </w:r>
          </w:p>
        </w:tc>
      </w:tr>
      <w:tr w14:paraId="1F0FB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61" w:type="pct"/>
            <w:vMerge w:val="continue"/>
            <w:shd w:val="clear" w:color="auto" w:fill="auto"/>
            <w:noWrap w:val="0"/>
            <w:vAlign w:val="center"/>
          </w:tcPr>
          <w:p w14:paraId="50BCFA6D">
            <w:pPr>
              <w:jc w:val="both"/>
              <w:rPr>
                <w:rFonts w:hint="eastAsia" w:ascii="宋体" w:hAnsi="宋体" w:cs="宋体"/>
                <w:color w:val="000000"/>
                <w:sz w:val="22"/>
              </w:rPr>
            </w:pPr>
          </w:p>
        </w:tc>
        <w:tc>
          <w:tcPr>
            <w:tcW w:w="1243" w:type="pct"/>
            <w:vMerge w:val="continue"/>
            <w:shd w:val="clear" w:color="auto" w:fill="auto"/>
            <w:noWrap w:val="0"/>
            <w:vAlign w:val="center"/>
          </w:tcPr>
          <w:p w14:paraId="34706E96">
            <w:pPr>
              <w:jc w:val="both"/>
              <w:rPr>
                <w:rFonts w:hint="eastAsia" w:ascii="宋体" w:hAnsi="宋体" w:cs="宋体"/>
                <w:color w:val="000000"/>
                <w:sz w:val="22"/>
              </w:rPr>
            </w:pPr>
          </w:p>
        </w:tc>
        <w:tc>
          <w:tcPr>
            <w:tcW w:w="3194" w:type="pct"/>
            <w:noWrap w:val="0"/>
            <w:vAlign w:val="center"/>
          </w:tcPr>
          <w:p w14:paraId="0F171724">
            <w:pPr>
              <w:jc w:val="both"/>
              <w:rPr>
                <w:rFonts w:hint="eastAsia" w:ascii="宋体" w:hAnsi="宋体" w:cs="宋体"/>
                <w:color w:val="000000"/>
                <w:sz w:val="22"/>
              </w:rPr>
            </w:pPr>
            <w:r>
              <w:rPr>
                <w:rFonts w:hint="eastAsia" w:ascii="宋体" w:hAnsi="宋体" w:cs="宋体"/>
                <w:color w:val="000000"/>
                <w:sz w:val="22"/>
              </w:rPr>
              <w:t>5、其他：外延打磨指甲圆，光滑平整，正反面均无毛刺。</w:t>
            </w:r>
          </w:p>
        </w:tc>
      </w:tr>
      <w:tr w14:paraId="2AD34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61" w:type="pct"/>
            <w:vMerge w:val="continue"/>
            <w:shd w:val="clear" w:color="auto" w:fill="auto"/>
            <w:noWrap w:val="0"/>
            <w:vAlign w:val="center"/>
          </w:tcPr>
          <w:p w14:paraId="767A35C7">
            <w:pPr>
              <w:jc w:val="both"/>
              <w:rPr>
                <w:rFonts w:hint="eastAsia" w:ascii="宋体" w:hAnsi="宋体" w:cs="宋体"/>
                <w:color w:val="000000"/>
                <w:sz w:val="22"/>
              </w:rPr>
            </w:pPr>
          </w:p>
        </w:tc>
        <w:tc>
          <w:tcPr>
            <w:tcW w:w="1243" w:type="pct"/>
            <w:vMerge w:val="continue"/>
            <w:shd w:val="clear" w:color="auto" w:fill="auto"/>
            <w:noWrap w:val="0"/>
            <w:vAlign w:val="center"/>
          </w:tcPr>
          <w:p w14:paraId="71C6D548">
            <w:pPr>
              <w:jc w:val="both"/>
              <w:rPr>
                <w:rFonts w:hint="eastAsia" w:ascii="宋体" w:hAnsi="宋体" w:cs="宋体"/>
                <w:color w:val="000000"/>
                <w:sz w:val="22"/>
              </w:rPr>
            </w:pPr>
          </w:p>
        </w:tc>
        <w:tc>
          <w:tcPr>
            <w:tcW w:w="3194" w:type="pct"/>
            <w:noWrap w:val="0"/>
            <w:vAlign w:val="center"/>
          </w:tcPr>
          <w:p w14:paraId="4D1BDF18">
            <w:pPr>
              <w:jc w:val="both"/>
              <w:rPr>
                <w:rFonts w:hint="eastAsia" w:ascii="宋体" w:hAnsi="宋体" w:cs="宋体"/>
                <w:color w:val="000000"/>
                <w:sz w:val="22"/>
              </w:rPr>
            </w:pPr>
            <w:r>
              <w:rPr>
                <w:rFonts w:hint="eastAsia" w:ascii="宋体" w:hAnsi="宋体" w:cs="宋体"/>
                <w:color w:val="000000"/>
                <w:sz w:val="22"/>
              </w:rPr>
              <w:t>6、产品符合儿童家具通用技术标准。</w:t>
            </w:r>
          </w:p>
        </w:tc>
      </w:tr>
      <w:tr w14:paraId="700BA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561" w:type="pct"/>
            <w:vMerge w:val="restart"/>
            <w:shd w:val="clear" w:color="auto" w:fill="auto"/>
            <w:noWrap w:val="0"/>
            <w:vAlign w:val="center"/>
          </w:tcPr>
          <w:p w14:paraId="02729D75">
            <w:pPr>
              <w:jc w:val="center"/>
              <w:rPr>
                <w:rFonts w:hint="eastAsia" w:ascii="宋体" w:hAnsi="宋体" w:eastAsia="宋体" w:cs="宋体"/>
                <w:color w:val="000000"/>
                <w:kern w:val="2"/>
                <w:sz w:val="22"/>
                <w:szCs w:val="22"/>
                <w:lang w:val="en-US" w:eastAsia="zh-CN" w:bidi="ar-SA"/>
              </w:rPr>
            </w:pPr>
            <w:r>
              <w:rPr>
                <w:rFonts w:hint="eastAsia" w:ascii="宋体" w:hAnsi="宋体" w:cs="宋体"/>
                <w:color w:val="000000"/>
                <w:sz w:val="22"/>
              </w:rPr>
              <w:t>24</w:t>
            </w:r>
          </w:p>
        </w:tc>
        <w:tc>
          <w:tcPr>
            <w:tcW w:w="1243" w:type="pct"/>
            <w:vMerge w:val="restart"/>
            <w:shd w:val="clear" w:color="auto" w:fill="auto"/>
            <w:noWrap w:val="0"/>
            <w:vAlign w:val="center"/>
          </w:tcPr>
          <w:p w14:paraId="254EB4C2">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经典塑料叠床</w:t>
            </w:r>
          </w:p>
        </w:tc>
        <w:tc>
          <w:tcPr>
            <w:tcW w:w="3194" w:type="pct"/>
            <w:noWrap w:val="0"/>
            <w:vAlign w:val="center"/>
          </w:tcPr>
          <w:p w14:paraId="70A2E33B">
            <w:pPr>
              <w:jc w:val="both"/>
              <w:rPr>
                <w:rFonts w:hint="eastAsia" w:ascii="宋体" w:hAnsi="宋体" w:cs="宋体"/>
                <w:color w:val="000000"/>
                <w:sz w:val="22"/>
              </w:rPr>
            </w:pPr>
            <w:r>
              <w:rPr>
                <w:rFonts w:hint="eastAsia" w:ascii="宋体" w:hAnsi="宋体" w:cs="宋体"/>
                <w:color w:val="000000"/>
                <w:sz w:val="22"/>
                <w:lang w:val="en-US" w:eastAsia="zh-CN"/>
              </w:rPr>
              <w:t>1、</w:t>
            </w:r>
            <w:r>
              <w:rPr>
                <w:rFonts w:hint="eastAsia" w:ascii="宋体" w:hAnsi="宋体" w:cs="宋体"/>
                <w:color w:val="000000"/>
                <w:sz w:val="22"/>
              </w:rPr>
              <w:t>尺寸:L140cm*W56cm*H20cm（±</w:t>
            </w:r>
            <w:r>
              <w:rPr>
                <w:rFonts w:hint="eastAsia" w:ascii="宋体" w:hAnsi="宋体" w:cs="宋体"/>
                <w:color w:val="000000"/>
                <w:sz w:val="22"/>
                <w:lang w:val="en-US" w:eastAsia="zh-CN"/>
              </w:rPr>
              <w:t>1</w:t>
            </w:r>
            <w:r>
              <w:rPr>
                <w:rFonts w:hint="eastAsia" w:ascii="宋体" w:hAnsi="宋体" w:cs="宋体"/>
                <w:color w:val="000000"/>
                <w:sz w:val="22"/>
              </w:rPr>
              <w:t>cm）；</w:t>
            </w:r>
          </w:p>
        </w:tc>
      </w:tr>
      <w:tr w14:paraId="3FFB9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561" w:type="pct"/>
            <w:vMerge w:val="continue"/>
            <w:shd w:val="clear" w:color="auto" w:fill="auto"/>
            <w:noWrap w:val="0"/>
            <w:vAlign w:val="center"/>
          </w:tcPr>
          <w:p w14:paraId="7555D19C">
            <w:pPr>
              <w:jc w:val="both"/>
            </w:pPr>
          </w:p>
        </w:tc>
        <w:tc>
          <w:tcPr>
            <w:tcW w:w="1243" w:type="pct"/>
            <w:vMerge w:val="continue"/>
            <w:shd w:val="clear" w:color="auto" w:fill="auto"/>
            <w:noWrap w:val="0"/>
            <w:vAlign w:val="center"/>
          </w:tcPr>
          <w:p w14:paraId="6D7C847E">
            <w:pPr>
              <w:jc w:val="both"/>
            </w:pPr>
          </w:p>
        </w:tc>
        <w:tc>
          <w:tcPr>
            <w:tcW w:w="3194" w:type="pct"/>
            <w:shd w:val="clear" w:color="auto" w:fill="auto"/>
            <w:noWrap w:val="0"/>
            <w:vAlign w:val="center"/>
          </w:tcPr>
          <w:p w14:paraId="71948655">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0"/>
                <w:sz w:val="21"/>
                <w:szCs w:val="21"/>
                <w:lang w:val="en-US" w:eastAsia="zh-CN" w:bidi="ar"/>
              </w:rPr>
            </w:pPr>
            <w:r>
              <w:rPr>
                <w:rFonts w:hint="eastAsia" w:ascii="宋体" w:hAnsi="宋体" w:eastAsia="宋体" w:cs="宋体"/>
                <w:i w:val="0"/>
                <w:iCs w:val="0"/>
                <w:color w:val="000000"/>
                <w:kern w:val="0"/>
                <w:sz w:val="21"/>
                <w:szCs w:val="21"/>
                <w:lang w:val="en-US" w:eastAsia="zh-CN" w:bidi="ar"/>
              </w:rPr>
              <w:t>2、床面采用优质环保pvc网布，透气性强，床脚采用TPE材质。</w:t>
            </w:r>
          </w:p>
        </w:tc>
      </w:tr>
      <w:tr w14:paraId="3F79B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561" w:type="pct"/>
            <w:vMerge w:val="continue"/>
            <w:shd w:val="clear" w:color="auto" w:fill="auto"/>
            <w:noWrap w:val="0"/>
            <w:vAlign w:val="center"/>
          </w:tcPr>
          <w:p w14:paraId="4A5484F8">
            <w:pPr>
              <w:jc w:val="both"/>
              <w:rPr>
                <w:rFonts w:hint="eastAsia" w:ascii="宋体" w:hAnsi="宋体" w:cs="宋体"/>
                <w:color w:val="000000"/>
                <w:sz w:val="22"/>
              </w:rPr>
            </w:pPr>
          </w:p>
        </w:tc>
        <w:tc>
          <w:tcPr>
            <w:tcW w:w="1243" w:type="pct"/>
            <w:vMerge w:val="continue"/>
            <w:shd w:val="clear" w:color="auto" w:fill="auto"/>
            <w:noWrap w:val="0"/>
            <w:vAlign w:val="center"/>
          </w:tcPr>
          <w:p w14:paraId="65277835">
            <w:pPr>
              <w:jc w:val="both"/>
              <w:rPr>
                <w:rFonts w:hint="eastAsia" w:ascii="宋体" w:hAnsi="宋体" w:cs="宋体"/>
                <w:color w:val="000000"/>
                <w:sz w:val="22"/>
              </w:rPr>
            </w:pPr>
          </w:p>
        </w:tc>
        <w:tc>
          <w:tcPr>
            <w:tcW w:w="3194" w:type="pct"/>
            <w:shd w:val="clear" w:color="auto" w:fill="auto"/>
            <w:noWrap w:val="0"/>
            <w:vAlign w:val="center"/>
          </w:tcPr>
          <w:p w14:paraId="3DE179AE">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0"/>
                <w:sz w:val="21"/>
                <w:szCs w:val="21"/>
                <w:lang w:val="en-US" w:eastAsia="zh-CN" w:bidi="ar"/>
              </w:rPr>
            </w:pPr>
            <w:r>
              <w:rPr>
                <w:rFonts w:hint="eastAsia" w:ascii="宋体" w:hAnsi="宋体" w:eastAsia="宋体" w:cs="宋体"/>
                <w:i w:val="0"/>
                <w:iCs w:val="0"/>
                <w:color w:val="000000"/>
                <w:kern w:val="0"/>
                <w:sz w:val="21"/>
                <w:szCs w:val="21"/>
                <w:lang w:val="en-US" w:eastAsia="zh-CN" w:bidi="ar"/>
              </w:rPr>
              <w:t>3.床架采用直径25mm铁管制成，表面喷塑，不易变色，牢固性好。</w:t>
            </w:r>
          </w:p>
        </w:tc>
      </w:tr>
      <w:tr w14:paraId="75B8B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561" w:type="pct"/>
            <w:vMerge w:val="continue"/>
            <w:shd w:val="clear" w:color="auto" w:fill="auto"/>
            <w:noWrap w:val="0"/>
            <w:vAlign w:val="center"/>
          </w:tcPr>
          <w:p w14:paraId="11975D2C">
            <w:pPr>
              <w:jc w:val="both"/>
              <w:rPr>
                <w:rFonts w:hint="eastAsia" w:ascii="宋体" w:hAnsi="宋体" w:cs="宋体"/>
                <w:color w:val="000000"/>
                <w:sz w:val="22"/>
              </w:rPr>
            </w:pPr>
          </w:p>
        </w:tc>
        <w:tc>
          <w:tcPr>
            <w:tcW w:w="1243" w:type="pct"/>
            <w:vMerge w:val="continue"/>
            <w:shd w:val="clear" w:color="auto" w:fill="auto"/>
            <w:noWrap w:val="0"/>
            <w:vAlign w:val="center"/>
          </w:tcPr>
          <w:p w14:paraId="724BCA3B">
            <w:pPr>
              <w:jc w:val="both"/>
              <w:rPr>
                <w:rFonts w:hint="eastAsia" w:ascii="宋体" w:hAnsi="宋体" w:cs="宋体"/>
                <w:color w:val="000000"/>
                <w:sz w:val="22"/>
              </w:rPr>
            </w:pPr>
          </w:p>
        </w:tc>
        <w:tc>
          <w:tcPr>
            <w:tcW w:w="3194" w:type="pct"/>
            <w:shd w:val="clear" w:color="auto" w:fill="auto"/>
            <w:noWrap w:val="0"/>
            <w:vAlign w:val="center"/>
          </w:tcPr>
          <w:p w14:paraId="45804AA6">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0"/>
                <w:sz w:val="21"/>
                <w:szCs w:val="21"/>
                <w:lang w:val="en-US" w:eastAsia="zh-CN" w:bidi="ar"/>
              </w:rPr>
            </w:pPr>
            <w:r>
              <w:rPr>
                <w:rFonts w:hint="eastAsia" w:ascii="宋体" w:hAnsi="宋体" w:eastAsia="宋体" w:cs="宋体"/>
                <w:i w:val="0"/>
                <w:iCs w:val="0"/>
                <w:color w:val="000000"/>
                <w:kern w:val="0"/>
                <w:sz w:val="21"/>
                <w:szCs w:val="21"/>
                <w:lang w:val="en-US" w:eastAsia="zh-CN" w:bidi="ar"/>
              </w:rPr>
              <w:t>4、五金件选用环保五金，安全无毒，色泽丰富，锑、砷、 钡、镉、铬、铅、汞、硒可迁移元素符合GB 6675.4-2014的检测结果。</w:t>
            </w:r>
          </w:p>
        </w:tc>
      </w:tr>
      <w:tr w14:paraId="02D78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561" w:type="pct"/>
            <w:vMerge w:val="restart"/>
            <w:shd w:val="clear" w:color="auto" w:fill="auto"/>
            <w:noWrap w:val="0"/>
            <w:vAlign w:val="center"/>
          </w:tcPr>
          <w:p w14:paraId="38687E44">
            <w:pPr>
              <w:jc w:val="center"/>
              <w:rPr>
                <w:rFonts w:hint="eastAsia" w:ascii="宋体" w:hAnsi="宋体" w:eastAsia="宋体" w:cs="宋体"/>
                <w:color w:val="000000"/>
                <w:kern w:val="2"/>
                <w:sz w:val="22"/>
                <w:szCs w:val="22"/>
                <w:lang w:val="en-US" w:eastAsia="zh-CN" w:bidi="ar-SA"/>
              </w:rPr>
            </w:pPr>
            <w:r>
              <w:rPr>
                <w:rFonts w:hint="eastAsia" w:ascii="宋体" w:hAnsi="宋体" w:cs="宋体"/>
                <w:color w:val="000000"/>
                <w:sz w:val="22"/>
              </w:rPr>
              <w:t>25</w:t>
            </w:r>
          </w:p>
        </w:tc>
        <w:tc>
          <w:tcPr>
            <w:tcW w:w="1243" w:type="pct"/>
            <w:vMerge w:val="restart"/>
            <w:shd w:val="clear" w:color="auto" w:fill="auto"/>
            <w:noWrap w:val="0"/>
            <w:vAlign w:val="center"/>
          </w:tcPr>
          <w:p w14:paraId="2E38870E">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塑料床配托盘</w:t>
            </w:r>
          </w:p>
        </w:tc>
        <w:tc>
          <w:tcPr>
            <w:tcW w:w="3194" w:type="pct"/>
            <w:noWrap w:val="0"/>
            <w:vAlign w:val="center"/>
          </w:tcPr>
          <w:p w14:paraId="7B4B63AD">
            <w:pPr>
              <w:jc w:val="both"/>
              <w:rPr>
                <w:rFonts w:hint="eastAsia" w:ascii="宋体" w:hAnsi="宋体" w:cs="宋体"/>
                <w:color w:val="000000"/>
                <w:sz w:val="22"/>
              </w:rPr>
            </w:pPr>
            <w:r>
              <w:rPr>
                <w:rFonts w:hint="eastAsia" w:ascii="宋体" w:hAnsi="宋体" w:cs="宋体"/>
                <w:color w:val="000000"/>
                <w:sz w:val="22"/>
                <w:lang w:val="en-US" w:eastAsia="zh-CN"/>
              </w:rPr>
              <w:t>1、</w:t>
            </w:r>
            <w:r>
              <w:rPr>
                <w:rFonts w:hint="eastAsia" w:ascii="宋体" w:hAnsi="宋体" w:cs="宋体"/>
                <w:color w:val="000000"/>
                <w:sz w:val="22"/>
              </w:rPr>
              <w:t>尺寸：伸缩范围长131cm-158cm，宽57cm-83cm。（±</w:t>
            </w:r>
            <w:r>
              <w:rPr>
                <w:rFonts w:hint="eastAsia" w:ascii="宋体" w:hAnsi="宋体" w:cs="宋体"/>
                <w:color w:val="000000"/>
                <w:sz w:val="22"/>
                <w:lang w:val="en-US" w:eastAsia="zh-CN"/>
              </w:rPr>
              <w:t>2</w:t>
            </w:r>
            <w:r>
              <w:rPr>
                <w:rFonts w:hint="eastAsia" w:ascii="宋体" w:hAnsi="宋体" w:cs="宋体"/>
                <w:color w:val="000000"/>
                <w:sz w:val="22"/>
              </w:rPr>
              <w:t>cm）</w:t>
            </w:r>
          </w:p>
        </w:tc>
      </w:tr>
      <w:tr w14:paraId="2409E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561" w:type="pct"/>
            <w:vMerge w:val="continue"/>
            <w:shd w:val="clear" w:color="auto" w:fill="auto"/>
            <w:noWrap w:val="0"/>
            <w:vAlign w:val="center"/>
          </w:tcPr>
          <w:p w14:paraId="22F9FEF7">
            <w:pPr>
              <w:jc w:val="both"/>
            </w:pPr>
          </w:p>
        </w:tc>
        <w:tc>
          <w:tcPr>
            <w:tcW w:w="1243" w:type="pct"/>
            <w:vMerge w:val="continue"/>
            <w:shd w:val="clear" w:color="auto" w:fill="auto"/>
            <w:noWrap w:val="0"/>
            <w:vAlign w:val="center"/>
          </w:tcPr>
          <w:p w14:paraId="024067DF">
            <w:pPr>
              <w:jc w:val="both"/>
            </w:pPr>
          </w:p>
        </w:tc>
        <w:tc>
          <w:tcPr>
            <w:tcW w:w="3194" w:type="pct"/>
            <w:shd w:val="clear" w:color="auto" w:fill="auto"/>
            <w:noWrap w:val="0"/>
            <w:vAlign w:val="center"/>
          </w:tcPr>
          <w:p w14:paraId="5463A916">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0"/>
                <w:sz w:val="21"/>
                <w:szCs w:val="21"/>
                <w:lang w:val="en-US" w:eastAsia="zh-CN" w:bidi="ar"/>
              </w:rPr>
            </w:pPr>
            <w:r>
              <w:rPr>
                <w:rFonts w:hint="eastAsia" w:ascii="宋体" w:hAnsi="宋体" w:eastAsia="宋体" w:cs="宋体"/>
                <w:i w:val="0"/>
                <w:iCs w:val="0"/>
                <w:color w:val="000000"/>
                <w:kern w:val="0"/>
                <w:sz w:val="21"/>
                <w:szCs w:val="21"/>
                <w:lang w:val="en-US" w:eastAsia="zh-CN" w:bidi="ar"/>
              </w:rPr>
              <w:t>2、基材：托架采用注塑工艺，加厚设计，一次成型，并设有可调尺，为不同床量身定制。框架采用0.6cm厚优质不锈钢。</w:t>
            </w:r>
          </w:p>
        </w:tc>
      </w:tr>
      <w:tr w14:paraId="4781E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561" w:type="pct"/>
            <w:vMerge w:val="continue"/>
            <w:shd w:val="clear" w:color="auto" w:fill="auto"/>
            <w:noWrap w:val="0"/>
            <w:vAlign w:val="center"/>
          </w:tcPr>
          <w:p w14:paraId="677324B3">
            <w:pPr>
              <w:jc w:val="both"/>
              <w:rPr>
                <w:rFonts w:hint="eastAsia" w:ascii="宋体" w:hAnsi="宋体" w:cs="宋体"/>
                <w:color w:val="000000"/>
                <w:sz w:val="22"/>
              </w:rPr>
            </w:pPr>
          </w:p>
        </w:tc>
        <w:tc>
          <w:tcPr>
            <w:tcW w:w="1243" w:type="pct"/>
            <w:vMerge w:val="continue"/>
            <w:shd w:val="clear" w:color="auto" w:fill="auto"/>
            <w:noWrap w:val="0"/>
            <w:vAlign w:val="center"/>
          </w:tcPr>
          <w:p w14:paraId="2A417A80">
            <w:pPr>
              <w:jc w:val="both"/>
              <w:rPr>
                <w:rFonts w:hint="eastAsia" w:ascii="宋体" w:hAnsi="宋体" w:cs="宋体"/>
                <w:color w:val="000000"/>
                <w:sz w:val="22"/>
              </w:rPr>
            </w:pPr>
          </w:p>
        </w:tc>
        <w:tc>
          <w:tcPr>
            <w:tcW w:w="3194" w:type="pct"/>
            <w:shd w:val="clear" w:color="auto" w:fill="auto"/>
            <w:noWrap w:val="0"/>
            <w:vAlign w:val="center"/>
          </w:tcPr>
          <w:p w14:paraId="25D2368D">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0"/>
                <w:sz w:val="21"/>
                <w:szCs w:val="21"/>
                <w:lang w:val="en-US" w:eastAsia="zh-CN" w:bidi="ar"/>
              </w:rPr>
            </w:pPr>
            <w:r>
              <w:rPr>
                <w:rFonts w:hint="eastAsia" w:ascii="宋体" w:hAnsi="宋体" w:eastAsia="宋体" w:cs="宋体"/>
                <w:i w:val="0"/>
                <w:iCs w:val="0"/>
                <w:color w:val="000000"/>
                <w:kern w:val="0"/>
                <w:sz w:val="21"/>
                <w:szCs w:val="21"/>
                <w:lang w:val="en-US" w:eastAsia="zh-CN" w:bidi="ar"/>
              </w:rPr>
              <w:t>3、精致万向轮铁质轴承，带刹车固定稳妥。轮子采用橡胶轮，对地面无损害。采用静音模式。</w:t>
            </w:r>
          </w:p>
        </w:tc>
      </w:tr>
      <w:tr w14:paraId="31FDB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561" w:type="pct"/>
            <w:vMerge w:val="continue"/>
            <w:shd w:val="clear" w:color="auto" w:fill="auto"/>
            <w:noWrap w:val="0"/>
            <w:vAlign w:val="center"/>
          </w:tcPr>
          <w:p w14:paraId="0C35F604">
            <w:pPr>
              <w:jc w:val="both"/>
              <w:rPr>
                <w:rFonts w:hint="eastAsia" w:ascii="宋体" w:hAnsi="宋体" w:cs="宋体"/>
                <w:color w:val="000000"/>
                <w:sz w:val="22"/>
              </w:rPr>
            </w:pPr>
          </w:p>
        </w:tc>
        <w:tc>
          <w:tcPr>
            <w:tcW w:w="1243" w:type="pct"/>
            <w:vMerge w:val="continue"/>
            <w:shd w:val="clear" w:color="auto" w:fill="auto"/>
            <w:noWrap w:val="0"/>
            <w:vAlign w:val="center"/>
          </w:tcPr>
          <w:p w14:paraId="58415BAB">
            <w:pPr>
              <w:jc w:val="both"/>
              <w:rPr>
                <w:rFonts w:hint="eastAsia" w:ascii="宋体" w:hAnsi="宋体" w:cs="宋体"/>
                <w:color w:val="000000"/>
                <w:sz w:val="22"/>
              </w:rPr>
            </w:pPr>
          </w:p>
        </w:tc>
        <w:tc>
          <w:tcPr>
            <w:tcW w:w="3194" w:type="pct"/>
            <w:shd w:val="clear" w:color="auto" w:fill="auto"/>
            <w:noWrap w:val="0"/>
            <w:vAlign w:val="center"/>
          </w:tcPr>
          <w:p w14:paraId="69293020">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kern w:val="0"/>
                <w:sz w:val="21"/>
                <w:szCs w:val="21"/>
                <w:lang w:val="en-US" w:eastAsia="zh-CN" w:bidi="ar"/>
              </w:rPr>
            </w:pPr>
            <w:r>
              <w:rPr>
                <w:rFonts w:hint="eastAsia" w:ascii="宋体" w:hAnsi="宋体" w:eastAsia="宋体" w:cs="宋体"/>
                <w:i w:val="0"/>
                <w:iCs w:val="0"/>
                <w:color w:val="000000"/>
                <w:kern w:val="0"/>
                <w:sz w:val="21"/>
                <w:szCs w:val="21"/>
                <w:lang w:val="en-US" w:eastAsia="zh-CN" w:bidi="ar"/>
              </w:rPr>
              <w:t>4、五金：选用环保五金，安全无毒，色泽丰富。</w:t>
            </w:r>
          </w:p>
        </w:tc>
      </w:tr>
      <w:tr w14:paraId="6999F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561" w:type="pct"/>
            <w:vMerge w:val="restart"/>
            <w:shd w:val="clear" w:color="auto" w:fill="auto"/>
            <w:noWrap w:val="0"/>
            <w:vAlign w:val="center"/>
          </w:tcPr>
          <w:p w14:paraId="421E5D5E">
            <w:pPr>
              <w:jc w:val="center"/>
              <w:rPr>
                <w:rFonts w:hint="eastAsia" w:ascii="宋体" w:hAnsi="宋体" w:eastAsia="宋体" w:cs="宋体"/>
                <w:color w:val="000000"/>
                <w:kern w:val="2"/>
                <w:sz w:val="22"/>
                <w:szCs w:val="22"/>
                <w:lang w:val="en-US" w:eastAsia="zh-CN" w:bidi="ar-SA"/>
              </w:rPr>
            </w:pPr>
            <w:r>
              <w:rPr>
                <w:rFonts w:hint="eastAsia" w:ascii="宋体" w:hAnsi="宋体" w:cs="宋体"/>
                <w:color w:val="000000"/>
                <w:sz w:val="22"/>
              </w:rPr>
              <w:t>26</w:t>
            </w:r>
          </w:p>
        </w:tc>
        <w:tc>
          <w:tcPr>
            <w:tcW w:w="1243" w:type="pct"/>
            <w:vMerge w:val="restart"/>
            <w:shd w:val="clear" w:color="auto" w:fill="auto"/>
            <w:noWrap w:val="0"/>
            <w:vAlign w:val="center"/>
          </w:tcPr>
          <w:p w14:paraId="6E56F173">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仿藤收纳筐（小）</w:t>
            </w:r>
          </w:p>
        </w:tc>
        <w:tc>
          <w:tcPr>
            <w:tcW w:w="3194" w:type="pct"/>
            <w:noWrap w:val="0"/>
            <w:vAlign w:val="center"/>
          </w:tcPr>
          <w:p w14:paraId="5E45F8B7">
            <w:pPr>
              <w:jc w:val="both"/>
              <w:rPr>
                <w:rFonts w:hint="eastAsia" w:ascii="宋体" w:hAnsi="宋体" w:cs="宋体"/>
                <w:color w:val="000000"/>
                <w:sz w:val="22"/>
              </w:rPr>
            </w:pPr>
            <w:r>
              <w:rPr>
                <w:rFonts w:hint="eastAsia" w:ascii="宋体" w:hAnsi="宋体" w:cs="宋体"/>
                <w:color w:val="000000"/>
                <w:sz w:val="22"/>
                <w:lang w:val="en-US" w:eastAsia="zh-CN"/>
              </w:rPr>
              <w:t>1、</w:t>
            </w:r>
            <w:r>
              <w:rPr>
                <w:rFonts w:hint="eastAsia" w:ascii="宋体" w:hAnsi="宋体" w:cs="宋体"/>
                <w:color w:val="000000"/>
                <w:sz w:val="22"/>
              </w:rPr>
              <w:t>尺寸：26cm*19cm*8cm（±</w:t>
            </w:r>
            <w:r>
              <w:rPr>
                <w:rFonts w:hint="eastAsia" w:ascii="宋体" w:hAnsi="宋体" w:cs="宋体"/>
                <w:color w:val="000000"/>
                <w:sz w:val="22"/>
                <w:lang w:val="en-US" w:eastAsia="zh-CN"/>
              </w:rPr>
              <w:t>1</w:t>
            </w:r>
            <w:r>
              <w:rPr>
                <w:rFonts w:hint="eastAsia" w:ascii="宋体" w:hAnsi="宋体" w:cs="宋体"/>
                <w:color w:val="000000"/>
                <w:sz w:val="22"/>
              </w:rPr>
              <w:t>cm）</w:t>
            </w:r>
          </w:p>
        </w:tc>
      </w:tr>
      <w:tr w14:paraId="54ED9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561" w:type="pct"/>
            <w:vMerge w:val="continue"/>
            <w:shd w:val="clear" w:color="auto" w:fill="auto"/>
            <w:noWrap w:val="0"/>
            <w:vAlign w:val="center"/>
          </w:tcPr>
          <w:p w14:paraId="3369D49D">
            <w:pPr>
              <w:jc w:val="both"/>
            </w:pPr>
          </w:p>
        </w:tc>
        <w:tc>
          <w:tcPr>
            <w:tcW w:w="1243" w:type="pct"/>
            <w:vMerge w:val="continue"/>
            <w:shd w:val="clear" w:color="auto" w:fill="auto"/>
            <w:noWrap w:val="0"/>
            <w:vAlign w:val="center"/>
          </w:tcPr>
          <w:p w14:paraId="58F6A662">
            <w:pPr>
              <w:jc w:val="both"/>
            </w:pPr>
          </w:p>
        </w:tc>
        <w:tc>
          <w:tcPr>
            <w:tcW w:w="3194" w:type="pct"/>
            <w:noWrap w:val="0"/>
            <w:vAlign w:val="center"/>
          </w:tcPr>
          <w:p w14:paraId="3712DF14">
            <w:pPr>
              <w:jc w:val="both"/>
              <w:rPr>
                <w:rFonts w:hint="eastAsia" w:ascii="宋体" w:hAnsi="宋体" w:cs="宋体"/>
                <w:color w:val="000000"/>
                <w:sz w:val="22"/>
              </w:rPr>
            </w:pPr>
            <w:r>
              <w:rPr>
                <w:rFonts w:hint="eastAsia" w:ascii="宋体" w:hAnsi="宋体" w:eastAsia="宋体" w:cs="宋体"/>
                <w:i w:val="0"/>
                <w:iCs w:val="0"/>
                <w:color w:val="000000"/>
                <w:kern w:val="0"/>
                <w:sz w:val="21"/>
                <w:szCs w:val="21"/>
                <w:lang w:val="en-US" w:eastAsia="zh-CN" w:bidi="ar"/>
              </w:rPr>
              <w:t>2、基材：藤胶</w:t>
            </w:r>
          </w:p>
        </w:tc>
      </w:tr>
      <w:tr w14:paraId="36DDC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561" w:type="pct"/>
            <w:vMerge w:val="restart"/>
            <w:shd w:val="clear" w:color="auto" w:fill="auto"/>
            <w:noWrap w:val="0"/>
            <w:vAlign w:val="center"/>
          </w:tcPr>
          <w:p w14:paraId="7CAAE68C">
            <w:pPr>
              <w:jc w:val="center"/>
              <w:rPr>
                <w:rFonts w:hint="eastAsia" w:ascii="宋体" w:hAnsi="宋体" w:eastAsia="宋体" w:cs="宋体"/>
                <w:color w:val="000000"/>
                <w:kern w:val="2"/>
                <w:sz w:val="22"/>
                <w:szCs w:val="22"/>
                <w:lang w:val="en-US" w:eastAsia="zh-CN" w:bidi="ar-SA"/>
              </w:rPr>
            </w:pPr>
            <w:r>
              <w:rPr>
                <w:rFonts w:hint="eastAsia" w:ascii="宋体" w:hAnsi="宋体" w:cs="宋体"/>
                <w:color w:val="000000"/>
                <w:sz w:val="22"/>
              </w:rPr>
              <w:t>27</w:t>
            </w:r>
          </w:p>
        </w:tc>
        <w:tc>
          <w:tcPr>
            <w:tcW w:w="1243" w:type="pct"/>
            <w:vMerge w:val="restart"/>
            <w:shd w:val="clear" w:color="auto" w:fill="auto"/>
            <w:noWrap w:val="0"/>
            <w:vAlign w:val="center"/>
          </w:tcPr>
          <w:p w14:paraId="3B4D8A72">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蒙氏托盘</w:t>
            </w:r>
          </w:p>
        </w:tc>
        <w:tc>
          <w:tcPr>
            <w:tcW w:w="3194" w:type="pct"/>
            <w:noWrap w:val="0"/>
            <w:vAlign w:val="center"/>
          </w:tcPr>
          <w:p w14:paraId="7F831EB4">
            <w:pPr>
              <w:jc w:val="both"/>
              <w:rPr>
                <w:rFonts w:hint="eastAsia" w:ascii="宋体" w:hAnsi="宋体" w:cs="宋体"/>
                <w:color w:val="000000"/>
                <w:sz w:val="22"/>
              </w:rPr>
            </w:pPr>
            <w:r>
              <w:rPr>
                <w:rFonts w:hint="eastAsia" w:ascii="宋体" w:hAnsi="宋体" w:cs="宋体"/>
                <w:color w:val="000000"/>
                <w:sz w:val="22"/>
                <w:lang w:val="en-US" w:eastAsia="zh-CN"/>
              </w:rPr>
              <w:t>1、</w:t>
            </w:r>
            <w:r>
              <w:rPr>
                <w:rFonts w:hint="eastAsia" w:ascii="宋体" w:hAnsi="宋体" w:cs="宋体"/>
                <w:color w:val="000000"/>
                <w:sz w:val="22"/>
              </w:rPr>
              <w:t>尺寸：32.5cm*25cm*3cm（±</w:t>
            </w:r>
            <w:r>
              <w:rPr>
                <w:rFonts w:hint="eastAsia" w:ascii="宋体" w:hAnsi="宋体" w:cs="宋体"/>
                <w:color w:val="000000"/>
                <w:sz w:val="22"/>
                <w:lang w:val="en-US" w:eastAsia="zh-CN"/>
              </w:rPr>
              <w:t>1</w:t>
            </w:r>
            <w:r>
              <w:rPr>
                <w:rFonts w:hint="eastAsia" w:ascii="宋体" w:hAnsi="宋体" w:cs="宋体"/>
                <w:color w:val="000000"/>
                <w:sz w:val="22"/>
              </w:rPr>
              <w:t>cm）</w:t>
            </w:r>
          </w:p>
        </w:tc>
      </w:tr>
      <w:tr w14:paraId="47718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561" w:type="pct"/>
            <w:vMerge w:val="continue"/>
            <w:shd w:val="clear" w:color="auto" w:fill="auto"/>
            <w:noWrap w:val="0"/>
            <w:vAlign w:val="center"/>
          </w:tcPr>
          <w:p w14:paraId="37BC2809">
            <w:pPr>
              <w:jc w:val="both"/>
            </w:pPr>
          </w:p>
        </w:tc>
        <w:tc>
          <w:tcPr>
            <w:tcW w:w="1243" w:type="pct"/>
            <w:vMerge w:val="continue"/>
            <w:shd w:val="clear" w:color="auto" w:fill="auto"/>
            <w:noWrap w:val="0"/>
            <w:vAlign w:val="center"/>
          </w:tcPr>
          <w:p w14:paraId="5BA84356">
            <w:pPr>
              <w:jc w:val="both"/>
            </w:pPr>
          </w:p>
        </w:tc>
        <w:tc>
          <w:tcPr>
            <w:tcW w:w="3194" w:type="pct"/>
            <w:noWrap w:val="0"/>
            <w:vAlign w:val="center"/>
          </w:tcPr>
          <w:p w14:paraId="3356157E">
            <w:pPr>
              <w:jc w:val="both"/>
              <w:rPr>
                <w:rFonts w:hint="eastAsia" w:ascii="宋体" w:hAnsi="宋体" w:cs="宋体"/>
                <w:color w:val="000000"/>
                <w:sz w:val="22"/>
              </w:rPr>
            </w:pPr>
            <w:r>
              <w:rPr>
                <w:rFonts w:hint="eastAsia" w:ascii="宋体" w:hAnsi="宋体" w:cs="宋体"/>
                <w:color w:val="000000"/>
                <w:sz w:val="22"/>
                <w:lang w:val="en-US" w:eastAsia="zh-CN"/>
              </w:rPr>
              <w:t>2、基材：榉木+椴木层板</w:t>
            </w:r>
          </w:p>
        </w:tc>
      </w:tr>
      <w:tr w14:paraId="5F728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1" w:type="pct"/>
            <w:vMerge w:val="restart"/>
            <w:shd w:val="clear" w:color="auto" w:fill="auto"/>
            <w:noWrap w:val="0"/>
            <w:vAlign w:val="center"/>
          </w:tcPr>
          <w:p w14:paraId="6A19B0B5">
            <w:pPr>
              <w:jc w:val="center"/>
              <w:rPr>
                <w:rFonts w:hint="eastAsia" w:ascii="宋体" w:hAnsi="宋体" w:eastAsia="宋体" w:cs="宋体"/>
                <w:color w:val="000000"/>
                <w:kern w:val="2"/>
                <w:sz w:val="22"/>
                <w:szCs w:val="22"/>
                <w:lang w:val="en-US" w:eastAsia="zh-CN" w:bidi="ar-SA"/>
              </w:rPr>
            </w:pPr>
            <w:r>
              <w:rPr>
                <w:rFonts w:hint="eastAsia" w:ascii="宋体" w:hAnsi="宋体" w:cs="宋体"/>
                <w:color w:val="000000"/>
                <w:sz w:val="22"/>
              </w:rPr>
              <w:t>28</w:t>
            </w:r>
          </w:p>
        </w:tc>
        <w:tc>
          <w:tcPr>
            <w:tcW w:w="1243" w:type="pct"/>
            <w:vMerge w:val="restart"/>
            <w:shd w:val="clear" w:color="auto" w:fill="auto"/>
            <w:noWrap w:val="0"/>
            <w:vAlign w:val="center"/>
          </w:tcPr>
          <w:p w14:paraId="537DBE7E">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转角藤筐</w:t>
            </w:r>
          </w:p>
        </w:tc>
        <w:tc>
          <w:tcPr>
            <w:tcW w:w="3194" w:type="pct"/>
            <w:noWrap w:val="0"/>
            <w:vAlign w:val="center"/>
          </w:tcPr>
          <w:p w14:paraId="49A34785">
            <w:pPr>
              <w:jc w:val="both"/>
              <w:rPr>
                <w:rFonts w:hint="eastAsia" w:ascii="宋体" w:hAnsi="宋体" w:cs="宋体"/>
                <w:color w:val="000000"/>
                <w:sz w:val="22"/>
              </w:rPr>
            </w:pPr>
            <w:r>
              <w:rPr>
                <w:rFonts w:hint="eastAsia" w:ascii="宋体" w:hAnsi="宋体" w:cs="宋体"/>
                <w:color w:val="000000"/>
                <w:sz w:val="22"/>
                <w:lang w:val="en-US" w:eastAsia="zh-CN"/>
              </w:rPr>
              <w:t>1、</w:t>
            </w:r>
            <w:r>
              <w:rPr>
                <w:rFonts w:hint="eastAsia" w:ascii="宋体" w:hAnsi="宋体" w:cs="宋体"/>
                <w:color w:val="000000"/>
                <w:sz w:val="22"/>
              </w:rPr>
              <w:t>尺寸：35.5cm*26cm*16cm（±</w:t>
            </w:r>
            <w:r>
              <w:rPr>
                <w:rFonts w:hint="eastAsia" w:ascii="宋体" w:hAnsi="宋体" w:cs="宋体"/>
                <w:color w:val="000000"/>
                <w:sz w:val="22"/>
                <w:lang w:val="en-US" w:eastAsia="zh-CN"/>
              </w:rPr>
              <w:t>1</w:t>
            </w:r>
            <w:r>
              <w:rPr>
                <w:rFonts w:hint="eastAsia" w:ascii="宋体" w:hAnsi="宋体" w:cs="宋体"/>
                <w:color w:val="000000"/>
                <w:sz w:val="22"/>
              </w:rPr>
              <w:t>cm）</w:t>
            </w:r>
          </w:p>
        </w:tc>
      </w:tr>
      <w:tr w14:paraId="653A7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 w:hRule="atLeast"/>
        </w:trPr>
        <w:tc>
          <w:tcPr>
            <w:tcW w:w="561" w:type="pct"/>
            <w:vMerge w:val="continue"/>
            <w:shd w:val="clear" w:color="auto" w:fill="auto"/>
            <w:noWrap w:val="0"/>
            <w:vAlign w:val="center"/>
          </w:tcPr>
          <w:p w14:paraId="4DF63A32">
            <w:pPr>
              <w:jc w:val="both"/>
            </w:pPr>
          </w:p>
        </w:tc>
        <w:tc>
          <w:tcPr>
            <w:tcW w:w="1243" w:type="pct"/>
            <w:vMerge w:val="continue"/>
            <w:shd w:val="clear" w:color="auto" w:fill="auto"/>
            <w:noWrap w:val="0"/>
            <w:vAlign w:val="center"/>
          </w:tcPr>
          <w:p w14:paraId="47A3AE00">
            <w:pPr>
              <w:jc w:val="both"/>
            </w:pPr>
          </w:p>
        </w:tc>
        <w:tc>
          <w:tcPr>
            <w:tcW w:w="3194" w:type="pct"/>
            <w:noWrap w:val="0"/>
            <w:vAlign w:val="center"/>
          </w:tcPr>
          <w:p w14:paraId="7F4160F5">
            <w:pPr>
              <w:jc w:val="both"/>
              <w:rPr>
                <w:rFonts w:hint="eastAsia" w:ascii="宋体" w:hAnsi="宋体" w:cs="宋体"/>
                <w:color w:val="000000"/>
                <w:sz w:val="22"/>
              </w:rPr>
            </w:pPr>
            <w:r>
              <w:rPr>
                <w:rFonts w:hint="eastAsia" w:ascii="宋体" w:hAnsi="宋体" w:eastAsia="宋体" w:cs="宋体"/>
                <w:i w:val="0"/>
                <w:iCs w:val="0"/>
                <w:color w:val="000000"/>
                <w:kern w:val="0"/>
                <w:sz w:val="21"/>
                <w:szCs w:val="21"/>
                <w:lang w:val="en-US" w:eastAsia="zh-CN" w:bidi="ar"/>
              </w:rPr>
              <w:t>2、基材：藤胶</w:t>
            </w:r>
          </w:p>
        </w:tc>
      </w:tr>
      <w:tr w14:paraId="08FF9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561" w:type="pct"/>
            <w:vMerge w:val="restart"/>
            <w:shd w:val="clear" w:color="auto" w:fill="auto"/>
            <w:noWrap w:val="0"/>
            <w:vAlign w:val="center"/>
          </w:tcPr>
          <w:p w14:paraId="21AD4F91">
            <w:pPr>
              <w:jc w:val="center"/>
              <w:rPr>
                <w:rFonts w:hint="eastAsia" w:ascii="宋体" w:hAnsi="宋体" w:eastAsia="宋体" w:cs="宋体"/>
                <w:color w:val="000000"/>
                <w:kern w:val="2"/>
                <w:sz w:val="22"/>
                <w:szCs w:val="22"/>
                <w:lang w:val="en-US" w:eastAsia="zh-CN" w:bidi="ar-SA"/>
              </w:rPr>
            </w:pPr>
            <w:r>
              <w:rPr>
                <w:rFonts w:hint="eastAsia" w:ascii="宋体" w:hAnsi="宋体" w:cs="宋体"/>
                <w:color w:val="000000"/>
                <w:sz w:val="22"/>
              </w:rPr>
              <w:t>29</w:t>
            </w:r>
          </w:p>
        </w:tc>
        <w:tc>
          <w:tcPr>
            <w:tcW w:w="1243" w:type="pct"/>
            <w:vMerge w:val="restart"/>
            <w:shd w:val="clear" w:color="auto" w:fill="auto"/>
            <w:noWrap w:val="0"/>
            <w:vAlign w:val="center"/>
          </w:tcPr>
          <w:p w14:paraId="0BE99C5A">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露营桌椅</w:t>
            </w:r>
          </w:p>
        </w:tc>
        <w:tc>
          <w:tcPr>
            <w:tcW w:w="3194" w:type="pct"/>
            <w:noWrap w:val="0"/>
            <w:vAlign w:val="center"/>
          </w:tcPr>
          <w:p w14:paraId="141BE896">
            <w:pPr>
              <w:jc w:val="both"/>
              <w:rPr>
                <w:rFonts w:hint="eastAsia" w:ascii="宋体" w:hAnsi="宋体" w:cs="宋体"/>
                <w:color w:val="000000"/>
                <w:sz w:val="22"/>
              </w:rPr>
            </w:pPr>
            <w:r>
              <w:rPr>
                <w:rFonts w:hint="eastAsia" w:ascii="宋体" w:hAnsi="宋体" w:cs="宋体"/>
                <w:color w:val="000000"/>
                <w:sz w:val="22"/>
                <w:lang w:val="en-US" w:eastAsia="zh-CN"/>
              </w:rPr>
              <w:t>1、</w:t>
            </w:r>
            <w:r>
              <w:rPr>
                <w:rFonts w:hint="eastAsia" w:ascii="宋体" w:hAnsi="宋体" w:cs="宋体"/>
                <w:color w:val="000000"/>
                <w:sz w:val="22"/>
              </w:rPr>
              <w:t>尺寸：桌子116*60*43cm （±</w:t>
            </w:r>
            <w:r>
              <w:rPr>
                <w:rFonts w:hint="eastAsia" w:ascii="宋体" w:hAnsi="宋体" w:cs="宋体"/>
                <w:color w:val="000000"/>
                <w:sz w:val="22"/>
                <w:lang w:val="en-US" w:eastAsia="zh-CN"/>
              </w:rPr>
              <w:t>1</w:t>
            </w:r>
            <w:r>
              <w:rPr>
                <w:rFonts w:hint="eastAsia" w:ascii="宋体" w:hAnsi="宋体" w:cs="宋体"/>
                <w:color w:val="000000"/>
                <w:sz w:val="22"/>
              </w:rPr>
              <w:t xml:space="preserve">cm）                 </w:t>
            </w:r>
          </w:p>
          <w:p w14:paraId="118A6B87">
            <w:pPr>
              <w:jc w:val="both"/>
              <w:rPr>
                <w:rFonts w:hint="eastAsia" w:ascii="宋体" w:hAnsi="宋体" w:cs="宋体"/>
                <w:color w:val="000000"/>
                <w:sz w:val="22"/>
              </w:rPr>
            </w:pPr>
            <w:r>
              <w:rPr>
                <w:rFonts w:hint="eastAsia" w:ascii="宋体" w:hAnsi="宋体" w:cs="宋体"/>
                <w:color w:val="000000"/>
                <w:sz w:val="22"/>
              </w:rPr>
              <w:t>椅子54cm*42cm*62cm*4cm（±</w:t>
            </w:r>
            <w:r>
              <w:rPr>
                <w:rFonts w:hint="eastAsia" w:ascii="宋体" w:hAnsi="宋体" w:cs="宋体"/>
                <w:color w:val="000000"/>
                <w:sz w:val="22"/>
                <w:lang w:val="en-US" w:eastAsia="zh-CN"/>
              </w:rPr>
              <w:t>1</w:t>
            </w:r>
            <w:r>
              <w:rPr>
                <w:rFonts w:hint="eastAsia" w:ascii="宋体" w:hAnsi="宋体" w:cs="宋体"/>
                <w:color w:val="000000"/>
                <w:sz w:val="22"/>
              </w:rPr>
              <w:t>cm）</w:t>
            </w:r>
          </w:p>
        </w:tc>
      </w:tr>
      <w:tr w14:paraId="0E995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561" w:type="pct"/>
            <w:vMerge w:val="continue"/>
            <w:shd w:val="clear" w:color="auto" w:fill="auto"/>
            <w:noWrap w:val="0"/>
            <w:vAlign w:val="center"/>
          </w:tcPr>
          <w:p w14:paraId="4928A018">
            <w:pPr>
              <w:jc w:val="both"/>
            </w:pPr>
          </w:p>
        </w:tc>
        <w:tc>
          <w:tcPr>
            <w:tcW w:w="1243" w:type="pct"/>
            <w:vMerge w:val="continue"/>
            <w:shd w:val="clear" w:color="auto" w:fill="auto"/>
            <w:noWrap w:val="0"/>
            <w:vAlign w:val="center"/>
          </w:tcPr>
          <w:p w14:paraId="53593423">
            <w:pPr>
              <w:jc w:val="both"/>
            </w:pPr>
          </w:p>
        </w:tc>
        <w:tc>
          <w:tcPr>
            <w:tcW w:w="3194" w:type="pct"/>
            <w:noWrap w:val="0"/>
            <w:vAlign w:val="center"/>
          </w:tcPr>
          <w:p w14:paraId="4CD26A75">
            <w:pPr>
              <w:jc w:val="both"/>
              <w:rPr>
                <w:rFonts w:hint="eastAsia" w:ascii="宋体" w:hAnsi="宋体" w:eastAsia="宋体" w:cs="宋体"/>
                <w:color w:val="000000"/>
                <w:sz w:val="22"/>
                <w:lang w:val="en-US" w:eastAsia="zh-CN"/>
              </w:rPr>
            </w:pPr>
            <w:r>
              <w:rPr>
                <w:rFonts w:hint="eastAsia" w:ascii="宋体" w:hAnsi="宋体" w:cs="宋体"/>
                <w:color w:val="000000"/>
                <w:sz w:val="22"/>
                <w:lang w:val="en-US" w:eastAsia="zh-CN"/>
              </w:rPr>
              <w:t>2、</w:t>
            </w:r>
            <w:r>
              <w:rPr>
                <w:rFonts w:hint="eastAsia" w:ascii="宋体" w:hAnsi="宋体" w:cs="宋体"/>
                <w:color w:val="000000"/>
                <w:sz w:val="22"/>
              </w:rPr>
              <w:t>基材：</w:t>
            </w:r>
            <w:r>
              <w:rPr>
                <w:rFonts w:hint="eastAsia" w:ascii="宋体" w:hAnsi="宋体" w:cs="宋体"/>
                <w:color w:val="000000"/>
                <w:sz w:val="22"/>
                <w:lang w:val="en-US" w:eastAsia="zh-CN"/>
              </w:rPr>
              <w:t>碳钢</w:t>
            </w:r>
          </w:p>
        </w:tc>
      </w:tr>
      <w:tr w14:paraId="7B926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61" w:type="pct"/>
            <w:vMerge w:val="restart"/>
            <w:shd w:val="clear" w:color="auto" w:fill="auto"/>
            <w:noWrap w:val="0"/>
            <w:vAlign w:val="center"/>
          </w:tcPr>
          <w:p w14:paraId="667A82BA">
            <w:pPr>
              <w:jc w:val="center"/>
              <w:rPr>
                <w:rFonts w:hint="eastAsia" w:ascii="宋体" w:hAnsi="宋体" w:eastAsia="宋体" w:cs="宋体"/>
                <w:color w:val="000000"/>
                <w:kern w:val="2"/>
                <w:sz w:val="22"/>
                <w:szCs w:val="22"/>
                <w:lang w:val="en-US" w:eastAsia="zh-CN" w:bidi="ar-SA"/>
              </w:rPr>
            </w:pPr>
            <w:r>
              <w:rPr>
                <w:rFonts w:hint="eastAsia" w:ascii="宋体" w:hAnsi="宋体" w:cs="宋体"/>
                <w:color w:val="000000"/>
                <w:sz w:val="22"/>
              </w:rPr>
              <w:t>30</w:t>
            </w:r>
          </w:p>
        </w:tc>
        <w:tc>
          <w:tcPr>
            <w:tcW w:w="1243" w:type="pct"/>
            <w:vMerge w:val="restart"/>
            <w:shd w:val="clear" w:color="auto" w:fill="auto"/>
            <w:noWrap w:val="0"/>
            <w:vAlign w:val="center"/>
          </w:tcPr>
          <w:p w14:paraId="1E83E63C">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三层旋转书架</w:t>
            </w:r>
          </w:p>
        </w:tc>
        <w:tc>
          <w:tcPr>
            <w:tcW w:w="3194" w:type="pct"/>
            <w:noWrap w:val="0"/>
            <w:vAlign w:val="center"/>
          </w:tcPr>
          <w:p w14:paraId="7CF594C0">
            <w:pPr>
              <w:jc w:val="both"/>
              <w:rPr>
                <w:rFonts w:hint="eastAsia" w:ascii="宋体" w:hAnsi="宋体" w:cs="宋体"/>
                <w:color w:val="000000"/>
                <w:sz w:val="22"/>
              </w:rPr>
            </w:pPr>
            <w:r>
              <w:rPr>
                <w:rFonts w:hint="eastAsia" w:ascii="宋体" w:hAnsi="宋体" w:cs="宋体"/>
                <w:color w:val="000000"/>
                <w:sz w:val="22"/>
              </w:rPr>
              <w:t>1、尺寸：直径60cm*H84.5cm（±</w:t>
            </w:r>
            <w:r>
              <w:rPr>
                <w:rFonts w:hint="eastAsia" w:ascii="宋体" w:hAnsi="宋体" w:cs="宋体"/>
                <w:color w:val="000000"/>
                <w:sz w:val="22"/>
                <w:lang w:val="en-US" w:eastAsia="zh-CN"/>
              </w:rPr>
              <w:t>2</w:t>
            </w:r>
            <w:r>
              <w:rPr>
                <w:rFonts w:hint="eastAsia" w:ascii="宋体" w:hAnsi="宋体" w:cs="宋体"/>
                <w:color w:val="000000"/>
                <w:sz w:val="22"/>
              </w:rPr>
              <w:t>cm）</w:t>
            </w:r>
          </w:p>
        </w:tc>
      </w:tr>
      <w:tr w14:paraId="4398E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61" w:type="pct"/>
            <w:vMerge w:val="continue"/>
            <w:shd w:val="clear" w:color="auto" w:fill="auto"/>
            <w:noWrap w:val="0"/>
            <w:vAlign w:val="center"/>
          </w:tcPr>
          <w:p w14:paraId="3CDFFB79">
            <w:pPr>
              <w:jc w:val="both"/>
            </w:pPr>
          </w:p>
        </w:tc>
        <w:tc>
          <w:tcPr>
            <w:tcW w:w="1243" w:type="pct"/>
            <w:vMerge w:val="continue"/>
            <w:shd w:val="clear" w:color="auto" w:fill="auto"/>
            <w:noWrap w:val="0"/>
            <w:vAlign w:val="center"/>
          </w:tcPr>
          <w:p w14:paraId="1FBC96BB">
            <w:pPr>
              <w:jc w:val="both"/>
            </w:pPr>
          </w:p>
        </w:tc>
        <w:tc>
          <w:tcPr>
            <w:tcW w:w="3194" w:type="pct"/>
            <w:noWrap w:val="0"/>
            <w:vAlign w:val="center"/>
          </w:tcPr>
          <w:p w14:paraId="332952EE">
            <w:pPr>
              <w:jc w:val="both"/>
              <w:rPr>
                <w:rFonts w:hint="eastAsia" w:ascii="宋体" w:hAnsi="宋体" w:cs="宋体"/>
                <w:color w:val="000000"/>
                <w:sz w:val="22"/>
              </w:rPr>
            </w:pPr>
            <w:r>
              <w:rPr>
                <w:rFonts w:hint="eastAsia" w:ascii="宋体" w:hAnsi="宋体" w:cs="宋体"/>
                <w:color w:val="000000"/>
                <w:sz w:val="22"/>
              </w:rPr>
              <w:t>2、基材：桦木实木多层板，表面纹理清晰且全白、无结疤、无黑疤、无红点。柜体整体造型为圆形，共分3层空间，层板都为圆形，顶层圆形层板直径不大于45cm（±</w:t>
            </w:r>
            <w:r>
              <w:rPr>
                <w:rFonts w:hint="eastAsia" w:ascii="宋体" w:hAnsi="宋体" w:cs="宋体"/>
                <w:color w:val="000000"/>
                <w:sz w:val="22"/>
                <w:lang w:val="en-US" w:eastAsia="zh-CN"/>
              </w:rPr>
              <w:t>1</w:t>
            </w:r>
            <w:r>
              <w:rPr>
                <w:rFonts w:hint="eastAsia" w:ascii="宋体" w:hAnsi="宋体" w:cs="宋体"/>
                <w:color w:val="000000"/>
                <w:sz w:val="22"/>
              </w:rPr>
              <w:t>cm），自上而下每一层都用隔板分隔为4个直角扇形储物空间，外侧用竖向半弧形面板加固。第一层4个扇形空间高度不大于18cm（±</w:t>
            </w:r>
            <w:r>
              <w:rPr>
                <w:rFonts w:hint="eastAsia" w:ascii="宋体" w:hAnsi="宋体" w:cs="宋体"/>
                <w:color w:val="000000"/>
                <w:sz w:val="22"/>
                <w:lang w:val="en-US" w:eastAsia="zh-CN"/>
              </w:rPr>
              <w:t>1</w:t>
            </w:r>
            <w:r>
              <w:rPr>
                <w:rFonts w:hint="eastAsia" w:ascii="宋体" w:hAnsi="宋体" w:cs="宋体"/>
                <w:color w:val="000000"/>
                <w:sz w:val="22"/>
              </w:rPr>
              <w:t>cm），直角边长为21.5cm（±</w:t>
            </w:r>
            <w:r>
              <w:rPr>
                <w:rFonts w:hint="eastAsia" w:ascii="宋体" w:hAnsi="宋体" w:cs="宋体"/>
                <w:color w:val="000000"/>
                <w:sz w:val="22"/>
                <w:lang w:val="en-US" w:eastAsia="zh-CN"/>
              </w:rPr>
              <w:t>1</w:t>
            </w:r>
            <w:r>
              <w:rPr>
                <w:rFonts w:hint="eastAsia" w:ascii="宋体" w:hAnsi="宋体" w:cs="宋体"/>
                <w:color w:val="000000"/>
                <w:sz w:val="22"/>
              </w:rPr>
              <w:t>cm），第二层空间高度不大于24cm（±</w:t>
            </w:r>
            <w:r>
              <w:rPr>
                <w:rFonts w:hint="eastAsia" w:ascii="宋体" w:hAnsi="宋体" w:cs="宋体"/>
                <w:color w:val="000000"/>
                <w:sz w:val="22"/>
                <w:lang w:val="en-US" w:eastAsia="zh-CN"/>
              </w:rPr>
              <w:t>1</w:t>
            </w:r>
            <w:r>
              <w:rPr>
                <w:rFonts w:hint="eastAsia" w:ascii="宋体" w:hAnsi="宋体" w:cs="宋体"/>
                <w:color w:val="000000"/>
                <w:sz w:val="22"/>
              </w:rPr>
              <w:t>cm），直角边长23.5cm（±</w:t>
            </w:r>
            <w:r>
              <w:rPr>
                <w:rFonts w:hint="eastAsia" w:ascii="宋体" w:hAnsi="宋体" w:cs="宋体"/>
                <w:color w:val="000000"/>
                <w:sz w:val="22"/>
                <w:lang w:val="en-US" w:eastAsia="zh-CN"/>
              </w:rPr>
              <w:t>1</w:t>
            </w:r>
            <w:r>
              <w:rPr>
                <w:rFonts w:hint="eastAsia" w:ascii="宋体" w:hAnsi="宋体" w:cs="宋体"/>
                <w:color w:val="000000"/>
                <w:sz w:val="22"/>
              </w:rPr>
              <w:t>cm），第三层空间高度不大于30cm（±</w:t>
            </w:r>
            <w:r>
              <w:rPr>
                <w:rFonts w:hint="eastAsia" w:ascii="宋体" w:hAnsi="宋体" w:cs="宋体"/>
                <w:color w:val="000000"/>
                <w:sz w:val="22"/>
                <w:lang w:val="en-US" w:eastAsia="zh-CN"/>
              </w:rPr>
              <w:t>1</w:t>
            </w:r>
            <w:r>
              <w:rPr>
                <w:rFonts w:hint="eastAsia" w:ascii="宋体" w:hAnsi="宋体" w:cs="宋体"/>
                <w:color w:val="000000"/>
                <w:sz w:val="22"/>
              </w:rPr>
              <w:t>cm），直角边长26cm（±</w:t>
            </w:r>
            <w:r>
              <w:rPr>
                <w:rFonts w:hint="eastAsia" w:ascii="宋体" w:hAnsi="宋体" w:cs="宋体"/>
                <w:color w:val="000000"/>
                <w:sz w:val="22"/>
                <w:lang w:val="en-US" w:eastAsia="zh-CN"/>
              </w:rPr>
              <w:t>1</w:t>
            </w:r>
            <w:r>
              <w:rPr>
                <w:rFonts w:hint="eastAsia" w:ascii="宋体" w:hAnsi="宋体" w:cs="宋体"/>
                <w:color w:val="000000"/>
                <w:sz w:val="22"/>
              </w:rPr>
              <w:t>cm）。</w:t>
            </w:r>
          </w:p>
        </w:tc>
      </w:tr>
      <w:tr w14:paraId="407AB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61" w:type="pct"/>
            <w:vMerge w:val="continue"/>
            <w:shd w:val="clear" w:color="auto" w:fill="auto"/>
            <w:noWrap w:val="0"/>
            <w:vAlign w:val="center"/>
          </w:tcPr>
          <w:p w14:paraId="610A5AD4">
            <w:pPr>
              <w:jc w:val="both"/>
              <w:rPr>
                <w:rFonts w:hint="eastAsia" w:ascii="宋体" w:hAnsi="宋体" w:cs="宋体"/>
                <w:color w:val="000000"/>
                <w:sz w:val="22"/>
              </w:rPr>
            </w:pPr>
          </w:p>
        </w:tc>
        <w:tc>
          <w:tcPr>
            <w:tcW w:w="1243" w:type="pct"/>
            <w:vMerge w:val="continue"/>
            <w:shd w:val="clear" w:color="auto" w:fill="auto"/>
            <w:noWrap w:val="0"/>
            <w:vAlign w:val="center"/>
          </w:tcPr>
          <w:p w14:paraId="6DB427A7">
            <w:pPr>
              <w:jc w:val="both"/>
              <w:rPr>
                <w:rFonts w:hint="eastAsia" w:ascii="宋体" w:hAnsi="宋体" w:cs="宋体"/>
                <w:color w:val="000000"/>
                <w:sz w:val="22"/>
              </w:rPr>
            </w:pPr>
          </w:p>
        </w:tc>
        <w:tc>
          <w:tcPr>
            <w:tcW w:w="3194" w:type="pct"/>
            <w:noWrap w:val="0"/>
            <w:vAlign w:val="center"/>
          </w:tcPr>
          <w:p w14:paraId="2987CD03">
            <w:pPr>
              <w:jc w:val="both"/>
              <w:rPr>
                <w:rFonts w:hint="eastAsia" w:ascii="宋体" w:hAnsi="宋体" w:cs="宋体"/>
                <w:color w:val="000000"/>
                <w:sz w:val="22"/>
              </w:rPr>
            </w:pPr>
            <w:r>
              <w:rPr>
                <w:rFonts w:hint="eastAsia" w:ascii="宋体" w:hAnsi="宋体" w:cs="宋体"/>
                <w:color w:val="000000"/>
                <w:sz w:val="22"/>
              </w:rPr>
              <w:t xml:space="preserve">3、五金：选用环保五金，安全无毒，色泽丰富。 </w:t>
            </w:r>
          </w:p>
        </w:tc>
      </w:tr>
      <w:tr w14:paraId="015E7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61" w:type="pct"/>
            <w:vMerge w:val="continue"/>
            <w:shd w:val="clear" w:color="auto" w:fill="auto"/>
            <w:noWrap w:val="0"/>
            <w:vAlign w:val="center"/>
          </w:tcPr>
          <w:p w14:paraId="0DA03434">
            <w:pPr>
              <w:jc w:val="both"/>
              <w:rPr>
                <w:rFonts w:hint="eastAsia" w:ascii="宋体" w:hAnsi="宋体" w:cs="宋体"/>
                <w:color w:val="000000"/>
                <w:sz w:val="22"/>
              </w:rPr>
            </w:pPr>
          </w:p>
        </w:tc>
        <w:tc>
          <w:tcPr>
            <w:tcW w:w="1243" w:type="pct"/>
            <w:vMerge w:val="continue"/>
            <w:shd w:val="clear" w:color="auto" w:fill="auto"/>
            <w:noWrap w:val="0"/>
            <w:vAlign w:val="center"/>
          </w:tcPr>
          <w:p w14:paraId="4D114B57">
            <w:pPr>
              <w:jc w:val="both"/>
              <w:rPr>
                <w:rFonts w:hint="eastAsia" w:ascii="宋体" w:hAnsi="宋体" w:cs="宋体"/>
                <w:color w:val="000000"/>
                <w:sz w:val="22"/>
              </w:rPr>
            </w:pPr>
          </w:p>
        </w:tc>
        <w:tc>
          <w:tcPr>
            <w:tcW w:w="3194" w:type="pct"/>
            <w:noWrap w:val="0"/>
            <w:vAlign w:val="center"/>
          </w:tcPr>
          <w:p w14:paraId="61786852">
            <w:pPr>
              <w:jc w:val="both"/>
              <w:rPr>
                <w:rFonts w:hint="eastAsia" w:ascii="宋体" w:hAnsi="宋体" w:cs="宋体"/>
                <w:color w:val="000000"/>
                <w:sz w:val="22"/>
              </w:rPr>
            </w:pPr>
            <w:r>
              <w:rPr>
                <w:rFonts w:hint="eastAsia" w:ascii="宋体" w:hAnsi="宋体" w:cs="宋体"/>
                <w:color w:val="000000"/>
                <w:sz w:val="22"/>
              </w:rPr>
              <w:t>4、油漆：采用绿色环保无毒水性漆，经过两底一面工艺制作。附着力、耐冲击、耐磨、耐湿不小于3 级，灼烧、耐液、耐干、 耐冷热。</w:t>
            </w:r>
          </w:p>
        </w:tc>
      </w:tr>
      <w:tr w14:paraId="7C7BA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61" w:type="pct"/>
            <w:vMerge w:val="continue"/>
            <w:shd w:val="clear" w:color="auto" w:fill="auto"/>
            <w:noWrap w:val="0"/>
            <w:vAlign w:val="center"/>
          </w:tcPr>
          <w:p w14:paraId="63D9297E">
            <w:pPr>
              <w:jc w:val="both"/>
              <w:rPr>
                <w:rFonts w:hint="eastAsia" w:ascii="宋体" w:hAnsi="宋体" w:cs="宋体"/>
                <w:color w:val="000000"/>
                <w:sz w:val="22"/>
              </w:rPr>
            </w:pPr>
          </w:p>
        </w:tc>
        <w:tc>
          <w:tcPr>
            <w:tcW w:w="1243" w:type="pct"/>
            <w:vMerge w:val="continue"/>
            <w:shd w:val="clear" w:color="auto" w:fill="auto"/>
            <w:noWrap w:val="0"/>
            <w:vAlign w:val="center"/>
          </w:tcPr>
          <w:p w14:paraId="145632DA">
            <w:pPr>
              <w:jc w:val="both"/>
              <w:rPr>
                <w:rFonts w:hint="eastAsia" w:ascii="宋体" w:hAnsi="宋体" w:cs="宋体"/>
                <w:color w:val="000000"/>
                <w:sz w:val="22"/>
              </w:rPr>
            </w:pPr>
          </w:p>
        </w:tc>
        <w:tc>
          <w:tcPr>
            <w:tcW w:w="3194" w:type="pct"/>
            <w:noWrap w:val="0"/>
            <w:vAlign w:val="center"/>
          </w:tcPr>
          <w:p w14:paraId="60440749">
            <w:pPr>
              <w:jc w:val="both"/>
              <w:rPr>
                <w:rFonts w:hint="eastAsia" w:ascii="宋体" w:hAnsi="宋体" w:cs="宋体"/>
                <w:color w:val="000000"/>
                <w:sz w:val="22"/>
              </w:rPr>
            </w:pPr>
            <w:r>
              <w:rPr>
                <w:rFonts w:hint="eastAsia" w:ascii="宋体" w:hAnsi="宋体" w:cs="宋体"/>
                <w:color w:val="000000"/>
                <w:sz w:val="22"/>
              </w:rPr>
              <w:t>5、其他：外延打磨指甲圆，光滑平整，正反面均无毛刺。底部</w:t>
            </w:r>
            <w:r>
              <w:rPr>
                <w:rFonts w:hint="eastAsia" w:ascii="宋体" w:hAnsi="宋体" w:cs="宋体"/>
                <w:color w:val="000000"/>
                <w:sz w:val="22"/>
                <w:lang w:val="en-US" w:eastAsia="zh-CN"/>
              </w:rPr>
              <w:t>配</w:t>
            </w:r>
            <w:r>
              <w:rPr>
                <w:rFonts w:hint="eastAsia" w:ascii="宋体" w:hAnsi="宋体" w:cs="宋体"/>
                <w:color w:val="000000"/>
                <w:sz w:val="22"/>
              </w:rPr>
              <w:t>万向轮，方便移动。</w:t>
            </w:r>
          </w:p>
          <w:p w14:paraId="4980D544">
            <w:pPr>
              <w:jc w:val="both"/>
              <w:rPr>
                <w:rFonts w:hint="eastAsia" w:ascii="宋体" w:hAnsi="宋体" w:cs="宋体"/>
                <w:color w:val="FF0000"/>
                <w:sz w:val="22"/>
              </w:rPr>
            </w:pPr>
            <w:r>
              <w:rPr>
                <w:rFonts w:hint="eastAsia" w:ascii="宋体" w:hAnsi="宋体" w:cs="宋体"/>
                <w:color w:val="000000"/>
                <w:sz w:val="22"/>
              </w:rPr>
              <w:t>▲</w:t>
            </w:r>
            <w:r>
              <w:rPr>
                <w:rFonts w:hint="eastAsia" w:ascii="宋体" w:hAnsi="宋体" w:cs="宋体"/>
                <w:color w:val="FF0000"/>
                <w:sz w:val="22"/>
              </w:rPr>
              <w:t>提供具有CMA或CNAS标识的万向轮金属部分符合《GB/T 11170-2008；GB/T 228.1-2021；GB/T 10125-2021 中盐雾、所含成分、拉伸测试检测报告》的检测报告扫描件。（报告委托单位或报告抬头公司名称须与投标人或本次投标所提供货物制造商一致）</w:t>
            </w:r>
          </w:p>
          <w:p w14:paraId="16B383D0">
            <w:pPr>
              <w:jc w:val="both"/>
              <w:rPr>
                <w:rFonts w:hint="eastAsia" w:ascii="宋体" w:hAnsi="宋体" w:cs="宋体"/>
                <w:color w:val="000000"/>
                <w:sz w:val="22"/>
              </w:rPr>
            </w:pPr>
            <w:r>
              <w:rPr>
                <w:rFonts w:hint="eastAsia" w:ascii="宋体" w:hAnsi="宋体" w:cs="宋体"/>
                <w:color w:val="FF0000"/>
                <w:sz w:val="22"/>
              </w:rPr>
              <w:t>要求：提供检测报告关键信息扫描件；检测报告在全国认证认可信息公共服务平台网站（http://cx.cnca.cn/CertECloud/qts/qts/qtsPage）查询截图扫描件。投标人必须是所投产品的制造商或代理商，代理商需提供产品制造商品牌授权委托书。</w:t>
            </w:r>
          </w:p>
        </w:tc>
      </w:tr>
      <w:tr w14:paraId="388D2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61" w:type="pct"/>
            <w:vMerge w:val="continue"/>
            <w:shd w:val="clear" w:color="auto" w:fill="auto"/>
            <w:noWrap w:val="0"/>
            <w:vAlign w:val="center"/>
          </w:tcPr>
          <w:p w14:paraId="0265362E">
            <w:pPr>
              <w:jc w:val="both"/>
              <w:rPr>
                <w:rFonts w:hint="eastAsia" w:ascii="宋体" w:hAnsi="宋体" w:cs="宋体"/>
                <w:color w:val="000000"/>
                <w:sz w:val="22"/>
              </w:rPr>
            </w:pPr>
          </w:p>
        </w:tc>
        <w:tc>
          <w:tcPr>
            <w:tcW w:w="1243" w:type="pct"/>
            <w:vMerge w:val="continue"/>
            <w:shd w:val="clear" w:color="auto" w:fill="auto"/>
            <w:noWrap w:val="0"/>
            <w:vAlign w:val="center"/>
          </w:tcPr>
          <w:p w14:paraId="363D0637">
            <w:pPr>
              <w:jc w:val="both"/>
              <w:rPr>
                <w:rFonts w:hint="eastAsia" w:ascii="宋体" w:hAnsi="宋体" w:cs="宋体"/>
                <w:color w:val="000000"/>
                <w:sz w:val="22"/>
              </w:rPr>
            </w:pPr>
          </w:p>
        </w:tc>
        <w:tc>
          <w:tcPr>
            <w:tcW w:w="3194" w:type="pct"/>
            <w:noWrap w:val="0"/>
            <w:vAlign w:val="center"/>
          </w:tcPr>
          <w:p w14:paraId="3E68144A">
            <w:pPr>
              <w:jc w:val="both"/>
              <w:rPr>
                <w:rFonts w:hint="eastAsia" w:ascii="宋体" w:hAnsi="宋体" w:cs="宋体"/>
                <w:color w:val="000000"/>
                <w:sz w:val="22"/>
              </w:rPr>
            </w:pPr>
            <w:r>
              <w:rPr>
                <w:rFonts w:hint="eastAsia" w:ascii="宋体" w:hAnsi="宋体" w:cs="宋体"/>
                <w:color w:val="000000"/>
                <w:sz w:val="22"/>
              </w:rPr>
              <w:t>6、产品符合儿童家具通用技术标准。</w:t>
            </w:r>
          </w:p>
        </w:tc>
      </w:tr>
      <w:tr w14:paraId="66B4B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561" w:type="pct"/>
            <w:vMerge w:val="restart"/>
            <w:shd w:val="clear" w:color="auto" w:fill="auto"/>
            <w:noWrap w:val="0"/>
            <w:vAlign w:val="center"/>
          </w:tcPr>
          <w:p w14:paraId="0DD7DDB4">
            <w:pPr>
              <w:jc w:val="center"/>
              <w:rPr>
                <w:rFonts w:hint="eastAsia" w:ascii="宋体" w:hAnsi="宋体" w:eastAsia="宋体" w:cs="宋体"/>
                <w:color w:val="000000"/>
                <w:kern w:val="2"/>
                <w:sz w:val="22"/>
                <w:szCs w:val="22"/>
                <w:lang w:val="en-US" w:eastAsia="zh-CN" w:bidi="ar-SA"/>
              </w:rPr>
            </w:pPr>
            <w:r>
              <w:rPr>
                <w:rFonts w:hint="eastAsia" w:ascii="宋体" w:hAnsi="宋体" w:cs="宋体"/>
                <w:color w:val="000000"/>
                <w:sz w:val="22"/>
              </w:rPr>
              <w:t>31</w:t>
            </w:r>
          </w:p>
        </w:tc>
        <w:tc>
          <w:tcPr>
            <w:tcW w:w="1243" w:type="pct"/>
            <w:vMerge w:val="restart"/>
            <w:shd w:val="clear" w:color="auto" w:fill="auto"/>
            <w:noWrap w:val="0"/>
            <w:vAlign w:val="center"/>
          </w:tcPr>
          <w:p w14:paraId="4268649E">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哥德堡两层两格矩形柜</w:t>
            </w:r>
          </w:p>
        </w:tc>
        <w:tc>
          <w:tcPr>
            <w:tcW w:w="3194" w:type="pct"/>
            <w:noWrap w:val="0"/>
            <w:vAlign w:val="center"/>
          </w:tcPr>
          <w:p w14:paraId="5A0AEF51">
            <w:pPr>
              <w:jc w:val="both"/>
              <w:rPr>
                <w:rFonts w:hint="eastAsia" w:ascii="宋体" w:hAnsi="宋体" w:cs="宋体"/>
                <w:color w:val="000000"/>
                <w:sz w:val="22"/>
              </w:rPr>
            </w:pPr>
            <w:r>
              <w:rPr>
                <w:rFonts w:hint="eastAsia" w:ascii="宋体" w:hAnsi="宋体" w:cs="宋体"/>
                <w:color w:val="000000"/>
                <w:sz w:val="22"/>
              </w:rPr>
              <w:t>1、尺寸：L100cm*W33cm*H54cm（±</w:t>
            </w:r>
            <w:r>
              <w:rPr>
                <w:rFonts w:hint="eastAsia" w:ascii="宋体" w:hAnsi="宋体" w:cs="宋体"/>
                <w:color w:val="000000"/>
                <w:sz w:val="22"/>
                <w:lang w:val="en-US" w:eastAsia="zh-CN"/>
              </w:rPr>
              <w:t>2</w:t>
            </w:r>
            <w:r>
              <w:rPr>
                <w:rFonts w:hint="eastAsia" w:ascii="宋体" w:hAnsi="宋体" w:cs="宋体"/>
                <w:color w:val="000000"/>
                <w:sz w:val="22"/>
              </w:rPr>
              <w:t>cm）</w:t>
            </w:r>
          </w:p>
        </w:tc>
      </w:tr>
      <w:tr w14:paraId="4E41E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561" w:type="pct"/>
            <w:vMerge w:val="continue"/>
            <w:shd w:val="clear" w:color="auto" w:fill="auto"/>
            <w:noWrap w:val="0"/>
            <w:vAlign w:val="center"/>
          </w:tcPr>
          <w:p w14:paraId="50F21EAC">
            <w:pPr>
              <w:jc w:val="both"/>
            </w:pPr>
          </w:p>
        </w:tc>
        <w:tc>
          <w:tcPr>
            <w:tcW w:w="1243" w:type="pct"/>
            <w:vMerge w:val="continue"/>
            <w:shd w:val="clear" w:color="auto" w:fill="auto"/>
            <w:noWrap w:val="0"/>
            <w:vAlign w:val="center"/>
          </w:tcPr>
          <w:p w14:paraId="2CA6951E">
            <w:pPr>
              <w:jc w:val="both"/>
            </w:pPr>
          </w:p>
        </w:tc>
        <w:tc>
          <w:tcPr>
            <w:tcW w:w="3194" w:type="pct"/>
            <w:noWrap w:val="0"/>
            <w:vAlign w:val="center"/>
          </w:tcPr>
          <w:p w14:paraId="2E627F6D">
            <w:pPr>
              <w:jc w:val="both"/>
              <w:rPr>
                <w:rFonts w:hint="eastAsia" w:ascii="宋体" w:hAnsi="宋体" w:cs="宋体"/>
                <w:color w:val="000000"/>
                <w:sz w:val="22"/>
              </w:rPr>
            </w:pPr>
            <w:r>
              <w:rPr>
                <w:rFonts w:hint="eastAsia" w:ascii="宋体" w:hAnsi="宋体" w:cs="宋体"/>
                <w:color w:val="000000"/>
                <w:sz w:val="22"/>
              </w:rPr>
              <w:t>2、基材：桦木实木多层板，其中侧板及顶板为白色防火板贴面，表面纹理清晰且全白、无结疤、无黑疤、无红点。柜体分二层，自上而下第一层为中空，顶部层板内径长度不大于97cm（±</w:t>
            </w:r>
            <w:r>
              <w:rPr>
                <w:rFonts w:hint="eastAsia" w:ascii="宋体" w:hAnsi="宋体" w:cs="宋体"/>
                <w:color w:val="000000"/>
                <w:sz w:val="22"/>
                <w:lang w:val="en-US" w:eastAsia="zh-CN"/>
              </w:rPr>
              <w:t>1</w:t>
            </w:r>
            <w:r>
              <w:rPr>
                <w:rFonts w:hint="eastAsia" w:ascii="宋体" w:hAnsi="宋体" w:cs="宋体"/>
                <w:color w:val="000000"/>
                <w:sz w:val="22"/>
              </w:rPr>
              <w:t>cm），内径宽度不大于28cm（±</w:t>
            </w:r>
            <w:r>
              <w:rPr>
                <w:rFonts w:hint="eastAsia" w:ascii="宋体" w:hAnsi="宋体" w:cs="宋体"/>
                <w:color w:val="000000"/>
                <w:sz w:val="22"/>
                <w:lang w:val="en-US" w:eastAsia="zh-CN"/>
              </w:rPr>
              <w:t>1</w:t>
            </w:r>
            <w:r>
              <w:rPr>
                <w:rFonts w:hint="eastAsia" w:ascii="宋体" w:hAnsi="宋体" w:cs="宋体"/>
                <w:color w:val="000000"/>
                <w:sz w:val="22"/>
              </w:rPr>
              <w:t>cm），第二层层板内径宽度不大于33cm（±</w:t>
            </w:r>
            <w:r>
              <w:rPr>
                <w:rFonts w:hint="eastAsia" w:ascii="宋体" w:hAnsi="宋体" w:cs="宋体"/>
                <w:color w:val="000000"/>
                <w:sz w:val="22"/>
                <w:lang w:val="en-US" w:eastAsia="zh-CN"/>
              </w:rPr>
              <w:t>1</w:t>
            </w:r>
            <w:r>
              <w:rPr>
                <w:rFonts w:hint="eastAsia" w:ascii="宋体" w:hAnsi="宋体" w:cs="宋体"/>
                <w:color w:val="000000"/>
                <w:sz w:val="22"/>
              </w:rPr>
              <w:t>cm），中空高度不大于21cm（±</w:t>
            </w:r>
            <w:r>
              <w:rPr>
                <w:rFonts w:hint="eastAsia" w:ascii="宋体" w:hAnsi="宋体" w:cs="宋体"/>
                <w:color w:val="000000"/>
                <w:sz w:val="22"/>
                <w:lang w:val="en-US" w:eastAsia="zh-CN"/>
              </w:rPr>
              <w:t>1</w:t>
            </w:r>
            <w:r>
              <w:rPr>
                <w:rFonts w:hint="eastAsia" w:ascii="宋体" w:hAnsi="宋体" w:cs="宋体"/>
                <w:color w:val="000000"/>
                <w:sz w:val="22"/>
              </w:rPr>
              <w:t>cm），下层为有背板两格储物空间，分区尺寸不大于48*30.5*21cm（±</w:t>
            </w:r>
            <w:r>
              <w:rPr>
                <w:rFonts w:hint="eastAsia" w:ascii="宋体" w:hAnsi="宋体" w:cs="宋体"/>
                <w:color w:val="000000"/>
                <w:sz w:val="22"/>
                <w:lang w:val="en-US" w:eastAsia="zh-CN"/>
              </w:rPr>
              <w:t>1</w:t>
            </w:r>
            <w:r>
              <w:rPr>
                <w:rFonts w:hint="eastAsia" w:ascii="宋体" w:hAnsi="宋体" w:cs="宋体"/>
                <w:color w:val="000000"/>
                <w:sz w:val="22"/>
              </w:rPr>
              <w:t>cm），可以放置尺寸31*20*13.5cm（±</w:t>
            </w:r>
            <w:r>
              <w:rPr>
                <w:rFonts w:hint="eastAsia" w:ascii="宋体" w:hAnsi="宋体" w:cs="宋体"/>
                <w:color w:val="000000"/>
                <w:sz w:val="22"/>
                <w:lang w:val="en-US" w:eastAsia="zh-CN"/>
              </w:rPr>
              <w:t>1</w:t>
            </w:r>
            <w:r>
              <w:rPr>
                <w:rFonts w:hint="eastAsia" w:ascii="宋体" w:hAnsi="宋体" w:cs="宋体"/>
                <w:color w:val="000000"/>
                <w:sz w:val="22"/>
              </w:rPr>
              <w:t>cm）的收纳盒，柜体层板为原木色，两边侧片为白色。柜体用螺丝固定。</w:t>
            </w:r>
          </w:p>
        </w:tc>
      </w:tr>
      <w:tr w14:paraId="43975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561" w:type="pct"/>
            <w:vMerge w:val="continue"/>
            <w:shd w:val="clear" w:color="auto" w:fill="auto"/>
            <w:noWrap w:val="0"/>
            <w:vAlign w:val="center"/>
          </w:tcPr>
          <w:p w14:paraId="3E49D9A1">
            <w:pPr>
              <w:jc w:val="both"/>
              <w:rPr>
                <w:rFonts w:hint="eastAsia" w:ascii="宋体" w:hAnsi="宋体" w:cs="宋体"/>
                <w:color w:val="000000"/>
                <w:sz w:val="22"/>
              </w:rPr>
            </w:pPr>
          </w:p>
        </w:tc>
        <w:tc>
          <w:tcPr>
            <w:tcW w:w="1243" w:type="pct"/>
            <w:vMerge w:val="continue"/>
            <w:shd w:val="clear" w:color="auto" w:fill="auto"/>
            <w:noWrap w:val="0"/>
            <w:vAlign w:val="center"/>
          </w:tcPr>
          <w:p w14:paraId="5C1D3DA5">
            <w:pPr>
              <w:jc w:val="both"/>
              <w:rPr>
                <w:rFonts w:hint="eastAsia" w:ascii="宋体" w:hAnsi="宋体" w:cs="宋体"/>
                <w:color w:val="000000"/>
                <w:sz w:val="22"/>
              </w:rPr>
            </w:pPr>
          </w:p>
        </w:tc>
        <w:tc>
          <w:tcPr>
            <w:tcW w:w="3194" w:type="pct"/>
            <w:noWrap w:val="0"/>
            <w:vAlign w:val="center"/>
          </w:tcPr>
          <w:p w14:paraId="22AC918C">
            <w:pPr>
              <w:jc w:val="both"/>
              <w:rPr>
                <w:rFonts w:hint="eastAsia" w:ascii="宋体" w:hAnsi="宋体" w:cs="宋体"/>
                <w:color w:val="000000"/>
                <w:sz w:val="22"/>
              </w:rPr>
            </w:pPr>
            <w:r>
              <w:rPr>
                <w:rFonts w:hint="eastAsia" w:ascii="宋体" w:hAnsi="宋体" w:cs="宋体"/>
                <w:color w:val="000000"/>
                <w:sz w:val="22"/>
              </w:rPr>
              <w:t xml:space="preserve">3、五金：选用环保五金，安全无毒，色泽丰富。 </w:t>
            </w:r>
          </w:p>
        </w:tc>
      </w:tr>
      <w:tr w14:paraId="5C2EA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561" w:type="pct"/>
            <w:vMerge w:val="continue"/>
            <w:shd w:val="clear" w:color="auto" w:fill="auto"/>
            <w:noWrap w:val="0"/>
            <w:vAlign w:val="center"/>
          </w:tcPr>
          <w:p w14:paraId="5F543F32">
            <w:pPr>
              <w:jc w:val="both"/>
              <w:rPr>
                <w:rFonts w:hint="eastAsia" w:ascii="宋体" w:hAnsi="宋体" w:cs="宋体"/>
                <w:color w:val="000000"/>
                <w:sz w:val="22"/>
              </w:rPr>
            </w:pPr>
          </w:p>
        </w:tc>
        <w:tc>
          <w:tcPr>
            <w:tcW w:w="1243" w:type="pct"/>
            <w:vMerge w:val="continue"/>
            <w:shd w:val="clear" w:color="auto" w:fill="auto"/>
            <w:noWrap w:val="0"/>
            <w:vAlign w:val="center"/>
          </w:tcPr>
          <w:p w14:paraId="48F8B1B1">
            <w:pPr>
              <w:jc w:val="both"/>
              <w:rPr>
                <w:rFonts w:hint="eastAsia" w:ascii="宋体" w:hAnsi="宋体" w:cs="宋体"/>
                <w:color w:val="000000"/>
                <w:sz w:val="22"/>
              </w:rPr>
            </w:pPr>
          </w:p>
        </w:tc>
        <w:tc>
          <w:tcPr>
            <w:tcW w:w="3194" w:type="pct"/>
            <w:noWrap w:val="0"/>
            <w:vAlign w:val="center"/>
          </w:tcPr>
          <w:p w14:paraId="30BAD035">
            <w:pPr>
              <w:jc w:val="both"/>
              <w:rPr>
                <w:rFonts w:hint="eastAsia" w:ascii="宋体" w:hAnsi="宋体" w:cs="宋体"/>
                <w:color w:val="000000"/>
                <w:sz w:val="22"/>
              </w:rPr>
            </w:pPr>
            <w:r>
              <w:rPr>
                <w:rFonts w:hint="eastAsia" w:ascii="宋体" w:hAnsi="宋体" w:cs="宋体"/>
                <w:color w:val="000000"/>
                <w:sz w:val="22"/>
              </w:rPr>
              <w:t>4、油漆：采用绿色环保无毒水性漆，经过两底一面工艺制作。附着力、耐冲击、耐磨、耐湿不小于3 级，灼烧、耐液、耐干、 耐冷热。</w:t>
            </w:r>
          </w:p>
        </w:tc>
      </w:tr>
      <w:tr w14:paraId="3144D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561" w:type="pct"/>
            <w:vMerge w:val="continue"/>
            <w:shd w:val="clear" w:color="auto" w:fill="auto"/>
            <w:noWrap w:val="0"/>
            <w:vAlign w:val="center"/>
          </w:tcPr>
          <w:p w14:paraId="23699458">
            <w:pPr>
              <w:jc w:val="both"/>
              <w:rPr>
                <w:rFonts w:hint="eastAsia" w:ascii="宋体" w:hAnsi="宋体" w:cs="宋体"/>
                <w:color w:val="000000"/>
                <w:sz w:val="22"/>
              </w:rPr>
            </w:pPr>
          </w:p>
        </w:tc>
        <w:tc>
          <w:tcPr>
            <w:tcW w:w="1243" w:type="pct"/>
            <w:vMerge w:val="continue"/>
            <w:shd w:val="clear" w:color="auto" w:fill="auto"/>
            <w:noWrap w:val="0"/>
            <w:vAlign w:val="center"/>
          </w:tcPr>
          <w:p w14:paraId="2FB73FD3">
            <w:pPr>
              <w:jc w:val="both"/>
              <w:rPr>
                <w:rFonts w:hint="eastAsia" w:ascii="宋体" w:hAnsi="宋体" w:cs="宋体"/>
                <w:color w:val="000000"/>
                <w:sz w:val="22"/>
              </w:rPr>
            </w:pPr>
          </w:p>
        </w:tc>
        <w:tc>
          <w:tcPr>
            <w:tcW w:w="3194" w:type="pct"/>
            <w:noWrap w:val="0"/>
            <w:vAlign w:val="center"/>
          </w:tcPr>
          <w:p w14:paraId="527F3297">
            <w:pPr>
              <w:jc w:val="both"/>
              <w:rPr>
                <w:rFonts w:hint="eastAsia" w:ascii="宋体" w:hAnsi="宋体" w:cs="宋体"/>
                <w:color w:val="000000"/>
                <w:sz w:val="22"/>
              </w:rPr>
            </w:pPr>
            <w:r>
              <w:rPr>
                <w:rFonts w:hint="eastAsia" w:ascii="宋体" w:hAnsi="宋体" w:cs="宋体"/>
                <w:color w:val="000000"/>
                <w:sz w:val="22"/>
              </w:rPr>
              <w:t>5、其他：外延打磨指甲圆，光滑平整，正反面均无毛刺。</w:t>
            </w:r>
          </w:p>
        </w:tc>
      </w:tr>
      <w:tr w14:paraId="2F468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561" w:type="pct"/>
            <w:vMerge w:val="continue"/>
            <w:shd w:val="clear" w:color="auto" w:fill="auto"/>
            <w:noWrap w:val="0"/>
            <w:vAlign w:val="center"/>
          </w:tcPr>
          <w:p w14:paraId="128B88D5">
            <w:pPr>
              <w:jc w:val="both"/>
              <w:rPr>
                <w:rFonts w:hint="eastAsia" w:ascii="宋体" w:hAnsi="宋体" w:cs="宋体"/>
                <w:color w:val="000000"/>
                <w:sz w:val="22"/>
              </w:rPr>
            </w:pPr>
          </w:p>
        </w:tc>
        <w:tc>
          <w:tcPr>
            <w:tcW w:w="1243" w:type="pct"/>
            <w:vMerge w:val="continue"/>
            <w:shd w:val="clear" w:color="auto" w:fill="auto"/>
            <w:noWrap w:val="0"/>
            <w:vAlign w:val="center"/>
          </w:tcPr>
          <w:p w14:paraId="41BEE0B2">
            <w:pPr>
              <w:jc w:val="both"/>
              <w:rPr>
                <w:rFonts w:hint="eastAsia" w:ascii="宋体" w:hAnsi="宋体" w:cs="宋体"/>
                <w:color w:val="000000"/>
                <w:sz w:val="22"/>
              </w:rPr>
            </w:pPr>
          </w:p>
        </w:tc>
        <w:tc>
          <w:tcPr>
            <w:tcW w:w="3194" w:type="pct"/>
            <w:noWrap w:val="0"/>
            <w:vAlign w:val="center"/>
          </w:tcPr>
          <w:p w14:paraId="28FA285F">
            <w:pPr>
              <w:jc w:val="both"/>
              <w:rPr>
                <w:rFonts w:hint="eastAsia" w:ascii="宋体" w:hAnsi="宋体" w:cs="宋体"/>
                <w:color w:val="000000"/>
                <w:sz w:val="22"/>
              </w:rPr>
            </w:pPr>
            <w:r>
              <w:rPr>
                <w:rFonts w:hint="eastAsia" w:ascii="宋体" w:hAnsi="宋体" w:cs="宋体"/>
                <w:color w:val="000000"/>
                <w:sz w:val="22"/>
              </w:rPr>
              <w:t>6、产品符合儿童家具通用技术标准。</w:t>
            </w:r>
          </w:p>
        </w:tc>
      </w:tr>
      <w:tr w14:paraId="0E3C3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61" w:type="pct"/>
            <w:vMerge w:val="restart"/>
            <w:shd w:val="clear" w:color="auto" w:fill="auto"/>
            <w:noWrap w:val="0"/>
            <w:vAlign w:val="center"/>
          </w:tcPr>
          <w:p w14:paraId="0DC9E20F">
            <w:pPr>
              <w:jc w:val="center"/>
              <w:rPr>
                <w:rFonts w:hint="eastAsia" w:ascii="宋体" w:hAnsi="宋体" w:eastAsia="宋体" w:cs="宋体"/>
                <w:color w:val="000000"/>
                <w:kern w:val="2"/>
                <w:sz w:val="22"/>
                <w:szCs w:val="22"/>
                <w:lang w:val="en-US" w:eastAsia="zh-CN" w:bidi="ar-SA"/>
              </w:rPr>
            </w:pPr>
            <w:r>
              <w:rPr>
                <w:rFonts w:hint="eastAsia" w:ascii="宋体" w:hAnsi="宋体" w:cs="宋体"/>
                <w:color w:val="000000"/>
                <w:sz w:val="22"/>
              </w:rPr>
              <w:t>32</w:t>
            </w:r>
          </w:p>
        </w:tc>
        <w:tc>
          <w:tcPr>
            <w:tcW w:w="1243" w:type="pct"/>
            <w:vMerge w:val="restart"/>
            <w:shd w:val="clear" w:color="auto" w:fill="auto"/>
            <w:noWrap w:val="0"/>
            <w:vAlign w:val="center"/>
          </w:tcPr>
          <w:p w14:paraId="4BEA2467">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哥德堡三层矩形柜</w:t>
            </w:r>
          </w:p>
        </w:tc>
        <w:tc>
          <w:tcPr>
            <w:tcW w:w="3194" w:type="pct"/>
            <w:noWrap w:val="0"/>
            <w:vAlign w:val="center"/>
          </w:tcPr>
          <w:p w14:paraId="5FC7A32B">
            <w:pPr>
              <w:jc w:val="both"/>
              <w:rPr>
                <w:rFonts w:hint="eastAsia" w:ascii="宋体" w:hAnsi="宋体" w:cs="宋体"/>
                <w:color w:val="000000"/>
                <w:sz w:val="22"/>
              </w:rPr>
            </w:pPr>
            <w:r>
              <w:rPr>
                <w:rFonts w:hint="eastAsia" w:ascii="宋体" w:hAnsi="宋体" w:cs="宋体"/>
                <w:color w:val="000000"/>
                <w:sz w:val="22"/>
              </w:rPr>
              <w:t>1、尺寸：L100cm*W33cm*H76cm（±</w:t>
            </w:r>
            <w:r>
              <w:rPr>
                <w:rFonts w:hint="eastAsia" w:ascii="宋体" w:hAnsi="宋体" w:cs="宋体"/>
                <w:color w:val="000000"/>
                <w:sz w:val="22"/>
                <w:lang w:val="en-US" w:eastAsia="zh-CN"/>
              </w:rPr>
              <w:t>2</w:t>
            </w:r>
            <w:r>
              <w:rPr>
                <w:rFonts w:hint="eastAsia" w:ascii="宋体" w:hAnsi="宋体" w:cs="宋体"/>
                <w:color w:val="000000"/>
                <w:sz w:val="22"/>
              </w:rPr>
              <w:t>cm）</w:t>
            </w:r>
          </w:p>
        </w:tc>
      </w:tr>
      <w:tr w14:paraId="46AEC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61" w:type="pct"/>
            <w:vMerge w:val="continue"/>
            <w:shd w:val="clear" w:color="auto" w:fill="auto"/>
            <w:noWrap w:val="0"/>
            <w:vAlign w:val="center"/>
          </w:tcPr>
          <w:p w14:paraId="04DC61E5">
            <w:pPr>
              <w:jc w:val="both"/>
            </w:pPr>
          </w:p>
        </w:tc>
        <w:tc>
          <w:tcPr>
            <w:tcW w:w="1243" w:type="pct"/>
            <w:vMerge w:val="continue"/>
            <w:shd w:val="clear" w:color="auto" w:fill="auto"/>
            <w:noWrap w:val="0"/>
            <w:vAlign w:val="center"/>
          </w:tcPr>
          <w:p w14:paraId="6FDB8263">
            <w:pPr>
              <w:jc w:val="both"/>
            </w:pPr>
          </w:p>
        </w:tc>
        <w:tc>
          <w:tcPr>
            <w:tcW w:w="3194" w:type="pct"/>
            <w:noWrap w:val="0"/>
            <w:vAlign w:val="center"/>
          </w:tcPr>
          <w:p w14:paraId="27CE64B4">
            <w:pPr>
              <w:jc w:val="both"/>
              <w:rPr>
                <w:rFonts w:hint="eastAsia" w:ascii="宋体" w:hAnsi="宋体" w:cs="宋体"/>
                <w:color w:val="000000"/>
                <w:sz w:val="22"/>
              </w:rPr>
            </w:pPr>
            <w:r>
              <w:rPr>
                <w:rFonts w:hint="eastAsia" w:ascii="宋体" w:hAnsi="宋体" w:cs="宋体"/>
                <w:color w:val="000000"/>
                <w:sz w:val="22"/>
              </w:rPr>
              <w:t>2、基材：桦木实木多层板，其中侧板及顶板为白色防火板贴面，表面纹理清晰且全白、无结疤、无黑疤、无红点。柜体分三层无隔断，自上而下第一层为中空，顶板尺寸不大于97*28cm（±</w:t>
            </w:r>
            <w:r>
              <w:rPr>
                <w:rFonts w:hint="eastAsia" w:ascii="宋体" w:hAnsi="宋体" w:cs="宋体"/>
                <w:color w:val="000000"/>
                <w:sz w:val="22"/>
                <w:lang w:val="en-US" w:eastAsia="zh-CN"/>
              </w:rPr>
              <w:t>1</w:t>
            </w:r>
            <w:r>
              <w:rPr>
                <w:rFonts w:hint="eastAsia" w:ascii="宋体" w:hAnsi="宋体" w:cs="宋体"/>
                <w:color w:val="000000"/>
                <w:sz w:val="22"/>
              </w:rPr>
              <w:t>cm）,第二层层板宽度不大于32.5cm（±</w:t>
            </w:r>
            <w:r>
              <w:rPr>
                <w:rFonts w:hint="eastAsia" w:ascii="宋体" w:hAnsi="宋体" w:cs="宋体"/>
                <w:color w:val="000000"/>
                <w:sz w:val="22"/>
                <w:lang w:val="en-US" w:eastAsia="zh-CN"/>
              </w:rPr>
              <w:t>1</w:t>
            </w:r>
            <w:r>
              <w:rPr>
                <w:rFonts w:hint="eastAsia" w:ascii="宋体" w:hAnsi="宋体" w:cs="宋体"/>
                <w:color w:val="000000"/>
                <w:sz w:val="22"/>
              </w:rPr>
              <w:t>cm），中空区域尺寸不大于97*32.5*21cm（±</w:t>
            </w:r>
            <w:r>
              <w:rPr>
                <w:rFonts w:hint="eastAsia" w:ascii="宋体" w:hAnsi="宋体" w:cs="宋体"/>
                <w:color w:val="000000"/>
                <w:sz w:val="22"/>
                <w:lang w:val="en-US" w:eastAsia="zh-CN"/>
              </w:rPr>
              <w:t>1</w:t>
            </w:r>
            <w:r>
              <w:rPr>
                <w:rFonts w:hint="eastAsia" w:ascii="宋体" w:hAnsi="宋体" w:cs="宋体"/>
                <w:color w:val="000000"/>
                <w:sz w:val="22"/>
              </w:rPr>
              <w:t>cm）,第二三层有背板内径尺寸不大于97*30.5*21cm（±</w:t>
            </w:r>
            <w:r>
              <w:rPr>
                <w:rFonts w:hint="eastAsia" w:ascii="宋体" w:hAnsi="宋体" w:cs="宋体"/>
                <w:color w:val="000000"/>
                <w:sz w:val="22"/>
                <w:lang w:val="en-US" w:eastAsia="zh-CN"/>
              </w:rPr>
              <w:t>1</w:t>
            </w:r>
            <w:r>
              <w:rPr>
                <w:rFonts w:hint="eastAsia" w:ascii="宋体" w:hAnsi="宋体" w:cs="宋体"/>
                <w:color w:val="000000"/>
                <w:sz w:val="22"/>
              </w:rPr>
              <w:t>cm）,每层可以竖向放置尺寸31*20*13.5cm（±</w:t>
            </w:r>
            <w:r>
              <w:rPr>
                <w:rFonts w:hint="eastAsia" w:ascii="宋体" w:hAnsi="宋体" w:cs="宋体"/>
                <w:color w:val="000000"/>
                <w:sz w:val="22"/>
                <w:lang w:val="en-US" w:eastAsia="zh-CN"/>
              </w:rPr>
              <w:t>1</w:t>
            </w:r>
            <w:r>
              <w:rPr>
                <w:rFonts w:hint="eastAsia" w:ascii="宋体" w:hAnsi="宋体" w:cs="宋体"/>
                <w:color w:val="000000"/>
                <w:sz w:val="22"/>
              </w:rPr>
              <w:t>cm）的收纳盒4个，横向放置同等尺寸收纳盒3个，柜体层板为原木色，两边侧片为白色。柜体用螺丝固定。</w:t>
            </w:r>
          </w:p>
        </w:tc>
      </w:tr>
      <w:tr w14:paraId="400D0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61" w:type="pct"/>
            <w:vMerge w:val="continue"/>
            <w:shd w:val="clear" w:color="auto" w:fill="auto"/>
            <w:noWrap w:val="0"/>
            <w:vAlign w:val="center"/>
          </w:tcPr>
          <w:p w14:paraId="3E81C8D7">
            <w:pPr>
              <w:jc w:val="both"/>
              <w:rPr>
                <w:rFonts w:hint="eastAsia" w:ascii="宋体" w:hAnsi="宋体" w:cs="宋体"/>
                <w:color w:val="000000"/>
                <w:sz w:val="22"/>
              </w:rPr>
            </w:pPr>
          </w:p>
        </w:tc>
        <w:tc>
          <w:tcPr>
            <w:tcW w:w="1243" w:type="pct"/>
            <w:vMerge w:val="continue"/>
            <w:shd w:val="clear" w:color="auto" w:fill="auto"/>
            <w:noWrap w:val="0"/>
            <w:vAlign w:val="center"/>
          </w:tcPr>
          <w:p w14:paraId="5CC88FF3">
            <w:pPr>
              <w:jc w:val="both"/>
              <w:rPr>
                <w:rFonts w:hint="eastAsia" w:ascii="宋体" w:hAnsi="宋体" w:cs="宋体"/>
                <w:color w:val="000000"/>
                <w:sz w:val="22"/>
              </w:rPr>
            </w:pPr>
          </w:p>
        </w:tc>
        <w:tc>
          <w:tcPr>
            <w:tcW w:w="3194" w:type="pct"/>
            <w:noWrap w:val="0"/>
            <w:vAlign w:val="center"/>
          </w:tcPr>
          <w:p w14:paraId="3FB632E4">
            <w:pPr>
              <w:jc w:val="both"/>
              <w:rPr>
                <w:rFonts w:hint="eastAsia" w:ascii="宋体" w:hAnsi="宋体" w:cs="宋体"/>
                <w:color w:val="000000"/>
                <w:sz w:val="22"/>
              </w:rPr>
            </w:pPr>
            <w:r>
              <w:rPr>
                <w:rFonts w:hint="eastAsia" w:ascii="宋体" w:hAnsi="宋体" w:cs="宋体"/>
                <w:color w:val="000000"/>
                <w:sz w:val="22"/>
              </w:rPr>
              <w:t>3、五金：选用环保五金，安全无毒，色泽丰富。</w:t>
            </w:r>
          </w:p>
        </w:tc>
      </w:tr>
      <w:tr w14:paraId="7A650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61" w:type="pct"/>
            <w:vMerge w:val="continue"/>
            <w:shd w:val="clear" w:color="auto" w:fill="auto"/>
            <w:noWrap w:val="0"/>
            <w:vAlign w:val="center"/>
          </w:tcPr>
          <w:p w14:paraId="45FFF9BE">
            <w:pPr>
              <w:jc w:val="both"/>
              <w:rPr>
                <w:rFonts w:hint="eastAsia" w:ascii="宋体" w:hAnsi="宋体" w:cs="宋体"/>
                <w:color w:val="000000"/>
                <w:sz w:val="22"/>
              </w:rPr>
            </w:pPr>
          </w:p>
        </w:tc>
        <w:tc>
          <w:tcPr>
            <w:tcW w:w="1243" w:type="pct"/>
            <w:vMerge w:val="continue"/>
            <w:shd w:val="clear" w:color="auto" w:fill="auto"/>
            <w:noWrap w:val="0"/>
            <w:vAlign w:val="center"/>
          </w:tcPr>
          <w:p w14:paraId="27CD1C4D">
            <w:pPr>
              <w:jc w:val="both"/>
              <w:rPr>
                <w:rFonts w:hint="eastAsia" w:ascii="宋体" w:hAnsi="宋体" w:cs="宋体"/>
                <w:color w:val="000000"/>
                <w:sz w:val="22"/>
              </w:rPr>
            </w:pPr>
          </w:p>
        </w:tc>
        <w:tc>
          <w:tcPr>
            <w:tcW w:w="3194" w:type="pct"/>
            <w:noWrap w:val="0"/>
            <w:vAlign w:val="center"/>
          </w:tcPr>
          <w:p w14:paraId="26810DF3">
            <w:pPr>
              <w:jc w:val="both"/>
              <w:rPr>
                <w:rFonts w:hint="eastAsia" w:ascii="宋体" w:hAnsi="宋体" w:cs="宋体"/>
                <w:color w:val="000000"/>
                <w:sz w:val="22"/>
              </w:rPr>
            </w:pPr>
            <w:r>
              <w:rPr>
                <w:rFonts w:hint="eastAsia" w:ascii="宋体" w:hAnsi="宋体" w:cs="宋体"/>
                <w:color w:val="000000"/>
                <w:sz w:val="22"/>
              </w:rPr>
              <w:t>4、油漆：采用绿色环保无毒水性漆，经过两底一面工艺制作。附着力、耐冲击、耐磨、耐湿不小于3 级，灼烧、耐液、耐干、 耐冷热。</w:t>
            </w:r>
          </w:p>
        </w:tc>
      </w:tr>
      <w:tr w14:paraId="48499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61" w:type="pct"/>
            <w:vMerge w:val="continue"/>
            <w:shd w:val="clear" w:color="auto" w:fill="auto"/>
            <w:noWrap w:val="0"/>
            <w:vAlign w:val="center"/>
          </w:tcPr>
          <w:p w14:paraId="50F27A3C">
            <w:pPr>
              <w:jc w:val="both"/>
              <w:rPr>
                <w:rFonts w:hint="eastAsia" w:ascii="宋体" w:hAnsi="宋体" w:cs="宋体"/>
                <w:color w:val="000000"/>
                <w:sz w:val="22"/>
              </w:rPr>
            </w:pPr>
          </w:p>
        </w:tc>
        <w:tc>
          <w:tcPr>
            <w:tcW w:w="1243" w:type="pct"/>
            <w:vMerge w:val="continue"/>
            <w:shd w:val="clear" w:color="auto" w:fill="auto"/>
            <w:noWrap w:val="0"/>
            <w:vAlign w:val="center"/>
          </w:tcPr>
          <w:p w14:paraId="5ADCADC5">
            <w:pPr>
              <w:jc w:val="both"/>
              <w:rPr>
                <w:rFonts w:hint="eastAsia" w:ascii="宋体" w:hAnsi="宋体" w:cs="宋体"/>
                <w:color w:val="000000"/>
                <w:sz w:val="22"/>
              </w:rPr>
            </w:pPr>
          </w:p>
        </w:tc>
        <w:tc>
          <w:tcPr>
            <w:tcW w:w="3194" w:type="pct"/>
            <w:noWrap w:val="0"/>
            <w:vAlign w:val="center"/>
          </w:tcPr>
          <w:p w14:paraId="64942262">
            <w:pPr>
              <w:jc w:val="both"/>
              <w:rPr>
                <w:rFonts w:hint="eastAsia" w:ascii="宋体" w:hAnsi="宋体" w:cs="宋体"/>
                <w:color w:val="000000"/>
                <w:sz w:val="22"/>
              </w:rPr>
            </w:pPr>
            <w:r>
              <w:rPr>
                <w:rFonts w:hint="eastAsia" w:ascii="宋体" w:hAnsi="宋体" w:cs="宋体"/>
                <w:color w:val="000000"/>
                <w:sz w:val="22"/>
              </w:rPr>
              <w:t>5、其他：外延打磨指甲圆，光滑平整，正反面均无毛刺。</w:t>
            </w:r>
          </w:p>
        </w:tc>
      </w:tr>
      <w:tr w14:paraId="754FE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61" w:type="pct"/>
            <w:vMerge w:val="continue"/>
            <w:shd w:val="clear" w:color="auto" w:fill="auto"/>
            <w:noWrap w:val="0"/>
            <w:vAlign w:val="center"/>
          </w:tcPr>
          <w:p w14:paraId="248E80E6">
            <w:pPr>
              <w:jc w:val="both"/>
              <w:rPr>
                <w:rFonts w:hint="eastAsia" w:ascii="宋体" w:hAnsi="宋体" w:cs="宋体"/>
                <w:color w:val="000000"/>
                <w:sz w:val="22"/>
              </w:rPr>
            </w:pPr>
          </w:p>
        </w:tc>
        <w:tc>
          <w:tcPr>
            <w:tcW w:w="1243" w:type="pct"/>
            <w:vMerge w:val="continue"/>
            <w:shd w:val="clear" w:color="auto" w:fill="auto"/>
            <w:noWrap w:val="0"/>
            <w:vAlign w:val="center"/>
          </w:tcPr>
          <w:p w14:paraId="3FE1580F">
            <w:pPr>
              <w:jc w:val="both"/>
              <w:rPr>
                <w:rFonts w:hint="eastAsia" w:ascii="宋体" w:hAnsi="宋体" w:cs="宋体"/>
                <w:color w:val="000000"/>
                <w:sz w:val="22"/>
              </w:rPr>
            </w:pPr>
          </w:p>
        </w:tc>
        <w:tc>
          <w:tcPr>
            <w:tcW w:w="3194" w:type="pct"/>
            <w:noWrap w:val="0"/>
            <w:vAlign w:val="center"/>
          </w:tcPr>
          <w:p w14:paraId="5BF89C17">
            <w:pPr>
              <w:jc w:val="both"/>
              <w:rPr>
                <w:rFonts w:hint="eastAsia" w:ascii="宋体" w:hAnsi="宋体" w:cs="宋体"/>
                <w:color w:val="000000"/>
                <w:sz w:val="22"/>
              </w:rPr>
            </w:pPr>
            <w:r>
              <w:rPr>
                <w:rFonts w:hint="eastAsia" w:ascii="宋体" w:hAnsi="宋体" w:cs="宋体"/>
                <w:color w:val="000000"/>
                <w:sz w:val="22"/>
              </w:rPr>
              <w:t>6、产品符合儿童家具通用技术标准。</w:t>
            </w:r>
          </w:p>
        </w:tc>
      </w:tr>
      <w:tr w14:paraId="56149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61" w:type="pct"/>
            <w:vMerge w:val="restart"/>
            <w:shd w:val="clear" w:color="auto" w:fill="auto"/>
            <w:noWrap w:val="0"/>
            <w:vAlign w:val="center"/>
          </w:tcPr>
          <w:p w14:paraId="3B6386AF">
            <w:pPr>
              <w:jc w:val="center"/>
              <w:rPr>
                <w:rFonts w:hint="eastAsia" w:ascii="宋体" w:hAnsi="宋体" w:eastAsia="宋体" w:cs="宋体"/>
                <w:color w:val="000000"/>
                <w:kern w:val="2"/>
                <w:sz w:val="22"/>
                <w:szCs w:val="22"/>
                <w:lang w:val="en-US" w:eastAsia="zh-CN" w:bidi="ar-SA"/>
              </w:rPr>
            </w:pPr>
            <w:r>
              <w:rPr>
                <w:rFonts w:hint="eastAsia" w:ascii="宋体" w:hAnsi="宋体" w:cs="宋体"/>
                <w:color w:val="000000"/>
                <w:sz w:val="22"/>
              </w:rPr>
              <w:t>33</w:t>
            </w:r>
          </w:p>
        </w:tc>
        <w:tc>
          <w:tcPr>
            <w:tcW w:w="1243" w:type="pct"/>
            <w:vMerge w:val="restart"/>
            <w:shd w:val="clear" w:color="auto" w:fill="auto"/>
            <w:noWrap w:val="0"/>
            <w:vAlign w:val="center"/>
          </w:tcPr>
          <w:p w14:paraId="5C32A9BC">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角色扮演- 咖啡屋</w:t>
            </w:r>
          </w:p>
        </w:tc>
        <w:tc>
          <w:tcPr>
            <w:tcW w:w="3194" w:type="pct"/>
            <w:noWrap w:val="0"/>
            <w:vAlign w:val="center"/>
          </w:tcPr>
          <w:p w14:paraId="2D197E0B">
            <w:pPr>
              <w:jc w:val="both"/>
              <w:rPr>
                <w:rFonts w:hint="eastAsia" w:ascii="宋体" w:hAnsi="宋体" w:cs="宋体"/>
                <w:color w:val="000000"/>
                <w:sz w:val="22"/>
              </w:rPr>
            </w:pPr>
            <w:r>
              <w:rPr>
                <w:rFonts w:hint="eastAsia" w:ascii="宋体" w:hAnsi="宋体" w:cs="宋体"/>
                <w:color w:val="000000"/>
                <w:sz w:val="22"/>
              </w:rPr>
              <w:t>1、尺寸：L103cm*W33cm*H133cm（±</w:t>
            </w:r>
            <w:r>
              <w:rPr>
                <w:rFonts w:hint="eastAsia" w:ascii="宋体" w:hAnsi="宋体" w:cs="宋体"/>
                <w:color w:val="000000"/>
                <w:sz w:val="22"/>
                <w:lang w:val="en-US" w:eastAsia="zh-CN"/>
              </w:rPr>
              <w:t>2</w:t>
            </w:r>
            <w:r>
              <w:rPr>
                <w:rFonts w:hint="eastAsia" w:ascii="宋体" w:hAnsi="宋体" w:cs="宋体"/>
                <w:color w:val="000000"/>
                <w:sz w:val="22"/>
              </w:rPr>
              <w:t>cm）</w:t>
            </w:r>
          </w:p>
        </w:tc>
      </w:tr>
      <w:tr w14:paraId="5B882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61" w:type="pct"/>
            <w:vMerge w:val="continue"/>
            <w:shd w:val="clear" w:color="auto" w:fill="auto"/>
            <w:noWrap w:val="0"/>
            <w:vAlign w:val="center"/>
          </w:tcPr>
          <w:p w14:paraId="19415D8A">
            <w:pPr>
              <w:jc w:val="both"/>
            </w:pPr>
          </w:p>
        </w:tc>
        <w:tc>
          <w:tcPr>
            <w:tcW w:w="1243" w:type="pct"/>
            <w:vMerge w:val="continue"/>
            <w:shd w:val="clear" w:color="auto" w:fill="auto"/>
            <w:noWrap w:val="0"/>
            <w:vAlign w:val="center"/>
          </w:tcPr>
          <w:p w14:paraId="61853DC6">
            <w:pPr>
              <w:jc w:val="both"/>
            </w:pPr>
          </w:p>
        </w:tc>
        <w:tc>
          <w:tcPr>
            <w:tcW w:w="3194" w:type="pct"/>
            <w:noWrap w:val="0"/>
            <w:vAlign w:val="center"/>
          </w:tcPr>
          <w:p w14:paraId="73F253BC">
            <w:pPr>
              <w:jc w:val="both"/>
              <w:rPr>
                <w:rFonts w:hint="eastAsia" w:ascii="宋体" w:hAnsi="宋体" w:cs="宋体"/>
                <w:color w:val="000000"/>
                <w:sz w:val="22"/>
              </w:rPr>
            </w:pPr>
            <w:r>
              <w:rPr>
                <w:rFonts w:hint="eastAsia" w:ascii="宋体" w:hAnsi="宋体" w:cs="宋体"/>
                <w:color w:val="000000"/>
                <w:sz w:val="22"/>
              </w:rPr>
              <w:t>2、基材：桦木实木多层板，表面纹理清晰且全白、无结疤、无黑疤、无红点。顶部实木圆棒搭配条纹棉布装饰，下半部分搭配</w:t>
            </w:r>
            <w:r>
              <w:rPr>
                <w:rFonts w:hint="eastAsia" w:ascii="宋体" w:hAnsi="宋体" w:cs="宋体"/>
                <w:color w:val="000000"/>
                <w:sz w:val="22"/>
                <w:lang w:val="en-US" w:eastAsia="zh-CN"/>
              </w:rPr>
              <w:t>书写板</w:t>
            </w:r>
            <w:r>
              <w:rPr>
                <w:rFonts w:hint="eastAsia" w:ascii="宋体" w:hAnsi="宋体" w:cs="宋体"/>
                <w:color w:val="000000"/>
                <w:sz w:val="22"/>
              </w:rPr>
              <w:t>，方便书写。</w:t>
            </w:r>
          </w:p>
          <w:p w14:paraId="5F30AD4F">
            <w:pPr>
              <w:jc w:val="both"/>
              <w:rPr>
                <w:rFonts w:hint="eastAsia" w:ascii="宋体" w:hAnsi="宋体" w:cs="宋体"/>
                <w:color w:val="FF0000"/>
                <w:sz w:val="22"/>
              </w:rPr>
            </w:pPr>
            <w:r>
              <w:rPr>
                <w:rFonts w:hint="eastAsia" w:ascii="宋体" w:hAnsi="宋体" w:cs="宋体"/>
                <w:color w:val="000000"/>
                <w:sz w:val="22"/>
              </w:rPr>
              <w:t>▲</w:t>
            </w:r>
            <w:r>
              <w:rPr>
                <w:rFonts w:hint="eastAsia" w:ascii="宋体" w:hAnsi="宋体" w:cs="宋体"/>
                <w:color w:val="FF0000"/>
                <w:sz w:val="22"/>
              </w:rPr>
              <w:t>提供具有CMA或CNAS标识的书写板符合《GB 28231-2011书写板的擦拭性,粉笔板表面粗糙度,粉笔板耐磨性,耐光性,甲醛释放限量检测》的检测报告扫描件。（报告委托单位或报告抬头公司名称须与投标人或本次投标所提供货物制造商一致）</w:t>
            </w:r>
          </w:p>
          <w:p w14:paraId="616175C3">
            <w:pPr>
              <w:jc w:val="both"/>
              <w:rPr>
                <w:rFonts w:hint="eastAsia" w:ascii="宋体" w:hAnsi="宋体" w:cs="宋体"/>
                <w:color w:val="000000"/>
                <w:sz w:val="22"/>
              </w:rPr>
            </w:pPr>
            <w:r>
              <w:rPr>
                <w:rFonts w:hint="eastAsia" w:ascii="宋体" w:hAnsi="宋体" w:cs="宋体"/>
                <w:color w:val="FF0000"/>
                <w:sz w:val="22"/>
              </w:rPr>
              <w:t>要求：提供检测报告关键信息扫描件，检测报告在全国认证认可信息公共服务平台网站（http://cx.cnca.cn/CertECloud/qts/qts/qtsPage）查询截图扫描件。投标人必须是所投产品的制造商或代理商，代理商需提供产品制造商品牌授权委托书。</w:t>
            </w:r>
          </w:p>
        </w:tc>
      </w:tr>
      <w:tr w14:paraId="4F3E8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61" w:type="pct"/>
            <w:vMerge w:val="continue"/>
            <w:shd w:val="clear" w:color="auto" w:fill="auto"/>
            <w:noWrap w:val="0"/>
            <w:vAlign w:val="center"/>
          </w:tcPr>
          <w:p w14:paraId="774D5618">
            <w:pPr>
              <w:jc w:val="both"/>
              <w:rPr>
                <w:rFonts w:hint="eastAsia" w:ascii="宋体" w:hAnsi="宋体" w:cs="宋体"/>
                <w:color w:val="000000"/>
                <w:sz w:val="22"/>
              </w:rPr>
            </w:pPr>
          </w:p>
        </w:tc>
        <w:tc>
          <w:tcPr>
            <w:tcW w:w="1243" w:type="pct"/>
            <w:vMerge w:val="continue"/>
            <w:shd w:val="clear" w:color="auto" w:fill="auto"/>
            <w:noWrap w:val="0"/>
            <w:vAlign w:val="center"/>
          </w:tcPr>
          <w:p w14:paraId="7C34F93E">
            <w:pPr>
              <w:jc w:val="both"/>
              <w:rPr>
                <w:rFonts w:hint="eastAsia" w:ascii="宋体" w:hAnsi="宋体" w:cs="宋体"/>
                <w:color w:val="000000"/>
                <w:sz w:val="22"/>
              </w:rPr>
            </w:pPr>
          </w:p>
        </w:tc>
        <w:tc>
          <w:tcPr>
            <w:tcW w:w="3194" w:type="pct"/>
            <w:noWrap w:val="0"/>
            <w:vAlign w:val="center"/>
          </w:tcPr>
          <w:p w14:paraId="30086156">
            <w:pPr>
              <w:jc w:val="both"/>
              <w:rPr>
                <w:rFonts w:hint="eastAsia" w:ascii="宋体" w:hAnsi="宋体" w:cs="宋体"/>
                <w:color w:val="000000"/>
                <w:sz w:val="22"/>
              </w:rPr>
            </w:pPr>
            <w:r>
              <w:rPr>
                <w:rFonts w:hint="eastAsia" w:ascii="宋体" w:hAnsi="宋体" w:cs="宋体"/>
                <w:color w:val="000000"/>
                <w:sz w:val="22"/>
              </w:rPr>
              <w:t>3、五金：选用环保五金，安全无毒，色泽丰富。</w:t>
            </w:r>
          </w:p>
        </w:tc>
      </w:tr>
      <w:tr w14:paraId="6C988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61" w:type="pct"/>
            <w:vMerge w:val="continue"/>
            <w:shd w:val="clear" w:color="auto" w:fill="auto"/>
            <w:noWrap w:val="0"/>
            <w:vAlign w:val="center"/>
          </w:tcPr>
          <w:p w14:paraId="313F55C6">
            <w:pPr>
              <w:jc w:val="both"/>
              <w:rPr>
                <w:rFonts w:hint="eastAsia" w:ascii="宋体" w:hAnsi="宋体" w:cs="宋体"/>
                <w:color w:val="000000"/>
                <w:sz w:val="22"/>
              </w:rPr>
            </w:pPr>
          </w:p>
        </w:tc>
        <w:tc>
          <w:tcPr>
            <w:tcW w:w="1243" w:type="pct"/>
            <w:vMerge w:val="continue"/>
            <w:shd w:val="clear" w:color="auto" w:fill="auto"/>
            <w:noWrap w:val="0"/>
            <w:vAlign w:val="center"/>
          </w:tcPr>
          <w:p w14:paraId="6ECF3F24">
            <w:pPr>
              <w:jc w:val="both"/>
              <w:rPr>
                <w:rFonts w:hint="eastAsia" w:ascii="宋体" w:hAnsi="宋体" w:cs="宋体"/>
                <w:color w:val="000000"/>
                <w:sz w:val="22"/>
              </w:rPr>
            </w:pPr>
          </w:p>
        </w:tc>
        <w:tc>
          <w:tcPr>
            <w:tcW w:w="3194" w:type="pct"/>
            <w:noWrap w:val="0"/>
            <w:vAlign w:val="center"/>
          </w:tcPr>
          <w:p w14:paraId="43AD6C13">
            <w:pPr>
              <w:jc w:val="both"/>
              <w:rPr>
                <w:rFonts w:hint="eastAsia" w:ascii="宋体" w:hAnsi="宋体" w:cs="宋体"/>
                <w:color w:val="000000"/>
                <w:sz w:val="22"/>
              </w:rPr>
            </w:pPr>
            <w:r>
              <w:rPr>
                <w:rFonts w:hint="eastAsia" w:ascii="宋体" w:hAnsi="宋体" w:cs="宋体"/>
                <w:color w:val="000000"/>
                <w:sz w:val="22"/>
              </w:rPr>
              <w:t>4、油漆：采用绿色环保无毒水性漆，经过两底一面工艺制作。附着力、耐冲击、耐磨、耐湿不小于3 级，灼烧、耐液、耐干、 耐冷热。</w:t>
            </w:r>
          </w:p>
        </w:tc>
      </w:tr>
      <w:tr w14:paraId="791E7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61" w:type="pct"/>
            <w:vMerge w:val="continue"/>
            <w:shd w:val="clear" w:color="auto" w:fill="auto"/>
            <w:noWrap w:val="0"/>
            <w:vAlign w:val="center"/>
          </w:tcPr>
          <w:p w14:paraId="2A0A0617">
            <w:pPr>
              <w:jc w:val="both"/>
              <w:rPr>
                <w:rFonts w:hint="eastAsia" w:ascii="宋体" w:hAnsi="宋体" w:cs="宋体"/>
                <w:color w:val="000000"/>
                <w:sz w:val="22"/>
              </w:rPr>
            </w:pPr>
          </w:p>
        </w:tc>
        <w:tc>
          <w:tcPr>
            <w:tcW w:w="1243" w:type="pct"/>
            <w:vMerge w:val="continue"/>
            <w:shd w:val="clear" w:color="auto" w:fill="auto"/>
            <w:noWrap w:val="0"/>
            <w:vAlign w:val="center"/>
          </w:tcPr>
          <w:p w14:paraId="101EE28A">
            <w:pPr>
              <w:jc w:val="both"/>
              <w:rPr>
                <w:rFonts w:hint="eastAsia" w:ascii="宋体" w:hAnsi="宋体" w:cs="宋体"/>
                <w:color w:val="000000"/>
                <w:sz w:val="22"/>
              </w:rPr>
            </w:pPr>
          </w:p>
        </w:tc>
        <w:tc>
          <w:tcPr>
            <w:tcW w:w="3194" w:type="pct"/>
            <w:noWrap w:val="0"/>
            <w:vAlign w:val="center"/>
          </w:tcPr>
          <w:p w14:paraId="2F762509">
            <w:pPr>
              <w:jc w:val="both"/>
              <w:rPr>
                <w:rFonts w:hint="eastAsia" w:ascii="宋体" w:hAnsi="宋体" w:cs="宋体"/>
                <w:color w:val="000000"/>
                <w:sz w:val="22"/>
              </w:rPr>
            </w:pPr>
            <w:r>
              <w:rPr>
                <w:rFonts w:hint="eastAsia" w:ascii="宋体" w:hAnsi="宋体" w:cs="宋体"/>
                <w:color w:val="000000"/>
                <w:sz w:val="22"/>
              </w:rPr>
              <w:t>5、其他：外延打磨指甲圆，光滑平整，正反面均无毛刺。配高透塑料盒，方便物品收纳。</w:t>
            </w:r>
          </w:p>
        </w:tc>
      </w:tr>
      <w:tr w14:paraId="22AEE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61" w:type="pct"/>
            <w:vMerge w:val="continue"/>
            <w:shd w:val="clear" w:color="auto" w:fill="auto"/>
            <w:noWrap w:val="0"/>
            <w:vAlign w:val="center"/>
          </w:tcPr>
          <w:p w14:paraId="1F8EE65A">
            <w:pPr>
              <w:jc w:val="both"/>
              <w:rPr>
                <w:rFonts w:hint="eastAsia" w:ascii="宋体" w:hAnsi="宋体" w:cs="宋体"/>
                <w:color w:val="000000"/>
                <w:sz w:val="22"/>
              </w:rPr>
            </w:pPr>
          </w:p>
        </w:tc>
        <w:tc>
          <w:tcPr>
            <w:tcW w:w="1243" w:type="pct"/>
            <w:vMerge w:val="continue"/>
            <w:shd w:val="clear" w:color="auto" w:fill="auto"/>
            <w:noWrap w:val="0"/>
            <w:vAlign w:val="center"/>
          </w:tcPr>
          <w:p w14:paraId="062DFC50">
            <w:pPr>
              <w:jc w:val="both"/>
              <w:rPr>
                <w:rFonts w:hint="eastAsia" w:ascii="宋体" w:hAnsi="宋体" w:cs="宋体"/>
                <w:color w:val="000000"/>
                <w:sz w:val="22"/>
              </w:rPr>
            </w:pPr>
          </w:p>
        </w:tc>
        <w:tc>
          <w:tcPr>
            <w:tcW w:w="3194" w:type="pct"/>
            <w:noWrap w:val="0"/>
            <w:vAlign w:val="center"/>
          </w:tcPr>
          <w:p w14:paraId="1042EA2F">
            <w:pPr>
              <w:jc w:val="both"/>
              <w:rPr>
                <w:rFonts w:hint="eastAsia" w:ascii="宋体" w:hAnsi="宋体" w:cs="宋体"/>
                <w:color w:val="000000"/>
                <w:sz w:val="22"/>
              </w:rPr>
            </w:pPr>
            <w:r>
              <w:rPr>
                <w:rFonts w:hint="eastAsia" w:ascii="宋体" w:hAnsi="宋体" w:cs="宋体"/>
                <w:color w:val="000000"/>
                <w:sz w:val="22"/>
              </w:rPr>
              <w:t>6、产品符合儿童家具通用技术标准。</w:t>
            </w:r>
          </w:p>
        </w:tc>
      </w:tr>
      <w:tr w14:paraId="30D62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61" w:type="pct"/>
            <w:vMerge w:val="restart"/>
            <w:shd w:val="clear" w:color="auto" w:fill="auto"/>
            <w:noWrap w:val="0"/>
            <w:vAlign w:val="center"/>
          </w:tcPr>
          <w:p w14:paraId="04FB7330">
            <w:pPr>
              <w:jc w:val="center"/>
              <w:rPr>
                <w:rFonts w:hint="eastAsia" w:ascii="宋体" w:hAnsi="宋体" w:eastAsia="宋体" w:cs="宋体"/>
                <w:color w:val="000000"/>
                <w:kern w:val="2"/>
                <w:sz w:val="22"/>
                <w:szCs w:val="22"/>
                <w:lang w:val="en-US" w:eastAsia="zh-CN" w:bidi="ar-SA"/>
              </w:rPr>
            </w:pPr>
            <w:r>
              <w:rPr>
                <w:rFonts w:hint="eastAsia" w:ascii="宋体" w:hAnsi="宋体" w:cs="宋体"/>
                <w:color w:val="000000"/>
                <w:sz w:val="22"/>
              </w:rPr>
              <w:t>34</w:t>
            </w:r>
          </w:p>
        </w:tc>
        <w:tc>
          <w:tcPr>
            <w:tcW w:w="1243" w:type="pct"/>
            <w:vMerge w:val="restart"/>
            <w:shd w:val="clear" w:color="auto" w:fill="auto"/>
            <w:noWrap w:val="0"/>
            <w:vAlign w:val="center"/>
          </w:tcPr>
          <w:p w14:paraId="56A1BF20">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三层玩具柜</w:t>
            </w:r>
          </w:p>
        </w:tc>
        <w:tc>
          <w:tcPr>
            <w:tcW w:w="3194" w:type="pct"/>
            <w:noWrap w:val="0"/>
            <w:vAlign w:val="center"/>
          </w:tcPr>
          <w:p w14:paraId="04997779">
            <w:pPr>
              <w:jc w:val="both"/>
              <w:rPr>
                <w:rFonts w:hint="eastAsia" w:ascii="宋体" w:hAnsi="宋体" w:cs="宋体"/>
                <w:color w:val="000000"/>
                <w:sz w:val="22"/>
              </w:rPr>
            </w:pPr>
            <w:r>
              <w:rPr>
                <w:rFonts w:hint="eastAsia" w:ascii="宋体" w:hAnsi="宋体" w:cs="宋体"/>
                <w:color w:val="000000"/>
                <w:sz w:val="22"/>
              </w:rPr>
              <w:t>1、尺寸：L100cm*W33cm*H76cm（±</w:t>
            </w:r>
            <w:r>
              <w:rPr>
                <w:rFonts w:hint="eastAsia" w:ascii="宋体" w:hAnsi="宋体" w:cs="宋体"/>
                <w:color w:val="000000"/>
                <w:sz w:val="22"/>
                <w:lang w:val="en-US" w:eastAsia="zh-CN"/>
              </w:rPr>
              <w:t>2</w:t>
            </w:r>
            <w:r>
              <w:rPr>
                <w:rFonts w:hint="eastAsia" w:ascii="宋体" w:hAnsi="宋体" w:cs="宋体"/>
                <w:color w:val="000000"/>
                <w:sz w:val="22"/>
              </w:rPr>
              <w:t>cm）</w:t>
            </w:r>
          </w:p>
        </w:tc>
      </w:tr>
      <w:tr w14:paraId="783AF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61" w:type="pct"/>
            <w:vMerge w:val="continue"/>
            <w:shd w:val="clear" w:color="auto" w:fill="auto"/>
            <w:noWrap w:val="0"/>
            <w:vAlign w:val="center"/>
          </w:tcPr>
          <w:p w14:paraId="2308612F">
            <w:pPr>
              <w:jc w:val="both"/>
            </w:pPr>
          </w:p>
        </w:tc>
        <w:tc>
          <w:tcPr>
            <w:tcW w:w="1243" w:type="pct"/>
            <w:vMerge w:val="continue"/>
            <w:shd w:val="clear" w:color="auto" w:fill="auto"/>
            <w:noWrap w:val="0"/>
            <w:vAlign w:val="center"/>
          </w:tcPr>
          <w:p w14:paraId="17B7387B">
            <w:pPr>
              <w:jc w:val="both"/>
            </w:pPr>
          </w:p>
        </w:tc>
        <w:tc>
          <w:tcPr>
            <w:tcW w:w="3194" w:type="pct"/>
            <w:shd w:val="clear" w:color="auto" w:fill="auto"/>
            <w:noWrap w:val="0"/>
            <w:vAlign w:val="center"/>
          </w:tcPr>
          <w:p w14:paraId="626514BB">
            <w:pPr>
              <w:jc w:val="both"/>
              <w:rPr>
                <w:rFonts w:hint="eastAsia" w:ascii="宋体" w:hAnsi="宋体" w:eastAsia="宋体" w:cs="宋体"/>
                <w:color w:val="000000"/>
                <w:kern w:val="2"/>
                <w:sz w:val="22"/>
                <w:szCs w:val="22"/>
                <w:lang w:val="en-US" w:eastAsia="zh-CN" w:bidi="ar-SA"/>
              </w:rPr>
            </w:pPr>
            <w:r>
              <w:rPr>
                <w:rFonts w:hint="eastAsia" w:ascii="宋体" w:hAnsi="宋体" w:cs="宋体"/>
                <w:color w:val="000000"/>
                <w:sz w:val="22"/>
              </w:rPr>
              <w:t>2、基材：桦木实木多层板，表面纹理清晰且全白、无结疤、无黑疤、无红点。 柜体分三层隔断，有背板，每层内径尺寸不大于97*30.5*21cm（±</w:t>
            </w:r>
            <w:r>
              <w:rPr>
                <w:rFonts w:hint="eastAsia" w:ascii="宋体" w:hAnsi="宋体" w:cs="宋体"/>
                <w:color w:val="000000"/>
                <w:sz w:val="22"/>
                <w:lang w:val="en-US" w:eastAsia="zh-CN"/>
              </w:rPr>
              <w:t>1</w:t>
            </w:r>
            <w:r>
              <w:rPr>
                <w:rFonts w:hint="eastAsia" w:ascii="宋体" w:hAnsi="宋体" w:cs="宋体"/>
                <w:color w:val="000000"/>
                <w:sz w:val="22"/>
              </w:rPr>
              <w:t>cm）,柜体整体为原木色，柜体用螺丝固定。</w:t>
            </w:r>
          </w:p>
        </w:tc>
      </w:tr>
      <w:tr w14:paraId="45D6A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61" w:type="pct"/>
            <w:vMerge w:val="continue"/>
            <w:shd w:val="clear" w:color="auto" w:fill="auto"/>
            <w:noWrap w:val="0"/>
            <w:vAlign w:val="center"/>
          </w:tcPr>
          <w:p w14:paraId="4296BF1A">
            <w:pPr>
              <w:jc w:val="both"/>
              <w:rPr>
                <w:rFonts w:hint="eastAsia" w:ascii="宋体" w:hAnsi="宋体" w:cs="宋体"/>
                <w:color w:val="000000"/>
                <w:sz w:val="22"/>
              </w:rPr>
            </w:pPr>
          </w:p>
        </w:tc>
        <w:tc>
          <w:tcPr>
            <w:tcW w:w="1243" w:type="pct"/>
            <w:vMerge w:val="continue"/>
            <w:shd w:val="clear" w:color="auto" w:fill="auto"/>
            <w:noWrap w:val="0"/>
            <w:vAlign w:val="center"/>
          </w:tcPr>
          <w:p w14:paraId="21A4A79F">
            <w:pPr>
              <w:jc w:val="both"/>
              <w:rPr>
                <w:rFonts w:hint="eastAsia" w:ascii="宋体" w:hAnsi="宋体" w:cs="宋体"/>
                <w:color w:val="000000"/>
                <w:sz w:val="22"/>
              </w:rPr>
            </w:pPr>
          </w:p>
        </w:tc>
        <w:tc>
          <w:tcPr>
            <w:tcW w:w="3194" w:type="pct"/>
            <w:shd w:val="clear" w:color="auto" w:fill="auto"/>
            <w:noWrap w:val="0"/>
            <w:vAlign w:val="center"/>
          </w:tcPr>
          <w:p w14:paraId="17AFF303">
            <w:pPr>
              <w:jc w:val="both"/>
              <w:rPr>
                <w:rFonts w:hint="eastAsia" w:ascii="宋体" w:hAnsi="宋体" w:eastAsia="宋体" w:cs="宋体"/>
                <w:color w:val="000000"/>
                <w:kern w:val="2"/>
                <w:sz w:val="22"/>
                <w:szCs w:val="22"/>
                <w:lang w:val="en-US" w:eastAsia="zh-CN" w:bidi="ar-SA"/>
              </w:rPr>
            </w:pPr>
            <w:r>
              <w:rPr>
                <w:rFonts w:hint="eastAsia" w:ascii="宋体" w:hAnsi="宋体" w:cs="宋体"/>
                <w:color w:val="000000"/>
                <w:sz w:val="22"/>
              </w:rPr>
              <w:t>3、五金：选用环保五金，安全无毒，色泽丰富。</w:t>
            </w:r>
          </w:p>
        </w:tc>
      </w:tr>
      <w:tr w14:paraId="23E8C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61" w:type="pct"/>
            <w:vMerge w:val="continue"/>
            <w:shd w:val="clear" w:color="auto" w:fill="auto"/>
            <w:noWrap w:val="0"/>
            <w:vAlign w:val="center"/>
          </w:tcPr>
          <w:p w14:paraId="416E959A">
            <w:pPr>
              <w:jc w:val="both"/>
              <w:rPr>
                <w:rFonts w:hint="eastAsia" w:ascii="宋体" w:hAnsi="宋体" w:cs="宋体"/>
                <w:color w:val="000000"/>
                <w:sz w:val="22"/>
              </w:rPr>
            </w:pPr>
          </w:p>
        </w:tc>
        <w:tc>
          <w:tcPr>
            <w:tcW w:w="1243" w:type="pct"/>
            <w:vMerge w:val="continue"/>
            <w:shd w:val="clear" w:color="auto" w:fill="auto"/>
            <w:noWrap w:val="0"/>
            <w:vAlign w:val="center"/>
          </w:tcPr>
          <w:p w14:paraId="4964FC22">
            <w:pPr>
              <w:jc w:val="both"/>
              <w:rPr>
                <w:rFonts w:hint="eastAsia" w:ascii="宋体" w:hAnsi="宋体" w:cs="宋体"/>
                <w:color w:val="000000"/>
                <w:sz w:val="22"/>
              </w:rPr>
            </w:pPr>
          </w:p>
        </w:tc>
        <w:tc>
          <w:tcPr>
            <w:tcW w:w="3194" w:type="pct"/>
            <w:shd w:val="clear" w:color="auto" w:fill="auto"/>
            <w:noWrap w:val="0"/>
            <w:vAlign w:val="center"/>
          </w:tcPr>
          <w:p w14:paraId="2385BE0D">
            <w:pPr>
              <w:jc w:val="both"/>
              <w:rPr>
                <w:rFonts w:hint="eastAsia" w:ascii="宋体" w:hAnsi="宋体" w:eastAsia="宋体" w:cs="宋体"/>
                <w:color w:val="000000"/>
                <w:kern w:val="2"/>
                <w:sz w:val="22"/>
                <w:szCs w:val="22"/>
                <w:lang w:val="en-US" w:eastAsia="zh-CN" w:bidi="ar-SA"/>
              </w:rPr>
            </w:pPr>
            <w:r>
              <w:rPr>
                <w:rFonts w:hint="eastAsia" w:ascii="宋体" w:hAnsi="宋体" w:cs="宋体"/>
                <w:color w:val="000000"/>
                <w:sz w:val="22"/>
              </w:rPr>
              <w:t>4、油漆：采用绿色环保无毒水性漆，经过两底一面工艺制作。附着力、耐冲击、耐磨、耐湿不小于3 级，灼烧、耐液、耐干、 耐冷热。</w:t>
            </w:r>
          </w:p>
        </w:tc>
      </w:tr>
      <w:tr w14:paraId="6CCFF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61" w:type="pct"/>
            <w:vMerge w:val="continue"/>
            <w:shd w:val="clear" w:color="auto" w:fill="auto"/>
            <w:noWrap w:val="0"/>
            <w:vAlign w:val="center"/>
          </w:tcPr>
          <w:p w14:paraId="14EC914C">
            <w:pPr>
              <w:jc w:val="both"/>
              <w:rPr>
                <w:rFonts w:hint="eastAsia" w:ascii="宋体" w:hAnsi="宋体" w:cs="宋体"/>
                <w:color w:val="000000"/>
                <w:sz w:val="22"/>
              </w:rPr>
            </w:pPr>
          </w:p>
        </w:tc>
        <w:tc>
          <w:tcPr>
            <w:tcW w:w="1243" w:type="pct"/>
            <w:vMerge w:val="continue"/>
            <w:shd w:val="clear" w:color="auto" w:fill="auto"/>
            <w:noWrap w:val="0"/>
            <w:vAlign w:val="center"/>
          </w:tcPr>
          <w:p w14:paraId="26A9B1C3">
            <w:pPr>
              <w:jc w:val="both"/>
              <w:rPr>
                <w:rFonts w:hint="eastAsia" w:ascii="宋体" w:hAnsi="宋体" w:cs="宋体"/>
                <w:color w:val="000000"/>
                <w:sz w:val="22"/>
              </w:rPr>
            </w:pPr>
          </w:p>
        </w:tc>
        <w:tc>
          <w:tcPr>
            <w:tcW w:w="3194" w:type="pct"/>
            <w:shd w:val="clear" w:color="auto" w:fill="auto"/>
            <w:noWrap w:val="0"/>
            <w:vAlign w:val="center"/>
          </w:tcPr>
          <w:p w14:paraId="76E96621">
            <w:pPr>
              <w:jc w:val="both"/>
              <w:rPr>
                <w:rFonts w:hint="eastAsia" w:ascii="宋体" w:hAnsi="宋体" w:eastAsia="宋体" w:cs="宋体"/>
                <w:color w:val="000000"/>
                <w:kern w:val="2"/>
                <w:sz w:val="22"/>
                <w:szCs w:val="22"/>
                <w:lang w:val="en-US" w:eastAsia="zh-CN" w:bidi="ar-SA"/>
              </w:rPr>
            </w:pPr>
            <w:r>
              <w:rPr>
                <w:rFonts w:hint="eastAsia" w:ascii="宋体" w:hAnsi="宋体" w:cs="宋体"/>
                <w:color w:val="000000"/>
                <w:sz w:val="22"/>
              </w:rPr>
              <w:t>5、其他：外延打磨指甲圆，光滑平整，正反面均无毛刺。</w:t>
            </w:r>
          </w:p>
        </w:tc>
      </w:tr>
      <w:tr w14:paraId="0676C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61" w:type="pct"/>
            <w:vMerge w:val="continue"/>
            <w:shd w:val="clear" w:color="auto" w:fill="auto"/>
            <w:noWrap w:val="0"/>
            <w:vAlign w:val="center"/>
          </w:tcPr>
          <w:p w14:paraId="245979D2">
            <w:pPr>
              <w:jc w:val="both"/>
              <w:rPr>
                <w:rFonts w:hint="eastAsia" w:ascii="宋体" w:hAnsi="宋体" w:cs="宋体"/>
                <w:color w:val="000000"/>
                <w:sz w:val="22"/>
              </w:rPr>
            </w:pPr>
          </w:p>
        </w:tc>
        <w:tc>
          <w:tcPr>
            <w:tcW w:w="1243" w:type="pct"/>
            <w:vMerge w:val="continue"/>
            <w:shd w:val="clear" w:color="auto" w:fill="auto"/>
            <w:noWrap w:val="0"/>
            <w:vAlign w:val="center"/>
          </w:tcPr>
          <w:p w14:paraId="3EA1A9BF">
            <w:pPr>
              <w:jc w:val="both"/>
              <w:rPr>
                <w:rFonts w:hint="eastAsia" w:ascii="宋体" w:hAnsi="宋体" w:cs="宋体"/>
                <w:color w:val="000000"/>
                <w:sz w:val="22"/>
              </w:rPr>
            </w:pPr>
          </w:p>
        </w:tc>
        <w:tc>
          <w:tcPr>
            <w:tcW w:w="3194" w:type="pct"/>
            <w:noWrap w:val="0"/>
            <w:vAlign w:val="center"/>
          </w:tcPr>
          <w:p w14:paraId="03F664FE">
            <w:pPr>
              <w:jc w:val="both"/>
              <w:rPr>
                <w:rFonts w:hint="eastAsia" w:ascii="宋体" w:hAnsi="宋体" w:cs="宋体"/>
                <w:color w:val="000000"/>
                <w:sz w:val="22"/>
              </w:rPr>
            </w:pPr>
            <w:r>
              <w:rPr>
                <w:rFonts w:hint="eastAsia" w:ascii="宋体" w:hAnsi="宋体" w:cs="宋体"/>
                <w:color w:val="000000"/>
                <w:sz w:val="22"/>
              </w:rPr>
              <w:t>6、产品符合儿童家具通用技术标准。</w:t>
            </w:r>
          </w:p>
        </w:tc>
      </w:tr>
      <w:tr w14:paraId="76DB0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61" w:type="pct"/>
            <w:vMerge w:val="restart"/>
            <w:shd w:val="clear" w:color="auto" w:fill="auto"/>
            <w:noWrap w:val="0"/>
            <w:vAlign w:val="center"/>
          </w:tcPr>
          <w:p w14:paraId="373427E0">
            <w:pPr>
              <w:jc w:val="center"/>
              <w:rPr>
                <w:rFonts w:hint="eastAsia" w:ascii="宋体" w:hAnsi="宋体" w:eastAsia="宋体" w:cs="宋体"/>
                <w:color w:val="000000"/>
                <w:kern w:val="2"/>
                <w:sz w:val="22"/>
                <w:szCs w:val="22"/>
                <w:lang w:val="en-US" w:eastAsia="zh-CN" w:bidi="ar-SA"/>
              </w:rPr>
            </w:pPr>
            <w:r>
              <w:rPr>
                <w:rFonts w:hint="eastAsia" w:ascii="宋体" w:hAnsi="宋体" w:cs="宋体"/>
                <w:color w:val="000000"/>
                <w:sz w:val="22"/>
              </w:rPr>
              <w:t>35</w:t>
            </w:r>
          </w:p>
        </w:tc>
        <w:tc>
          <w:tcPr>
            <w:tcW w:w="1243" w:type="pct"/>
            <w:vMerge w:val="restart"/>
            <w:shd w:val="clear" w:color="auto" w:fill="auto"/>
            <w:noWrap w:val="0"/>
            <w:vAlign w:val="center"/>
          </w:tcPr>
          <w:p w14:paraId="0630509A">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区角入口A</w:t>
            </w:r>
          </w:p>
        </w:tc>
        <w:tc>
          <w:tcPr>
            <w:tcW w:w="3194" w:type="pct"/>
            <w:noWrap w:val="0"/>
            <w:vAlign w:val="center"/>
          </w:tcPr>
          <w:p w14:paraId="49BC5B83">
            <w:pPr>
              <w:jc w:val="both"/>
              <w:rPr>
                <w:rFonts w:hint="eastAsia" w:ascii="宋体" w:hAnsi="宋体" w:cs="宋体"/>
                <w:color w:val="000000"/>
                <w:sz w:val="22"/>
              </w:rPr>
            </w:pPr>
            <w:r>
              <w:rPr>
                <w:rFonts w:hint="eastAsia" w:ascii="宋体" w:hAnsi="宋体" w:cs="宋体"/>
                <w:color w:val="000000"/>
                <w:sz w:val="22"/>
              </w:rPr>
              <w:t>1、尺寸：L77cm*W36cm*H147.5cm（±</w:t>
            </w:r>
            <w:r>
              <w:rPr>
                <w:rFonts w:hint="eastAsia" w:ascii="宋体" w:hAnsi="宋体" w:cs="宋体"/>
                <w:color w:val="000000"/>
                <w:sz w:val="22"/>
                <w:lang w:val="en-US" w:eastAsia="zh-CN"/>
              </w:rPr>
              <w:t>2</w:t>
            </w:r>
            <w:r>
              <w:rPr>
                <w:rFonts w:hint="eastAsia" w:ascii="宋体" w:hAnsi="宋体" w:cs="宋体"/>
                <w:color w:val="000000"/>
                <w:sz w:val="22"/>
              </w:rPr>
              <w:t>cm）</w:t>
            </w:r>
          </w:p>
        </w:tc>
      </w:tr>
      <w:tr w14:paraId="40792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61" w:type="pct"/>
            <w:vMerge w:val="continue"/>
            <w:shd w:val="clear" w:color="auto" w:fill="auto"/>
            <w:noWrap w:val="0"/>
            <w:vAlign w:val="center"/>
          </w:tcPr>
          <w:p w14:paraId="6D4B6569">
            <w:pPr>
              <w:jc w:val="both"/>
            </w:pPr>
          </w:p>
        </w:tc>
        <w:tc>
          <w:tcPr>
            <w:tcW w:w="1243" w:type="pct"/>
            <w:vMerge w:val="continue"/>
            <w:shd w:val="clear" w:color="auto" w:fill="auto"/>
            <w:noWrap w:val="0"/>
            <w:vAlign w:val="center"/>
          </w:tcPr>
          <w:p w14:paraId="5E4901C8">
            <w:pPr>
              <w:jc w:val="both"/>
            </w:pPr>
          </w:p>
        </w:tc>
        <w:tc>
          <w:tcPr>
            <w:tcW w:w="3194" w:type="pct"/>
            <w:noWrap w:val="0"/>
            <w:vAlign w:val="center"/>
          </w:tcPr>
          <w:p w14:paraId="72DFEB8F">
            <w:pPr>
              <w:jc w:val="both"/>
              <w:rPr>
                <w:rFonts w:hint="eastAsia" w:ascii="宋体" w:hAnsi="宋体" w:cs="宋体"/>
                <w:color w:val="000000"/>
                <w:sz w:val="22"/>
              </w:rPr>
            </w:pPr>
            <w:r>
              <w:rPr>
                <w:rFonts w:hint="eastAsia" w:ascii="宋体" w:hAnsi="宋体" w:cs="宋体"/>
                <w:color w:val="000000"/>
                <w:sz w:val="22"/>
              </w:rPr>
              <w:t>2、基材：桦木实木多层板，表面纹理清晰且全白、无结疤、无黑疤、无红点。 产品上部由正反两面两块波浪形顶饰构成，下部由数根实木圆棒搭建而成，侧面成日字型，门帘为白色纺纱布，双色图案装饰。</w:t>
            </w:r>
          </w:p>
        </w:tc>
      </w:tr>
      <w:tr w14:paraId="3F088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61" w:type="pct"/>
            <w:vMerge w:val="continue"/>
            <w:shd w:val="clear" w:color="auto" w:fill="auto"/>
            <w:noWrap w:val="0"/>
            <w:vAlign w:val="center"/>
          </w:tcPr>
          <w:p w14:paraId="5A527650">
            <w:pPr>
              <w:jc w:val="both"/>
              <w:rPr>
                <w:rFonts w:hint="eastAsia" w:ascii="宋体" w:hAnsi="宋体" w:cs="宋体"/>
                <w:color w:val="000000"/>
                <w:sz w:val="22"/>
              </w:rPr>
            </w:pPr>
          </w:p>
        </w:tc>
        <w:tc>
          <w:tcPr>
            <w:tcW w:w="1243" w:type="pct"/>
            <w:vMerge w:val="continue"/>
            <w:shd w:val="clear" w:color="auto" w:fill="auto"/>
            <w:noWrap w:val="0"/>
            <w:vAlign w:val="center"/>
          </w:tcPr>
          <w:p w14:paraId="352D4B7C">
            <w:pPr>
              <w:jc w:val="both"/>
              <w:rPr>
                <w:rFonts w:hint="eastAsia" w:ascii="宋体" w:hAnsi="宋体" w:cs="宋体"/>
                <w:color w:val="000000"/>
                <w:sz w:val="22"/>
              </w:rPr>
            </w:pPr>
          </w:p>
        </w:tc>
        <w:tc>
          <w:tcPr>
            <w:tcW w:w="3194" w:type="pct"/>
            <w:noWrap w:val="0"/>
            <w:vAlign w:val="center"/>
          </w:tcPr>
          <w:p w14:paraId="4A4BE45C">
            <w:pPr>
              <w:jc w:val="both"/>
              <w:rPr>
                <w:rFonts w:hint="eastAsia" w:ascii="宋体" w:hAnsi="宋体" w:cs="宋体"/>
                <w:color w:val="000000"/>
                <w:sz w:val="22"/>
              </w:rPr>
            </w:pPr>
            <w:r>
              <w:rPr>
                <w:rFonts w:hint="eastAsia" w:ascii="宋体" w:hAnsi="宋体" w:cs="宋体"/>
                <w:color w:val="000000"/>
                <w:sz w:val="22"/>
              </w:rPr>
              <w:t>3、五金：选用环保五金，安全无毒，色泽丰富。</w:t>
            </w:r>
          </w:p>
        </w:tc>
      </w:tr>
      <w:tr w14:paraId="79810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61" w:type="pct"/>
            <w:vMerge w:val="continue"/>
            <w:shd w:val="clear" w:color="auto" w:fill="auto"/>
            <w:noWrap w:val="0"/>
            <w:vAlign w:val="center"/>
          </w:tcPr>
          <w:p w14:paraId="791545FA">
            <w:pPr>
              <w:jc w:val="both"/>
              <w:rPr>
                <w:rFonts w:hint="eastAsia" w:ascii="宋体" w:hAnsi="宋体" w:cs="宋体"/>
                <w:color w:val="000000"/>
                <w:sz w:val="22"/>
              </w:rPr>
            </w:pPr>
          </w:p>
        </w:tc>
        <w:tc>
          <w:tcPr>
            <w:tcW w:w="1243" w:type="pct"/>
            <w:vMerge w:val="continue"/>
            <w:shd w:val="clear" w:color="auto" w:fill="auto"/>
            <w:noWrap w:val="0"/>
            <w:vAlign w:val="center"/>
          </w:tcPr>
          <w:p w14:paraId="3AD4083B">
            <w:pPr>
              <w:jc w:val="both"/>
              <w:rPr>
                <w:rFonts w:hint="eastAsia" w:ascii="宋体" w:hAnsi="宋体" w:cs="宋体"/>
                <w:color w:val="000000"/>
                <w:sz w:val="22"/>
              </w:rPr>
            </w:pPr>
          </w:p>
        </w:tc>
        <w:tc>
          <w:tcPr>
            <w:tcW w:w="3194" w:type="pct"/>
            <w:noWrap w:val="0"/>
            <w:vAlign w:val="center"/>
          </w:tcPr>
          <w:p w14:paraId="33251B57">
            <w:pPr>
              <w:jc w:val="both"/>
              <w:rPr>
                <w:rFonts w:hint="eastAsia" w:ascii="宋体" w:hAnsi="宋体" w:cs="宋体"/>
                <w:color w:val="000000"/>
                <w:sz w:val="22"/>
              </w:rPr>
            </w:pPr>
            <w:r>
              <w:rPr>
                <w:rFonts w:hint="eastAsia" w:ascii="宋体" w:hAnsi="宋体" w:cs="宋体"/>
                <w:color w:val="000000"/>
                <w:sz w:val="22"/>
              </w:rPr>
              <w:t>4、油漆：采用绿色环保无毒水性漆，经过两底一面工艺制作。附着力、耐冲击、耐磨、耐湿不小于3 级，灼烧、耐液、耐干、 耐冷热。</w:t>
            </w:r>
          </w:p>
        </w:tc>
      </w:tr>
      <w:tr w14:paraId="62DCA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61" w:type="pct"/>
            <w:vMerge w:val="continue"/>
            <w:shd w:val="clear" w:color="auto" w:fill="auto"/>
            <w:noWrap w:val="0"/>
            <w:vAlign w:val="center"/>
          </w:tcPr>
          <w:p w14:paraId="6423E261">
            <w:pPr>
              <w:jc w:val="both"/>
              <w:rPr>
                <w:rFonts w:hint="eastAsia" w:ascii="宋体" w:hAnsi="宋体" w:cs="宋体"/>
                <w:color w:val="000000"/>
                <w:sz w:val="22"/>
              </w:rPr>
            </w:pPr>
          </w:p>
        </w:tc>
        <w:tc>
          <w:tcPr>
            <w:tcW w:w="1243" w:type="pct"/>
            <w:vMerge w:val="continue"/>
            <w:shd w:val="clear" w:color="auto" w:fill="auto"/>
            <w:noWrap w:val="0"/>
            <w:vAlign w:val="center"/>
          </w:tcPr>
          <w:p w14:paraId="4BF08666">
            <w:pPr>
              <w:jc w:val="both"/>
              <w:rPr>
                <w:rFonts w:hint="eastAsia" w:ascii="宋体" w:hAnsi="宋体" w:cs="宋体"/>
                <w:color w:val="000000"/>
                <w:sz w:val="22"/>
              </w:rPr>
            </w:pPr>
          </w:p>
        </w:tc>
        <w:tc>
          <w:tcPr>
            <w:tcW w:w="3194" w:type="pct"/>
            <w:noWrap w:val="0"/>
            <w:vAlign w:val="center"/>
          </w:tcPr>
          <w:p w14:paraId="663C33A3">
            <w:pPr>
              <w:jc w:val="both"/>
              <w:rPr>
                <w:rFonts w:hint="eastAsia" w:ascii="宋体" w:hAnsi="宋体" w:cs="宋体"/>
                <w:color w:val="000000"/>
                <w:sz w:val="22"/>
              </w:rPr>
            </w:pPr>
            <w:r>
              <w:rPr>
                <w:rFonts w:hint="eastAsia" w:ascii="宋体" w:hAnsi="宋体" w:cs="宋体"/>
                <w:color w:val="000000"/>
                <w:sz w:val="22"/>
              </w:rPr>
              <w:t>5、其他：外延打磨指甲圆，光滑平整，正反面均无毛刺。</w:t>
            </w:r>
          </w:p>
        </w:tc>
      </w:tr>
      <w:tr w14:paraId="7414C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61" w:type="pct"/>
            <w:vMerge w:val="continue"/>
            <w:shd w:val="clear" w:color="auto" w:fill="auto"/>
            <w:noWrap w:val="0"/>
            <w:vAlign w:val="center"/>
          </w:tcPr>
          <w:p w14:paraId="6462DB72">
            <w:pPr>
              <w:jc w:val="both"/>
              <w:rPr>
                <w:rFonts w:hint="eastAsia" w:ascii="宋体" w:hAnsi="宋体" w:cs="宋体"/>
                <w:color w:val="000000"/>
                <w:sz w:val="22"/>
              </w:rPr>
            </w:pPr>
          </w:p>
        </w:tc>
        <w:tc>
          <w:tcPr>
            <w:tcW w:w="1243" w:type="pct"/>
            <w:vMerge w:val="continue"/>
            <w:shd w:val="clear" w:color="auto" w:fill="auto"/>
            <w:noWrap w:val="0"/>
            <w:vAlign w:val="center"/>
          </w:tcPr>
          <w:p w14:paraId="34027E05">
            <w:pPr>
              <w:jc w:val="both"/>
              <w:rPr>
                <w:rFonts w:hint="eastAsia" w:ascii="宋体" w:hAnsi="宋体" w:cs="宋体"/>
                <w:color w:val="000000"/>
                <w:sz w:val="22"/>
              </w:rPr>
            </w:pPr>
          </w:p>
        </w:tc>
        <w:tc>
          <w:tcPr>
            <w:tcW w:w="3194" w:type="pct"/>
            <w:noWrap w:val="0"/>
            <w:vAlign w:val="center"/>
          </w:tcPr>
          <w:p w14:paraId="5C6AC751">
            <w:pPr>
              <w:jc w:val="both"/>
              <w:rPr>
                <w:rFonts w:hint="eastAsia" w:ascii="宋体" w:hAnsi="宋体" w:cs="宋体"/>
                <w:color w:val="000000"/>
                <w:sz w:val="22"/>
              </w:rPr>
            </w:pPr>
            <w:r>
              <w:rPr>
                <w:rFonts w:hint="eastAsia" w:ascii="宋体" w:hAnsi="宋体" w:cs="宋体"/>
                <w:color w:val="000000"/>
                <w:sz w:val="22"/>
              </w:rPr>
              <w:t>6、产品符合儿童家具通用技术标准。</w:t>
            </w:r>
          </w:p>
        </w:tc>
      </w:tr>
      <w:tr w14:paraId="2548D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561" w:type="pct"/>
            <w:vMerge w:val="restart"/>
            <w:shd w:val="clear" w:color="auto" w:fill="auto"/>
            <w:noWrap w:val="0"/>
            <w:vAlign w:val="center"/>
          </w:tcPr>
          <w:p w14:paraId="0587AADD">
            <w:pPr>
              <w:jc w:val="center"/>
              <w:rPr>
                <w:rFonts w:hint="eastAsia" w:ascii="宋体" w:hAnsi="宋体" w:eastAsia="宋体" w:cs="宋体"/>
                <w:color w:val="000000"/>
                <w:kern w:val="2"/>
                <w:sz w:val="22"/>
                <w:szCs w:val="22"/>
                <w:lang w:val="en-US" w:eastAsia="zh-CN" w:bidi="ar-SA"/>
              </w:rPr>
            </w:pPr>
            <w:r>
              <w:rPr>
                <w:rFonts w:hint="eastAsia" w:ascii="宋体" w:hAnsi="宋体" w:cs="宋体"/>
                <w:color w:val="000000"/>
                <w:sz w:val="22"/>
              </w:rPr>
              <w:t>36</w:t>
            </w:r>
          </w:p>
        </w:tc>
        <w:tc>
          <w:tcPr>
            <w:tcW w:w="1243" w:type="pct"/>
            <w:vMerge w:val="restart"/>
            <w:shd w:val="clear" w:color="auto" w:fill="auto"/>
            <w:noWrap w:val="0"/>
            <w:vAlign w:val="center"/>
          </w:tcPr>
          <w:p w14:paraId="6E493FB7">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三层玩具柜 - 无背板</w:t>
            </w:r>
          </w:p>
        </w:tc>
        <w:tc>
          <w:tcPr>
            <w:tcW w:w="3194" w:type="pct"/>
            <w:noWrap w:val="0"/>
            <w:vAlign w:val="center"/>
          </w:tcPr>
          <w:p w14:paraId="1FECAAC2">
            <w:pPr>
              <w:jc w:val="both"/>
              <w:rPr>
                <w:rFonts w:hint="eastAsia" w:ascii="宋体" w:hAnsi="宋体" w:cs="宋体"/>
                <w:color w:val="000000"/>
                <w:sz w:val="22"/>
              </w:rPr>
            </w:pPr>
            <w:r>
              <w:rPr>
                <w:rFonts w:hint="eastAsia" w:ascii="宋体" w:hAnsi="宋体" w:cs="宋体"/>
                <w:color w:val="000000"/>
                <w:sz w:val="22"/>
              </w:rPr>
              <w:t>1、尺寸：L100cm*W33cm*H76cm（±</w:t>
            </w:r>
            <w:r>
              <w:rPr>
                <w:rFonts w:hint="eastAsia" w:ascii="宋体" w:hAnsi="宋体" w:cs="宋体"/>
                <w:color w:val="000000"/>
                <w:sz w:val="22"/>
                <w:lang w:val="en-US" w:eastAsia="zh-CN"/>
              </w:rPr>
              <w:t>2</w:t>
            </w:r>
            <w:r>
              <w:rPr>
                <w:rFonts w:hint="eastAsia" w:ascii="宋体" w:hAnsi="宋体" w:cs="宋体"/>
                <w:color w:val="000000"/>
                <w:sz w:val="22"/>
              </w:rPr>
              <w:t>cm）</w:t>
            </w:r>
          </w:p>
        </w:tc>
      </w:tr>
      <w:tr w14:paraId="400BC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561" w:type="pct"/>
            <w:vMerge w:val="continue"/>
            <w:shd w:val="clear" w:color="auto" w:fill="auto"/>
            <w:noWrap w:val="0"/>
            <w:vAlign w:val="center"/>
          </w:tcPr>
          <w:p w14:paraId="27519943">
            <w:pPr>
              <w:jc w:val="both"/>
            </w:pPr>
          </w:p>
        </w:tc>
        <w:tc>
          <w:tcPr>
            <w:tcW w:w="1243" w:type="pct"/>
            <w:vMerge w:val="continue"/>
            <w:shd w:val="clear" w:color="auto" w:fill="auto"/>
            <w:noWrap w:val="0"/>
            <w:vAlign w:val="center"/>
          </w:tcPr>
          <w:p w14:paraId="75BDCE7C">
            <w:pPr>
              <w:jc w:val="both"/>
            </w:pPr>
          </w:p>
        </w:tc>
        <w:tc>
          <w:tcPr>
            <w:tcW w:w="3194" w:type="pct"/>
            <w:noWrap w:val="0"/>
            <w:vAlign w:val="center"/>
          </w:tcPr>
          <w:p w14:paraId="327E0498">
            <w:pPr>
              <w:jc w:val="both"/>
              <w:rPr>
                <w:rFonts w:hint="eastAsia" w:ascii="宋体" w:hAnsi="宋体" w:cs="宋体"/>
                <w:color w:val="000000"/>
                <w:sz w:val="22"/>
              </w:rPr>
            </w:pPr>
            <w:r>
              <w:rPr>
                <w:rFonts w:hint="eastAsia" w:ascii="宋体" w:hAnsi="宋体" w:cs="宋体"/>
                <w:color w:val="000000"/>
                <w:sz w:val="22"/>
              </w:rPr>
              <w:t>2、基材：桦木实木多层板，表面纹理清晰且全白、无结疤、无黑疤、无红点。 柜体分三层中空，可双向取物，每层内径长度不大于97*32.5*21cm（±</w:t>
            </w:r>
            <w:r>
              <w:rPr>
                <w:rFonts w:hint="eastAsia" w:ascii="宋体" w:hAnsi="宋体" w:cs="宋体"/>
                <w:color w:val="000000"/>
                <w:sz w:val="22"/>
                <w:lang w:val="en-US" w:eastAsia="zh-CN"/>
              </w:rPr>
              <w:t>1</w:t>
            </w:r>
            <w:r>
              <w:rPr>
                <w:rFonts w:hint="eastAsia" w:ascii="宋体" w:hAnsi="宋体" w:cs="宋体"/>
                <w:color w:val="000000"/>
                <w:sz w:val="22"/>
              </w:rPr>
              <w:t>cm），柜体整体为原木色，柜体用螺丝固定。</w:t>
            </w:r>
          </w:p>
        </w:tc>
      </w:tr>
      <w:tr w14:paraId="2958C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561" w:type="pct"/>
            <w:vMerge w:val="continue"/>
            <w:shd w:val="clear" w:color="auto" w:fill="auto"/>
            <w:noWrap w:val="0"/>
            <w:vAlign w:val="center"/>
          </w:tcPr>
          <w:p w14:paraId="3A7DEF5B">
            <w:pPr>
              <w:jc w:val="both"/>
              <w:rPr>
                <w:rFonts w:hint="eastAsia" w:ascii="宋体" w:hAnsi="宋体" w:cs="宋体"/>
                <w:color w:val="000000"/>
                <w:sz w:val="22"/>
              </w:rPr>
            </w:pPr>
          </w:p>
        </w:tc>
        <w:tc>
          <w:tcPr>
            <w:tcW w:w="1243" w:type="pct"/>
            <w:vMerge w:val="continue"/>
            <w:shd w:val="clear" w:color="auto" w:fill="auto"/>
            <w:noWrap w:val="0"/>
            <w:vAlign w:val="center"/>
          </w:tcPr>
          <w:p w14:paraId="0C939EF4">
            <w:pPr>
              <w:jc w:val="both"/>
              <w:rPr>
                <w:rFonts w:hint="eastAsia" w:ascii="宋体" w:hAnsi="宋体" w:cs="宋体"/>
                <w:color w:val="000000"/>
                <w:sz w:val="22"/>
              </w:rPr>
            </w:pPr>
          </w:p>
        </w:tc>
        <w:tc>
          <w:tcPr>
            <w:tcW w:w="3194" w:type="pct"/>
            <w:noWrap w:val="0"/>
            <w:vAlign w:val="center"/>
          </w:tcPr>
          <w:p w14:paraId="25960A9B">
            <w:pPr>
              <w:jc w:val="both"/>
              <w:rPr>
                <w:rFonts w:hint="eastAsia" w:ascii="宋体" w:hAnsi="宋体" w:cs="宋体"/>
                <w:color w:val="000000"/>
                <w:sz w:val="22"/>
              </w:rPr>
            </w:pPr>
            <w:r>
              <w:rPr>
                <w:rFonts w:hint="eastAsia" w:ascii="宋体" w:hAnsi="宋体" w:cs="宋体"/>
                <w:color w:val="000000"/>
                <w:sz w:val="22"/>
              </w:rPr>
              <w:t>3、五金：选用环保五金，安全无毒，色泽丰富。</w:t>
            </w:r>
          </w:p>
        </w:tc>
      </w:tr>
      <w:tr w14:paraId="53684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561" w:type="pct"/>
            <w:vMerge w:val="continue"/>
            <w:shd w:val="clear" w:color="auto" w:fill="auto"/>
            <w:noWrap w:val="0"/>
            <w:vAlign w:val="center"/>
          </w:tcPr>
          <w:p w14:paraId="610DC49F">
            <w:pPr>
              <w:jc w:val="both"/>
              <w:rPr>
                <w:rFonts w:hint="eastAsia" w:ascii="宋体" w:hAnsi="宋体" w:cs="宋体"/>
                <w:color w:val="000000"/>
                <w:sz w:val="22"/>
              </w:rPr>
            </w:pPr>
          </w:p>
        </w:tc>
        <w:tc>
          <w:tcPr>
            <w:tcW w:w="1243" w:type="pct"/>
            <w:vMerge w:val="continue"/>
            <w:shd w:val="clear" w:color="auto" w:fill="auto"/>
            <w:noWrap w:val="0"/>
            <w:vAlign w:val="center"/>
          </w:tcPr>
          <w:p w14:paraId="0CD09B02">
            <w:pPr>
              <w:jc w:val="both"/>
              <w:rPr>
                <w:rFonts w:hint="eastAsia" w:ascii="宋体" w:hAnsi="宋体" w:cs="宋体"/>
                <w:color w:val="000000"/>
                <w:sz w:val="22"/>
              </w:rPr>
            </w:pPr>
          </w:p>
        </w:tc>
        <w:tc>
          <w:tcPr>
            <w:tcW w:w="3194" w:type="pct"/>
            <w:noWrap w:val="0"/>
            <w:vAlign w:val="center"/>
          </w:tcPr>
          <w:p w14:paraId="165CD25F">
            <w:pPr>
              <w:jc w:val="both"/>
              <w:rPr>
                <w:rFonts w:hint="eastAsia" w:ascii="宋体" w:hAnsi="宋体" w:cs="宋体"/>
                <w:color w:val="000000"/>
                <w:sz w:val="22"/>
              </w:rPr>
            </w:pPr>
            <w:r>
              <w:rPr>
                <w:rFonts w:hint="eastAsia" w:ascii="宋体" w:hAnsi="宋体" w:cs="宋体"/>
                <w:color w:val="000000"/>
                <w:sz w:val="22"/>
              </w:rPr>
              <w:t>4、油漆：采用绿色环保无毒水性漆，经过两底一面工艺制作。附着力、耐冲击、耐磨、耐湿不小于3 级，灼烧、耐液、耐干、 耐冷热。</w:t>
            </w:r>
          </w:p>
        </w:tc>
      </w:tr>
      <w:tr w14:paraId="2C9E4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561" w:type="pct"/>
            <w:vMerge w:val="continue"/>
            <w:shd w:val="clear" w:color="auto" w:fill="auto"/>
            <w:noWrap w:val="0"/>
            <w:vAlign w:val="center"/>
          </w:tcPr>
          <w:p w14:paraId="154A5E87">
            <w:pPr>
              <w:jc w:val="both"/>
              <w:rPr>
                <w:rFonts w:hint="eastAsia" w:ascii="宋体" w:hAnsi="宋体" w:cs="宋体"/>
                <w:color w:val="000000"/>
                <w:sz w:val="22"/>
              </w:rPr>
            </w:pPr>
          </w:p>
        </w:tc>
        <w:tc>
          <w:tcPr>
            <w:tcW w:w="1243" w:type="pct"/>
            <w:vMerge w:val="continue"/>
            <w:shd w:val="clear" w:color="auto" w:fill="auto"/>
            <w:noWrap w:val="0"/>
            <w:vAlign w:val="center"/>
          </w:tcPr>
          <w:p w14:paraId="68BB98F9">
            <w:pPr>
              <w:jc w:val="both"/>
              <w:rPr>
                <w:rFonts w:hint="eastAsia" w:ascii="宋体" w:hAnsi="宋体" w:cs="宋体"/>
                <w:color w:val="000000"/>
                <w:sz w:val="22"/>
              </w:rPr>
            </w:pPr>
          </w:p>
        </w:tc>
        <w:tc>
          <w:tcPr>
            <w:tcW w:w="3194" w:type="pct"/>
            <w:noWrap w:val="0"/>
            <w:vAlign w:val="center"/>
          </w:tcPr>
          <w:p w14:paraId="1109C2AA">
            <w:pPr>
              <w:jc w:val="both"/>
              <w:rPr>
                <w:rFonts w:hint="eastAsia" w:ascii="宋体" w:hAnsi="宋体" w:cs="宋体"/>
                <w:color w:val="000000"/>
                <w:sz w:val="22"/>
              </w:rPr>
            </w:pPr>
            <w:r>
              <w:rPr>
                <w:rFonts w:hint="eastAsia" w:ascii="宋体" w:hAnsi="宋体" w:cs="宋体"/>
                <w:color w:val="000000"/>
                <w:sz w:val="22"/>
              </w:rPr>
              <w:t>5、其他：外延打磨指甲圆，光滑平整，正反面均无毛刺。</w:t>
            </w:r>
          </w:p>
        </w:tc>
      </w:tr>
      <w:tr w14:paraId="4863C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561" w:type="pct"/>
            <w:vMerge w:val="continue"/>
            <w:shd w:val="clear" w:color="auto" w:fill="auto"/>
            <w:noWrap w:val="0"/>
            <w:vAlign w:val="center"/>
          </w:tcPr>
          <w:p w14:paraId="2A75FDBB">
            <w:pPr>
              <w:jc w:val="both"/>
              <w:rPr>
                <w:rFonts w:hint="eastAsia" w:ascii="宋体" w:hAnsi="宋体" w:cs="宋体"/>
                <w:color w:val="000000"/>
                <w:sz w:val="22"/>
              </w:rPr>
            </w:pPr>
          </w:p>
        </w:tc>
        <w:tc>
          <w:tcPr>
            <w:tcW w:w="1243" w:type="pct"/>
            <w:vMerge w:val="continue"/>
            <w:shd w:val="clear" w:color="auto" w:fill="auto"/>
            <w:noWrap w:val="0"/>
            <w:vAlign w:val="center"/>
          </w:tcPr>
          <w:p w14:paraId="2F67DC8D">
            <w:pPr>
              <w:jc w:val="both"/>
              <w:rPr>
                <w:rFonts w:hint="eastAsia" w:ascii="宋体" w:hAnsi="宋体" w:cs="宋体"/>
                <w:color w:val="000000"/>
                <w:sz w:val="22"/>
              </w:rPr>
            </w:pPr>
          </w:p>
        </w:tc>
        <w:tc>
          <w:tcPr>
            <w:tcW w:w="3194" w:type="pct"/>
            <w:noWrap w:val="0"/>
            <w:vAlign w:val="center"/>
          </w:tcPr>
          <w:p w14:paraId="177B09BD">
            <w:pPr>
              <w:jc w:val="both"/>
              <w:rPr>
                <w:rFonts w:hint="eastAsia" w:ascii="宋体" w:hAnsi="宋体" w:cs="宋体"/>
                <w:color w:val="000000"/>
                <w:sz w:val="22"/>
              </w:rPr>
            </w:pPr>
            <w:r>
              <w:rPr>
                <w:rFonts w:hint="eastAsia" w:ascii="宋体" w:hAnsi="宋体" w:cs="宋体"/>
                <w:color w:val="000000"/>
                <w:sz w:val="22"/>
              </w:rPr>
              <w:t>6、产品符合儿童家具通用技术标准。</w:t>
            </w:r>
          </w:p>
        </w:tc>
      </w:tr>
      <w:tr w14:paraId="471A5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561" w:type="pct"/>
            <w:vMerge w:val="restart"/>
            <w:shd w:val="clear" w:color="auto" w:fill="auto"/>
            <w:noWrap w:val="0"/>
            <w:vAlign w:val="center"/>
          </w:tcPr>
          <w:p w14:paraId="103686C7">
            <w:pPr>
              <w:jc w:val="center"/>
              <w:rPr>
                <w:rFonts w:hint="eastAsia" w:ascii="宋体" w:hAnsi="宋体" w:eastAsia="宋体" w:cs="宋体"/>
                <w:color w:val="000000"/>
                <w:kern w:val="2"/>
                <w:sz w:val="22"/>
                <w:szCs w:val="22"/>
                <w:lang w:val="en-US" w:eastAsia="zh-CN" w:bidi="ar-SA"/>
              </w:rPr>
            </w:pPr>
            <w:r>
              <w:rPr>
                <w:rFonts w:hint="eastAsia" w:ascii="宋体" w:hAnsi="宋体" w:cs="宋体"/>
                <w:color w:val="000000"/>
                <w:sz w:val="22"/>
              </w:rPr>
              <w:t>37</w:t>
            </w:r>
          </w:p>
        </w:tc>
        <w:tc>
          <w:tcPr>
            <w:tcW w:w="1243" w:type="pct"/>
            <w:vMerge w:val="restart"/>
            <w:shd w:val="clear" w:color="auto" w:fill="auto"/>
            <w:noWrap w:val="0"/>
            <w:vAlign w:val="center"/>
          </w:tcPr>
          <w:p w14:paraId="1AFF8A9E">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三层扇形柜 - 无背板</w:t>
            </w:r>
          </w:p>
        </w:tc>
        <w:tc>
          <w:tcPr>
            <w:tcW w:w="3194" w:type="pct"/>
            <w:noWrap w:val="0"/>
            <w:vAlign w:val="center"/>
          </w:tcPr>
          <w:p w14:paraId="70996E29">
            <w:pPr>
              <w:jc w:val="both"/>
              <w:rPr>
                <w:rFonts w:hint="eastAsia" w:ascii="宋体" w:hAnsi="宋体" w:cs="宋体"/>
                <w:color w:val="000000"/>
                <w:sz w:val="22"/>
              </w:rPr>
            </w:pPr>
            <w:r>
              <w:rPr>
                <w:rFonts w:hint="eastAsia" w:ascii="宋体" w:hAnsi="宋体" w:cs="宋体"/>
                <w:color w:val="000000"/>
                <w:sz w:val="22"/>
              </w:rPr>
              <w:t>1、尺寸：L54cm*W33cm*H76cm（±</w:t>
            </w:r>
            <w:r>
              <w:rPr>
                <w:rFonts w:hint="eastAsia" w:ascii="宋体" w:hAnsi="宋体" w:cs="宋体"/>
                <w:color w:val="000000"/>
                <w:sz w:val="22"/>
                <w:lang w:val="en-US" w:eastAsia="zh-CN"/>
              </w:rPr>
              <w:t>2</w:t>
            </w:r>
            <w:r>
              <w:rPr>
                <w:rFonts w:hint="eastAsia" w:ascii="宋体" w:hAnsi="宋体" w:cs="宋体"/>
                <w:color w:val="000000"/>
                <w:sz w:val="22"/>
              </w:rPr>
              <w:t>cm）</w:t>
            </w:r>
          </w:p>
        </w:tc>
      </w:tr>
      <w:tr w14:paraId="074F3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561" w:type="pct"/>
            <w:vMerge w:val="continue"/>
            <w:shd w:val="clear" w:color="auto" w:fill="auto"/>
            <w:noWrap w:val="0"/>
            <w:vAlign w:val="center"/>
          </w:tcPr>
          <w:p w14:paraId="4E29FD0F">
            <w:pPr>
              <w:jc w:val="both"/>
            </w:pPr>
          </w:p>
        </w:tc>
        <w:tc>
          <w:tcPr>
            <w:tcW w:w="1243" w:type="pct"/>
            <w:vMerge w:val="continue"/>
            <w:shd w:val="clear" w:color="auto" w:fill="auto"/>
            <w:noWrap w:val="0"/>
            <w:vAlign w:val="center"/>
          </w:tcPr>
          <w:p w14:paraId="67E89604">
            <w:pPr>
              <w:jc w:val="both"/>
            </w:pPr>
          </w:p>
        </w:tc>
        <w:tc>
          <w:tcPr>
            <w:tcW w:w="3194" w:type="pct"/>
            <w:noWrap w:val="0"/>
            <w:vAlign w:val="center"/>
          </w:tcPr>
          <w:p w14:paraId="65F43C90">
            <w:pPr>
              <w:jc w:val="both"/>
              <w:rPr>
                <w:rFonts w:hint="eastAsia" w:ascii="宋体" w:hAnsi="宋体" w:cs="宋体"/>
                <w:color w:val="000000"/>
                <w:sz w:val="22"/>
              </w:rPr>
            </w:pPr>
            <w:r>
              <w:rPr>
                <w:rFonts w:hint="eastAsia" w:ascii="宋体" w:hAnsi="宋体" w:cs="宋体"/>
                <w:color w:val="000000"/>
                <w:sz w:val="22"/>
              </w:rPr>
              <w:t>2、基材：桦木实木多层板，表面纹理清晰且全白、无结疤、无黑疤、无红点。柜体为三层扇形中空，储物空间的内径高度不大于21cm（±</w:t>
            </w:r>
            <w:r>
              <w:rPr>
                <w:rFonts w:hint="eastAsia" w:ascii="宋体" w:hAnsi="宋体" w:cs="宋体"/>
                <w:color w:val="000000"/>
                <w:sz w:val="22"/>
                <w:lang w:val="en-US" w:eastAsia="zh-CN"/>
              </w:rPr>
              <w:t>1</w:t>
            </w:r>
            <w:r>
              <w:rPr>
                <w:rFonts w:hint="eastAsia" w:ascii="宋体" w:hAnsi="宋体" w:cs="宋体"/>
                <w:color w:val="000000"/>
                <w:sz w:val="22"/>
              </w:rPr>
              <w:t>cm），上弧和下弧间距最宽不大于32.5cm（±</w:t>
            </w:r>
            <w:r>
              <w:rPr>
                <w:rFonts w:hint="eastAsia" w:ascii="宋体" w:hAnsi="宋体" w:cs="宋体"/>
                <w:color w:val="000000"/>
                <w:sz w:val="22"/>
                <w:lang w:val="en-US" w:eastAsia="zh-CN"/>
              </w:rPr>
              <w:t>1</w:t>
            </w:r>
            <w:r>
              <w:rPr>
                <w:rFonts w:hint="eastAsia" w:ascii="宋体" w:hAnsi="宋体" w:cs="宋体"/>
                <w:color w:val="000000"/>
                <w:sz w:val="22"/>
              </w:rPr>
              <w:t>cm），间距最窄不大于32cm（±</w:t>
            </w:r>
            <w:r>
              <w:rPr>
                <w:rFonts w:hint="eastAsia" w:ascii="宋体" w:hAnsi="宋体" w:cs="宋体"/>
                <w:color w:val="000000"/>
                <w:sz w:val="22"/>
                <w:lang w:val="en-US" w:eastAsia="zh-CN"/>
              </w:rPr>
              <w:t>1</w:t>
            </w:r>
            <w:r>
              <w:rPr>
                <w:rFonts w:hint="eastAsia" w:ascii="宋体" w:hAnsi="宋体" w:cs="宋体"/>
                <w:color w:val="000000"/>
                <w:sz w:val="22"/>
              </w:rPr>
              <w:t>cm），每层高度不大于22cm（±</w:t>
            </w:r>
            <w:r>
              <w:rPr>
                <w:rFonts w:hint="eastAsia" w:ascii="宋体" w:hAnsi="宋体" w:cs="宋体"/>
                <w:color w:val="000000"/>
                <w:sz w:val="22"/>
                <w:lang w:val="en-US" w:eastAsia="zh-CN"/>
              </w:rPr>
              <w:t>1</w:t>
            </w:r>
            <w:r>
              <w:rPr>
                <w:rFonts w:hint="eastAsia" w:ascii="宋体" w:hAnsi="宋体" w:cs="宋体"/>
                <w:color w:val="000000"/>
                <w:sz w:val="22"/>
              </w:rPr>
              <w:t>cm）,柜体用螺丝固定。</w:t>
            </w:r>
          </w:p>
        </w:tc>
      </w:tr>
      <w:tr w14:paraId="03CD8D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561" w:type="pct"/>
            <w:vMerge w:val="continue"/>
            <w:shd w:val="clear" w:color="auto" w:fill="auto"/>
            <w:noWrap w:val="0"/>
            <w:vAlign w:val="center"/>
          </w:tcPr>
          <w:p w14:paraId="6205C962">
            <w:pPr>
              <w:jc w:val="both"/>
              <w:rPr>
                <w:rFonts w:hint="eastAsia" w:ascii="宋体" w:hAnsi="宋体" w:cs="宋体"/>
                <w:color w:val="000000"/>
                <w:sz w:val="22"/>
              </w:rPr>
            </w:pPr>
          </w:p>
        </w:tc>
        <w:tc>
          <w:tcPr>
            <w:tcW w:w="1243" w:type="pct"/>
            <w:vMerge w:val="continue"/>
            <w:shd w:val="clear" w:color="auto" w:fill="auto"/>
            <w:noWrap w:val="0"/>
            <w:vAlign w:val="center"/>
          </w:tcPr>
          <w:p w14:paraId="71D7E6D5">
            <w:pPr>
              <w:jc w:val="both"/>
              <w:rPr>
                <w:rFonts w:hint="eastAsia" w:ascii="宋体" w:hAnsi="宋体" w:cs="宋体"/>
                <w:color w:val="000000"/>
                <w:sz w:val="22"/>
              </w:rPr>
            </w:pPr>
          </w:p>
        </w:tc>
        <w:tc>
          <w:tcPr>
            <w:tcW w:w="3194" w:type="pct"/>
            <w:noWrap w:val="0"/>
            <w:vAlign w:val="center"/>
          </w:tcPr>
          <w:p w14:paraId="1C12905E">
            <w:pPr>
              <w:jc w:val="both"/>
              <w:rPr>
                <w:rFonts w:hint="eastAsia" w:ascii="宋体" w:hAnsi="宋体" w:cs="宋体"/>
                <w:color w:val="000000"/>
                <w:sz w:val="22"/>
              </w:rPr>
            </w:pPr>
            <w:r>
              <w:rPr>
                <w:rFonts w:hint="eastAsia" w:ascii="宋体" w:hAnsi="宋体" w:cs="宋体"/>
                <w:color w:val="000000"/>
                <w:sz w:val="22"/>
              </w:rPr>
              <w:t>3、五金：选用环保五金，安全无毒，色泽丰富。</w:t>
            </w:r>
          </w:p>
        </w:tc>
      </w:tr>
      <w:tr w14:paraId="26163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561" w:type="pct"/>
            <w:vMerge w:val="continue"/>
            <w:shd w:val="clear" w:color="auto" w:fill="auto"/>
            <w:noWrap w:val="0"/>
            <w:vAlign w:val="center"/>
          </w:tcPr>
          <w:p w14:paraId="1CDDC75E">
            <w:pPr>
              <w:jc w:val="both"/>
              <w:rPr>
                <w:rFonts w:hint="eastAsia" w:ascii="宋体" w:hAnsi="宋体" w:cs="宋体"/>
                <w:color w:val="000000"/>
                <w:sz w:val="22"/>
              </w:rPr>
            </w:pPr>
          </w:p>
        </w:tc>
        <w:tc>
          <w:tcPr>
            <w:tcW w:w="1243" w:type="pct"/>
            <w:vMerge w:val="continue"/>
            <w:shd w:val="clear" w:color="auto" w:fill="auto"/>
            <w:noWrap w:val="0"/>
            <w:vAlign w:val="center"/>
          </w:tcPr>
          <w:p w14:paraId="2BE53520">
            <w:pPr>
              <w:jc w:val="both"/>
              <w:rPr>
                <w:rFonts w:hint="eastAsia" w:ascii="宋体" w:hAnsi="宋体" w:cs="宋体"/>
                <w:color w:val="000000"/>
                <w:sz w:val="22"/>
              </w:rPr>
            </w:pPr>
          </w:p>
        </w:tc>
        <w:tc>
          <w:tcPr>
            <w:tcW w:w="3194" w:type="pct"/>
            <w:noWrap w:val="0"/>
            <w:vAlign w:val="center"/>
          </w:tcPr>
          <w:p w14:paraId="23423D79">
            <w:pPr>
              <w:jc w:val="both"/>
              <w:rPr>
                <w:rFonts w:hint="eastAsia" w:ascii="宋体" w:hAnsi="宋体" w:cs="宋体"/>
                <w:color w:val="000000"/>
                <w:sz w:val="22"/>
              </w:rPr>
            </w:pPr>
            <w:r>
              <w:rPr>
                <w:rFonts w:hint="eastAsia" w:ascii="宋体" w:hAnsi="宋体" w:cs="宋体"/>
                <w:color w:val="000000"/>
                <w:sz w:val="22"/>
              </w:rPr>
              <w:t>4、油漆：采用绿色环保无毒水性漆，经过两底一面工艺制作。附着力、耐冲击、耐磨、耐湿不小于3 级，灼烧、耐液、耐干、 耐冷热。</w:t>
            </w:r>
          </w:p>
        </w:tc>
      </w:tr>
      <w:tr w14:paraId="7805C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561" w:type="pct"/>
            <w:vMerge w:val="continue"/>
            <w:shd w:val="clear" w:color="auto" w:fill="auto"/>
            <w:noWrap w:val="0"/>
            <w:vAlign w:val="center"/>
          </w:tcPr>
          <w:p w14:paraId="2EF6CCC8">
            <w:pPr>
              <w:jc w:val="both"/>
              <w:rPr>
                <w:rFonts w:hint="eastAsia" w:ascii="宋体" w:hAnsi="宋体" w:cs="宋体"/>
                <w:color w:val="000000"/>
                <w:sz w:val="22"/>
              </w:rPr>
            </w:pPr>
          </w:p>
        </w:tc>
        <w:tc>
          <w:tcPr>
            <w:tcW w:w="1243" w:type="pct"/>
            <w:vMerge w:val="continue"/>
            <w:shd w:val="clear" w:color="auto" w:fill="auto"/>
            <w:noWrap w:val="0"/>
            <w:vAlign w:val="center"/>
          </w:tcPr>
          <w:p w14:paraId="56C050E5">
            <w:pPr>
              <w:jc w:val="both"/>
              <w:rPr>
                <w:rFonts w:hint="eastAsia" w:ascii="宋体" w:hAnsi="宋体" w:cs="宋体"/>
                <w:color w:val="000000"/>
                <w:sz w:val="22"/>
              </w:rPr>
            </w:pPr>
          </w:p>
        </w:tc>
        <w:tc>
          <w:tcPr>
            <w:tcW w:w="3194" w:type="pct"/>
            <w:noWrap w:val="0"/>
            <w:vAlign w:val="center"/>
          </w:tcPr>
          <w:p w14:paraId="3FDAB83E">
            <w:pPr>
              <w:jc w:val="both"/>
              <w:rPr>
                <w:rFonts w:hint="eastAsia" w:ascii="宋体" w:hAnsi="宋体" w:cs="宋体"/>
                <w:color w:val="000000"/>
                <w:sz w:val="22"/>
              </w:rPr>
            </w:pPr>
            <w:r>
              <w:rPr>
                <w:rFonts w:hint="eastAsia" w:ascii="宋体" w:hAnsi="宋体" w:cs="宋体"/>
                <w:color w:val="000000"/>
                <w:sz w:val="22"/>
              </w:rPr>
              <w:t>5、其他：外延打磨指甲圆，光滑平整，正反面均无毛刺。</w:t>
            </w:r>
          </w:p>
        </w:tc>
      </w:tr>
      <w:tr w14:paraId="09660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561" w:type="pct"/>
            <w:vMerge w:val="continue"/>
            <w:shd w:val="clear" w:color="auto" w:fill="auto"/>
            <w:noWrap w:val="0"/>
            <w:vAlign w:val="center"/>
          </w:tcPr>
          <w:p w14:paraId="3C5A13CA">
            <w:pPr>
              <w:jc w:val="both"/>
              <w:rPr>
                <w:rFonts w:hint="eastAsia" w:ascii="宋体" w:hAnsi="宋体" w:cs="宋体"/>
                <w:color w:val="000000"/>
                <w:sz w:val="22"/>
              </w:rPr>
            </w:pPr>
          </w:p>
        </w:tc>
        <w:tc>
          <w:tcPr>
            <w:tcW w:w="1243" w:type="pct"/>
            <w:vMerge w:val="continue"/>
            <w:shd w:val="clear" w:color="auto" w:fill="auto"/>
            <w:noWrap w:val="0"/>
            <w:vAlign w:val="center"/>
          </w:tcPr>
          <w:p w14:paraId="0A99717D">
            <w:pPr>
              <w:jc w:val="both"/>
              <w:rPr>
                <w:rFonts w:hint="eastAsia" w:ascii="宋体" w:hAnsi="宋体" w:cs="宋体"/>
                <w:color w:val="000000"/>
                <w:sz w:val="22"/>
              </w:rPr>
            </w:pPr>
          </w:p>
        </w:tc>
        <w:tc>
          <w:tcPr>
            <w:tcW w:w="3194" w:type="pct"/>
            <w:noWrap w:val="0"/>
            <w:vAlign w:val="center"/>
          </w:tcPr>
          <w:p w14:paraId="2AC7FBBB">
            <w:pPr>
              <w:jc w:val="both"/>
              <w:rPr>
                <w:rFonts w:hint="eastAsia" w:ascii="宋体" w:hAnsi="宋体" w:cs="宋体"/>
                <w:color w:val="000000"/>
                <w:sz w:val="22"/>
              </w:rPr>
            </w:pPr>
            <w:r>
              <w:rPr>
                <w:rFonts w:hint="eastAsia" w:ascii="宋体" w:hAnsi="宋体" w:cs="宋体"/>
                <w:color w:val="000000"/>
                <w:sz w:val="22"/>
              </w:rPr>
              <w:t>6、产品符合儿童家具通用技术标准。</w:t>
            </w:r>
          </w:p>
        </w:tc>
      </w:tr>
      <w:tr w14:paraId="7C4A9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561" w:type="pct"/>
            <w:vMerge w:val="restart"/>
            <w:shd w:val="clear" w:color="auto" w:fill="auto"/>
            <w:noWrap w:val="0"/>
            <w:vAlign w:val="center"/>
          </w:tcPr>
          <w:p w14:paraId="336A163A">
            <w:pPr>
              <w:jc w:val="center"/>
              <w:rPr>
                <w:rFonts w:hint="eastAsia" w:ascii="宋体" w:hAnsi="宋体" w:eastAsia="宋体" w:cs="宋体"/>
                <w:color w:val="000000"/>
                <w:kern w:val="2"/>
                <w:sz w:val="22"/>
                <w:szCs w:val="22"/>
                <w:lang w:val="en-US" w:eastAsia="zh-CN" w:bidi="ar-SA"/>
              </w:rPr>
            </w:pPr>
            <w:r>
              <w:rPr>
                <w:rFonts w:hint="eastAsia" w:ascii="宋体" w:hAnsi="宋体" w:cs="宋体"/>
                <w:color w:val="000000"/>
                <w:sz w:val="22"/>
              </w:rPr>
              <w:t>38</w:t>
            </w:r>
          </w:p>
        </w:tc>
        <w:tc>
          <w:tcPr>
            <w:tcW w:w="1243" w:type="pct"/>
            <w:vMerge w:val="restart"/>
            <w:shd w:val="clear" w:color="auto" w:fill="auto"/>
            <w:noWrap w:val="0"/>
            <w:vAlign w:val="center"/>
          </w:tcPr>
          <w:p w14:paraId="500F08B8">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两层玩具柜 - 无背板</w:t>
            </w:r>
          </w:p>
        </w:tc>
        <w:tc>
          <w:tcPr>
            <w:tcW w:w="3194" w:type="pct"/>
            <w:noWrap w:val="0"/>
            <w:vAlign w:val="center"/>
          </w:tcPr>
          <w:p w14:paraId="222774CE">
            <w:pPr>
              <w:jc w:val="both"/>
              <w:rPr>
                <w:rFonts w:hint="eastAsia" w:ascii="宋体" w:hAnsi="宋体" w:cs="宋体"/>
                <w:color w:val="000000"/>
                <w:sz w:val="22"/>
              </w:rPr>
            </w:pPr>
            <w:r>
              <w:rPr>
                <w:rFonts w:hint="eastAsia" w:ascii="宋体" w:hAnsi="宋体" w:cs="宋体"/>
                <w:color w:val="000000"/>
                <w:sz w:val="22"/>
              </w:rPr>
              <w:t>1、尺寸：L100cm*W33cm*H60.5cm（±</w:t>
            </w:r>
            <w:r>
              <w:rPr>
                <w:rFonts w:hint="eastAsia" w:ascii="宋体" w:hAnsi="宋体" w:cs="宋体"/>
                <w:color w:val="000000"/>
                <w:sz w:val="22"/>
                <w:lang w:val="en-US" w:eastAsia="zh-CN"/>
              </w:rPr>
              <w:t>2</w:t>
            </w:r>
            <w:r>
              <w:rPr>
                <w:rFonts w:hint="eastAsia" w:ascii="宋体" w:hAnsi="宋体" w:cs="宋体"/>
                <w:color w:val="000000"/>
                <w:sz w:val="22"/>
              </w:rPr>
              <w:t>cm）</w:t>
            </w:r>
          </w:p>
        </w:tc>
      </w:tr>
      <w:tr w14:paraId="6EEE0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561" w:type="pct"/>
            <w:vMerge w:val="continue"/>
            <w:shd w:val="clear" w:color="auto" w:fill="auto"/>
            <w:noWrap w:val="0"/>
            <w:vAlign w:val="center"/>
          </w:tcPr>
          <w:p w14:paraId="1D4BC9B1">
            <w:pPr>
              <w:jc w:val="both"/>
            </w:pPr>
          </w:p>
        </w:tc>
        <w:tc>
          <w:tcPr>
            <w:tcW w:w="1243" w:type="pct"/>
            <w:vMerge w:val="continue"/>
            <w:shd w:val="clear" w:color="auto" w:fill="auto"/>
            <w:noWrap w:val="0"/>
            <w:vAlign w:val="center"/>
          </w:tcPr>
          <w:p w14:paraId="1686D511">
            <w:pPr>
              <w:jc w:val="both"/>
            </w:pPr>
          </w:p>
        </w:tc>
        <w:tc>
          <w:tcPr>
            <w:tcW w:w="3194" w:type="pct"/>
            <w:noWrap w:val="0"/>
            <w:vAlign w:val="center"/>
          </w:tcPr>
          <w:p w14:paraId="3FB6F1F0">
            <w:pPr>
              <w:jc w:val="both"/>
              <w:rPr>
                <w:rFonts w:hint="eastAsia" w:ascii="宋体" w:hAnsi="宋体" w:cs="宋体"/>
                <w:color w:val="000000"/>
                <w:sz w:val="22"/>
              </w:rPr>
            </w:pPr>
            <w:r>
              <w:rPr>
                <w:rFonts w:hint="eastAsia" w:ascii="宋体" w:hAnsi="宋体" w:cs="宋体"/>
                <w:color w:val="000000"/>
                <w:sz w:val="22"/>
              </w:rPr>
              <w:t>2、基材：桦木实木多层板，表面纹理清晰且全白、无结疤、无黑疤、无红点。柜体分二层中空，可双向取物，每层内径长度不大于 97cm（±</w:t>
            </w:r>
            <w:r>
              <w:rPr>
                <w:rFonts w:hint="eastAsia" w:ascii="宋体" w:hAnsi="宋体" w:cs="宋体"/>
                <w:color w:val="000000"/>
                <w:sz w:val="22"/>
                <w:lang w:val="en-US" w:eastAsia="zh-CN"/>
              </w:rPr>
              <w:t>1</w:t>
            </w:r>
            <w:r>
              <w:rPr>
                <w:rFonts w:hint="eastAsia" w:ascii="宋体" w:hAnsi="宋体" w:cs="宋体"/>
                <w:color w:val="000000"/>
                <w:sz w:val="22"/>
              </w:rPr>
              <w:t>cm），内径深度不大于 32.5cm（±</w:t>
            </w:r>
            <w:r>
              <w:rPr>
                <w:rFonts w:hint="eastAsia" w:ascii="宋体" w:hAnsi="宋体" w:cs="宋体"/>
                <w:color w:val="000000"/>
                <w:sz w:val="22"/>
                <w:lang w:val="en-US" w:eastAsia="zh-CN"/>
              </w:rPr>
              <w:t>1</w:t>
            </w:r>
            <w:r>
              <w:rPr>
                <w:rFonts w:hint="eastAsia" w:ascii="宋体" w:hAnsi="宋体" w:cs="宋体"/>
                <w:color w:val="000000"/>
                <w:sz w:val="22"/>
              </w:rPr>
              <w:t>cm），内径高度不低于21cm（±</w:t>
            </w:r>
            <w:r>
              <w:rPr>
                <w:rFonts w:hint="eastAsia" w:ascii="宋体" w:hAnsi="宋体" w:cs="宋体"/>
                <w:color w:val="000000"/>
                <w:sz w:val="22"/>
                <w:lang w:val="en-US" w:eastAsia="zh-CN"/>
              </w:rPr>
              <w:t>1</w:t>
            </w:r>
            <w:r>
              <w:rPr>
                <w:rFonts w:hint="eastAsia" w:ascii="宋体" w:hAnsi="宋体" w:cs="宋体"/>
                <w:color w:val="000000"/>
                <w:sz w:val="22"/>
              </w:rPr>
              <w:t>cm）,柜体整体为原木色，柜体用螺丝固定。</w:t>
            </w:r>
          </w:p>
        </w:tc>
      </w:tr>
      <w:tr w14:paraId="65D12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561" w:type="pct"/>
            <w:vMerge w:val="continue"/>
            <w:shd w:val="clear" w:color="auto" w:fill="auto"/>
            <w:noWrap w:val="0"/>
            <w:vAlign w:val="center"/>
          </w:tcPr>
          <w:p w14:paraId="3935ECD7">
            <w:pPr>
              <w:jc w:val="both"/>
              <w:rPr>
                <w:rFonts w:hint="eastAsia" w:ascii="宋体" w:hAnsi="宋体" w:cs="宋体"/>
                <w:color w:val="000000"/>
                <w:sz w:val="22"/>
              </w:rPr>
            </w:pPr>
          </w:p>
        </w:tc>
        <w:tc>
          <w:tcPr>
            <w:tcW w:w="1243" w:type="pct"/>
            <w:vMerge w:val="continue"/>
            <w:shd w:val="clear" w:color="auto" w:fill="auto"/>
            <w:noWrap w:val="0"/>
            <w:vAlign w:val="center"/>
          </w:tcPr>
          <w:p w14:paraId="6798130D">
            <w:pPr>
              <w:jc w:val="both"/>
              <w:rPr>
                <w:rFonts w:hint="eastAsia" w:ascii="宋体" w:hAnsi="宋体" w:cs="宋体"/>
                <w:color w:val="000000"/>
                <w:sz w:val="22"/>
              </w:rPr>
            </w:pPr>
          </w:p>
        </w:tc>
        <w:tc>
          <w:tcPr>
            <w:tcW w:w="3194" w:type="pct"/>
            <w:noWrap w:val="0"/>
            <w:vAlign w:val="center"/>
          </w:tcPr>
          <w:p w14:paraId="0423ADA1">
            <w:pPr>
              <w:jc w:val="both"/>
              <w:rPr>
                <w:rFonts w:hint="eastAsia" w:ascii="宋体" w:hAnsi="宋体" w:cs="宋体"/>
                <w:color w:val="000000"/>
                <w:sz w:val="22"/>
              </w:rPr>
            </w:pPr>
            <w:r>
              <w:rPr>
                <w:rFonts w:hint="eastAsia" w:ascii="宋体" w:hAnsi="宋体" w:cs="宋体"/>
                <w:color w:val="000000"/>
                <w:sz w:val="22"/>
              </w:rPr>
              <w:t>3、五金：选用环保五金，安全无毒，色泽丰富。</w:t>
            </w:r>
          </w:p>
        </w:tc>
      </w:tr>
      <w:tr w14:paraId="2F59C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561" w:type="pct"/>
            <w:vMerge w:val="continue"/>
            <w:shd w:val="clear" w:color="auto" w:fill="auto"/>
            <w:noWrap w:val="0"/>
            <w:vAlign w:val="center"/>
          </w:tcPr>
          <w:p w14:paraId="214CD90F">
            <w:pPr>
              <w:jc w:val="both"/>
              <w:rPr>
                <w:rFonts w:hint="eastAsia" w:ascii="宋体" w:hAnsi="宋体" w:cs="宋体"/>
                <w:color w:val="000000"/>
                <w:sz w:val="22"/>
              </w:rPr>
            </w:pPr>
          </w:p>
        </w:tc>
        <w:tc>
          <w:tcPr>
            <w:tcW w:w="1243" w:type="pct"/>
            <w:vMerge w:val="continue"/>
            <w:shd w:val="clear" w:color="auto" w:fill="auto"/>
            <w:noWrap w:val="0"/>
            <w:vAlign w:val="center"/>
          </w:tcPr>
          <w:p w14:paraId="40C4950F">
            <w:pPr>
              <w:jc w:val="both"/>
              <w:rPr>
                <w:rFonts w:hint="eastAsia" w:ascii="宋体" w:hAnsi="宋体" w:cs="宋体"/>
                <w:color w:val="000000"/>
                <w:sz w:val="22"/>
              </w:rPr>
            </w:pPr>
          </w:p>
        </w:tc>
        <w:tc>
          <w:tcPr>
            <w:tcW w:w="3194" w:type="pct"/>
            <w:noWrap w:val="0"/>
            <w:vAlign w:val="center"/>
          </w:tcPr>
          <w:p w14:paraId="32C510B0">
            <w:pPr>
              <w:jc w:val="both"/>
              <w:rPr>
                <w:rFonts w:hint="eastAsia" w:ascii="宋体" w:hAnsi="宋体" w:cs="宋体"/>
                <w:color w:val="000000"/>
                <w:sz w:val="22"/>
              </w:rPr>
            </w:pPr>
            <w:r>
              <w:rPr>
                <w:rFonts w:hint="eastAsia" w:ascii="宋体" w:hAnsi="宋体" w:cs="宋体"/>
                <w:color w:val="000000"/>
                <w:sz w:val="22"/>
              </w:rPr>
              <w:t>4、油漆：采用绿色环保无毒水性漆，经过两底一面工艺制作。附着力、耐冲击、耐磨、耐湿不小于3 级，灼烧、耐液、耐干、 耐冷热。</w:t>
            </w:r>
          </w:p>
        </w:tc>
      </w:tr>
      <w:tr w14:paraId="0887C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561" w:type="pct"/>
            <w:vMerge w:val="continue"/>
            <w:shd w:val="clear" w:color="auto" w:fill="auto"/>
            <w:noWrap w:val="0"/>
            <w:vAlign w:val="center"/>
          </w:tcPr>
          <w:p w14:paraId="5467BFE5">
            <w:pPr>
              <w:jc w:val="both"/>
              <w:rPr>
                <w:rFonts w:hint="eastAsia" w:ascii="宋体" w:hAnsi="宋体" w:cs="宋体"/>
                <w:color w:val="000000"/>
                <w:sz w:val="22"/>
              </w:rPr>
            </w:pPr>
          </w:p>
        </w:tc>
        <w:tc>
          <w:tcPr>
            <w:tcW w:w="1243" w:type="pct"/>
            <w:vMerge w:val="continue"/>
            <w:shd w:val="clear" w:color="auto" w:fill="auto"/>
            <w:noWrap w:val="0"/>
            <w:vAlign w:val="center"/>
          </w:tcPr>
          <w:p w14:paraId="1DF5047E">
            <w:pPr>
              <w:jc w:val="both"/>
              <w:rPr>
                <w:rFonts w:hint="eastAsia" w:ascii="宋体" w:hAnsi="宋体" w:cs="宋体"/>
                <w:color w:val="000000"/>
                <w:sz w:val="22"/>
              </w:rPr>
            </w:pPr>
          </w:p>
        </w:tc>
        <w:tc>
          <w:tcPr>
            <w:tcW w:w="3194" w:type="pct"/>
            <w:noWrap w:val="0"/>
            <w:vAlign w:val="center"/>
          </w:tcPr>
          <w:p w14:paraId="47949A02">
            <w:pPr>
              <w:jc w:val="both"/>
              <w:rPr>
                <w:rFonts w:hint="eastAsia" w:ascii="宋体" w:hAnsi="宋体" w:cs="宋体"/>
                <w:color w:val="000000"/>
                <w:sz w:val="22"/>
              </w:rPr>
            </w:pPr>
            <w:r>
              <w:rPr>
                <w:rFonts w:hint="eastAsia" w:ascii="宋体" w:hAnsi="宋体" w:cs="宋体"/>
                <w:color w:val="000000"/>
                <w:sz w:val="22"/>
              </w:rPr>
              <w:t>5、其他：外延打磨指甲圆，光滑平整，正反面均无毛刺。</w:t>
            </w:r>
          </w:p>
        </w:tc>
      </w:tr>
      <w:tr w14:paraId="79E59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561" w:type="pct"/>
            <w:vMerge w:val="continue"/>
            <w:shd w:val="clear" w:color="auto" w:fill="auto"/>
            <w:noWrap w:val="0"/>
            <w:vAlign w:val="center"/>
          </w:tcPr>
          <w:p w14:paraId="408924F4">
            <w:pPr>
              <w:jc w:val="both"/>
              <w:rPr>
                <w:rFonts w:hint="eastAsia" w:ascii="宋体" w:hAnsi="宋体" w:cs="宋体"/>
                <w:color w:val="000000"/>
                <w:sz w:val="22"/>
              </w:rPr>
            </w:pPr>
          </w:p>
        </w:tc>
        <w:tc>
          <w:tcPr>
            <w:tcW w:w="1243" w:type="pct"/>
            <w:vMerge w:val="continue"/>
            <w:shd w:val="clear" w:color="auto" w:fill="auto"/>
            <w:noWrap w:val="0"/>
            <w:vAlign w:val="center"/>
          </w:tcPr>
          <w:p w14:paraId="014B3E24">
            <w:pPr>
              <w:jc w:val="both"/>
              <w:rPr>
                <w:rFonts w:hint="eastAsia" w:ascii="宋体" w:hAnsi="宋体" w:cs="宋体"/>
                <w:color w:val="000000"/>
                <w:sz w:val="22"/>
              </w:rPr>
            </w:pPr>
          </w:p>
        </w:tc>
        <w:tc>
          <w:tcPr>
            <w:tcW w:w="3194" w:type="pct"/>
            <w:noWrap w:val="0"/>
            <w:vAlign w:val="center"/>
          </w:tcPr>
          <w:p w14:paraId="33079D46">
            <w:pPr>
              <w:jc w:val="both"/>
              <w:rPr>
                <w:rFonts w:hint="eastAsia" w:ascii="宋体" w:hAnsi="宋体" w:cs="宋体"/>
                <w:color w:val="000000"/>
                <w:sz w:val="22"/>
              </w:rPr>
            </w:pPr>
            <w:r>
              <w:rPr>
                <w:rFonts w:hint="eastAsia" w:ascii="宋体" w:hAnsi="宋体" w:cs="宋体"/>
                <w:color w:val="000000"/>
                <w:sz w:val="22"/>
              </w:rPr>
              <w:t>6、产品符合儿童家具通用技术标准。</w:t>
            </w:r>
          </w:p>
        </w:tc>
      </w:tr>
      <w:tr w14:paraId="1911E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561" w:type="pct"/>
            <w:vMerge w:val="restart"/>
            <w:shd w:val="clear" w:color="auto" w:fill="auto"/>
            <w:noWrap w:val="0"/>
            <w:vAlign w:val="center"/>
          </w:tcPr>
          <w:p w14:paraId="2610D17C">
            <w:pPr>
              <w:jc w:val="center"/>
              <w:rPr>
                <w:rFonts w:hint="eastAsia" w:ascii="宋体" w:hAnsi="宋体" w:eastAsia="宋体" w:cs="宋体"/>
                <w:color w:val="000000"/>
                <w:kern w:val="2"/>
                <w:sz w:val="22"/>
                <w:szCs w:val="22"/>
                <w:lang w:val="en-US" w:eastAsia="zh-CN" w:bidi="ar-SA"/>
              </w:rPr>
            </w:pPr>
            <w:r>
              <w:rPr>
                <w:rFonts w:hint="eastAsia" w:ascii="宋体" w:hAnsi="宋体" w:cs="宋体"/>
                <w:color w:val="000000"/>
                <w:sz w:val="22"/>
              </w:rPr>
              <w:t>39</w:t>
            </w:r>
          </w:p>
        </w:tc>
        <w:tc>
          <w:tcPr>
            <w:tcW w:w="1243" w:type="pct"/>
            <w:vMerge w:val="restart"/>
            <w:shd w:val="clear" w:color="auto" w:fill="auto"/>
            <w:noWrap w:val="0"/>
            <w:vAlign w:val="center"/>
          </w:tcPr>
          <w:p w14:paraId="1CBEB3AB">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1/4 三层圆柜 - 铁艺网格背板</w:t>
            </w:r>
          </w:p>
        </w:tc>
        <w:tc>
          <w:tcPr>
            <w:tcW w:w="3194" w:type="pct"/>
            <w:noWrap w:val="0"/>
            <w:vAlign w:val="center"/>
          </w:tcPr>
          <w:p w14:paraId="7D89E328">
            <w:pPr>
              <w:jc w:val="both"/>
              <w:rPr>
                <w:rFonts w:hint="eastAsia" w:ascii="宋体" w:hAnsi="宋体" w:cs="宋体"/>
                <w:color w:val="000000"/>
                <w:sz w:val="22"/>
              </w:rPr>
            </w:pPr>
            <w:r>
              <w:rPr>
                <w:rFonts w:hint="eastAsia" w:ascii="宋体" w:hAnsi="宋体" w:cs="宋体"/>
                <w:color w:val="000000"/>
                <w:sz w:val="22"/>
              </w:rPr>
              <w:t>1、尺寸：L100cm*W33cm*H76cm（±</w:t>
            </w:r>
            <w:r>
              <w:rPr>
                <w:rFonts w:hint="eastAsia" w:ascii="宋体" w:hAnsi="宋体" w:cs="宋体"/>
                <w:color w:val="000000"/>
                <w:sz w:val="22"/>
                <w:lang w:val="en-US" w:eastAsia="zh-CN"/>
              </w:rPr>
              <w:t>2</w:t>
            </w:r>
            <w:r>
              <w:rPr>
                <w:rFonts w:hint="eastAsia" w:ascii="宋体" w:hAnsi="宋体" w:cs="宋体"/>
                <w:color w:val="000000"/>
                <w:sz w:val="22"/>
              </w:rPr>
              <w:t>cm）</w:t>
            </w:r>
          </w:p>
        </w:tc>
      </w:tr>
      <w:tr w14:paraId="0AAB8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561" w:type="pct"/>
            <w:vMerge w:val="continue"/>
            <w:shd w:val="clear" w:color="auto" w:fill="auto"/>
            <w:noWrap w:val="0"/>
            <w:vAlign w:val="center"/>
          </w:tcPr>
          <w:p w14:paraId="2AAB66A0">
            <w:pPr>
              <w:jc w:val="both"/>
            </w:pPr>
          </w:p>
        </w:tc>
        <w:tc>
          <w:tcPr>
            <w:tcW w:w="1243" w:type="pct"/>
            <w:vMerge w:val="continue"/>
            <w:shd w:val="clear" w:color="auto" w:fill="auto"/>
            <w:noWrap w:val="0"/>
            <w:vAlign w:val="center"/>
          </w:tcPr>
          <w:p w14:paraId="0D050232">
            <w:pPr>
              <w:jc w:val="both"/>
            </w:pPr>
          </w:p>
        </w:tc>
        <w:tc>
          <w:tcPr>
            <w:tcW w:w="3194" w:type="pct"/>
            <w:noWrap w:val="0"/>
            <w:vAlign w:val="center"/>
          </w:tcPr>
          <w:p w14:paraId="797AEC1D">
            <w:pPr>
              <w:jc w:val="both"/>
              <w:rPr>
                <w:rFonts w:hint="eastAsia" w:ascii="宋体" w:hAnsi="宋体" w:cs="宋体"/>
                <w:color w:val="000000"/>
                <w:sz w:val="22"/>
              </w:rPr>
            </w:pPr>
            <w:r>
              <w:rPr>
                <w:rFonts w:hint="eastAsia" w:ascii="宋体" w:hAnsi="宋体" w:cs="宋体"/>
                <w:color w:val="000000"/>
                <w:sz w:val="22"/>
              </w:rPr>
              <w:t>2、基材：桦木实木多层板，表面纹理清晰且全白、无结疤、无黑疤、无红点。 柜体为三层式样 1/4 圆形储物空间，三层 6 格分区，顶板为宽距 13cm（±</w:t>
            </w:r>
            <w:r>
              <w:rPr>
                <w:rFonts w:hint="eastAsia" w:ascii="宋体" w:hAnsi="宋体" w:cs="宋体"/>
                <w:color w:val="000000"/>
                <w:sz w:val="22"/>
                <w:lang w:val="en-US" w:eastAsia="zh-CN"/>
              </w:rPr>
              <w:t>1</w:t>
            </w:r>
            <w:r>
              <w:rPr>
                <w:rFonts w:hint="eastAsia" w:ascii="宋体" w:hAnsi="宋体" w:cs="宋体"/>
                <w:color w:val="000000"/>
                <w:sz w:val="22"/>
              </w:rPr>
              <w:t>cm）的 1/4 圆形面板，自上而下第一层为2格扇形中空分区，分区空间上弧和下弧最宽处间距不大于 33cm（±</w:t>
            </w:r>
            <w:r>
              <w:rPr>
                <w:rFonts w:hint="eastAsia" w:ascii="宋体" w:hAnsi="宋体" w:cs="宋体"/>
                <w:color w:val="000000"/>
                <w:sz w:val="22"/>
                <w:lang w:val="en-US" w:eastAsia="zh-CN"/>
              </w:rPr>
              <w:t>1</w:t>
            </w:r>
            <w:r>
              <w:rPr>
                <w:rFonts w:hint="eastAsia" w:ascii="宋体" w:hAnsi="宋体" w:cs="宋体"/>
                <w:color w:val="000000"/>
                <w:sz w:val="22"/>
              </w:rPr>
              <w:t>cm），最窄间距不大于 32.5cm（±</w:t>
            </w:r>
            <w:r>
              <w:rPr>
                <w:rFonts w:hint="eastAsia" w:ascii="宋体" w:hAnsi="宋体" w:cs="宋体"/>
                <w:color w:val="000000"/>
                <w:sz w:val="22"/>
                <w:lang w:val="en-US" w:eastAsia="zh-CN"/>
              </w:rPr>
              <w:t>1</w:t>
            </w:r>
            <w:r>
              <w:rPr>
                <w:rFonts w:hint="eastAsia" w:ascii="宋体" w:hAnsi="宋体" w:cs="宋体"/>
                <w:color w:val="000000"/>
                <w:sz w:val="22"/>
              </w:rPr>
              <w:t>cm）,空间内径高度不大于 21cm（±</w:t>
            </w:r>
            <w:r>
              <w:rPr>
                <w:rFonts w:hint="eastAsia" w:ascii="宋体" w:hAnsi="宋体" w:cs="宋体"/>
                <w:color w:val="000000"/>
                <w:sz w:val="22"/>
                <w:lang w:val="en-US" w:eastAsia="zh-CN"/>
              </w:rPr>
              <w:t>1</w:t>
            </w:r>
            <w:r>
              <w:rPr>
                <w:rFonts w:hint="eastAsia" w:ascii="宋体" w:hAnsi="宋体" w:cs="宋体"/>
                <w:color w:val="000000"/>
                <w:sz w:val="22"/>
              </w:rPr>
              <w:t>cm）。第二三层都为有橙色网孔铁艺背板2格扇形分区，网孔为圆形，分区空间上弧和下弧间距最宽不大于 30.5cm（±</w:t>
            </w:r>
            <w:r>
              <w:rPr>
                <w:rFonts w:hint="eastAsia" w:ascii="宋体" w:hAnsi="宋体" w:cs="宋体"/>
                <w:color w:val="000000"/>
                <w:sz w:val="22"/>
                <w:lang w:val="en-US" w:eastAsia="zh-CN"/>
              </w:rPr>
              <w:t>1</w:t>
            </w:r>
            <w:r>
              <w:rPr>
                <w:rFonts w:hint="eastAsia" w:ascii="宋体" w:hAnsi="宋体" w:cs="宋体"/>
                <w:color w:val="000000"/>
                <w:sz w:val="22"/>
              </w:rPr>
              <w:t>cm），间距最窄不大于 30cm（±</w:t>
            </w:r>
            <w:r>
              <w:rPr>
                <w:rFonts w:hint="eastAsia" w:ascii="宋体" w:hAnsi="宋体" w:cs="宋体"/>
                <w:color w:val="000000"/>
                <w:sz w:val="22"/>
                <w:lang w:val="en-US" w:eastAsia="zh-CN"/>
              </w:rPr>
              <w:t>1</w:t>
            </w:r>
            <w:r>
              <w:rPr>
                <w:rFonts w:hint="eastAsia" w:ascii="宋体" w:hAnsi="宋体" w:cs="宋体"/>
                <w:color w:val="000000"/>
                <w:sz w:val="22"/>
              </w:rPr>
              <w:t>cm），空间内径高度不大于 21cm（±</w:t>
            </w:r>
            <w:r>
              <w:rPr>
                <w:rFonts w:hint="eastAsia" w:ascii="宋体" w:hAnsi="宋体" w:cs="宋体"/>
                <w:color w:val="000000"/>
                <w:sz w:val="22"/>
                <w:lang w:val="en-US" w:eastAsia="zh-CN"/>
              </w:rPr>
              <w:t>1</w:t>
            </w:r>
            <w:r>
              <w:rPr>
                <w:rFonts w:hint="eastAsia" w:ascii="宋体" w:hAnsi="宋体" w:cs="宋体"/>
                <w:color w:val="000000"/>
                <w:sz w:val="22"/>
              </w:rPr>
              <w:t xml:space="preserve">cm）。柜体用螺丝固定。 </w:t>
            </w:r>
          </w:p>
        </w:tc>
      </w:tr>
      <w:tr w14:paraId="11BC9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561" w:type="pct"/>
            <w:vMerge w:val="continue"/>
            <w:shd w:val="clear" w:color="auto" w:fill="auto"/>
            <w:noWrap w:val="0"/>
            <w:vAlign w:val="center"/>
          </w:tcPr>
          <w:p w14:paraId="480F62AD">
            <w:pPr>
              <w:jc w:val="both"/>
              <w:rPr>
                <w:rFonts w:hint="eastAsia" w:ascii="宋体" w:hAnsi="宋体" w:cs="宋体"/>
                <w:color w:val="000000"/>
                <w:sz w:val="22"/>
              </w:rPr>
            </w:pPr>
          </w:p>
        </w:tc>
        <w:tc>
          <w:tcPr>
            <w:tcW w:w="1243" w:type="pct"/>
            <w:vMerge w:val="continue"/>
            <w:shd w:val="clear" w:color="auto" w:fill="auto"/>
            <w:noWrap w:val="0"/>
            <w:vAlign w:val="center"/>
          </w:tcPr>
          <w:p w14:paraId="5BEDC863">
            <w:pPr>
              <w:jc w:val="both"/>
              <w:rPr>
                <w:rFonts w:hint="eastAsia" w:ascii="宋体" w:hAnsi="宋体" w:cs="宋体"/>
                <w:color w:val="000000"/>
                <w:sz w:val="22"/>
              </w:rPr>
            </w:pPr>
          </w:p>
        </w:tc>
        <w:tc>
          <w:tcPr>
            <w:tcW w:w="3194" w:type="pct"/>
            <w:noWrap w:val="0"/>
            <w:vAlign w:val="center"/>
          </w:tcPr>
          <w:p w14:paraId="1191397C">
            <w:pPr>
              <w:jc w:val="both"/>
              <w:rPr>
                <w:rFonts w:hint="eastAsia" w:ascii="宋体" w:hAnsi="宋体" w:cs="宋体"/>
                <w:color w:val="000000"/>
                <w:sz w:val="22"/>
              </w:rPr>
            </w:pPr>
            <w:r>
              <w:rPr>
                <w:rFonts w:hint="eastAsia" w:ascii="宋体" w:hAnsi="宋体" w:cs="宋体"/>
                <w:color w:val="000000"/>
                <w:sz w:val="22"/>
              </w:rPr>
              <w:t>3、五金：选用环保五金，安全无毒，色泽丰富。</w:t>
            </w:r>
          </w:p>
        </w:tc>
      </w:tr>
      <w:tr w14:paraId="0FE21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561" w:type="pct"/>
            <w:vMerge w:val="continue"/>
            <w:shd w:val="clear" w:color="auto" w:fill="auto"/>
            <w:noWrap w:val="0"/>
            <w:vAlign w:val="center"/>
          </w:tcPr>
          <w:p w14:paraId="73C960C4">
            <w:pPr>
              <w:jc w:val="both"/>
              <w:rPr>
                <w:rFonts w:hint="eastAsia" w:ascii="宋体" w:hAnsi="宋体" w:cs="宋体"/>
                <w:color w:val="000000"/>
                <w:sz w:val="22"/>
              </w:rPr>
            </w:pPr>
          </w:p>
        </w:tc>
        <w:tc>
          <w:tcPr>
            <w:tcW w:w="1243" w:type="pct"/>
            <w:vMerge w:val="continue"/>
            <w:shd w:val="clear" w:color="auto" w:fill="auto"/>
            <w:noWrap w:val="0"/>
            <w:vAlign w:val="center"/>
          </w:tcPr>
          <w:p w14:paraId="0E6307A5">
            <w:pPr>
              <w:jc w:val="both"/>
              <w:rPr>
                <w:rFonts w:hint="eastAsia" w:ascii="宋体" w:hAnsi="宋体" w:cs="宋体"/>
                <w:color w:val="000000"/>
                <w:sz w:val="22"/>
              </w:rPr>
            </w:pPr>
          </w:p>
        </w:tc>
        <w:tc>
          <w:tcPr>
            <w:tcW w:w="3194" w:type="pct"/>
            <w:noWrap w:val="0"/>
            <w:vAlign w:val="center"/>
          </w:tcPr>
          <w:p w14:paraId="4E08C3E6">
            <w:pPr>
              <w:jc w:val="both"/>
              <w:rPr>
                <w:rFonts w:hint="eastAsia" w:ascii="宋体" w:hAnsi="宋体" w:cs="宋体"/>
                <w:color w:val="000000"/>
                <w:sz w:val="22"/>
              </w:rPr>
            </w:pPr>
            <w:r>
              <w:rPr>
                <w:rFonts w:hint="eastAsia" w:ascii="宋体" w:hAnsi="宋体" w:cs="宋体"/>
                <w:color w:val="000000"/>
                <w:sz w:val="22"/>
              </w:rPr>
              <w:t>4、油漆：采用绿色环保无毒水性漆，经过两底一面工艺制作。附着力、耐冲击、耐磨、耐湿不小于3 级，灼烧、耐液、耐干、 耐冷热。</w:t>
            </w:r>
          </w:p>
        </w:tc>
      </w:tr>
      <w:tr w14:paraId="3A656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561" w:type="pct"/>
            <w:vMerge w:val="continue"/>
            <w:shd w:val="clear" w:color="auto" w:fill="auto"/>
            <w:noWrap w:val="0"/>
            <w:vAlign w:val="center"/>
          </w:tcPr>
          <w:p w14:paraId="049BAA9C">
            <w:pPr>
              <w:jc w:val="both"/>
              <w:rPr>
                <w:rFonts w:hint="eastAsia" w:ascii="宋体" w:hAnsi="宋体" w:cs="宋体"/>
                <w:color w:val="000000"/>
                <w:sz w:val="22"/>
              </w:rPr>
            </w:pPr>
          </w:p>
        </w:tc>
        <w:tc>
          <w:tcPr>
            <w:tcW w:w="1243" w:type="pct"/>
            <w:vMerge w:val="continue"/>
            <w:shd w:val="clear" w:color="auto" w:fill="auto"/>
            <w:noWrap w:val="0"/>
            <w:vAlign w:val="center"/>
          </w:tcPr>
          <w:p w14:paraId="60C214A0">
            <w:pPr>
              <w:jc w:val="both"/>
              <w:rPr>
                <w:rFonts w:hint="eastAsia" w:ascii="宋体" w:hAnsi="宋体" w:cs="宋体"/>
                <w:color w:val="000000"/>
                <w:sz w:val="22"/>
              </w:rPr>
            </w:pPr>
          </w:p>
        </w:tc>
        <w:tc>
          <w:tcPr>
            <w:tcW w:w="3194" w:type="pct"/>
            <w:noWrap w:val="0"/>
            <w:vAlign w:val="center"/>
          </w:tcPr>
          <w:p w14:paraId="3C5C0C2F">
            <w:pPr>
              <w:jc w:val="both"/>
              <w:rPr>
                <w:rFonts w:hint="eastAsia" w:ascii="宋体" w:hAnsi="宋体" w:cs="宋体"/>
                <w:color w:val="000000"/>
                <w:sz w:val="22"/>
              </w:rPr>
            </w:pPr>
            <w:r>
              <w:rPr>
                <w:rFonts w:hint="eastAsia" w:ascii="宋体" w:hAnsi="宋体" w:cs="宋体"/>
                <w:color w:val="000000"/>
                <w:sz w:val="22"/>
              </w:rPr>
              <w:t>5、其他：外延打磨指甲圆，光滑平整，正反面均无毛刺。</w:t>
            </w:r>
          </w:p>
        </w:tc>
      </w:tr>
      <w:tr w14:paraId="30405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561" w:type="pct"/>
            <w:vMerge w:val="continue"/>
            <w:shd w:val="clear" w:color="auto" w:fill="auto"/>
            <w:noWrap w:val="0"/>
            <w:vAlign w:val="center"/>
          </w:tcPr>
          <w:p w14:paraId="5605CCDD">
            <w:pPr>
              <w:jc w:val="both"/>
              <w:rPr>
                <w:rFonts w:hint="eastAsia" w:ascii="宋体" w:hAnsi="宋体" w:cs="宋体"/>
                <w:color w:val="000000"/>
                <w:sz w:val="22"/>
              </w:rPr>
            </w:pPr>
          </w:p>
        </w:tc>
        <w:tc>
          <w:tcPr>
            <w:tcW w:w="1243" w:type="pct"/>
            <w:vMerge w:val="continue"/>
            <w:shd w:val="clear" w:color="auto" w:fill="auto"/>
            <w:noWrap w:val="0"/>
            <w:vAlign w:val="center"/>
          </w:tcPr>
          <w:p w14:paraId="5907B89E">
            <w:pPr>
              <w:jc w:val="both"/>
              <w:rPr>
                <w:rFonts w:hint="eastAsia" w:ascii="宋体" w:hAnsi="宋体" w:cs="宋体"/>
                <w:color w:val="000000"/>
                <w:sz w:val="22"/>
              </w:rPr>
            </w:pPr>
          </w:p>
        </w:tc>
        <w:tc>
          <w:tcPr>
            <w:tcW w:w="3194" w:type="pct"/>
            <w:noWrap w:val="0"/>
            <w:vAlign w:val="center"/>
          </w:tcPr>
          <w:p w14:paraId="6377A296">
            <w:pPr>
              <w:jc w:val="both"/>
              <w:rPr>
                <w:rFonts w:hint="eastAsia" w:ascii="宋体" w:hAnsi="宋体" w:cs="宋体"/>
                <w:color w:val="000000"/>
                <w:sz w:val="22"/>
              </w:rPr>
            </w:pPr>
            <w:r>
              <w:rPr>
                <w:rFonts w:hint="eastAsia" w:ascii="宋体" w:hAnsi="宋体" w:cs="宋体"/>
                <w:color w:val="000000"/>
                <w:sz w:val="22"/>
              </w:rPr>
              <w:t>6、产品符合儿童家具通用技术标准。</w:t>
            </w:r>
          </w:p>
        </w:tc>
      </w:tr>
      <w:tr w14:paraId="19830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61" w:type="pct"/>
            <w:vMerge w:val="restart"/>
            <w:shd w:val="clear" w:color="auto" w:fill="auto"/>
            <w:noWrap w:val="0"/>
            <w:vAlign w:val="center"/>
          </w:tcPr>
          <w:p w14:paraId="69DF9067">
            <w:pPr>
              <w:jc w:val="center"/>
              <w:rPr>
                <w:rFonts w:hint="eastAsia" w:ascii="宋体" w:hAnsi="宋体" w:eastAsia="宋体" w:cs="宋体"/>
                <w:color w:val="000000"/>
                <w:kern w:val="2"/>
                <w:sz w:val="22"/>
                <w:szCs w:val="22"/>
                <w:lang w:val="en-US" w:eastAsia="zh-CN" w:bidi="ar-SA"/>
              </w:rPr>
            </w:pPr>
            <w:r>
              <w:rPr>
                <w:rFonts w:hint="eastAsia" w:ascii="宋体" w:hAnsi="宋体" w:cs="宋体"/>
                <w:color w:val="000000"/>
                <w:sz w:val="22"/>
              </w:rPr>
              <w:t>40</w:t>
            </w:r>
          </w:p>
        </w:tc>
        <w:tc>
          <w:tcPr>
            <w:tcW w:w="1243" w:type="pct"/>
            <w:vMerge w:val="restart"/>
            <w:shd w:val="clear" w:color="auto" w:fill="auto"/>
            <w:noWrap w:val="0"/>
            <w:vAlign w:val="center"/>
          </w:tcPr>
          <w:p w14:paraId="27731D41">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穿衣镜收纳柜</w:t>
            </w:r>
          </w:p>
        </w:tc>
        <w:tc>
          <w:tcPr>
            <w:tcW w:w="3194" w:type="pct"/>
            <w:noWrap w:val="0"/>
            <w:vAlign w:val="center"/>
          </w:tcPr>
          <w:p w14:paraId="51F6FFB8">
            <w:pPr>
              <w:jc w:val="both"/>
              <w:rPr>
                <w:rFonts w:hint="eastAsia" w:ascii="宋体" w:hAnsi="宋体" w:cs="宋体"/>
                <w:color w:val="000000"/>
                <w:sz w:val="22"/>
              </w:rPr>
            </w:pPr>
            <w:r>
              <w:rPr>
                <w:rFonts w:hint="eastAsia" w:ascii="宋体" w:hAnsi="宋体" w:cs="宋体"/>
                <w:color w:val="000000"/>
                <w:sz w:val="22"/>
              </w:rPr>
              <w:t>1、尺寸：L96.5cm*W50cm*H109.5cm（±</w:t>
            </w:r>
            <w:r>
              <w:rPr>
                <w:rFonts w:hint="eastAsia" w:ascii="宋体" w:hAnsi="宋体" w:cs="宋体"/>
                <w:color w:val="000000"/>
                <w:sz w:val="22"/>
                <w:lang w:val="en-US" w:eastAsia="zh-CN"/>
              </w:rPr>
              <w:t>2</w:t>
            </w:r>
            <w:r>
              <w:rPr>
                <w:rFonts w:hint="eastAsia" w:ascii="宋体" w:hAnsi="宋体" w:cs="宋体"/>
                <w:color w:val="000000"/>
                <w:sz w:val="22"/>
              </w:rPr>
              <w:t>cm）</w:t>
            </w:r>
          </w:p>
        </w:tc>
      </w:tr>
      <w:tr w14:paraId="7F915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61" w:type="pct"/>
            <w:vMerge w:val="continue"/>
            <w:shd w:val="clear" w:color="auto" w:fill="auto"/>
            <w:noWrap w:val="0"/>
            <w:vAlign w:val="center"/>
          </w:tcPr>
          <w:p w14:paraId="79736F87">
            <w:pPr>
              <w:jc w:val="both"/>
            </w:pPr>
          </w:p>
        </w:tc>
        <w:tc>
          <w:tcPr>
            <w:tcW w:w="1243" w:type="pct"/>
            <w:vMerge w:val="continue"/>
            <w:shd w:val="clear" w:color="auto" w:fill="auto"/>
            <w:noWrap w:val="0"/>
            <w:vAlign w:val="center"/>
          </w:tcPr>
          <w:p w14:paraId="45FE1001">
            <w:pPr>
              <w:jc w:val="both"/>
            </w:pPr>
          </w:p>
        </w:tc>
        <w:tc>
          <w:tcPr>
            <w:tcW w:w="3194" w:type="pct"/>
            <w:noWrap w:val="0"/>
            <w:vAlign w:val="center"/>
          </w:tcPr>
          <w:p w14:paraId="58CA31E8">
            <w:pPr>
              <w:jc w:val="both"/>
              <w:rPr>
                <w:rFonts w:hint="eastAsia" w:ascii="宋体" w:hAnsi="宋体" w:cs="宋体"/>
                <w:color w:val="000000"/>
                <w:sz w:val="22"/>
              </w:rPr>
            </w:pPr>
            <w:r>
              <w:rPr>
                <w:rFonts w:hint="eastAsia" w:ascii="宋体" w:hAnsi="宋体" w:cs="宋体"/>
                <w:color w:val="000000"/>
                <w:sz w:val="22"/>
              </w:rPr>
              <w:t>2、基材：桦木实木多层板，表面纹理清晰且全白、无结疤、无黑疤、无红点。侧板配亚克力镜面，搭配实木圆棒和挂钩，方便挂取。</w:t>
            </w:r>
          </w:p>
          <w:p w14:paraId="66903E9D">
            <w:pPr>
              <w:jc w:val="both"/>
              <w:rPr>
                <w:rFonts w:hint="eastAsia" w:ascii="宋体" w:hAnsi="宋体" w:cs="宋体"/>
                <w:color w:val="FF0000"/>
                <w:sz w:val="22"/>
              </w:rPr>
            </w:pPr>
            <w:r>
              <w:rPr>
                <w:rFonts w:hint="eastAsia" w:ascii="宋体" w:hAnsi="宋体" w:cs="宋体"/>
                <w:color w:val="000000"/>
                <w:sz w:val="22"/>
              </w:rPr>
              <w:t>▲</w:t>
            </w:r>
            <w:r>
              <w:rPr>
                <w:rFonts w:hint="eastAsia" w:ascii="宋体" w:hAnsi="宋体" w:cs="宋体"/>
                <w:color w:val="FF0000"/>
                <w:sz w:val="22"/>
              </w:rPr>
              <w:t>提供具有CMA或CNAS标识的桦木实木多层板符合《GB/T36022-2018 桦木实木多层板中氨释放量》的检测报告扫描件。（报告委托单位或报告抬头公司名称须与投标人或本次投标所提供货物制造商一致）</w:t>
            </w:r>
          </w:p>
          <w:p w14:paraId="205A7E27">
            <w:pPr>
              <w:jc w:val="both"/>
              <w:rPr>
                <w:rFonts w:hint="eastAsia" w:ascii="宋体" w:hAnsi="宋体" w:cs="宋体"/>
                <w:color w:val="000000"/>
                <w:sz w:val="22"/>
              </w:rPr>
            </w:pPr>
            <w:r>
              <w:rPr>
                <w:rFonts w:hint="eastAsia" w:ascii="宋体" w:hAnsi="宋体" w:cs="宋体"/>
                <w:color w:val="FF0000"/>
                <w:sz w:val="22"/>
              </w:rPr>
              <w:t>要求：提供检测报告关键信息扫描件；检测报告在全国认证认可信息公共服务平台网站（http://cx.cnca.cn/CertECloud/qts/qts/qtsPage）查询截图扫描件。投标人必须是所投产品的制造商或代理商，代理商需提供产品制造商品牌授权委托书。</w:t>
            </w:r>
          </w:p>
        </w:tc>
      </w:tr>
      <w:tr w14:paraId="635F5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61" w:type="pct"/>
            <w:vMerge w:val="continue"/>
            <w:shd w:val="clear" w:color="auto" w:fill="auto"/>
            <w:noWrap w:val="0"/>
            <w:vAlign w:val="center"/>
          </w:tcPr>
          <w:p w14:paraId="7F90928B">
            <w:pPr>
              <w:jc w:val="both"/>
              <w:rPr>
                <w:rFonts w:hint="eastAsia" w:ascii="宋体" w:hAnsi="宋体" w:cs="宋体"/>
                <w:color w:val="000000"/>
                <w:sz w:val="22"/>
              </w:rPr>
            </w:pPr>
          </w:p>
        </w:tc>
        <w:tc>
          <w:tcPr>
            <w:tcW w:w="1243" w:type="pct"/>
            <w:vMerge w:val="continue"/>
            <w:shd w:val="clear" w:color="auto" w:fill="auto"/>
            <w:noWrap w:val="0"/>
            <w:vAlign w:val="center"/>
          </w:tcPr>
          <w:p w14:paraId="01EEBDF4">
            <w:pPr>
              <w:jc w:val="both"/>
              <w:rPr>
                <w:rFonts w:hint="eastAsia" w:ascii="宋体" w:hAnsi="宋体" w:cs="宋体"/>
                <w:color w:val="000000"/>
                <w:sz w:val="22"/>
              </w:rPr>
            </w:pPr>
          </w:p>
        </w:tc>
        <w:tc>
          <w:tcPr>
            <w:tcW w:w="3194" w:type="pct"/>
            <w:noWrap w:val="0"/>
            <w:vAlign w:val="center"/>
          </w:tcPr>
          <w:p w14:paraId="2A3F3BE7">
            <w:pPr>
              <w:jc w:val="both"/>
              <w:rPr>
                <w:rFonts w:hint="eastAsia" w:ascii="宋体" w:hAnsi="宋体" w:cs="宋体"/>
                <w:color w:val="000000"/>
                <w:sz w:val="22"/>
              </w:rPr>
            </w:pPr>
            <w:r>
              <w:rPr>
                <w:rFonts w:hint="eastAsia" w:ascii="宋体" w:hAnsi="宋体" w:cs="宋体"/>
                <w:color w:val="000000"/>
                <w:sz w:val="22"/>
              </w:rPr>
              <w:t>3、五金：选用环保五金，安全无毒，色泽丰富。</w:t>
            </w:r>
          </w:p>
        </w:tc>
      </w:tr>
      <w:tr w14:paraId="52A5B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61" w:type="pct"/>
            <w:vMerge w:val="continue"/>
            <w:shd w:val="clear" w:color="auto" w:fill="auto"/>
            <w:noWrap w:val="0"/>
            <w:vAlign w:val="center"/>
          </w:tcPr>
          <w:p w14:paraId="0C62A074">
            <w:pPr>
              <w:jc w:val="both"/>
              <w:rPr>
                <w:rFonts w:hint="eastAsia" w:ascii="宋体" w:hAnsi="宋体" w:cs="宋体"/>
                <w:color w:val="000000"/>
                <w:sz w:val="22"/>
              </w:rPr>
            </w:pPr>
          </w:p>
        </w:tc>
        <w:tc>
          <w:tcPr>
            <w:tcW w:w="1243" w:type="pct"/>
            <w:vMerge w:val="continue"/>
            <w:shd w:val="clear" w:color="auto" w:fill="auto"/>
            <w:noWrap w:val="0"/>
            <w:vAlign w:val="center"/>
          </w:tcPr>
          <w:p w14:paraId="48247AFC">
            <w:pPr>
              <w:jc w:val="both"/>
              <w:rPr>
                <w:rFonts w:hint="eastAsia" w:ascii="宋体" w:hAnsi="宋体" w:cs="宋体"/>
                <w:color w:val="000000"/>
                <w:sz w:val="22"/>
              </w:rPr>
            </w:pPr>
          </w:p>
        </w:tc>
        <w:tc>
          <w:tcPr>
            <w:tcW w:w="3194" w:type="pct"/>
            <w:noWrap w:val="0"/>
            <w:vAlign w:val="center"/>
          </w:tcPr>
          <w:p w14:paraId="7826FFDD">
            <w:pPr>
              <w:jc w:val="both"/>
              <w:rPr>
                <w:rFonts w:hint="eastAsia" w:ascii="宋体" w:hAnsi="宋体" w:cs="宋体"/>
                <w:color w:val="000000"/>
                <w:sz w:val="22"/>
              </w:rPr>
            </w:pPr>
            <w:r>
              <w:rPr>
                <w:rFonts w:hint="eastAsia" w:ascii="宋体" w:hAnsi="宋体" w:cs="宋体"/>
                <w:color w:val="000000"/>
                <w:sz w:val="22"/>
              </w:rPr>
              <w:t>4、油漆：采用绿色环保无毒水性漆，经过两底一面工艺制作。附着力、耐冲击、耐磨、耐湿不小于3 级，灼烧、耐液、耐干、 耐冷热。</w:t>
            </w:r>
          </w:p>
        </w:tc>
      </w:tr>
      <w:tr w14:paraId="08AA9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61" w:type="pct"/>
            <w:vMerge w:val="continue"/>
            <w:shd w:val="clear" w:color="auto" w:fill="auto"/>
            <w:noWrap w:val="0"/>
            <w:vAlign w:val="center"/>
          </w:tcPr>
          <w:p w14:paraId="4F7DA70B">
            <w:pPr>
              <w:jc w:val="both"/>
              <w:rPr>
                <w:rFonts w:hint="eastAsia" w:ascii="宋体" w:hAnsi="宋体" w:cs="宋体"/>
                <w:color w:val="000000"/>
                <w:sz w:val="22"/>
              </w:rPr>
            </w:pPr>
          </w:p>
        </w:tc>
        <w:tc>
          <w:tcPr>
            <w:tcW w:w="1243" w:type="pct"/>
            <w:vMerge w:val="continue"/>
            <w:shd w:val="clear" w:color="auto" w:fill="auto"/>
            <w:noWrap w:val="0"/>
            <w:vAlign w:val="center"/>
          </w:tcPr>
          <w:p w14:paraId="1FD29EC3">
            <w:pPr>
              <w:jc w:val="both"/>
              <w:rPr>
                <w:rFonts w:hint="eastAsia" w:ascii="宋体" w:hAnsi="宋体" w:cs="宋体"/>
                <w:color w:val="000000"/>
                <w:sz w:val="22"/>
              </w:rPr>
            </w:pPr>
          </w:p>
        </w:tc>
        <w:tc>
          <w:tcPr>
            <w:tcW w:w="3194" w:type="pct"/>
            <w:noWrap w:val="0"/>
            <w:vAlign w:val="center"/>
          </w:tcPr>
          <w:p w14:paraId="7F19BF40">
            <w:pPr>
              <w:jc w:val="both"/>
              <w:rPr>
                <w:rFonts w:hint="eastAsia" w:ascii="宋体" w:hAnsi="宋体" w:cs="宋体"/>
                <w:color w:val="000000"/>
                <w:sz w:val="22"/>
              </w:rPr>
            </w:pPr>
            <w:r>
              <w:rPr>
                <w:rFonts w:hint="eastAsia" w:ascii="宋体" w:hAnsi="宋体" w:cs="宋体"/>
                <w:color w:val="000000"/>
                <w:sz w:val="22"/>
              </w:rPr>
              <w:t>5、其他：外延打磨指甲圆，光滑平整，正反面均无毛刺。</w:t>
            </w:r>
          </w:p>
        </w:tc>
      </w:tr>
      <w:tr w14:paraId="3712C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 w:hRule="atLeast"/>
        </w:trPr>
        <w:tc>
          <w:tcPr>
            <w:tcW w:w="561" w:type="pct"/>
            <w:vMerge w:val="continue"/>
            <w:shd w:val="clear" w:color="auto" w:fill="auto"/>
            <w:noWrap w:val="0"/>
            <w:vAlign w:val="center"/>
          </w:tcPr>
          <w:p w14:paraId="692D1057">
            <w:pPr>
              <w:jc w:val="both"/>
              <w:rPr>
                <w:rFonts w:hint="eastAsia" w:ascii="宋体" w:hAnsi="宋体" w:cs="宋体"/>
                <w:color w:val="000000"/>
                <w:sz w:val="22"/>
              </w:rPr>
            </w:pPr>
          </w:p>
        </w:tc>
        <w:tc>
          <w:tcPr>
            <w:tcW w:w="1243" w:type="pct"/>
            <w:vMerge w:val="continue"/>
            <w:shd w:val="clear" w:color="auto" w:fill="auto"/>
            <w:noWrap w:val="0"/>
            <w:vAlign w:val="center"/>
          </w:tcPr>
          <w:p w14:paraId="3A2399F2">
            <w:pPr>
              <w:jc w:val="both"/>
              <w:rPr>
                <w:rFonts w:hint="eastAsia" w:ascii="宋体" w:hAnsi="宋体" w:cs="宋体"/>
                <w:color w:val="000000"/>
                <w:sz w:val="22"/>
              </w:rPr>
            </w:pPr>
          </w:p>
        </w:tc>
        <w:tc>
          <w:tcPr>
            <w:tcW w:w="3194" w:type="pct"/>
            <w:noWrap w:val="0"/>
            <w:vAlign w:val="center"/>
          </w:tcPr>
          <w:p w14:paraId="20D690EB">
            <w:pPr>
              <w:jc w:val="both"/>
              <w:rPr>
                <w:rFonts w:hint="eastAsia" w:ascii="宋体" w:hAnsi="宋体" w:cs="宋体"/>
                <w:color w:val="000000"/>
                <w:sz w:val="22"/>
              </w:rPr>
            </w:pPr>
            <w:r>
              <w:rPr>
                <w:rFonts w:hint="eastAsia" w:ascii="宋体" w:hAnsi="宋体" w:cs="宋体"/>
                <w:color w:val="000000"/>
                <w:sz w:val="22"/>
              </w:rPr>
              <w:t>6、产品符合儿童家具通用技术标准。</w:t>
            </w:r>
          </w:p>
        </w:tc>
      </w:tr>
      <w:tr w14:paraId="39C15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561" w:type="pct"/>
            <w:vMerge w:val="restart"/>
            <w:shd w:val="clear" w:color="auto" w:fill="auto"/>
            <w:noWrap w:val="0"/>
            <w:vAlign w:val="center"/>
          </w:tcPr>
          <w:p w14:paraId="403EF342">
            <w:pPr>
              <w:jc w:val="center"/>
              <w:rPr>
                <w:rFonts w:hint="eastAsia" w:ascii="宋体" w:hAnsi="宋体" w:eastAsia="宋体" w:cs="宋体"/>
                <w:color w:val="000000"/>
                <w:kern w:val="2"/>
                <w:sz w:val="22"/>
                <w:szCs w:val="22"/>
                <w:lang w:val="en-US" w:eastAsia="zh-CN" w:bidi="ar-SA"/>
              </w:rPr>
            </w:pPr>
            <w:r>
              <w:rPr>
                <w:rFonts w:hint="eastAsia" w:ascii="宋体" w:hAnsi="宋体" w:cs="宋体"/>
                <w:color w:val="000000"/>
                <w:sz w:val="22"/>
              </w:rPr>
              <w:t>41</w:t>
            </w:r>
          </w:p>
        </w:tc>
        <w:tc>
          <w:tcPr>
            <w:tcW w:w="1243" w:type="pct"/>
            <w:vMerge w:val="restart"/>
            <w:shd w:val="clear" w:color="auto" w:fill="auto"/>
            <w:noWrap w:val="0"/>
            <w:vAlign w:val="center"/>
          </w:tcPr>
          <w:p w14:paraId="0B4BE70B">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两层五格玩具柜（无背板）</w:t>
            </w:r>
          </w:p>
        </w:tc>
        <w:tc>
          <w:tcPr>
            <w:tcW w:w="3194" w:type="pct"/>
            <w:noWrap w:val="0"/>
            <w:vAlign w:val="center"/>
          </w:tcPr>
          <w:p w14:paraId="2B329C88">
            <w:pPr>
              <w:jc w:val="both"/>
              <w:rPr>
                <w:rFonts w:hint="eastAsia" w:ascii="宋体" w:hAnsi="宋体" w:cs="宋体"/>
                <w:color w:val="000000"/>
                <w:sz w:val="22"/>
              </w:rPr>
            </w:pPr>
            <w:r>
              <w:rPr>
                <w:rFonts w:hint="eastAsia" w:ascii="宋体" w:hAnsi="宋体" w:cs="宋体"/>
                <w:color w:val="000000"/>
                <w:sz w:val="22"/>
              </w:rPr>
              <w:t>1、尺寸：L100cm*W33cm*H60.5cm（±</w:t>
            </w:r>
            <w:r>
              <w:rPr>
                <w:rFonts w:hint="eastAsia" w:ascii="宋体" w:hAnsi="宋体" w:cs="宋体"/>
                <w:color w:val="000000"/>
                <w:sz w:val="22"/>
                <w:lang w:val="en-US" w:eastAsia="zh-CN"/>
              </w:rPr>
              <w:t>2</w:t>
            </w:r>
            <w:r>
              <w:rPr>
                <w:rFonts w:hint="eastAsia" w:ascii="宋体" w:hAnsi="宋体" w:cs="宋体"/>
                <w:color w:val="000000"/>
                <w:sz w:val="22"/>
              </w:rPr>
              <w:t>cm）</w:t>
            </w:r>
          </w:p>
        </w:tc>
      </w:tr>
      <w:tr w14:paraId="3F16A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561" w:type="pct"/>
            <w:vMerge w:val="continue"/>
            <w:shd w:val="clear" w:color="auto" w:fill="auto"/>
            <w:noWrap w:val="0"/>
            <w:vAlign w:val="center"/>
          </w:tcPr>
          <w:p w14:paraId="66757958">
            <w:pPr>
              <w:jc w:val="both"/>
            </w:pPr>
          </w:p>
        </w:tc>
        <w:tc>
          <w:tcPr>
            <w:tcW w:w="1243" w:type="pct"/>
            <w:vMerge w:val="continue"/>
            <w:shd w:val="clear" w:color="auto" w:fill="auto"/>
            <w:noWrap w:val="0"/>
            <w:vAlign w:val="center"/>
          </w:tcPr>
          <w:p w14:paraId="3D28BF6C">
            <w:pPr>
              <w:jc w:val="both"/>
            </w:pPr>
          </w:p>
        </w:tc>
        <w:tc>
          <w:tcPr>
            <w:tcW w:w="3194" w:type="pct"/>
            <w:noWrap w:val="0"/>
            <w:vAlign w:val="center"/>
          </w:tcPr>
          <w:p w14:paraId="5F9FF0AD">
            <w:pPr>
              <w:jc w:val="both"/>
              <w:rPr>
                <w:rFonts w:hint="eastAsia" w:ascii="宋体" w:hAnsi="宋体" w:cs="宋体"/>
                <w:color w:val="000000"/>
                <w:sz w:val="22"/>
              </w:rPr>
            </w:pPr>
            <w:r>
              <w:rPr>
                <w:rFonts w:hint="eastAsia" w:ascii="宋体" w:hAnsi="宋体" w:cs="宋体"/>
                <w:color w:val="000000"/>
                <w:sz w:val="22"/>
              </w:rPr>
              <w:t>2、基材：桦木实木多层板，表面纹理清晰且全白、无结疤、无黑疤、无红点。柜体分二层五格隔断，无背板，从上至下，第一层分左右两格，隔断空间内径深度不大于31cm（±</w:t>
            </w:r>
            <w:r>
              <w:rPr>
                <w:rFonts w:hint="eastAsia" w:ascii="宋体" w:hAnsi="宋体" w:cs="宋体"/>
                <w:color w:val="000000"/>
                <w:sz w:val="22"/>
                <w:lang w:val="en-US" w:eastAsia="zh-CN"/>
              </w:rPr>
              <w:t>1</w:t>
            </w:r>
            <w:r>
              <w:rPr>
                <w:rFonts w:hint="eastAsia" w:ascii="宋体" w:hAnsi="宋体" w:cs="宋体"/>
                <w:color w:val="000000"/>
                <w:sz w:val="22"/>
              </w:rPr>
              <w:t>cm），长度不大于48cm（±</w:t>
            </w:r>
            <w:r>
              <w:rPr>
                <w:rFonts w:hint="eastAsia" w:ascii="宋体" w:hAnsi="宋体" w:cs="宋体"/>
                <w:color w:val="000000"/>
                <w:sz w:val="22"/>
                <w:lang w:val="en-US" w:eastAsia="zh-CN"/>
              </w:rPr>
              <w:t>1</w:t>
            </w:r>
            <w:r>
              <w:rPr>
                <w:rFonts w:hint="eastAsia" w:ascii="宋体" w:hAnsi="宋体" w:cs="宋体"/>
                <w:color w:val="000000"/>
                <w:sz w:val="22"/>
              </w:rPr>
              <w:t>cm），高度不大于26cm（±</w:t>
            </w:r>
            <w:r>
              <w:rPr>
                <w:rFonts w:hint="eastAsia" w:ascii="宋体" w:hAnsi="宋体" w:cs="宋体"/>
                <w:color w:val="000000"/>
                <w:sz w:val="22"/>
                <w:lang w:val="en-US" w:eastAsia="zh-CN"/>
              </w:rPr>
              <w:t>1</w:t>
            </w:r>
            <w:r>
              <w:rPr>
                <w:rFonts w:hint="eastAsia" w:ascii="宋体" w:hAnsi="宋体" w:cs="宋体"/>
                <w:color w:val="000000"/>
                <w:sz w:val="22"/>
              </w:rPr>
              <w:t>cm） ,可横向放置尺寸31*20*13.5cm（±</w:t>
            </w:r>
            <w:r>
              <w:rPr>
                <w:rFonts w:hint="eastAsia" w:ascii="宋体" w:hAnsi="宋体" w:cs="宋体"/>
                <w:color w:val="000000"/>
                <w:sz w:val="22"/>
                <w:lang w:val="en-US" w:eastAsia="zh-CN"/>
              </w:rPr>
              <w:t>1</w:t>
            </w:r>
            <w:r>
              <w:rPr>
                <w:rFonts w:hint="eastAsia" w:ascii="宋体" w:hAnsi="宋体" w:cs="宋体"/>
                <w:color w:val="000000"/>
                <w:sz w:val="22"/>
              </w:rPr>
              <w:t>cm）的收纳盒，第二层分左中右三格，隔断空间内径深度不大于31cm（±</w:t>
            </w:r>
            <w:r>
              <w:rPr>
                <w:rFonts w:hint="eastAsia" w:ascii="宋体" w:hAnsi="宋体" w:cs="宋体"/>
                <w:color w:val="000000"/>
                <w:sz w:val="22"/>
                <w:lang w:val="en-US" w:eastAsia="zh-CN"/>
              </w:rPr>
              <w:t>1</w:t>
            </w:r>
            <w:r>
              <w:rPr>
                <w:rFonts w:hint="eastAsia" w:ascii="宋体" w:hAnsi="宋体" w:cs="宋体"/>
                <w:color w:val="000000"/>
                <w:sz w:val="22"/>
              </w:rPr>
              <w:t>cm），内径长度不大于31cm（±</w:t>
            </w:r>
            <w:r>
              <w:rPr>
                <w:rFonts w:hint="eastAsia" w:ascii="宋体" w:hAnsi="宋体" w:cs="宋体"/>
                <w:color w:val="000000"/>
                <w:sz w:val="22"/>
                <w:lang w:val="en-US" w:eastAsia="zh-CN"/>
              </w:rPr>
              <w:t>1</w:t>
            </w:r>
            <w:r>
              <w:rPr>
                <w:rFonts w:hint="eastAsia" w:ascii="宋体" w:hAnsi="宋体" w:cs="宋体"/>
                <w:color w:val="000000"/>
                <w:sz w:val="22"/>
              </w:rPr>
              <w:t>cm），高度不大于26cm（±</w:t>
            </w:r>
            <w:r>
              <w:rPr>
                <w:rFonts w:hint="eastAsia" w:ascii="宋体" w:hAnsi="宋体" w:cs="宋体"/>
                <w:color w:val="000000"/>
                <w:sz w:val="22"/>
                <w:lang w:val="en-US" w:eastAsia="zh-CN"/>
              </w:rPr>
              <w:t>1</w:t>
            </w:r>
            <w:r>
              <w:rPr>
                <w:rFonts w:hint="eastAsia" w:ascii="宋体" w:hAnsi="宋体" w:cs="宋体"/>
                <w:color w:val="000000"/>
                <w:sz w:val="22"/>
              </w:rPr>
              <w:t>cm），柜体整体为原木色，柜体用螺丝固定。</w:t>
            </w:r>
          </w:p>
        </w:tc>
      </w:tr>
      <w:tr w14:paraId="3EE33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561" w:type="pct"/>
            <w:vMerge w:val="continue"/>
            <w:shd w:val="clear" w:color="auto" w:fill="auto"/>
            <w:noWrap w:val="0"/>
            <w:vAlign w:val="center"/>
          </w:tcPr>
          <w:p w14:paraId="26E0ABCE">
            <w:pPr>
              <w:jc w:val="both"/>
              <w:rPr>
                <w:rFonts w:hint="eastAsia" w:ascii="宋体" w:hAnsi="宋体" w:cs="宋体"/>
                <w:color w:val="000000"/>
                <w:sz w:val="22"/>
              </w:rPr>
            </w:pPr>
          </w:p>
        </w:tc>
        <w:tc>
          <w:tcPr>
            <w:tcW w:w="1243" w:type="pct"/>
            <w:vMerge w:val="continue"/>
            <w:shd w:val="clear" w:color="auto" w:fill="auto"/>
            <w:noWrap w:val="0"/>
            <w:vAlign w:val="center"/>
          </w:tcPr>
          <w:p w14:paraId="6FBFB6A9">
            <w:pPr>
              <w:jc w:val="both"/>
              <w:rPr>
                <w:rFonts w:hint="eastAsia" w:ascii="宋体" w:hAnsi="宋体" w:cs="宋体"/>
                <w:color w:val="000000"/>
                <w:sz w:val="22"/>
              </w:rPr>
            </w:pPr>
          </w:p>
        </w:tc>
        <w:tc>
          <w:tcPr>
            <w:tcW w:w="3194" w:type="pct"/>
            <w:noWrap w:val="0"/>
            <w:vAlign w:val="center"/>
          </w:tcPr>
          <w:p w14:paraId="19D918BF">
            <w:pPr>
              <w:jc w:val="both"/>
              <w:rPr>
                <w:rFonts w:hint="eastAsia" w:ascii="宋体" w:hAnsi="宋体" w:cs="宋体"/>
                <w:color w:val="000000"/>
                <w:sz w:val="22"/>
              </w:rPr>
            </w:pPr>
            <w:r>
              <w:rPr>
                <w:rFonts w:hint="eastAsia" w:ascii="宋体" w:hAnsi="宋体" w:cs="宋体"/>
                <w:color w:val="000000"/>
                <w:sz w:val="22"/>
              </w:rPr>
              <w:t>3、五金：选用环保五金，安全无毒，色泽丰富。</w:t>
            </w:r>
          </w:p>
        </w:tc>
      </w:tr>
      <w:tr w14:paraId="288F6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561" w:type="pct"/>
            <w:vMerge w:val="continue"/>
            <w:shd w:val="clear" w:color="auto" w:fill="auto"/>
            <w:noWrap w:val="0"/>
            <w:vAlign w:val="center"/>
          </w:tcPr>
          <w:p w14:paraId="30CBAE30">
            <w:pPr>
              <w:jc w:val="both"/>
              <w:rPr>
                <w:rFonts w:hint="eastAsia" w:ascii="宋体" w:hAnsi="宋体" w:cs="宋体"/>
                <w:color w:val="000000"/>
                <w:sz w:val="22"/>
              </w:rPr>
            </w:pPr>
          </w:p>
        </w:tc>
        <w:tc>
          <w:tcPr>
            <w:tcW w:w="1243" w:type="pct"/>
            <w:vMerge w:val="continue"/>
            <w:shd w:val="clear" w:color="auto" w:fill="auto"/>
            <w:noWrap w:val="0"/>
            <w:vAlign w:val="center"/>
          </w:tcPr>
          <w:p w14:paraId="18D0F1A0">
            <w:pPr>
              <w:jc w:val="both"/>
              <w:rPr>
                <w:rFonts w:hint="eastAsia" w:ascii="宋体" w:hAnsi="宋体" w:cs="宋体"/>
                <w:color w:val="000000"/>
                <w:sz w:val="22"/>
              </w:rPr>
            </w:pPr>
          </w:p>
        </w:tc>
        <w:tc>
          <w:tcPr>
            <w:tcW w:w="3194" w:type="pct"/>
            <w:noWrap w:val="0"/>
            <w:vAlign w:val="center"/>
          </w:tcPr>
          <w:p w14:paraId="16AD5F2E">
            <w:pPr>
              <w:jc w:val="both"/>
              <w:rPr>
                <w:rFonts w:hint="eastAsia" w:ascii="宋体" w:hAnsi="宋体" w:cs="宋体"/>
                <w:color w:val="000000"/>
                <w:sz w:val="22"/>
              </w:rPr>
            </w:pPr>
            <w:r>
              <w:rPr>
                <w:rFonts w:hint="eastAsia" w:ascii="宋体" w:hAnsi="宋体" w:cs="宋体"/>
                <w:color w:val="000000"/>
                <w:sz w:val="22"/>
              </w:rPr>
              <w:t>4、油漆：采用绿色环保无毒水性漆，经过两底一面工艺制作。附着力、耐冲击、耐磨、耐湿不小于3 级，灼烧、耐液、耐干、 耐冷热。</w:t>
            </w:r>
          </w:p>
        </w:tc>
      </w:tr>
      <w:tr w14:paraId="42B98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561" w:type="pct"/>
            <w:vMerge w:val="continue"/>
            <w:shd w:val="clear" w:color="auto" w:fill="auto"/>
            <w:noWrap w:val="0"/>
            <w:vAlign w:val="center"/>
          </w:tcPr>
          <w:p w14:paraId="221C7C63">
            <w:pPr>
              <w:jc w:val="both"/>
              <w:rPr>
                <w:rFonts w:hint="eastAsia" w:ascii="宋体" w:hAnsi="宋体" w:cs="宋体"/>
                <w:color w:val="000000"/>
                <w:sz w:val="22"/>
              </w:rPr>
            </w:pPr>
          </w:p>
        </w:tc>
        <w:tc>
          <w:tcPr>
            <w:tcW w:w="1243" w:type="pct"/>
            <w:vMerge w:val="continue"/>
            <w:shd w:val="clear" w:color="auto" w:fill="auto"/>
            <w:noWrap w:val="0"/>
            <w:vAlign w:val="center"/>
          </w:tcPr>
          <w:p w14:paraId="5374FEE3">
            <w:pPr>
              <w:jc w:val="both"/>
              <w:rPr>
                <w:rFonts w:hint="eastAsia" w:ascii="宋体" w:hAnsi="宋体" w:cs="宋体"/>
                <w:color w:val="000000"/>
                <w:sz w:val="22"/>
              </w:rPr>
            </w:pPr>
          </w:p>
        </w:tc>
        <w:tc>
          <w:tcPr>
            <w:tcW w:w="3194" w:type="pct"/>
            <w:noWrap w:val="0"/>
            <w:vAlign w:val="center"/>
          </w:tcPr>
          <w:p w14:paraId="1BD16F86">
            <w:pPr>
              <w:jc w:val="both"/>
              <w:rPr>
                <w:rFonts w:hint="eastAsia" w:ascii="宋体" w:hAnsi="宋体" w:cs="宋体"/>
                <w:color w:val="000000"/>
                <w:sz w:val="22"/>
              </w:rPr>
            </w:pPr>
            <w:r>
              <w:rPr>
                <w:rFonts w:hint="eastAsia" w:ascii="宋体" w:hAnsi="宋体" w:cs="宋体"/>
                <w:color w:val="000000"/>
                <w:sz w:val="22"/>
              </w:rPr>
              <w:t>5、其他：外延打磨指甲圆，光滑平整，正反面均无毛刺。</w:t>
            </w:r>
          </w:p>
        </w:tc>
      </w:tr>
      <w:tr w14:paraId="3C043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 w:hRule="atLeast"/>
        </w:trPr>
        <w:tc>
          <w:tcPr>
            <w:tcW w:w="561" w:type="pct"/>
            <w:vMerge w:val="continue"/>
            <w:shd w:val="clear" w:color="auto" w:fill="auto"/>
            <w:noWrap w:val="0"/>
            <w:vAlign w:val="center"/>
          </w:tcPr>
          <w:p w14:paraId="7E32499C">
            <w:pPr>
              <w:jc w:val="both"/>
              <w:rPr>
                <w:rFonts w:hint="eastAsia" w:ascii="宋体" w:hAnsi="宋体" w:cs="宋体"/>
                <w:color w:val="000000"/>
                <w:sz w:val="22"/>
              </w:rPr>
            </w:pPr>
          </w:p>
        </w:tc>
        <w:tc>
          <w:tcPr>
            <w:tcW w:w="1243" w:type="pct"/>
            <w:vMerge w:val="continue"/>
            <w:shd w:val="clear" w:color="auto" w:fill="auto"/>
            <w:noWrap w:val="0"/>
            <w:vAlign w:val="center"/>
          </w:tcPr>
          <w:p w14:paraId="6ACCCAE6">
            <w:pPr>
              <w:jc w:val="both"/>
              <w:rPr>
                <w:rFonts w:hint="eastAsia" w:ascii="宋体" w:hAnsi="宋体" w:cs="宋体"/>
                <w:color w:val="000000"/>
                <w:sz w:val="22"/>
              </w:rPr>
            </w:pPr>
          </w:p>
        </w:tc>
        <w:tc>
          <w:tcPr>
            <w:tcW w:w="3194" w:type="pct"/>
            <w:noWrap w:val="0"/>
            <w:vAlign w:val="center"/>
          </w:tcPr>
          <w:p w14:paraId="1CDF87AA">
            <w:pPr>
              <w:jc w:val="both"/>
              <w:rPr>
                <w:rFonts w:hint="eastAsia" w:ascii="宋体" w:hAnsi="宋体" w:cs="宋体"/>
                <w:color w:val="000000"/>
                <w:sz w:val="22"/>
              </w:rPr>
            </w:pPr>
            <w:r>
              <w:rPr>
                <w:rFonts w:hint="eastAsia" w:ascii="宋体" w:hAnsi="宋体" w:cs="宋体"/>
                <w:color w:val="000000"/>
                <w:sz w:val="22"/>
              </w:rPr>
              <w:t>6、产品符合儿童家具通用技术标准。</w:t>
            </w:r>
          </w:p>
        </w:tc>
      </w:tr>
      <w:tr w14:paraId="03A6C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561" w:type="pct"/>
            <w:vMerge w:val="restart"/>
            <w:shd w:val="clear" w:color="auto" w:fill="auto"/>
            <w:noWrap w:val="0"/>
            <w:vAlign w:val="center"/>
          </w:tcPr>
          <w:p w14:paraId="638E94BD">
            <w:pPr>
              <w:jc w:val="center"/>
              <w:rPr>
                <w:rFonts w:hint="eastAsia" w:ascii="宋体" w:hAnsi="宋体" w:eastAsia="宋体" w:cs="宋体"/>
                <w:color w:val="000000"/>
                <w:kern w:val="2"/>
                <w:sz w:val="22"/>
                <w:szCs w:val="22"/>
                <w:lang w:val="en-US" w:eastAsia="zh-CN" w:bidi="ar-SA"/>
              </w:rPr>
            </w:pPr>
            <w:r>
              <w:rPr>
                <w:rFonts w:hint="eastAsia" w:ascii="宋体" w:hAnsi="宋体" w:cs="宋体"/>
                <w:color w:val="000000"/>
                <w:sz w:val="22"/>
              </w:rPr>
              <w:t>42</w:t>
            </w:r>
          </w:p>
        </w:tc>
        <w:tc>
          <w:tcPr>
            <w:tcW w:w="1243" w:type="pct"/>
            <w:vMerge w:val="restart"/>
            <w:shd w:val="clear" w:color="auto" w:fill="auto"/>
            <w:noWrap w:val="0"/>
            <w:vAlign w:val="center"/>
          </w:tcPr>
          <w:p w14:paraId="016935BF">
            <w:pPr>
              <w:spacing w:beforeLines="0" w:afterLines="0"/>
              <w:jc w:val="center"/>
              <w:rPr>
                <w:rFonts w:hint="eastAsia" w:ascii="宋体" w:hAnsi="宋体" w:eastAsia="宋体" w:cs="Times New Roman"/>
                <w:color w:val="000000"/>
                <w:kern w:val="2"/>
                <w:sz w:val="22"/>
                <w:szCs w:val="24"/>
                <w:lang w:val="en-US" w:eastAsia="zh-CN" w:bidi="ar-SA"/>
              </w:rPr>
            </w:pPr>
            <w:r>
              <w:rPr>
                <w:rFonts w:hint="eastAsia" w:ascii="宋体" w:hAnsi="宋体"/>
                <w:color w:val="000000"/>
                <w:sz w:val="22"/>
                <w:szCs w:val="24"/>
              </w:rPr>
              <w:t>美工柜(含万向轮）</w:t>
            </w:r>
          </w:p>
        </w:tc>
        <w:tc>
          <w:tcPr>
            <w:tcW w:w="3194" w:type="pct"/>
            <w:noWrap w:val="0"/>
            <w:vAlign w:val="center"/>
          </w:tcPr>
          <w:p w14:paraId="1BE70A26">
            <w:pPr>
              <w:jc w:val="both"/>
              <w:rPr>
                <w:rFonts w:hint="eastAsia" w:ascii="宋体" w:hAnsi="宋体" w:cs="宋体"/>
                <w:color w:val="000000"/>
                <w:sz w:val="22"/>
              </w:rPr>
            </w:pPr>
            <w:r>
              <w:rPr>
                <w:rFonts w:hint="eastAsia" w:ascii="宋体" w:hAnsi="宋体" w:cs="宋体"/>
                <w:color w:val="000000"/>
                <w:sz w:val="22"/>
              </w:rPr>
              <w:t>1、尺寸：L80cm*W40cm*H76.5cm（±</w:t>
            </w:r>
            <w:r>
              <w:rPr>
                <w:rFonts w:hint="eastAsia" w:ascii="宋体" w:hAnsi="宋体" w:cs="宋体"/>
                <w:color w:val="000000"/>
                <w:sz w:val="22"/>
                <w:lang w:val="en-US" w:eastAsia="zh-CN"/>
              </w:rPr>
              <w:t>2</w:t>
            </w:r>
            <w:r>
              <w:rPr>
                <w:rFonts w:hint="eastAsia" w:ascii="宋体" w:hAnsi="宋体" w:cs="宋体"/>
                <w:color w:val="000000"/>
                <w:sz w:val="22"/>
              </w:rPr>
              <w:t>cm）</w:t>
            </w:r>
          </w:p>
        </w:tc>
      </w:tr>
      <w:tr w14:paraId="5C677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561" w:type="pct"/>
            <w:vMerge w:val="continue"/>
            <w:shd w:val="clear" w:color="auto" w:fill="auto"/>
            <w:noWrap w:val="0"/>
            <w:vAlign w:val="center"/>
          </w:tcPr>
          <w:p w14:paraId="29C9FCCB">
            <w:pPr>
              <w:jc w:val="both"/>
            </w:pPr>
          </w:p>
        </w:tc>
        <w:tc>
          <w:tcPr>
            <w:tcW w:w="1243" w:type="pct"/>
            <w:vMerge w:val="continue"/>
            <w:shd w:val="clear" w:color="auto" w:fill="auto"/>
            <w:noWrap w:val="0"/>
            <w:vAlign w:val="center"/>
          </w:tcPr>
          <w:p w14:paraId="5225261D">
            <w:pPr>
              <w:jc w:val="both"/>
            </w:pPr>
          </w:p>
        </w:tc>
        <w:tc>
          <w:tcPr>
            <w:tcW w:w="3194" w:type="pct"/>
            <w:noWrap w:val="0"/>
            <w:vAlign w:val="center"/>
          </w:tcPr>
          <w:p w14:paraId="02394EA3">
            <w:pPr>
              <w:jc w:val="both"/>
              <w:rPr>
                <w:rFonts w:hint="eastAsia" w:ascii="宋体" w:hAnsi="宋体" w:cs="宋体"/>
                <w:color w:val="000000"/>
                <w:sz w:val="22"/>
              </w:rPr>
            </w:pPr>
            <w:r>
              <w:rPr>
                <w:rFonts w:hint="eastAsia" w:ascii="宋体" w:hAnsi="宋体" w:cs="宋体"/>
                <w:color w:val="000000"/>
                <w:sz w:val="22"/>
              </w:rPr>
              <w:t>2、基材：桦木实木多层板，表面纹理清晰且全白、无结疤、无黑疤、无红点。柜体为三层向上开口式分层，顶层均分为内径尺寸不大于25*35.5*6cm（±</w:t>
            </w:r>
            <w:r>
              <w:rPr>
                <w:rFonts w:hint="eastAsia" w:ascii="宋体" w:hAnsi="宋体" w:cs="宋体"/>
                <w:color w:val="000000"/>
                <w:sz w:val="22"/>
                <w:lang w:val="en-US" w:eastAsia="zh-CN"/>
              </w:rPr>
              <w:t>1</w:t>
            </w:r>
            <w:r>
              <w:rPr>
                <w:rFonts w:hint="eastAsia" w:ascii="宋体" w:hAnsi="宋体" w:cs="宋体"/>
                <w:color w:val="000000"/>
                <w:sz w:val="22"/>
              </w:rPr>
              <w:t>cm）的三分格，第二层为内径不大于 77*32.5*6cm（±</w:t>
            </w:r>
            <w:r>
              <w:rPr>
                <w:rFonts w:hint="eastAsia" w:ascii="宋体" w:hAnsi="宋体" w:cs="宋体"/>
                <w:color w:val="000000"/>
                <w:sz w:val="22"/>
                <w:lang w:val="en-US" w:eastAsia="zh-CN"/>
              </w:rPr>
              <w:t>1</w:t>
            </w:r>
            <w:r>
              <w:rPr>
                <w:rFonts w:hint="eastAsia" w:ascii="宋体" w:hAnsi="宋体" w:cs="宋体"/>
                <w:color w:val="000000"/>
                <w:sz w:val="22"/>
              </w:rPr>
              <w:t>cm）的向上开口储物空间，第三层为内径不大于 77*35.5*6cm（±</w:t>
            </w:r>
            <w:r>
              <w:rPr>
                <w:rFonts w:hint="eastAsia" w:ascii="宋体" w:hAnsi="宋体" w:cs="宋体"/>
                <w:color w:val="000000"/>
                <w:sz w:val="22"/>
                <w:lang w:val="en-US" w:eastAsia="zh-CN"/>
              </w:rPr>
              <w:t>1</w:t>
            </w:r>
            <w:r>
              <w:rPr>
                <w:rFonts w:hint="eastAsia" w:ascii="宋体" w:hAnsi="宋体" w:cs="宋体"/>
                <w:color w:val="000000"/>
                <w:sz w:val="22"/>
              </w:rPr>
              <w:t>cm）的向上开口储物空间中空内径高度不大于 30cm（±</w:t>
            </w:r>
            <w:r>
              <w:rPr>
                <w:rFonts w:hint="eastAsia" w:ascii="宋体" w:hAnsi="宋体" w:cs="宋体"/>
                <w:color w:val="000000"/>
                <w:sz w:val="22"/>
                <w:lang w:val="en-US" w:eastAsia="zh-CN"/>
              </w:rPr>
              <w:t>1</w:t>
            </w:r>
            <w:r>
              <w:rPr>
                <w:rFonts w:hint="eastAsia" w:ascii="宋体" w:hAnsi="宋体" w:cs="宋体"/>
                <w:color w:val="000000"/>
                <w:sz w:val="22"/>
              </w:rPr>
              <w:t xml:space="preserve">cm）。 </w:t>
            </w:r>
          </w:p>
        </w:tc>
      </w:tr>
      <w:tr w14:paraId="08A8B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561" w:type="pct"/>
            <w:vMerge w:val="continue"/>
            <w:shd w:val="clear" w:color="auto" w:fill="auto"/>
            <w:noWrap w:val="0"/>
            <w:vAlign w:val="center"/>
          </w:tcPr>
          <w:p w14:paraId="279C8011">
            <w:pPr>
              <w:jc w:val="both"/>
              <w:rPr>
                <w:rFonts w:hint="eastAsia" w:ascii="宋体" w:hAnsi="宋体" w:cs="宋体"/>
                <w:color w:val="000000"/>
                <w:sz w:val="22"/>
              </w:rPr>
            </w:pPr>
          </w:p>
        </w:tc>
        <w:tc>
          <w:tcPr>
            <w:tcW w:w="1243" w:type="pct"/>
            <w:vMerge w:val="continue"/>
            <w:shd w:val="clear" w:color="auto" w:fill="auto"/>
            <w:noWrap w:val="0"/>
            <w:vAlign w:val="center"/>
          </w:tcPr>
          <w:p w14:paraId="7C4B86A0">
            <w:pPr>
              <w:jc w:val="both"/>
              <w:rPr>
                <w:rFonts w:hint="eastAsia" w:ascii="宋体" w:hAnsi="宋体" w:cs="宋体"/>
                <w:color w:val="000000"/>
                <w:sz w:val="22"/>
              </w:rPr>
            </w:pPr>
          </w:p>
        </w:tc>
        <w:tc>
          <w:tcPr>
            <w:tcW w:w="3194" w:type="pct"/>
            <w:noWrap w:val="0"/>
            <w:vAlign w:val="center"/>
          </w:tcPr>
          <w:p w14:paraId="603BD94B">
            <w:pPr>
              <w:jc w:val="both"/>
              <w:rPr>
                <w:rFonts w:hint="eastAsia" w:ascii="宋体" w:hAnsi="宋体" w:cs="宋体"/>
                <w:color w:val="000000"/>
                <w:sz w:val="22"/>
              </w:rPr>
            </w:pPr>
            <w:r>
              <w:rPr>
                <w:rFonts w:hint="eastAsia" w:ascii="宋体" w:hAnsi="宋体" w:cs="宋体"/>
                <w:color w:val="000000"/>
                <w:sz w:val="22"/>
              </w:rPr>
              <w:t>3、五金：选用环保五金，安全无毒，色泽丰富。</w:t>
            </w:r>
          </w:p>
        </w:tc>
      </w:tr>
      <w:tr w14:paraId="54E1F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561" w:type="pct"/>
            <w:vMerge w:val="continue"/>
            <w:shd w:val="clear" w:color="auto" w:fill="auto"/>
            <w:noWrap w:val="0"/>
            <w:vAlign w:val="center"/>
          </w:tcPr>
          <w:p w14:paraId="1D9ACD4D">
            <w:pPr>
              <w:jc w:val="both"/>
              <w:rPr>
                <w:rFonts w:hint="eastAsia" w:ascii="宋体" w:hAnsi="宋体" w:cs="宋体"/>
                <w:color w:val="000000"/>
                <w:sz w:val="22"/>
              </w:rPr>
            </w:pPr>
          </w:p>
        </w:tc>
        <w:tc>
          <w:tcPr>
            <w:tcW w:w="1243" w:type="pct"/>
            <w:vMerge w:val="continue"/>
            <w:shd w:val="clear" w:color="auto" w:fill="auto"/>
            <w:noWrap w:val="0"/>
            <w:vAlign w:val="center"/>
          </w:tcPr>
          <w:p w14:paraId="5BC5CDB6">
            <w:pPr>
              <w:jc w:val="both"/>
              <w:rPr>
                <w:rFonts w:hint="eastAsia" w:ascii="宋体" w:hAnsi="宋体" w:cs="宋体"/>
                <w:color w:val="000000"/>
                <w:sz w:val="22"/>
              </w:rPr>
            </w:pPr>
          </w:p>
        </w:tc>
        <w:tc>
          <w:tcPr>
            <w:tcW w:w="3194" w:type="pct"/>
            <w:noWrap w:val="0"/>
            <w:vAlign w:val="center"/>
          </w:tcPr>
          <w:p w14:paraId="426A52FF">
            <w:pPr>
              <w:jc w:val="both"/>
              <w:rPr>
                <w:rFonts w:hint="eastAsia" w:ascii="宋体" w:hAnsi="宋体" w:cs="宋体"/>
                <w:color w:val="000000"/>
                <w:sz w:val="22"/>
              </w:rPr>
            </w:pPr>
            <w:r>
              <w:rPr>
                <w:rFonts w:hint="eastAsia" w:ascii="宋体" w:hAnsi="宋体" w:cs="宋体"/>
                <w:color w:val="000000"/>
                <w:sz w:val="22"/>
              </w:rPr>
              <w:t>4、油漆：采用绿色环保无毒水性漆，经过两底一面工艺制作。附着力、耐冲击、耐磨、耐湿不小于3 级，灼烧、耐液、耐干、 耐冷热。</w:t>
            </w:r>
          </w:p>
        </w:tc>
      </w:tr>
      <w:tr w14:paraId="67086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561" w:type="pct"/>
            <w:vMerge w:val="continue"/>
            <w:shd w:val="clear" w:color="auto" w:fill="auto"/>
            <w:noWrap w:val="0"/>
            <w:vAlign w:val="center"/>
          </w:tcPr>
          <w:p w14:paraId="71381E84">
            <w:pPr>
              <w:jc w:val="both"/>
              <w:rPr>
                <w:rFonts w:hint="eastAsia" w:ascii="宋体" w:hAnsi="宋体" w:cs="宋体"/>
                <w:color w:val="000000"/>
                <w:sz w:val="22"/>
              </w:rPr>
            </w:pPr>
          </w:p>
        </w:tc>
        <w:tc>
          <w:tcPr>
            <w:tcW w:w="1243" w:type="pct"/>
            <w:vMerge w:val="continue"/>
            <w:shd w:val="clear" w:color="auto" w:fill="auto"/>
            <w:noWrap w:val="0"/>
            <w:vAlign w:val="center"/>
          </w:tcPr>
          <w:p w14:paraId="1F36FCC5">
            <w:pPr>
              <w:jc w:val="both"/>
              <w:rPr>
                <w:rFonts w:hint="eastAsia" w:ascii="宋体" w:hAnsi="宋体" w:cs="宋体"/>
                <w:color w:val="000000"/>
                <w:sz w:val="22"/>
              </w:rPr>
            </w:pPr>
          </w:p>
        </w:tc>
        <w:tc>
          <w:tcPr>
            <w:tcW w:w="3194" w:type="pct"/>
            <w:noWrap w:val="0"/>
            <w:vAlign w:val="center"/>
          </w:tcPr>
          <w:p w14:paraId="4FC5DF12">
            <w:pPr>
              <w:jc w:val="both"/>
              <w:rPr>
                <w:rFonts w:hint="eastAsia" w:ascii="宋体" w:hAnsi="宋体" w:cs="宋体"/>
                <w:color w:val="000000"/>
                <w:sz w:val="22"/>
              </w:rPr>
            </w:pPr>
            <w:r>
              <w:rPr>
                <w:rFonts w:hint="eastAsia" w:ascii="宋体" w:hAnsi="宋体" w:cs="宋体"/>
                <w:color w:val="000000"/>
                <w:sz w:val="22"/>
              </w:rPr>
              <w:t>5、其他：外延打磨指甲圆，光滑平整，正反面均无毛刺。底部配黑色万向轮，方便移动。</w:t>
            </w:r>
          </w:p>
        </w:tc>
      </w:tr>
      <w:tr w14:paraId="1169E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561" w:type="pct"/>
            <w:vMerge w:val="continue"/>
            <w:shd w:val="clear" w:color="auto" w:fill="auto"/>
            <w:noWrap w:val="0"/>
            <w:vAlign w:val="center"/>
          </w:tcPr>
          <w:p w14:paraId="7DCBF91B">
            <w:pPr>
              <w:jc w:val="both"/>
              <w:rPr>
                <w:rFonts w:hint="eastAsia" w:ascii="宋体" w:hAnsi="宋体" w:cs="宋体"/>
                <w:color w:val="000000"/>
                <w:sz w:val="22"/>
              </w:rPr>
            </w:pPr>
          </w:p>
        </w:tc>
        <w:tc>
          <w:tcPr>
            <w:tcW w:w="1243" w:type="pct"/>
            <w:vMerge w:val="continue"/>
            <w:shd w:val="clear" w:color="auto" w:fill="auto"/>
            <w:noWrap w:val="0"/>
            <w:vAlign w:val="center"/>
          </w:tcPr>
          <w:p w14:paraId="3B77196A">
            <w:pPr>
              <w:jc w:val="both"/>
              <w:rPr>
                <w:rFonts w:hint="eastAsia" w:ascii="宋体" w:hAnsi="宋体" w:cs="宋体"/>
                <w:color w:val="000000"/>
                <w:sz w:val="22"/>
              </w:rPr>
            </w:pPr>
          </w:p>
        </w:tc>
        <w:tc>
          <w:tcPr>
            <w:tcW w:w="3194" w:type="pct"/>
            <w:noWrap w:val="0"/>
            <w:vAlign w:val="center"/>
          </w:tcPr>
          <w:p w14:paraId="7F1EE5F0">
            <w:pPr>
              <w:jc w:val="both"/>
              <w:rPr>
                <w:rFonts w:hint="eastAsia" w:ascii="宋体" w:hAnsi="宋体" w:cs="宋体"/>
                <w:color w:val="000000"/>
                <w:sz w:val="22"/>
              </w:rPr>
            </w:pPr>
            <w:r>
              <w:rPr>
                <w:rFonts w:hint="eastAsia" w:ascii="宋体" w:hAnsi="宋体" w:cs="宋体"/>
                <w:color w:val="000000"/>
                <w:sz w:val="22"/>
              </w:rPr>
              <w:t>6、产品符合儿童家具通用技术标准。</w:t>
            </w:r>
          </w:p>
        </w:tc>
      </w:tr>
    </w:tbl>
    <w:p w14:paraId="768D0BFD">
      <w:pPr>
        <w:rPr>
          <w:rFonts w:hint="eastAsia" w:ascii="宋体" w:hAnsi="宋体" w:eastAsia="宋体" w:cs="Times New Roman"/>
          <w:b/>
          <w:color w:val="FF0000"/>
          <w:szCs w:val="21"/>
        </w:rPr>
      </w:pPr>
    </w:p>
    <w:p w14:paraId="1556FA69">
      <w:pPr>
        <w:rPr>
          <w:rFonts w:hint="eastAsia" w:ascii="宋体" w:hAnsi="宋体" w:eastAsia="宋体" w:cs="Times New Roman"/>
          <w:b/>
          <w:color w:val="FF0000"/>
          <w:szCs w:val="21"/>
          <w:highlight w:val="yellow"/>
        </w:rPr>
      </w:pPr>
      <w:r>
        <w:rPr>
          <w:rFonts w:hint="eastAsia" w:ascii="宋体" w:hAnsi="宋体" w:eastAsia="宋体" w:cs="Times New Roman"/>
          <w:b/>
          <w:color w:val="FF0000"/>
          <w:szCs w:val="21"/>
        </w:rPr>
        <w:t>1、带</w:t>
      </w:r>
      <w:r>
        <w:rPr>
          <w:rFonts w:hint="eastAsia" w:ascii="宋体" w:hAnsi="宋体" w:eastAsia="宋体" w:cs="Times New Roman"/>
          <w:b/>
          <w:bCs/>
          <w:color w:val="FF0000"/>
          <w:szCs w:val="21"/>
        </w:rPr>
        <w:t>★</w:t>
      </w:r>
      <w:r>
        <w:rPr>
          <w:rFonts w:hint="eastAsia" w:ascii="宋体" w:hAnsi="宋体" w:eastAsia="宋体" w:cs="Times New Roman"/>
          <w:b/>
          <w:color w:val="FF0000"/>
          <w:szCs w:val="21"/>
        </w:rPr>
        <w:t>号要求为不可偏离要求，如出现负偏离，将导致投标无效。带▲号参数为重要参数，其他参数（非▲号参数）为普通参数，如出现负偏离，将按照评分准则做扣分处理。</w:t>
      </w:r>
      <w:r>
        <w:rPr>
          <w:rFonts w:hint="eastAsia" w:ascii="宋体" w:hAnsi="宋体" w:eastAsia="宋体" w:cs="Times New Roman"/>
          <w:b/>
          <w:color w:val="FF0000"/>
          <w:szCs w:val="21"/>
          <w:highlight w:val="yellow"/>
        </w:rPr>
        <w:t>如注明要求提供相关佐证材料的，需以佐证材料作为是否偏离的依据。</w:t>
      </w:r>
    </w:p>
    <w:p w14:paraId="0A6CD275">
      <w:pPr>
        <w:spacing w:after="78"/>
        <w:jc w:val="left"/>
        <w:rPr>
          <w:rFonts w:ascii="Calibri" w:hAnsi="Calibri" w:eastAsia="宋体" w:cs="Times New Roman"/>
          <w:color w:val="FF0000"/>
          <w:szCs w:val="21"/>
        </w:rPr>
      </w:pPr>
      <w:r>
        <w:rPr>
          <w:rFonts w:hint="eastAsia" w:ascii="Calibri" w:hAnsi="Calibri" w:eastAsia="宋体" w:cs="Times New Roman"/>
          <w:color w:val="FF0000"/>
          <w:szCs w:val="21"/>
        </w:rPr>
        <w:t>2、所列的技术</w:t>
      </w:r>
      <w:r>
        <w:rPr>
          <w:rFonts w:ascii="Calibri" w:hAnsi="Calibri" w:eastAsia="宋体" w:cs="Times New Roman"/>
          <w:color w:val="FF0000"/>
          <w:szCs w:val="21"/>
        </w:rPr>
        <w:t>参数</w:t>
      </w:r>
      <w:r>
        <w:rPr>
          <w:rFonts w:hint="eastAsia" w:ascii="Calibri" w:hAnsi="Calibri" w:eastAsia="宋体" w:cs="Times New Roman"/>
          <w:color w:val="FF0000"/>
          <w:szCs w:val="21"/>
        </w:rPr>
        <w:t>需求中如出现品牌信息仅供参考，不作为参数要求，目的只为投标人更清楚地了解采购需求，投标人可提供其他品牌设备投标。</w:t>
      </w:r>
    </w:p>
    <w:p w14:paraId="458503EB">
      <w:pPr>
        <w:spacing w:after="78"/>
        <w:jc w:val="left"/>
        <w:rPr>
          <w:rFonts w:ascii="Calibri" w:hAnsi="Calibri" w:eastAsia="宋体" w:cs="Times New Roman"/>
          <w:color w:val="FF0000"/>
          <w:szCs w:val="21"/>
        </w:rPr>
      </w:pPr>
      <w:r>
        <w:rPr>
          <w:rFonts w:hint="eastAsia" w:ascii="Calibri" w:hAnsi="Calibri" w:eastAsia="宋体" w:cs="Times New Roman"/>
          <w:color w:val="FF0000"/>
          <w:szCs w:val="21"/>
        </w:rPr>
        <w:t>3、如有</w:t>
      </w:r>
      <w:r>
        <w:rPr>
          <w:rFonts w:ascii="Calibri" w:hAnsi="Calibri" w:eastAsia="宋体" w:cs="Times New Roman"/>
          <w:color w:val="FF0000"/>
          <w:szCs w:val="21"/>
        </w:rPr>
        <w:t>方案表述中有出现类似可实现、</w:t>
      </w:r>
      <w:r>
        <w:rPr>
          <w:rFonts w:hint="eastAsia" w:ascii="Calibri" w:hAnsi="Calibri" w:eastAsia="宋体" w:cs="Times New Roman"/>
          <w:color w:val="FF0000"/>
          <w:szCs w:val="21"/>
        </w:rPr>
        <w:t>实现</w:t>
      </w:r>
      <w:r>
        <w:rPr>
          <w:rFonts w:ascii="Calibri" w:hAnsi="Calibri" w:eastAsia="宋体" w:cs="Times New Roman"/>
          <w:color w:val="FF0000"/>
          <w:szCs w:val="21"/>
        </w:rPr>
        <w:t>、</w:t>
      </w:r>
      <w:r>
        <w:rPr>
          <w:rFonts w:hint="eastAsia" w:ascii="Calibri" w:hAnsi="Calibri" w:eastAsia="宋体" w:cs="Times New Roman"/>
          <w:color w:val="FF0000"/>
          <w:szCs w:val="21"/>
        </w:rPr>
        <w:t>可</w:t>
      </w:r>
      <w:r>
        <w:rPr>
          <w:rFonts w:ascii="Calibri" w:hAnsi="Calibri" w:eastAsia="宋体" w:cs="Times New Roman"/>
          <w:color w:val="FF0000"/>
          <w:szCs w:val="21"/>
        </w:rPr>
        <w:t>支持、支持</w:t>
      </w:r>
      <w:r>
        <w:rPr>
          <w:rFonts w:hint="eastAsia" w:ascii="Calibri" w:hAnsi="Calibri" w:eastAsia="宋体" w:cs="Times New Roman"/>
          <w:color w:val="FF0000"/>
          <w:szCs w:val="21"/>
        </w:rPr>
        <w:t>等</w:t>
      </w:r>
      <w:r>
        <w:rPr>
          <w:rFonts w:ascii="Calibri" w:hAnsi="Calibri" w:eastAsia="宋体" w:cs="Times New Roman"/>
          <w:color w:val="FF0000"/>
          <w:szCs w:val="21"/>
        </w:rPr>
        <w:t>描述的，均表示方案需要实现的功能或</w:t>
      </w:r>
      <w:r>
        <w:rPr>
          <w:rFonts w:hint="eastAsia" w:ascii="Calibri" w:hAnsi="Calibri" w:eastAsia="宋体" w:cs="Times New Roman"/>
          <w:color w:val="FF0000"/>
          <w:szCs w:val="21"/>
        </w:rPr>
        <w:t>应满足的</w:t>
      </w:r>
      <w:r>
        <w:rPr>
          <w:rFonts w:ascii="Calibri" w:hAnsi="Calibri" w:eastAsia="宋体" w:cs="Times New Roman"/>
          <w:color w:val="FF0000"/>
          <w:szCs w:val="21"/>
        </w:rPr>
        <w:t>要求，即项目在验收时无须增加其他</w:t>
      </w:r>
      <w:r>
        <w:rPr>
          <w:rFonts w:hint="eastAsia" w:ascii="Calibri" w:hAnsi="Calibri" w:eastAsia="宋体" w:cs="Times New Roman"/>
          <w:color w:val="FF0000"/>
          <w:szCs w:val="21"/>
        </w:rPr>
        <w:t>额外</w:t>
      </w:r>
      <w:r>
        <w:rPr>
          <w:rFonts w:ascii="Calibri" w:hAnsi="Calibri" w:eastAsia="宋体" w:cs="Times New Roman"/>
          <w:color w:val="FF0000"/>
          <w:szCs w:val="21"/>
        </w:rPr>
        <w:t>设备</w:t>
      </w:r>
      <w:r>
        <w:rPr>
          <w:rFonts w:hint="eastAsia" w:ascii="Calibri" w:hAnsi="Calibri" w:eastAsia="宋体" w:cs="Times New Roman"/>
          <w:color w:val="FF0000"/>
          <w:szCs w:val="21"/>
        </w:rPr>
        <w:t>或</w:t>
      </w:r>
      <w:r>
        <w:rPr>
          <w:rFonts w:ascii="Calibri" w:hAnsi="Calibri" w:eastAsia="宋体" w:cs="Times New Roman"/>
          <w:color w:val="FF0000"/>
          <w:szCs w:val="21"/>
        </w:rPr>
        <w:t>系统</w:t>
      </w:r>
      <w:r>
        <w:rPr>
          <w:rFonts w:hint="eastAsia" w:ascii="Calibri" w:hAnsi="Calibri" w:eastAsia="宋体" w:cs="Times New Roman"/>
          <w:color w:val="FF0000"/>
          <w:szCs w:val="21"/>
        </w:rPr>
        <w:t>，</w:t>
      </w:r>
      <w:r>
        <w:rPr>
          <w:rFonts w:ascii="Calibri" w:hAnsi="Calibri" w:eastAsia="宋体" w:cs="Times New Roman"/>
          <w:color w:val="FF0000"/>
          <w:szCs w:val="21"/>
        </w:rPr>
        <w:t>使用本项目中的设备或</w:t>
      </w:r>
      <w:r>
        <w:rPr>
          <w:rFonts w:hint="eastAsia" w:ascii="Calibri" w:hAnsi="Calibri" w:eastAsia="宋体" w:cs="Times New Roman"/>
          <w:color w:val="FF0000"/>
          <w:szCs w:val="21"/>
        </w:rPr>
        <w:t>系统</w:t>
      </w:r>
      <w:r>
        <w:rPr>
          <w:rFonts w:ascii="Calibri" w:hAnsi="Calibri" w:eastAsia="宋体" w:cs="Times New Roman"/>
          <w:color w:val="FF0000"/>
          <w:szCs w:val="21"/>
        </w:rPr>
        <w:t>即能实现</w:t>
      </w:r>
      <w:r>
        <w:rPr>
          <w:rFonts w:hint="eastAsia" w:ascii="Calibri" w:hAnsi="Calibri" w:eastAsia="宋体" w:cs="Times New Roman"/>
          <w:color w:val="FF0000"/>
          <w:szCs w:val="21"/>
        </w:rPr>
        <w:t>相应功能</w:t>
      </w:r>
      <w:r>
        <w:rPr>
          <w:rFonts w:ascii="Calibri" w:hAnsi="Calibri" w:eastAsia="宋体" w:cs="Times New Roman"/>
          <w:color w:val="FF0000"/>
          <w:szCs w:val="21"/>
        </w:rPr>
        <w:t>或</w:t>
      </w:r>
      <w:r>
        <w:rPr>
          <w:rFonts w:hint="eastAsia" w:ascii="Calibri" w:hAnsi="Calibri" w:eastAsia="宋体" w:cs="Times New Roman"/>
          <w:color w:val="FF0000"/>
          <w:szCs w:val="21"/>
        </w:rPr>
        <w:t>满足相关</w:t>
      </w:r>
      <w:r>
        <w:rPr>
          <w:rFonts w:ascii="Calibri" w:hAnsi="Calibri" w:eastAsia="宋体" w:cs="Times New Roman"/>
          <w:color w:val="FF0000"/>
          <w:szCs w:val="21"/>
        </w:rPr>
        <w:t>要求。</w:t>
      </w:r>
    </w:p>
    <w:p w14:paraId="2694A68C">
      <w:pPr>
        <w:spacing w:after="78"/>
        <w:jc w:val="left"/>
        <w:rPr>
          <w:rFonts w:ascii="Calibri" w:hAnsi="Calibri" w:eastAsia="宋体" w:cs="Times New Roman"/>
          <w:color w:val="FF0000"/>
          <w:szCs w:val="21"/>
        </w:rPr>
      </w:pPr>
      <w:r>
        <w:rPr>
          <w:rFonts w:ascii="Calibri" w:hAnsi="Calibri" w:eastAsia="宋体" w:cs="Times New Roman"/>
          <w:color w:val="FF0000"/>
          <w:szCs w:val="21"/>
        </w:rPr>
        <w:t>4、针对招标文件产品技术参数如涉及相关既定值、单向范围值、区间范围值的，投标技术参数响应方式举例说明如下：</w:t>
      </w:r>
    </w:p>
    <w:p w14:paraId="6B2DC06B">
      <w:pPr>
        <w:spacing w:after="78"/>
        <w:jc w:val="left"/>
        <w:rPr>
          <w:rFonts w:ascii="Calibri" w:hAnsi="Calibri" w:eastAsia="宋体" w:cs="Times New Roman"/>
          <w:color w:val="FF0000"/>
          <w:szCs w:val="21"/>
        </w:rPr>
      </w:pPr>
      <w:r>
        <w:rPr>
          <w:rFonts w:ascii="Calibri" w:hAnsi="Calibri" w:eastAsia="宋体" w:cs="Times New Roman"/>
          <w:color w:val="FF0000"/>
          <w:szCs w:val="21"/>
        </w:rPr>
        <w:t>（1）涉及相关既定值的，例：招标技术参数要求值为“20L”，投标技术参数响应值与“20L”不一致的，均视为负偏离；</w:t>
      </w:r>
    </w:p>
    <w:p w14:paraId="6F165E85">
      <w:pPr>
        <w:spacing w:after="78"/>
        <w:jc w:val="left"/>
        <w:rPr>
          <w:rFonts w:ascii="Calibri" w:hAnsi="Calibri" w:eastAsia="宋体" w:cs="Times New Roman"/>
          <w:color w:val="FF0000"/>
          <w:szCs w:val="21"/>
        </w:rPr>
      </w:pPr>
      <w:r>
        <w:rPr>
          <w:rFonts w:ascii="Calibri" w:hAnsi="Calibri" w:eastAsia="宋体" w:cs="Times New Roman"/>
          <w:color w:val="FF0000"/>
          <w:szCs w:val="21"/>
        </w:rPr>
        <w:t>（2）涉及相关单向范围值的，例：招标技术参数要求的单向范围值为“≥6m”，除有特别注明以外，投标技术参数响应值与招标技术参数要求范围值完全一致的（如响应为“≥6m”）或投标技术参数响应值大于招标技术参数要求范围值的（如响应为“≥5”或“＞5”等）或投标技术参数响应值为招标技术参数要求范围值内的任意值的（如响应为“7m”或“6.5m”等）均视为符合要求，投标技术参数响应值小于招标技术参数要求的（如响应为"＜6m"或“＜5m”或“5m”等）均视为负偏离；</w:t>
      </w:r>
    </w:p>
    <w:p w14:paraId="6C645958">
      <w:pPr>
        <w:spacing w:after="78"/>
        <w:jc w:val="left"/>
        <w:rPr>
          <w:rFonts w:hint="eastAsia" w:eastAsia="黑体" w:cs="Times New Roman"/>
          <w:kern w:val="44"/>
          <w:szCs w:val="44"/>
        </w:rPr>
      </w:pPr>
      <w:r>
        <w:rPr>
          <w:rFonts w:ascii="Calibri" w:hAnsi="Calibri" w:eastAsia="宋体" w:cs="Times New Roman"/>
          <w:color w:val="FF0000"/>
          <w:szCs w:val="21"/>
        </w:rPr>
        <w:t>（3）涉及相关区间范围值的，例：招标技术参数要求的区间范围值为“0-20ML”，除有特别注明以外，投标技术参数响应值与招标技术参数要求范围值完全一致的（如响应为“0-20ML”）或投标技术参数响应值大于招标技术参数要求范围值的（如响应为“0-21ML”或“-1-20ML”或“0-25ML”等）均视为符合要求，投标技术参数响应值小于招标技术参数要求范围值的（如响应为“0-15ML”或“1-12ML ”或 “9-20ML”或“9ML” 等）均视为负偏离。</w:t>
      </w:r>
    </w:p>
    <w:p w14:paraId="166C17C9">
      <w:pPr>
        <w:pStyle w:val="4"/>
        <w:spacing w:before="156" w:beforeLines="50" w:after="156" w:afterLines="50" w:line="416" w:lineRule="auto"/>
        <w:jc w:val="center"/>
        <w:rPr>
          <w:rFonts w:hint="eastAsia"/>
          <w:szCs w:val="28"/>
        </w:rPr>
      </w:pPr>
      <w:r>
        <w:rPr>
          <w:rFonts w:hint="eastAsia"/>
          <w:szCs w:val="28"/>
        </w:rPr>
        <w:t>六、其他重要条款</w:t>
      </w:r>
    </w:p>
    <w:p w14:paraId="64206B8C">
      <w:pPr>
        <w:ind w:firstLine="420" w:firstLineChars="200"/>
        <w:rPr>
          <w:bCs/>
          <w:szCs w:val="21"/>
        </w:rPr>
      </w:pPr>
      <w:r>
        <w:rPr>
          <w:rFonts w:hint="eastAsia"/>
          <w:bCs/>
          <w:szCs w:val="21"/>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14:paraId="3870431C">
      <w:pPr>
        <w:ind w:firstLine="420" w:firstLineChars="200"/>
        <w:rPr>
          <w:bCs/>
          <w:szCs w:val="21"/>
        </w:rPr>
      </w:pPr>
      <w:r>
        <w:rPr>
          <w:rFonts w:hint="eastAsia"/>
          <w:bCs/>
          <w:szCs w:val="21"/>
        </w:rPr>
        <w:t>2、投标人应充分了解项目的位置、情况、道路及任何其它足以影响投标报价的情况，任何因忽视或误解项目情况而导致的索赔或服务期限延长申请将不获批准。</w:t>
      </w:r>
    </w:p>
    <w:p w14:paraId="7B055B01">
      <w:pPr>
        <w:ind w:firstLine="420" w:firstLineChars="200"/>
        <w:rPr>
          <w:bCs/>
          <w:szCs w:val="21"/>
        </w:rPr>
      </w:pPr>
      <w:r>
        <w:rPr>
          <w:rFonts w:hint="eastAsia"/>
          <w:bCs/>
          <w:szCs w:val="21"/>
        </w:rPr>
        <w:t>3、投标人不得期望通过索赔等方式获取补偿，否则，除可能遭到拒绝外，还可能将被作为不良行为记录在案，并可能影响其以后参加政府采购的项目投标。各投标人在投标报价时，应充分考虑投标报价的风险。</w:t>
      </w:r>
    </w:p>
    <w:p w14:paraId="7AC295E8">
      <w:pPr>
        <w:ind w:firstLine="420" w:firstLineChars="200"/>
        <w:rPr>
          <w:bCs/>
          <w:szCs w:val="21"/>
        </w:rPr>
      </w:pPr>
      <w:r>
        <w:rPr>
          <w:rFonts w:hint="eastAsia"/>
          <w:bCs/>
          <w:szCs w:val="21"/>
        </w:rPr>
        <w:t>4、除政府采购合同继续履行将损害国家利益和社会公共利益外，双方当事人不得擅自变更、中止或者终止合同。</w:t>
      </w:r>
    </w:p>
    <w:p w14:paraId="1FEA74EC">
      <w:pPr>
        <w:ind w:firstLine="420" w:firstLineChars="200"/>
        <w:rPr>
          <w:rFonts w:hint="eastAsia" w:ascii="宋体" w:hAnsi="宋体" w:eastAsia="宋体" w:cs="Times New Roman"/>
          <w:b/>
          <w:bCs/>
          <w:kern w:val="0"/>
          <w:sz w:val="28"/>
          <w:szCs w:val="28"/>
        </w:rPr>
      </w:pPr>
      <w:r>
        <w:rPr>
          <w:rFonts w:hint="eastAsia"/>
          <w:bCs/>
          <w:szCs w:val="21"/>
        </w:rPr>
        <w:t>5、“信用中国”中“信用服务”栏的“重大税收违法失信主体”“失信被执行人”，“中国政府采购网”中的“政府采购严重违法失信行为记录名单”，以及“深圳市政府采购监管网”为供应商信用信息的查询渠道，相关信息以开标当日的查询结果为准。</w:t>
      </w:r>
    </w:p>
    <w:p w14:paraId="0F147152">
      <w:pPr>
        <w:keepNext/>
        <w:keepLines/>
        <w:adjustRightInd w:val="0"/>
        <w:spacing w:line="320" w:lineRule="atLeast"/>
        <w:jc w:val="center"/>
        <w:textAlignment w:val="baseline"/>
        <w:outlineLvl w:val="1"/>
        <w:rPr>
          <w:rFonts w:hint="eastAsia" w:ascii="宋体" w:hAnsi="宋体" w:eastAsia="宋体" w:cs="Times New Roman"/>
          <w:b/>
          <w:bCs/>
          <w:kern w:val="0"/>
          <w:sz w:val="28"/>
          <w:szCs w:val="28"/>
        </w:rPr>
      </w:pPr>
      <w:r>
        <w:rPr>
          <w:rFonts w:hint="eastAsia" w:ascii="宋体" w:hAnsi="宋体" w:eastAsia="宋体" w:cs="Times New Roman"/>
          <w:b/>
          <w:bCs/>
          <w:kern w:val="0"/>
          <w:sz w:val="28"/>
          <w:szCs w:val="28"/>
        </w:rPr>
        <w:t>第四章</w:t>
      </w:r>
      <w:r>
        <w:rPr>
          <w:rFonts w:ascii="宋体" w:hAnsi="宋体" w:eastAsia="宋体" w:cs="Times New Roman"/>
          <w:b/>
          <w:bCs/>
          <w:kern w:val="0"/>
          <w:sz w:val="28"/>
          <w:szCs w:val="28"/>
        </w:rPr>
        <w:t xml:space="preserve"> </w:t>
      </w:r>
      <w:r>
        <w:rPr>
          <w:rFonts w:hint="eastAsia" w:ascii="宋体" w:hAnsi="宋体" w:eastAsia="宋体" w:cs="Times New Roman"/>
          <w:b/>
          <w:bCs/>
          <w:kern w:val="0"/>
          <w:sz w:val="28"/>
          <w:szCs w:val="28"/>
        </w:rPr>
        <w:t xml:space="preserve"> 投标文件组成要求及格式</w:t>
      </w:r>
    </w:p>
    <w:p w14:paraId="0E7DDB2E">
      <w:pPr>
        <w:pStyle w:val="9"/>
      </w:pPr>
      <w:bookmarkStart w:id="15" w:name="_Hlk72257167"/>
    </w:p>
    <w:bookmarkEnd w:id="15"/>
    <w:p w14:paraId="34E27ED1">
      <w:pPr>
        <w:widowControl/>
        <w:spacing w:line="320" w:lineRule="atLeast"/>
        <w:jc w:val="left"/>
        <w:outlineLvl w:val="2"/>
        <w:rPr>
          <w:rFonts w:hint="eastAsia" w:ascii="宋体" w:hAnsi="宋体" w:eastAsia="黑体" w:cs="Times New Roman"/>
          <w:bCs/>
          <w:kern w:val="44"/>
          <w:sz w:val="24"/>
          <w:szCs w:val="24"/>
        </w:rPr>
      </w:pPr>
      <w:r>
        <w:rPr>
          <w:rFonts w:hint="eastAsia" w:ascii="宋体" w:hAnsi="宋体" w:eastAsia="黑体" w:cs="Times New Roman"/>
          <w:bCs/>
          <w:kern w:val="44"/>
          <w:sz w:val="24"/>
          <w:szCs w:val="24"/>
        </w:rPr>
        <w:t>投标文件组成：</w:t>
      </w:r>
    </w:p>
    <w:p w14:paraId="21293F40">
      <w:pPr>
        <w:ind w:firstLine="1200" w:firstLineChars="500"/>
        <w:outlineLvl w:val="0"/>
        <w:rPr>
          <w:rFonts w:hint="eastAsia" w:ascii="宋体" w:hAnsi="宋体"/>
          <w:sz w:val="24"/>
        </w:rPr>
      </w:pPr>
      <w:bookmarkStart w:id="16" w:name="_Hlk72257771"/>
      <w:r>
        <w:rPr>
          <w:rFonts w:hint="eastAsia" w:ascii="宋体" w:hAnsi="宋体"/>
          <w:sz w:val="24"/>
        </w:rPr>
        <w:t>1.投标文件正文，主要包括以下内容：</w:t>
      </w:r>
    </w:p>
    <w:p w14:paraId="325D3886">
      <w:pPr>
        <w:ind w:left="718" w:leftChars="342" w:firstLine="1417" w:firstLineChars="675"/>
        <w:rPr>
          <w:szCs w:val="21"/>
        </w:rPr>
      </w:pPr>
      <w:r>
        <w:rPr>
          <w:rFonts w:hint="eastAsia"/>
          <w:szCs w:val="21"/>
        </w:rPr>
        <w:t>（1）</w:t>
      </w:r>
      <w:bookmarkStart w:id="17" w:name="_Hlk72070784"/>
      <w:r>
        <w:rPr>
          <w:rFonts w:hint="eastAsia"/>
          <w:szCs w:val="21"/>
        </w:rPr>
        <w:t>投标函</w:t>
      </w:r>
      <w:bookmarkEnd w:id="17"/>
    </w:p>
    <w:p w14:paraId="2B8101CD">
      <w:pPr>
        <w:ind w:left="718" w:leftChars="342" w:firstLine="1417" w:firstLineChars="675"/>
        <w:rPr>
          <w:szCs w:val="21"/>
        </w:rPr>
      </w:pPr>
      <w:r>
        <w:rPr>
          <w:rFonts w:hint="eastAsia"/>
          <w:szCs w:val="21"/>
        </w:rPr>
        <w:t>（2）</w:t>
      </w:r>
      <w:bookmarkStart w:id="18" w:name="_Hlk72062521"/>
      <w:r>
        <w:rPr>
          <w:rFonts w:hint="eastAsia"/>
          <w:szCs w:val="21"/>
        </w:rPr>
        <w:t>政府采购投标及履约承诺函</w:t>
      </w:r>
      <w:bookmarkEnd w:id="18"/>
    </w:p>
    <w:p w14:paraId="6BE57F36">
      <w:pPr>
        <w:ind w:left="718" w:leftChars="342" w:firstLine="1417" w:firstLineChars="675"/>
        <w:rPr>
          <w:szCs w:val="21"/>
        </w:rPr>
      </w:pPr>
      <w:r>
        <w:rPr>
          <w:rFonts w:hint="eastAsia"/>
          <w:szCs w:val="21"/>
        </w:rPr>
        <w:t>（</w:t>
      </w:r>
      <w:r>
        <w:rPr>
          <w:szCs w:val="21"/>
        </w:rPr>
        <w:t>3</w:t>
      </w:r>
      <w:r>
        <w:rPr>
          <w:rFonts w:hint="eastAsia"/>
          <w:szCs w:val="21"/>
        </w:rPr>
        <w:t>）投标人情况及资格证明文件</w:t>
      </w:r>
    </w:p>
    <w:p w14:paraId="522E7F17">
      <w:pPr>
        <w:ind w:left="718" w:leftChars="342" w:firstLine="1417" w:firstLineChars="675"/>
        <w:rPr>
          <w:szCs w:val="21"/>
        </w:rPr>
      </w:pPr>
      <w:bookmarkStart w:id="19" w:name="_Hlk72257201"/>
      <w:r>
        <w:rPr>
          <w:rFonts w:hint="eastAsia"/>
          <w:szCs w:val="21"/>
        </w:rPr>
        <w:t>（</w:t>
      </w:r>
      <w:r>
        <w:rPr>
          <w:szCs w:val="21"/>
        </w:rPr>
        <w:t>4</w:t>
      </w:r>
      <w:r>
        <w:rPr>
          <w:rFonts w:hint="eastAsia"/>
          <w:szCs w:val="21"/>
        </w:rPr>
        <w:t>）项目详细报价</w:t>
      </w:r>
    </w:p>
    <w:bookmarkEnd w:id="19"/>
    <w:p w14:paraId="35123F7C">
      <w:pPr>
        <w:ind w:left="718" w:leftChars="342" w:firstLine="1417" w:firstLineChars="675"/>
        <w:rPr>
          <w:rFonts w:hint="eastAsia" w:eastAsiaTheme="minorEastAsia"/>
          <w:szCs w:val="21"/>
          <w:lang w:eastAsia="zh-CN"/>
        </w:rPr>
      </w:pPr>
      <w:r>
        <w:rPr>
          <w:rFonts w:hint="eastAsia"/>
          <w:szCs w:val="21"/>
        </w:rPr>
        <w:t>（5）</w:t>
      </w:r>
      <w:r>
        <w:rPr>
          <w:rFonts w:hint="eastAsia"/>
          <w:szCs w:val="21"/>
          <w:lang w:eastAsia="zh-CN"/>
        </w:rPr>
        <w:t>供应商情况表</w:t>
      </w:r>
    </w:p>
    <w:p w14:paraId="0ECDA68A">
      <w:pPr>
        <w:ind w:firstLine="1200" w:firstLineChars="500"/>
        <w:outlineLvl w:val="0"/>
        <w:rPr>
          <w:rFonts w:hint="eastAsia" w:ascii="宋体" w:hAnsi="宋体"/>
          <w:sz w:val="24"/>
        </w:rPr>
      </w:pPr>
      <w:r>
        <w:rPr>
          <w:rFonts w:hint="eastAsia" w:ascii="宋体" w:hAnsi="宋体"/>
          <w:sz w:val="24"/>
        </w:rPr>
        <w:t>2.投标文件附件：主要包括以下内容：</w:t>
      </w:r>
    </w:p>
    <w:p w14:paraId="392A6978">
      <w:pPr>
        <w:ind w:firstLine="2100" w:firstLineChars="1000"/>
        <w:rPr>
          <w:szCs w:val="21"/>
        </w:rPr>
      </w:pPr>
      <w:r>
        <w:rPr>
          <w:rFonts w:hint="eastAsia"/>
          <w:szCs w:val="21"/>
        </w:rPr>
        <w:t>（1）法定代表人（负责人）证明书</w:t>
      </w:r>
    </w:p>
    <w:p w14:paraId="62E1076F">
      <w:pPr>
        <w:ind w:left="718" w:leftChars="342" w:firstLine="1417" w:firstLineChars="675"/>
        <w:rPr>
          <w:szCs w:val="21"/>
        </w:rPr>
      </w:pPr>
      <w:r>
        <w:rPr>
          <w:rFonts w:hint="eastAsia"/>
          <w:szCs w:val="21"/>
        </w:rPr>
        <w:t>（2）投标文件签署授权委托书</w:t>
      </w:r>
    </w:p>
    <w:p w14:paraId="08A3D7F8">
      <w:pPr>
        <w:ind w:left="718" w:leftChars="342" w:firstLine="1417" w:firstLineChars="675"/>
        <w:rPr>
          <w:szCs w:val="21"/>
        </w:rPr>
      </w:pPr>
      <w:r>
        <w:rPr>
          <w:rFonts w:hint="eastAsia"/>
          <w:szCs w:val="21"/>
        </w:rPr>
        <w:t>（3）实质性条款响应情况表</w:t>
      </w:r>
    </w:p>
    <w:p w14:paraId="13E9B56A">
      <w:pPr>
        <w:ind w:left="718" w:leftChars="342" w:firstLine="1417" w:firstLineChars="675"/>
        <w:rPr>
          <w:szCs w:val="21"/>
        </w:rPr>
      </w:pPr>
      <w:r>
        <w:rPr>
          <w:rFonts w:hint="eastAsia"/>
          <w:szCs w:val="21"/>
        </w:rPr>
        <w:t>（</w:t>
      </w:r>
      <w:r>
        <w:rPr>
          <w:szCs w:val="21"/>
        </w:rPr>
        <w:t>4</w:t>
      </w:r>
      <w:r>
        <w:rPr>
          <w:rFonts w:hint="eastAsia"/>
          <w:szCs w:val="21"/>
        </w:rPr>
        <w:t>）商务要求偏离表</w:t>
      </w:r>
    </w:p>
    <w:p w14:paraId="67BE8F0E">
      <w:pPr>
        <w:ind w:left="718" w:leftChars="342" w:firstLine="1417" w:firstLineChars="675"/>
        <w:rPr>
          <w:szCs w:val="21"/>
        </w:rPr>
      </w:pPr>
      <w:r>
        <w:rPr>
          <w:rFonts w:hint="eastAsia"/>
          <w:szCs w:val="21"/>
        </w:rPr>
        <w:t>（</w:t>
      </w:r>
      <w:r>
        <w:rPr>
          <w:szCs w:val="21"/>
        </w:rPr>
        <w:t>5</w:t>
      </w:r>
      <w:r>
        <w:rPr>
          <w:rFonts w:hint="eastAsia"/>
          <w:szCs w:val="21"/>
        </w:rPr>
        <w:t>）技术要求偏离表</w:t>
      </w:r>
    </w:p>
    <w:p w14:paraId="5C3E8AC6">
      <w:pPr>
        <w:ind w:left="718" w:leftChars="342" w:firstLine="1417" w:firstLineChars="675"/>
        <w:rPr>
          <w:rFonts w:hint="eastAsia" w:eastAsiaTheme="minorEastAsia"/>
          <w:szCs w:val="21"/>
          <w:lang w:eastAsia="zh-CN"/>
        </w:rPr>
      </w:pPr>
      <w:r>
        <w:rPr>
          <w:rFonts w:hint="eastAsia"/>
          <w:szCs w:val="21"/>
        </w:rPr>
        <w:t>（6）</w:t>
      </w:r>
      <w:r>
        <w:rPr>
          <w:rFonts w:hint="eastAsia"/>
          <w:szCs w:val="21"/>
          <w:lang w:eastAsia="zh-CN"/>
        </w:rPr>
        <w:t>技术</w:t>
      </w:r>
      <w:r>
        <w:rPr>
          <w:rFonts w:hint="eastAsia"/>
          <w:szCs w:val="21"/>
        </w:rPr>
        <w:t>保障措施</w:t>
      </w:r>
    </w:p>
    <w:p w14:paraId="63B54A30">
      <w:pPr>
        <w:ind w:left="718" w:leftChars="342" w:firstLine="1417" w:firstLineChars="675"/>
        <w:rPr>
          <w:rFonts w:hint="eastAsia" w:eastAsiaTheme="minorEastAsia"/>
          <w:szCs w:val="21"/>
          <w:lang w:val="en-US" w:eastAsia="zh-CN"/>
        </w:rPr>
      </w:pPr>
      <w:r>
        <w:rPr>
          <w:rFonts w:hint="eastAsia"/>
          <w:szCs w:val="21"/>
          <w:lang w:eastAsia="zh-CN"/>
        </w:rPr>
        <w:t>（</w:t>
      </w:r>
      <w:r>
        <w:rPr>
          <w:rFonts w:hint="eastAsia"/>
          <w:szCs w:val="21"/>
          <w:lang w:val="en-US" w:eastAsia="zh-CN"/>
        </w:rPr>
        <w:t>7</w:t>
      </w:r>
      <w:r>
        <w:rPr>
          <w:rFonts w:hint="eastAsia"/>
          <w:szCs w:val="21"/>
          <w:lang w:eastAsia="zh-CN"/>
        </w:rPr>
        <w:t>）现场踏勘</w:t>
      </w:r>
    </w:p>
    <w:p w14:paraId="43A325BD">
      <w:pPr>
        <w:ind w:left="718" w:leftChars="342" w:firstLine="1417" w:firstLineChars="675"/>
        <w:rPr>
          <w:rFonts w:hint="eastAsia"/>
          <w:szCs w:val="21"/>
          <w:lang w:eastAsia="zh-CN"/>
        </w:rPr>
      </w:pPr>
      <w:r>
        <w:rPr>
          <w:rFonts w:hint="eastAsia"/>
          <w:szCs w:val="21"/>
          <w:lang w:val="en-US" w:eastAsia="zh-CN"/>
        </w:rPr>
        <w:t>（8</w:t>
      </w:r>
      <w:r>
        <w:rPr>
          <w:rFonts w:hint="eastAsia"/>
          <w:szCs w:val="21"/>
          <w:lang w:eastAsia="zh-CN"/>
        </w:rPr>
        <w:t>）设计方案及效果图</w:t>
      </w:r>
    </w:p>
    <w:p w14:paraId="7264EFCB">
      <w:pPr>
        <w:ind w:left="718" w:leftChars="342" w:firstLine="1417" w:firstLineChars="675"/>
        <w:rPr>
          <w:rFonts w:hint="eastAsia"/>
          <w:szCs w:val="21"/>
          <w:lang w:eastAsia="zh-CN"/>
        </w:rPr>
      </w:pPr>
      <w:r>
        <w:rPr>
          <w:rFonts w:hint="eastAsia"/>
          <w:szCs w:val="21"/>
          <w:lang w:eastAsia="zh-CN"/>
        </w:rPr>
        <w:t>（</w:t>
      </w:r>
      <w:r>
        <w:rPr>
          <w:rFonts w:hint="eastAsia"/>
          <w:szCs w:val="21"/>
          <w:lang w:val="en-US" w:eastAsia="zh-CN"/>
        </w:rPr>
        <w:t>9</w:t>
      </w:r>
      <w:r>
        <w:rPr>
          <w:rFonts w:hint="eastAsia"/>
          <w:szCs w:val="21"/>
          <w:lang w:eastAsia="zh-CN"/>
        </w:rPr>
        <w:t>）环保认证</w:t>
      </w:r>
    </w:p>
    <w:p w14:paraId="6483420B">
      <w:pPr>
        <w:ind w:left="718" w:leftChars="342" w:firstLine="1417" w:firstLineChars="675"/>
        <w:rPr>
          <w:rFonts w:hint="eastAsia"/>
          <w:szCs w:val="21"/>
          <w:lang w:eastAsia="zh-CN"/>
        </w:rPr>
      </w:pPr>
      <w:r>
        <w:rPr>
          <w:rFonts w:hint="eastAsia"/>
          <w:szCs w:val="21"/>
          <w:lang w:eastAsia="zh-CN"/>
        </w:rPr>
        <w:t>（</w:t>
      </w:r>
      <w:r>
        <w:rPr>
          <w:rFonts w:hint="eastAsia"/>
          <w:szCs w:val="21"/>
          <w:lang w:val="en-US" w:eastAsia="zh-CN"/>
        </w:rPr>
        <w:t>10</w:t>
      </w:r>
      <w:r>
        <w:rPr>
          <w:rFonts w:hint="eastAsia"/>
          <w:szCs w:val="21"/>
          <w:lang w:eastAsia="zh-CN"/>
        </w:rPr>
        <w:t>）同类项目业绩</w:t>
      </w:r>
    </w:p>
    <w:p w14:paraId="23EAD940">
      <w:pPr>
        <w:ind w:left="718" w:leftChars="342" w:firstLine="1417" w:firstLineChars="675"/>
        <w:rPr>
          <w:rFonts w:hint="eastAsia"/>
          <w:szCs w:val="21"/>
          <w:lang w:eastAsia="zh-CN"/>
        </w:rPr>
      </w:pPr>
      <w:r>
        <w:rPr>
          <w:rFonts w:hint="eastAsia"/>
          <w:szCs w:val="21"/>
          <w:lang w:eastAsia="zh-CN"/>
        </w:rPr>
        <w:t>（</w:t>
      </w:r>
      <w:r>
        <w:rPr>
          <w:rFonts w:hint="eastAsia"/>
          <w:szCs w:val="21"/>
          <w:lang w:val="en-US" w:eastAsia="zh-CN"/>
        </w:rPr>
        <w:t>11</w:t>
      </w:r>
      <w:r>
        <w:rPr>
          <w:rFonts w:hint="eastAsia"/>
          <w:szCs w:val="21"/>
          <w:lang w:eastAsia="zh-CN"/>
        </w:rPr>
        <w:t>）履约评价情况</w:t>
      </w:r>
    </w:p>
    <w:p w14:paraId="685859B1">
      <w:pPr>
        <w:ind w:left="718" w:leftChars="342" w:firstLine="1417" w:firstLineChars="675"/>
        <w:rPr>
          <w:szCs w:val="21"/>
        </w:rPr>
      </w:pPr>
      <w:r>
        <w:rPr>
          <w:rFonts w:hint="eastAsia"/>
          <w:szCs w:val="21"/>
          <w:lang w:eastAsia="zh-CN"/>
        </w:rPr>
        <w:t>（</w:t>
      </w:r>
      <w:r>
        <w:rPr>
          <w:rFonts w:hint="eastAsia"/>
          <w:szCs w:val="21"/>
          <w:lang w:val="en-US" w:eastAsia="zh-CN"/>
        </w:rPr>
        <w:t>12</w:t>
      </w:r>
      <w:r>
        <w:rPr>
          <w:rFonts w:hint="eastAsia"/>
          <w:szCs w:val="21"/>
          <w:lang w:eastAsia="zh-CN"/>
        </w:rPr>
        <w:t>）</w:t>
      </w:r>
      <w:r>
        <w:rPr>
          <w:rFonts w:hint="eastAsia"/>
          <w:szCs w:val="21"/>
        </w:rPr>
        <w:t>投标人认为需要加以说明的其他内容</w:t>
      </w:r>
    </w:p>
    <w:p w14:paraId="34C51A7A">
      <w:pPr>
        <w:ind w:left="718" w:leftChars="342" w:firstLine="1417" w:firstLineChars="675"/>
        <w:rPr>
          <w:rFonts w:hint="eastAsia" w:ascii="宋体" w:hAnsi="宋体"/>
          <w:szCs w:val="21"/>
        </w:rPr>
      </w:pPr>
      <w:r>
        <w:rPr>
          <w:rFonts w:hint="eastAsia" w:ascii="宋体" w:hAnsi="宋体"/>
          <w:szCs w:val="21"/>
        </w:rPr>
        <w:t>…………</w:t>
      </w:r>
    </w:p>
    <w:p w14:paraId="41CB1489">
      <w:pPr>
        <w:spacing w:line="320" w:lineRule="atLeast"/>
        <w:rPr>
          <w:rFonts w:hint="eastAsia" w:ascii="宋体" w:hAnsi="宋体"/>
          <w:b/>
          <w:sz w:val="24"/>
          <w:szCs w:val="24"/>
        </w:rPr>
      </w:pPr>
      <w:r>
        <w:rPr>
          <w:rFonts w:hint="eastAsia" w:ascii="宋体" w:hAnsi="宋体"/>
          <w:b/>
          <w:sz w:val="24"/>
          <w:szCs w:val="24"/>
        </w:rPr>
        <w:t>备注：</w:t>
      </w:r>
    </w:p>
    <w:p w14:paraId="62C9D2A7">
      <w:pPr>
        <w:snapToGrid w:val="0"/>
        <w:spacing w:line="320" w:lineRule="atLeast"/>
        <w:ind w:firstLine="482" w:firstLineChars="200"/>
        <w:rPr>
          <w:rFonts w:hint="eastAsia" w:ascii="宋体" w:hAnsi="宋体"/>
          <w:b/>
          <w:sz w:val="24"/>
          <w:szCs w:val="24"/>
        </w:rPr>
      </w:pPr>
      <w:r>
        <w:rPr>
          <w:rFonts w:hint="eastAsia" w:ascii="宋体" w:hAnsi="宋体"/>
          <w:b/>
          <w:sz w:val="24"/>
          <w:szCs w:val="24"/>
        </w:rPr>
        <w:t>1.本项目为网上电子投标项目，投标文件不需法人或授权委托人另行签字，无需加盖单位公章，招标文件另有规定的除外。</w:t>
      </w:r>
    </w:p>
    <w:p w14:paraId="5220885F">
      <w:pPr>
        <w:snapToGrid w:val="0"/>
        <w:spacing w:after="78" w:afterLines="25"/>
        <w:ind w:firstLine="482" w:firstLineChars="200"/>
        <w:rPr>
          <w:rFonts w:hint="eastAsia" w:ascii="宋体" w:hAnsi="宋体" w:eastAsia="黑体" w:cs="Times New Roman"/>
          <w:bCs/>
          <w:kern w:val="44"/>
          <w:sz w:val="32"/>
          <w:szCs w:val="32"/>
        </w:rPr>
      </w:pPr>
      <w:bookmarkStart w:id="20" w:name="_Hlk72263559"/>
      <w:r>
        <w:rPr>
          <w:rFonts w:hint="eastAsia" w:ascii="宋体" w:hAnsi="宋体"/>
          <w:b/>
          <w:sz w:val="24"/>
          <w:szCs w:val="24"/>
        </w:rPr>
        <w:t>2.关于填写“开标一览表”的说明：“开标一览表”中除“投标总价”外，其他信息不作评审依据。</w:t>
      </w:r>
      <w:bookmarkEnd w:id="16"/>
      <w:bookmarkEnd w:id="20"/>
      <w:r>
        <w:rPr>
          <w:rFonts w:ascii="宋体" w:hAnsi="宋体" w:eastAsia="黑体" w:cs="Times New Roman"/>
          <w:bCs/>
          <w:kern w:val="44"/>
          <w:sz w:val="32"/>
          <w:szCs w:val="32"/>
        </w:rPr>
        <w:br w:type="page"/>
      </w:r>
    </w:p>
    <w:p w14:paraId="7F0B86F5">
      <w:pPr>
        <w:widowControl/>
        <w:jc w:val="left"/>
        <w:outlineLvl w:val="2"/>
        <w:rPr>
          <w:rFonts w:hint="eastAsia" w:ascii="宋体" w:hAnsi="宋体" w:eastAsia="宋体" w:cs="宋体"/>
          <w:b/>
          <w:color w:val="FF0000"/>
          <w:kern w:val="0"/>
          <w:sz w:val="32"/>
          <w:szCs w:val="32"/>
        </w:rPr>
      </w:pPr>
      <w:r>
        <w:rPr>
          <w:rFonts w:hint="eastAsia" w:ascii="宋体" w:hAnsi="宋体" w:eastAsia="宋体" w:cs="宋体"/>
          <w:b/>
          <w:color w:val="FF0000"/>
          <w:kern w:val="0"/>
          <w:sz w:val="32"/>
          <w:szCs w:val="32"/>
        </w:rPr>
        <w:t>（一）投标文件正文</w:t>
      </w:r>
    </w:p>
    <w:p w14:paraId="28F2E830">
      <w:pPr>
        <w:pStyle w:val="4"/>
        <w:jc w:val="center"/>
        <w:rPr>
          <w:rFonts w:hint="eastAsia" w:ascii="黑体" w:eastAsia="黑体"/>
          <w:b w:val="0"/>
          <w:sz w:val="24"/>
        </w:rPr>
      </w:pPr>
      <w:r>
        <w:rPr>
          <w:rFonts w:hint="eastAsia" w:ascii="黑体" w:eastAsia="黑体"/>
          <w:b w:val="0"/>
          <w:sz w:val="24"/>
        </w:rPr>
        <w:t>一、投标函</w:t>
      </w:r>
    </w:p>
    <w:p w14:paraId="776099FC">
      <w:pPr>
        <w:spacing w:line="360" w:lineRule="auto"/>
        <w:rPr>
          <w:rFonts w:hint="eastAsia" w:ascii="宋体" w:hAnsi="宋体"/>
          <w:szCs w:val="21"/>
        </w:rPr>
      </w:pPr>
      <w:bookmarkStart w:id="21" w:name="_Hlk72257506"/>
      <w:r>
        <w:rPr>
          <w:rFonts w:hint="eastAsia" w:ascii="宋体" w:hAnsi="宋体"/>
          <w:szCs w:val="21"/>
        </w:rPr>
        <w:t>致：</w:t>
      </w:r>
      <w:r>
        <w:rPr>
          <w:rFonts w:hint="eastAsia" w:ascii="宋体" w:hAnsi="宋体"/>
          <w:szCs w:val="21"/>
          <w:u w:val="single"/>
        </w:rPr>
        <w:t xml:space="preserve">  </w:t>
      </w:r>
      <w:r>
        <w:rPr>
          <w:rFonts w:hint="eastAsia" w:ascii="宋体" w:hAnsi="宋体"/>
          <w:color w:val="FF0000"/>
          <w:szCs w:val="21"/>
          <w:u w:val="single"/>
        </w:rPr>
        <w:t>深圳公共资源交易中心</w:t>
      </w:r>
      <w:r>
        <w:rPr>
          <w:rFonts w:hint="eastAsia" w:ascii="宋体" w:hAnsi="宋体"/>
          <w:szCs w:val="21"/>
          <w:u w:val="single"/>
        </w:rPr>
        <w:t xml:space="preserve">  </w:t>
      </w:r>
    </w:p>
    <w:p w14:paraId="0E4E6C24">
      <w:pPr>
        <w:ind w:firstLine="420" w:firstLineChars="200"/>
        <w:rPr>
          <w:rFonts w:hint="eastAsia" w:ascii="宋体" w:hAnsi="宋体"/>
          <w:szCs w:val="21"/>
        </w:rPr>
      </w:pPr>
      <w:bookmarkStart w:id="22" w:name="_Hlk73818812"/>
      <w:r>
        <w:rPr>
          <w:rFonts w:hint="eastAsia"/>
          <w:szCs w:val="21"/>
        </w:rPr>
        <w:t>1、根据已收到贵单位的项目编号为</w:t>
      </w:r>
      <w:r>
        <w:rPr>
          <w:rFonts w:hint="eastAsia"/>
          <w:szCs w:val="21"/>
          <w:u w:val="thick"/>
        </w:rPr>
        <w:t xml:space="preserve">                 </w:t>
      </w:r>
      <w:r>
        <w:rPr>
          <w:rFonts w:hint="eastAsia"/>
          <w:szCs w:val="21"/>
        </w:rPr>
        <w:t>的</w:t>
      </w:r>
      <w:r>
        <w:rPr>
          <w:rFonts w:hint="eastAsia"/>
          <w:szCs w:val="21"/>
          <w:u w:val="thick"/>
        </w:rPr>
        <w:t xml:space="preserve">   （项目名称）   </w:t>
      </w:r>
      <w:r>
        <w:rPr>
          <w:rFonts w:hint="eastAsia"/>
          <w:szCs w:val="21"/>
        </w:rPr>
        <w:t>项目的招标文件，遵照《深圳经济特区政府采购条例》和《深圳网上政府采购管理暂行办法》等有关规定，我单位经研究上述招标文件的专用条款及通用条款后，</w:t>
      </w:r>
      <w:bookmarkStart w:id="23" w:name="_Hlk72263588"/>
      <w:r>
        <w:rPr>
          <w:rFonts w:hint="eastAsia"/>
          <w:szCs w:val="21"/>
        </w:rPr>
        <w:t>愿意按照招标文件要求承包上述项目并修补其任何缺陷。</w:t>
      </w:r>
      <w:bookmarkEnd w:id="23"/>
    </w:p>
    <w:p w14:paraId="4ABDC4FE">
      <w:pPr>
        <w:ind w:firstLine="420" w:firstLineChars="200"/>
        <w:rPr>
          <w:rFonts w:hint="eastAsia" w:ascii="宋体" w:hAnsi="宋体"/>
          <w:szCs w:val="21"/>
        </w:rPr>
      </w:pPr>
      <w:r>
        <w:rPr>
          <w:rFonts w:ascii="宋体" w:hAnsi="宋体"/>
          <w:szCs w:val="21"/>
        </w:rPr>
        <w:t>2</w:t>
      </w:r>
      <w:r>
        <w:rPr>
          <w:rFonts w:hint="eastAsia" w:ascii="宋体" w:hAnsi="宋体"/>
          <w:szCs w:val="21"/>
        </w:rPr>
        <w:t>、</w:t>
      </w:r>
      <w:bookmarkStart w:id="24" w:name="_Hlk73819847"/>
      <w:r>
        <w:rPr>
          <w:rFonts w:hint="eastAsia" w:ascii="宋体" w:hAnsi="宋体"/>
          <w:szCs w:val="21"/>
        </w:rPr>
        <w:t>投标价格见</w:t>
      </w:r>
      <w:r>
        <w:rPr>
          <w:rFonts w:hint="eastAsia"/>
          <w:szCs w:val="21"/>
        </w:rPr>
        <w:t>投标书编制软件中《开标一览表》中填写的投标总价。</w:t>
      </w:r>
      <w:bookmarkEnd w:id="24"/>
    </w:p>
    <w:p w14:paraId="451A1A61">
      <w:pPr>
        <w:ind w:firstLine="420" w:firstLineChars="200"/>
        <w:rPr>
          <w:rFonts w:hint="eastAsia" w:ascii="宋体" w:hAnsi="宋体"/>
          <w:szCs w:val="21"/>
        </w:rPr>
      </w:pPr>
      <w:r>
        <w:rPr>
          <w:rFonts w:hint="eastAsia" w:ascii="宋体" w:hAnsi="宋体"/>
          <w:szCs w:val="21"/>
        </w:rPr>
        <w:t>3、如果我单位中标，我单位将按照招标文件的要求足额提交履约担保。</w:t>
      </w:r>
    </w:p>
    <w:p w14:paraId="12CCB4EB">
      <w:pPr>
        <w:ind w:firstLine="420" w:firstLineChars="200"/>
        <w:rPr>
          <w:rFonts w:hint="eastAsia" w:ascii="宋体" w:hAnsi="宋体"/>
          <w:szCs w:val="21"/>
        </w:rPr>
      </w:pPr>
      <w:r>
        <w:rPr>
          <w:rFonts w:hint="eastAsia" w:ascii="宋体" w:hAnsi="宋体"/>
          <w:szCs w:val="21"/>
        </w:rPr>
        <w:t>4、我单位同意所递交的投标文件在“对通用条款的补充内容”中明确的投标有效期内有效，在此期间内我单位的投标有可能中标，我方将受此约束。</w:t>
      </w:r>
    </w:p>
    <w:p w14:paraId="28139D81">
      <w:pPr>
        <w:ind w:firstLine="420" w:firstLineChars="200"/>
        <w:rPr>
          <w:rFonts w:hint="eastAsia" w:ascii="宋体" w:hAnsi="宋体"/>
          <w:szCs w:val="21"/>
        </w:rPr>
      </w:pPr>
      <w:r>
        <w:rPr>
          <w:rFonts w:hint="eastAsia" w:ascii="宋体" w:hAnsi="宋体"/>
          <w:szCs w:val="21"/>
        </w:rPr>
        <w:t>5、除非另外达成协议并生效，贵单位的中标通知书和本投标文件将构成合同的重要内容。</w:t>
      </w:r>
    </w:p>
    <w:p w14:paraId="0AD56260">
      <w:pPr>
        <w:ind w:left="420" w:leftChars="200"/>
        <w:rPr>
          <w:rFonts w:hint="eastAsia" w:ascii="宋体" w:hAnsi="宋体"/>
          <w:szCs w:val="21"/>
        </w:rPr>
      </w:pPr>
      <w:r>
        <w:rPr>
          <w:rFonts w:hint="eastAsia" w:ascii="宋体" w:hAnsi="宋体"/>
          <w:szCs w:val="21"/>
        </w:rPr>
        <w:t>6、我单位理解贵单位将不受必须接受所收到的最低报价或其它任何投标文件的约束。</w:t>
      </w:r>
      <w:bookmarkEnd w:id="22"/>
    </w:p>
    <w:p w14:paraId="3C3203FE">
      <w:pPr>
        <w:ind w:left="420" w:leftChars="200"/>
        <w:rPr>
          <w:rFonts w:hint="eastAsia" w:ascii="宋体" w:hAnsi="宋体"/>
          <w:b/>
          <w:szCs w:val="21"/>
        </w:rPr>
      </w:pPr>
      <w:r>
        <w:rPr>
          <w:rFonts w:hint="eastAsia" w:ascii="宋体" w:hAnsi="宋体"/>
          <w:b/>
          <w:szCs w:val="21"/>
        </w:rPr>
        <w:t>7</w:t>
      </w:r>
      <w:r>
        <w:rPr>
          <w:rFonts w:ascii="宋体" w:hAnsi="宋体"/>
          <w:b/>
          <w:szCs w:val="21"/>
        </w:rPr>
        <w:t>、如我单位提交样品，且未在规定时间内取回样品的，视同放弃取回，同意深圳公共资源交易中心对我单位提交的样品进行清理。</w:t>
      </w:r>
    </w:p>
    <w:p w14:paraId="123E9DD6">
      <w:pPr>
        <w:ind w:left="420" w:leftChars="200" w:firstLine="210" w:firstLineChars="100"/>
        <w:rPr>
          <w:szCs w:val="21"/>
        </w:rPr>
      </w:pPr>
    </w:p>
    <w:p w14:paraId="55C22806">
      <w:pPr>
        <w:ind w:left="420" w:leftChars="200" w:firstLine="210" w:firstLineChars="100"/>
        <w:rPr>
          <w:szCs w:val="21"/>
        </w:rPr>
      </w:pPr>
      <w:r>
        <w:rPr>
          <w:rFonts w:hint="eastAsia"/>
          <w:szCs w:val="21"/>
        </w:rPr>
        <w:t>投标人：</w:t>
      </w:r>
      <w:r>
        <w:rPr>
          <w:rFonts w:hint="eastAsia"/>
          <w:szCs w:val="21"/>
          <w:u w:val="thick"/>
        </w:rPr>
        <w:t xml:space="preserve">                   </w:t>
      </w:r>
      <w:r>
        <w:rPr>
          <w:rFonts w:hint="eastAsia"/>
          <w:szCs w:val="21"/>
        </w:rPr>
        <w:t xml:space="preserve">  ；  </w:t>
      </w:r>
    </w:p>
    <w:p w14:paraId="5A3384D6">
      <w:pPr>
        <w:ind w:left="420" w:leftChars="200" w:firstLine="210" w:firstLineChars="100"/>
        <w:rPr>
          <w:szCs w:val="21"/>
        </w:rPr>
      </w:pPr>
      <w:r>
        <w:rPr>
          <w:rFonts w:hint="eastAsia"/>
          <w:szCs w:val="21"/>
        </w:rPr>
        <w:t>单位地址：</w:t>
      </w:r>
      <w:r>
        <w:rPr>
          <w:rFonts w:hint="eastAsia"/>
          <w:szCs w:val="21"/>
          <w:u w:val="thick"/>
        </w:rPr>
        <w:t xml:space="preserve">                                            </w:t>
      </w:r>
      <w:r>
        <w:rPr>
          <w:rFonts w:hint="eastAsia"/>
          <w:szCs w:val="21"/>
        </w:rPr>
        <w:t>；</w:t>
      </w:r>
    </w:p>
    <w:p w14:paraId="21FCA1DC">
      <w:pPr>
        <w:ind w:left="420" w:leftChars="200" w:firstLine="210" w:firstLineChars="100"/>
        <w:rPr>
          <w:szCs w:val="21"/>
        </w:rPr>
      </w:pPr>
      <w:r>
        <w:rPr>
          <w:rFonts w:hint="eastAsia"/>
          <w:szCs w:val="21"/>
        </w:rPr>
        <w:t>法定代表人（负责人）或其授权委托代理人：</w:t>
      </w:r>
      <w:r>
        <w:rPr>
          <w:rFonts w:hint="eastAsia"/>
          <w:szCs w:val="21"/>
          <w:u w:val="thick"/>
        </w:rPr>
        <w:t xml:space="preserve">                       </w:t>
      </w:r>
      <w:r>
        <w:rPr>
          <w:rFonts w:hint="eastAsia"/>
          <w:szCs w:val="21"/>
        </w:rPr>
        <w:t>；</w:t>
      </w:r>
    </w:p>
    <w:p w14:paraId="30B1F62C">
      <w:pPr>
        <w:ind w:left="420" w:leftChars="200" w:firstLine="210" w:firstLineChars="100"/>
        <w:rPr>
          <w:szCs w:val="21"/>
        </w:rPr>
      </w:pPr>
      <w:r>
        <w:rPr>
          <w:rFonts w:hint="eastAsia"/>
          <w:szCs w:val="21"/>
        </w:rPr>
        <w:t>电话：</w:t>
      </w:r>
      <w:r>
        <w:rPr>
          <w:rFonts w:hint="eastAsia"/>
          <w:szCs w:val="21"/>
          <w:u w:val="thick"/>
        </w:rPr>
        <w:t xml:space="preserve">           </w:t>
      </w:r>
      <w:r>
        <w:rPr>
          <w:rFonts w:hint="eastAsia"/>
          <w:szCs w:val="21"/>
        </w:rPr>
        <w:t xml:space="preserve">；     </w:t>
      </w:r>
    </w:p>
    <w:p w14:paraId="77FBC453">
      <w:pPr>
        <w:ind w:left="420" w:leftChars="200" w:firstLine="210" w:firstLineChars="100"/>
        <w:rPr>
          <w:sz w:val="24"/>
        </w:rPr>
      </w:pPr>
      <w:r>
        <w:rPr>
          <w:rFonts w:hint="eastAsia" w:ascii="宋体" w:hAnsi="宋体"/>
          <w:szCs w:val="21"/>
        </w:rPr>
        <w:t>日期：</w:t>
      </w:r>
      <w:r>
        <w:rPr>
          <w:rFonts w:hint="eastAsia" w:ascii="宋体" w:hAnsi="宋体"/>
          <w:szCs w:val="21"/>
          <w:u w:val="thick"/>
        </w:rPr>
        <w:t xml:space="preserve">       </w:t>
      </w:r>
      <w:r>
        <w:rPr>
          <w:rFonts w:hint="eastAsia" w:ascii="宋体" w:hAnsi="宋体"/>
          <w:szCs w:val="21"/>
        </w:rPr>
        <w:t>年</w:t>
      </w:r>
      <w:r>
        <w:rPr>
          <w:rFonts w:hint="eastAsia" w:ascii="宋体" w:hAnsi="宋体"/>
          <w:szCs w:val="21"/>
          <w:u w:val="thick"/>
        </w:rPr>
        <w:t xml:space="preserve">     </w:t>
      </w:r>
      <w:r>
        <w:rPr>
          <w:rFonts w:hint="eastAsia" w:ascii="宋体" w:hAnsi="宋体"/>
          <w:szCs w:val="21"/>
        </w:rPr>
        <w:t>月</w:t>
      </w:r>
      <w:r>
        <w:rPr>
          <w:rFonts w:hint="eastAsia" w:ascii="宋体" w:hAnsi="宋体"/>
          <w:szCs w:val="21"/>
          <w:u w:val="thick"/>
        </w:rPr>
        <w:t xml:space="preserve">    </w:t>
      </w:r>
      <w:r>
        <w:rPr>
          <w:rFonts w:hint="eastAsia" w:ascii="宋体" w:hAnsi="宋体"/>
          <w:szCs w:val="21"/>
        </w:rPr>
        <w:t>日</w:t>
      </w:r>
      <w:r>
        <w:rPr>
          <w:rFonts w:hint="eastAsia"/>
          <w:sz w:val="24"/>
        </w:rPr>
        <w:t xml:space="preserve">                                </w:t>
      </w:r>
    </w:p>
    <w:p w14:paraId="31577CF6">
      <w:pPr>
        <w:rPr>
          <w:rFonts w:hint="eastAsia" w:ascii="黑体" w:hAnsi="宋体" w:eastAsia="黑体"/>
        </w:rPr>
      </w:pPr>
    </w:p>
    <w:p w14:paraId="2026853A">
      <w:pPr>
        <w:rPr>
          <w:rFonts w:hint="eastAsia" w:ascii="黑体" w:hAnsi="宋体" w:eastAsia="黑体"/>
        </w:rPr>
      </w:pPr>
    </w:p>
    <w:bookmarkEnd w:id="21"/>
    <w:p w14:paraId="16B0821A">
      <w:pPr>
        <w:pStyle w:val="4"/>
        <w:jc w:val="center"/>
        <w:rPr>
          <w:rFonts w:hint="eastAsia" w:ascii="黑体" w:eastAsia="黑体"/>
          <w:b w:val="0"/>
          <w:sz w:val="24"/>
        </w:rPr>
      </w:pPr>
      <w:r>
        <w:rPr>
          <w:rFonts w:hint="eastAsia" w:ascii="黑体" w:eastAsia="黑体"/>
          <w:b w:val="0"/>
          <w:sz w:val="24"/>
        </w:rPr>
        <w:t>二、政府采购投标及履约承诺函</w:t>
      </w:r>
    </w:p>
    <w:p w14:paraId="5C4087AB">
      <w:pPr>
        <w:rPr>
          <w:rFonts w:hint="eastAsia" w:ascii="宋体" w:hAnsi="宋体"/>
          <w:color w:val="FF0000"/>
          <w:szCs w:val="21"/>
        </w:rPr>
      </w:pPr>
      <w:bookmarkStart w:id="25" w:name="_Hlk72257530"/>
      <w:r>
        <w:rPr>
          <w:rFonts w:hint="eastAsia" w:ascii="宋体" w:hAnsi="宋体"/>
          <w:color w:val="FF0000"/>
          <w:szCs w:val="21"/>
        </w:rPr>
        <w:t>致：</w:t>
      </w:r>
      <w:r>
        <w:rPr>
          <w:rFonts w:hint="eastAsia" w:ascii="宋体" w:hAnsi="宋体"/>
          <w:color w:val="FF0000"/>
          <w:szCs w:val="21"/>
          <w:u w:val="single"/>
        </w:rPr>
        <w:t>深圳公共资源交易中心</w:t>
      </w:r>
    </w:p>
    <w:p w14:paraId="5B945D28">
      <w:pPr>
        <w:ind w:right="-815" w:firstLine="420" w:firstLineChars="200"/>
        <w:rPr>
          <w:rFonts w:ascii="宋体" w:hAnsi="宋体"/>
          <w:szCs w:val="21"/>
        </w:rPr>
      </w:pPr>
      <w:r>
        <w:rPr>
          <w:rFonts w:hint="eastAsia" w:ascii="宋体" w:hAnsi="宋体"/>
          <w:szCs w:val="21"/>
        </w:rPr>
        <w:t>我单位承诺：</w:t>
      </w:r>
    </w:p>
    <w:p w14:paraId="2079BA04">
      <w:pPr>
        <w:ind w:firstLine="420" w:firstLineChars="200"/>
        <w:rPr>
          <w:rFonts w:ascii="宋体" w:hAnsi="宋体"/>
          <w:szCs w:val="21"/>
        </w:rPr>
      </w:pPr>
      <w:r>
        <w:rPr>
          <w:rFonts w:hint="eastAsia" w:ascii="宋体" w:hAnsi="宋体"/>
          <w:szCs w:val="21"/>
        </w:rPr>
        <w:t>1.我单位参与本项目</w:t>
      </w:r>
      <w:r>
        <w:rPr>
          <w:rFonts w:hint="eastAsia" w:ascii="宋体" w:hAnsi="宋体"/>
        </w:rPr>
        <w:t>所投标（响应）的货物、工程或服务，不存在侵犯知识产权的情况。</w:t>
      </w:r>
    </w:p>
    <w:p w14:paraId="786E0BEC">
      <w:pPr>
        <w:ind w:firstLine="420" w:firstLineChars="200"/>
        <w:rPr>
          <w:rFonts w:ascii="宋体" w:hAnsi="宋体"/>
          <w:szCs w:val="21"/>
        </w:rPr>
      </w:pPr>
      <w:r>
        <w:rPr>
          <w:rFonts w:hint="eastAsia" w:ascii="宋体" w:hAnsi="宋体"/>
          <w:szCs w:val="21"/>
        </w:rPr>
        <w:t>2.我单位参与本项目</w:t>
      </w:r>
      <w:r>
        <w:rPr>
          <w:rFonts w:hint="eastAsia"/>
        </w:rPr>
        <w:t>政府采购活动时不存在被有关部门禁止参与政府采购活动且在有效期内的情况。</w:t>
      </w:r>
    </w:p>
    <w:p w14:paraId="7E429B0C">
      <w:pPr>
        <w:ind w:firstLine="420" w:firstLineChars="200"/>
        <w:rPr>
          <w:rFonts w:ascii="宋体" w:hAnsi="宋体"/>
          <w:szCs w:val="21"/>
        </w:rPr>
      </w:pPr>
      <w:r>
        <w:rPr>
          <w:rFonts w:hint="eastAsia" w:ascii="宋体" w:hAnsi="宋体"/>
          <w:szCs w:val="21"/>
        </w:rPr>
        <w:t>3.我单位具备《中华人民共和国政府采购法》第二十二条第一款规定的六项条件。</w:t>
      </w:r>
    </w:p>
    <w:p w14:paraId="6F89AA66">
      <w:pPr>
        <w:ind w:firstLine="420" w:firstLineChars="200"/>
        <w:rPr>
          <w:rFonts w:hint="eastAsia"/>
          <w:lang w:eastAsia="zh-CN"/>
        </w:rPr>
      </w:pPr>
      <w:r>
        <w:rPr>
          <w:rFonts w:hint="eastAsia" w:ascii="宋体" w:hAnsi="宋体"/>
          <w:szCs w:val="21"/>
        </w:rPr>
        <w:t>4.我单位</w:t>
      </w:r>
      <w:r>
        <w:rPr>
          <w:rFonts w:hint="eastAsia"/>
        </w:rPr>
        <w:t>未被列入失信被执行人、重大税收违法案件当事人名单、政府采购严重违法失信行为记录名单</w:t>
      </w:r>
      <w:r>
        <w:rPr>
          <w:rFonts w:hint="eastAsia"/>
          <w:lang w:eastAsia="zh-CN"/>
        </w:rPr>
        <w:t>。</w:t>
      </w:r>
    </w:p>
    <w:p w14:paraId="3624C4C1">
      <w:pPr>
        <w:ind w:firstLine="420" w:firstLineChars="200"/>
        <w:rPr>
          <w:rFonts w:hint="eastAsia"/>
          <w:lang w:eastAsia="zh-CN"/>
        </w:rPr>
      </w:pPr>
      <w:r>
        <w:rPr>
          <w:rFonts w:hint="eastAsia" w:ascii="Times New Roman" w:eastAsia="宋体"/>
          <w:color w:val="FF0000"/>
          <w:lang w:val="en-US" w:eastAsia="zh-CN"/>
        </w:rPr>
        <w:t>5.我单位不存在《深圳市财政局政府采购供应商信用信息管理办法》（深财规〔2023〕3号）列明的严重违法失信行为。</w:t>
      </w:r>
    </w:p>
    <w:p w14:paraId="4745CDD8">
      <w:pPr>
        <w:ind w:firstLine="420" w:firstLineChars="200"/>
        <w:rPr>
          <w:rFonts w:ascii="宋体" w:hAnsi="宋体"/>
          <w:szCs w:val="21"/>
        </w:rPr>
      </w:pPr>
      <w:r>
        <w:rPr>
          <w:rFonts w:hint="eastAsia" w:ascii="宋体" w:hAnsi="宋体"/>
          <w:szCs w:val="21"/>
          <w:lang w:val="en-US" w:eastAsia="zh-CN"/>
        </w:rPr>
        <w:t>6</w:t>
      </w:r>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14:paraId="67ABD4F4">
      <w:pPr>
        <w:ind w:firstLine="420" w:firstLineChars="200"/>
        <w:rPr>
          <w:rFonts w:ascii="宋体" w:hAnsi="宋体"/>
          <w:szCs w:val="21"/>
        </w:rPr>
      </w:pPr>
      <w:r>
        <w:rPr>
          <w:rFonts w:hint="eastAsia" w:ascii="宋体" w:hAnsi="宋体"/>
          <w:szCs w:val="21"/>
          <w:lang w:val="en-US" w:eastAsia="zh-CN"/>
        </w:rPr>
        <w:t>7</w:t>
      </w:r>
      <w:r>
        <w:rPr>
          <w:rFonts w:hint="eastAsia" w:ascii="宋体" w:hAnsi="宋体"/>
          <w:szCs w:val="21"/>
        </w:rPr>
        <w:t>.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14:paraId="53DFE409">
      <w:pPr>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04835407">
      <w:pPr>
        <w:ind w:firstLine="420" w:firstLineChars="200"/>
        <w:rPr>
          <w:rFonts w:ascii="宋体" w:hAnsi="宋体"/>
          <w:szCs w:val="21"/>
        </w:rPr>
      </w:pPr>
      <w:r>
        <w:rPr>
          <w:rFonts w:hint="eastAsia" w:ascii="宋体" w:hAnsi="宋体"/>
          <w:szCs w:val="21"/>
          <w:lang w:val="en-US" w:eastAsia="zh-CN"/>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6AD19AFF">
      <w:pPr>
        <w:ind w:firstLine="420" w:firstLineChars="200"/>
        <w:rPr>
          <w:rFonts w:ascii="宋体" w:hAnsi="宋体"/>
          <w:szCs w:val="21"/>
        </w:rPr>
      </w:pPr>
      <w:r>
        <w:rPr>
          <w:rFonts w:hint="eastAsia" w:ascii="宋体" w:hAnsi="宋体"/>
          <w:szCs w:val="21"/>
          <w:lang w:val="en-US" w:eastAsia="zh-CN"/>
        </w:rPr>
        <w:t>9</w:t>
      </w:r>
      <w:r>
        <w:rPr>
          <w:rFonts w:hint="eastAsia" w:ascii="宋体" w:hAnsi="宋体"/>
          <w:szCs w:val="21"/>
        </w:rPr>
        <w:t>.我单位承诺中标后项目不转包，未经采购人同意不进行分包。</w:t>
      </w:r>
    </w:p>
    <w:p w14:paraId="1A50E42A">
      <w:pPr>
        <w:ind w:firstLine="420" w:firstLineChars="200"/>
        <w:rPr>
          <w:rFonts w:ascii="宋体" w:hAnsi="宋体"/>
        </w:rPr>
      </w:pPr>
      <w:r>
        <w:rPr>
          <w:rFonts w:hint="eastAsia" w:ascii="宋体" w:hAnsi="宋体"/>
          <w:szCs w:val="21"/>
          <w:lang w:val="en-US" w:eastAsia="zh-CN"/>
        </w:rPr>
        <w:t>10</w:t>
      </w:r>
      <w:r>
        <w:rPr>
          <w:rFonts w:ascii="宋体" w:hAnsi="宋体"/>
          <w:szCs w:val="21"/>
        </w:rPr>
        <w:t>.</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396F05F7">
      <w:pPr>
        <w:ind w:firstLine="420" w:firstLineChars="200"/>
        <w:rPr>
          <w:rFonts w:ascii="宋体" w:hAnsi="宋体" w:cs="宋体"/>
          <w:b/>
          <w:kern w:val="0"/>
          <w:szCs w:val="21"/>
        </w:rPr>
      </w:pPr>
      <w:r>
        <w:rPr>
          <w:rFonts w:hint="eastAsia" w:ascii="宋体" w:hAnsi="宋体"/>
        </w:rPr>
        <w:t>1</w:t>
      </w:r>
      <w:r>
        <w:rPr>
          <w:rFonts w:hint="eastAsia" w:ascii="宋体" w:hAnsi="宋体"/>
          <w:lang w:val="en-US" w:eastAsia="zh-CN"/>
        </w:rPr>
        <w:t>1</w:t>
      </w:r>
      <w:r>
        <w:rPr>
          <w:rFonts w:ascii="宋体" w:hAnsi="宋体"/>
        </w:rPr>
        <w:t>.</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w:t>
      </w:r>
      <w:r>
        <w:rPr>
          <w:rFonts w:hint="eastAsia" w:ascii="宋体" w:hAnsi="宋体"/>
          <w:lang w:val="en-US" w:eastAsia="zh-CN"/>
        </w:rPr>
        <w:t>若所投产品包括数据中心相关设备的，应满足</w:t>
      </w:r>
      <w:r>
        <w:rPr>
          <w:rFonts w:hint="eastAsia"/>
        </w:rPr>
        <w:t>《财政部 生态环境部 工业和信息化部关于印发&lt;绿色数据中心政府采购需求标准（试行）&gt;的通知》</w:t>
      </w:r>
      <w:r>
        <w:rPr>
          <w:rFonts w:hint="eastAsia" w:eastAsia="宋体"/>
          <w:lang w:eastAsia="zh-CN"/>
        </w:rPr>
        <w:t>（</w:t>
      </w:r>
      <w:r>
        <w:rPr>
          <w:rFonts w:hint="eastAsia"/>
        </w:rPr>
        <w:t>财库〔2023〕7号）</w:t>
      </w:r>
      <w:r>
        <w:rPr>
          <w:rFonts w:hint="eastAsia" w:ascii="Times New Roman" w:eastAsia="宋体"/>
          <w:lang w:val="en-US" w:eastAsia="zh-CN"/>
        </w:rPr>
        <w:t>要求。若所投产品涉及国家强制性标准的，所投产品应符合国家强制性标准相关要求。</w:t>
      </w:r>
    </w:p>
    <w:p w14:paraId="15816E1C">
      <w:pPr>
        <w:ind w:firstLine="420" w:firstLineChars="200"/>
        <w:rPr>
          <w:rFonts w:hint="eastAsia" w:ascii="宋体" w:hAnsi="宋体"/>
          <w:b w:val="0"/>
          <w:bCs/>
        </w:rPr>
      </w:pPr>
      <w:r>
        <w:rPr>
          <w:rFonts w:hint="eastAsia" w:ascii="宋体" w:hAnsi="宋体" w:cs="宋体"/>
          <w:b w:val="0"/>
          <w:bCs/>
          <w:kern w:val="0"/>
          <w:szCs w:val="21"/>
        </w:rPr>
        <w:t>1</w:t>
      </w:r>
      <w:r>
        <w:rPr>
          <w:rFonts w:hint="eastAsia" w:ascii="宋体" w:hAnsi="宋体" w:cs="宋体"/>
          <w:b w:val="0"/>
          <w:bCs/>
          <w:kern w:val="0"/>
          <w:szCs w:val="21"/>
          <w:lang w:val="en-US" w:eastAsia="zh-CN"/>
        </w:rPr>
        <w:t>2</w:t>
      </w:r>
      <w:r>
        <w:rPr>
          <w:rFonts w:hint="eastAsia" w:ascii="宋体" w:hAnsi="宋体" w:cs="宋体"/>
          <w:b w:val="0"/>
          <w:bCs/>
          <w:kern w:val="0"/>
          <w:szCs w:val="21"/>
        </w:rPr>
        <w:t>.</w:t>
      </w:r>
      <w:r>
        <w:rPr>
          <w:rFonts w:hint="eastAsia" w:ascii="宋体" w:hAnsi="宋体"/>
          <w:b w:val="0"/>
          <w:bCs/>
        </w:rPr>
        <w:t>我单位已知悉并同意中标（成交）结果信息公示（公开）的内容。</w:t>
      </w:r>
    </w:p>
    <w:p w14:paraId="2D7AD29C">
      <w:pPr>
        <w:ind w:firstLine="420" w:firstLineChars="200"/>
        <w:rPr>
          <w:rFonts w:hint="eastAsia" w:ascii="宋体" w:hAnsi="宋体"/>
          <w:b w:val="0"/>
          <w:bCs/>
        </w:rPr>
      </w:pPr>
      <w:r>
        <w:rPr>
          <w:rFonts w:hint="eastAsia" w:ascii="宋体" w:hAnsi="宋体"/>
          <w:b w:val="0"/>
          <w:bCs/>
        </w:rPr>
        <w:t>1</w:t>
      </w:r>
      <w:r>
        <w:rPr>
          <w:rFonts w:hint="eastAsia" w:ascii="宋体" w:hAnsi="宋体"/>
          <w:b w:val="0"/>
          <w:bCs/>
          <w:lang w:val="en-US" w:eastAsia="zh-CN"/>
        </w:rPr>
        <w:t>3</w:t>
      </w:r>
      <w:r>
        <w:rPr>
          <w:rFonts w:hint="eastAsia" w:ascii="宋体" w:hAnsi="宋体"/>
          <w:b w:val="0"/>
          <w:bCs/>
        </w:rPr>
        <w:t>.</w:t>
      </w:r>
      <w:bookmarkStart w:id="26" w:name="OLE_LINK12"/>
      <w:bookmarkStart w:id="27" w:name="OLE_LINK3"/>
      <w:r>
        <w:rPr>
          <w:rFonts w:hint="eastAsia" w:ascii="宋体" w:hAnsi="宋体"/>
          <w:b w:val="0"/>
          <w:bCs/>
        </w:rPr>
        <w:t>我单位保证，符合《中华人民共和国政府采购法实施条例》第十八条规定，与其他投标供应商不存在单位负责人为同一人或者存在直接控股、管理关系；</w:t>
      </w:r>
      <w:r>
        <w:rPr>
          <w:rFonts w:hint="eastAsia" w:ascii="宋体" w:hAnsi="宋体"/>
          <w:b w:val="0"/>
          <w:bCs/>
          <w:color w:val="auto"/>
          <w:lang w:val="en-US" w:eastAsia="zh-CN"/>
        </w:rPr>
        <w:t>不存在为</w:t>
      </w:r>
      <w:r>
        <w:rPr>
          <w:rFonts w:hint="eastAsia" w:ascii="宋体" w:hAnsi="宋体"/>
          <w:b w:val="0"/>
          <w:bCs/>
        </w:rPr>
        <w:t>本次采购项目提供整体设计、规范编制或者项目管理、监理、检测等服务的情</w:t>
      </w:r>
      <w:r>
        <w:rPr>
          <w:rFonts w:hint="eastAsia" w:ascii="宋体" w:hAnsi="宋体"/>
          <w:b w:val="0"/>
          <w:bCs/>
          <w:color w:val="auto"/>
        </w:rPr>
        <w:t>形。</w:t>
      </w:r>
      <w:r>
        <w:rPr>
          <w:rFonts w:hint="eastAsia" w:ascii="宋体" w:hAnsi="宋体"/>
          <w:b w:val="0"/>
          <w:bCs/>
          <w:color w:val="auto"/>
          <w:lang w:val="en-US" w:eastAsia="zh-CN"/>
        </w:rPr>
        <w:t>若</w:t>
      </w:r>
      <w:r>
        <w:rPr>
          <w:rFonts w:hint="eastAsia" w:ascii="宋体" w:hAnsi="宋体"/>
          <w:b w:val="0"/>
          <w:bCs/>
          <w:color w:val="auto"/>
        </w:rPr>
        <w:t>存在“不同供应商的董事、股东或其他高级管理人员为同一人的”情形的，</w:t>
      </w:r>
      <w:r>
        <w:rPr>
          <w:rFonts w:hint="eastAsia" w:ascii="宋体" w:hAnsi="宋体"/>
          <w:b w:val="0"/>
          <w:bCs/>
          <w:color w:val="auto"/>
          <w:lang w:val="en-US" w:eastAsia="zh-CN"/>
        </w:rPr>
        <w:t>我单位保证</w:t>
      </w:r>
      <w:r>
        <w:rPr>
          <w:rFonts w:hint="eastAsia" w:ascii="宋体" w:hAnsi="宋体"/>
          <w:b w:val="0"/>
          <w:bCs/>
          <w:color w:val="auto"/>
        </w:rPr>
        <w:t>不存在串通投标、恶意串通或者视为串通投标的情形</w:t>
      </w:r>
      <w:bookmarkEnd w:id="26"/>
      <w:r>
        <w:rPr>
          <w:rFonts w:hint="eastAsia" w:ascii="宋体" w:hAnsi="宋体"/>
          <w:b w:val="0"/>
          <w:bCs/>
          <w:color w:val="auto"/>
          <w:lang w:eastAsia="zh-CN"/>
        </w:rPr>
        <w:t>。</w:t>
      </w:r>
      <w:bookmarkEnd w:id="27"/>
    </w:p>
    <w:p w14:paraId="48B2B3E6">
      <w:pPr>
        <w:ind w:firstLine="422" w:firstLineChars="200"/>
        <w:rPr>
          <w:rFonts w:hint="eastAsia" w:ascii="宋体" w:hAnsi="宋体"/>
          <w:b/>
          <w:bCs w:val="0"/>
          <w:sz w:val="21"/>
          <w:lang w:val="en-US" w:eastAsia="zh-CN"/>
        </w:rPr>
      </w:pPr>
      <w:r>
        <w:rPr>
          <w:rFonts w:hint="eastAsia" w:ascii="宋体" w:hAnsi="宋体"/>
          <w:b/>
          <w:bCs w:val="0"/>
          <w:sz w:val="21"/>
          <w:lang w:val="en-US" w:eastAsia="zh-CN"/>
        </w:rPr>
        <w:t>14.我单位清楚，如存在违反投标承诺行为情节严重的，将根据《深圳市财政局关于印发&lt;深圳市财政局政府采购供应商信用信息管理办法&gt;的通知》，依法被列入失信信息。</w:t>
      </w:r>
    </w:p>
    <w:p w14:paraId="2BCCFAB7">
      <w:pPr>
        <w:ind w:firstLine="422" w:firstLineChars="200"/>
        <w:rPr>
          <w:rFonts w:hint="eastAsia" w:ascii="宋体" w:hAnsi="宋体"/>
          <w:b/>
          <w:bCs w:val="0"/>
          <w:sz w:val="21"/>
          <w:lang w:val="en-US" w:eastAsia="zh-CN"/>
        </w:rPr>
      </w:pPr>
    </w:p>
    <w:p w14:paraId="618F1C6B">
      <w:pPr>
        <w:ind w:firstLine="420" w:firstLineChars="200"/>
        <w:rPr>
          <w:rFonts w:hint="eastAsia" w:ascii="宋体" w:hAnsi="宋体"/>
          <w:szCs w:val="21"/>
        </w:rPr>
      </w:pPr>
      <w:r>
        <w:rPr>
          <w:rFonts w:hint="eastAsia" w:ascii="宋体" w:hAnsi="宋体"/>
          <w:szCs w:val="21"/>
        </w:rPr>
        <w:t>以上承诺，如有违反，愿依照国家相关法律法规处理，并承担由此给采购人带来的损失。</w:t>
      </w:r>
    </w:p>
    <w:p w14:paraId="42F84575">
      <w:pPr>
        <w:spacing w:before="78" w:beforeLines="25" w:after="78" w:afterLines="25"/>
        <w:ind w:firstLine="5460" w:firstLineChars="2600"/>
        <w:rPr>
          <w:rFonts w:hint="eastAsia" w:ascii="宋体" w:hAnsi="宋体"/>
          <w:szCs w:val="21"/>
        </w:rPr>
      </w:pPr>
      <w:r>
        <w:rPr>
          <w:rFonts w:hint="eastAsia" w:ascii="宋体" w:hAnsi="宋体"/>
          <w:szCs w:val="21"/>
        </w:rPr>
        <w:t xml:space="preserve">                                    </w:t>
      </w:r>
    </w:p>
    <w:bookmarkEnd w:id="25"/>
    <w:p w14:paraId="43030B88">
      <w:pPr>
        <w:spacing w:before="78" w:beforeLines="25" w:after="78" w:afterLines="25"/>
        <w:jc w:val="right"/>
        <w:rPr>
          <w:rFonts w:eastAsia="宋体"/>
          <w:color w:val="FF0000"/>
        </w:rPr>
      </w:pPr>
      <w:r>
        <w:rPr>
          <w:rFonts w:hint="eastAsia"/>
          <w:color w:val="FF0000"/>
          <w:szCs w:val="21"/>
        </w:rPr>
        <w:t>投标人：</w:t>
      </w:r>
      <w:r>
        <w:rPr>
          <w:rFonts w:hint="eastAsia"/>
          <w:color w:val="FF0000"/>
          <w:szCs w:val="21"/>
          <w:u w:val="thick"/>
        </w:rPr>
        <w:t xml:space="preserve">                           </w:t>
      </w:r>
      <w:r>
        <w:rPr>
          <w:rFonts w:hint="eastAsia"/>
          <w:color w:val="FF0000"/>
          <w:szCs w:val="21"/>
        </w:rPr>
        <w:t>.</w:t>
      </w:r>
    </w:p>
    <w:p w14:paraId="50BFBEFE">
      <w:pPr>
        <w:jc w:val="right"/>
        <w:rPr>
          <w:rFonts w:hint="eastAsia" w:ascii="宋体" w:hAnsi="宋体"/>
          <w:color w:val="FF0000"/>
          <w:szCs w:val="21"/>
        </w:rPr>
      </w:pPr>
      <w:r>
        <w:rPr>
          <w:rFonts w:hint="eastAsia" w:ascii="宋体" w:hAnsi="宋体"/>
          <w:color w:val="FF0000"/>
          <w:szCs w:val="21"/>
        </w:rPr>
        <w:t>日期：</w:t>
      </w:r>
      <w:r>
        <w:rPr>
          <w:rFonts w:hint="eastAsia"/>
          <w:color w:val="FF0000"/>
          <w:szCs w:val="21"/>
          <w:u w:val="thick"/>
        </w:rPr>
        <w:t xml:space="preserve">        </w:t>
      </w:r>
      <w:r>
        <w:rPr>
          <w:rFonts w:hint="eastAsia" w:ascii="宋体" w:hAnsi="宋体"/>
          <w:color w:val="FF0000"/>
          <w:szCs w:val="21"/>
        </w:rPr>
        <w:t>年</w:t>
      </w:r>
      <w:r>
        <w:rPr>
          <w:rFonts w:hint="eastAsia"/>
          <w:color w:val="FF0000"/>
          <w:szCs w:val="21"/>
          <w:u w:val="thick"/>
        </w:rPr>
        <w:t xml:space="preserve">       </w:t>
      </w:r>
      <w:r>
        <w:rPr>
          <w:rFonts w:hint="eastAsia" w:ascii="宋体" w:hAnsi="宋体"/>
          <w:color w:val="FF0000"/>
          <w:szCs w:val="21"/>
        </w:rPr>
        <w:t>月</w:t>
      </w:r>
      <w:r>
        <w:rPr>
          <w:rFonts w:hint="eastAsia"/>
          <w:color w:val="FF0000"/>
          <w:szCs w:val="21"/>
          <w:u w:val="thick"/>
        </w:rPr>
        <w:t xml:space="preserve">       </w:t>
      </w:r>
      <w:r>
        <w:rPr>
          <w:rFonts w:hint="eastAsia" w:ascii="宋体" w:hAnsi="宋体"/>
          <w:color w:val="FF0000"/>
          <w:szCs w:val="21"/>
        </w:rPr>
        <w:t>日</w:t>
      </w:r>
    </w:p>
    <w:p w14:paraId="383C1046">
      <w:pPr>
        <w:ind w:firstLine="645"/>
        <w:rPr>
          <w:rFonts w:hint="eastAsia" w:ascii="宋体" w:hAnsi="宋体"/>
          <w:szCs w:val="21"/>
        </w:rPr>
      </w:pPr>
    </w:p>
    <w:p w14:paraId="4B75E96C">
      <w:pPr>
        <w:rPr>
          <w:rFonts w:ascii="宋体"/>
          <w:b/>
          <w:szCs w:val="21"/>
        </w:rPr>
      </w:pPr>
    </w:p>
    <w:p w14:paraId="3FBF1C71">
      <w:pPr>
        <w:ind w:firstLine="482" w:firstLineChars="200"/>
        <w:jc w:val="center"/>
        <w:rPr>
          <w:rFonts w:hint="eastAsia" w:hAnsi="宋体"/>
          <w:b/>
          <w:bCs/>
          <w:sz w:val="24"/>
        </w:rPr>
      </w:pPr>
    </w:p>
    <w:p w14:paraId="645A72A8">
      <w:pPr>
        <w:pStyle w:val="4"/>
        <w:jc w:val="center"/>
        <w:rPr>
          <w:rFonts w:hint="eastAsia" w:ascii="黑体" w:eastAsia="黑体"/>
          <w:b w:val="0"/>
          <w:sz w:val="24"/>
          <w:szCs w:val="24"/>
        </w:rPr>
      </w:pPr>
      <w:r>
        <w:rPr>
          <w:rFonts w:hint="eastAsia" w:ascii="黑体" w:eastAsia="黑体"/>
          <w:b w:val="0"/>
          <w:sz w:val="24"/>
          <w:szCs w:val="24"/>
        </w:rPr>
        <w:t>三、投标人情况及资格证明文件</w:t>
      </w:r>
    </w:p>
    <w:p w14:paraId="71BA8E69">
      <w:pPr>
        <w:rPr>
          <w:b/>
          <w:bCs/>
          <w:sz w:val="24"/>
        </w:rPr>
      </w:pPr>
    </w:p>
    <w:p w14:paraId="761546FA">
      <w:pPr>
        <w:ind w:firstLine="2640" w:firstLineChars="1100"/>
        <w:outlineLvl w:val="3"/>
        <w:rPr>
          <w:rFonts w:hint="eastAsia" w:ascii="黑体" w:hAnsi="宋体" w:eastAsia="黑体"/>
          <w:bCs/>
          <w:kern w:val="0"/>
          <w:sz w:val="24"/>
          <w:szCs w:val="32"/>
        </w:rPr>
      </w:pPr>
      <w:bookmarkStart w:id="28" w:name="_Hlk72257590"/>
      <w:r>
        <w:rPr>
          <w:rFonts w:hint="eastAsia" w:ascii="黑体" w:hAnsi="宋体" w:eastAsia="黑体"/>
          <w:bCs/>
          <w:kern w:val="0"/>
          <w:sz w:val="24"/>
          <w:szCs w:val="32"/>
        </w:rPr>
        <w:t>（一）投标人资格证明文件</w:t>
      </w:r>
    </w:p>
    <w:p w14:paraId="5EFA725A">
      <w:pPr>
        <w:spacing w:before="156" w:beforeLines="50"/>
        <w:ind w:firstLine="422" w:firstLineChars="200"/>
        <w:rPr>
          <w:b/>
          <w:bCs/>
          <w:color w:val="FF0000"/>
        </w:rPr>
      </w:pPr>
      <w:r>
        <w:rPr>
          <w:rFonts w:hint="eastAsia"/>
          <w:b/>
          <w:bCs/>
          <w:color w:val="FF0000"/>
        </w:rPr>
        <w:t>（特别提示：投标人须按本招标文件第一册第一章招标公告 “申请人的资格要求”（即投标人资格要求）提供相关的资格证明资料，未提供或提供不完整、不符合要求的，将作投标无效处理，其中要求提供《政府采购投标及履约承诺函》且已在“二、政府采购投标及履约承诺函”章节中提供了，此处可不重复提供，《供应商基本情况表》为必填内容，须按照相应格式及节点在“信息不公开部分”提供。）</w:t>
      </w:r>
    </w:p>
    <w:p w14:paraId="24629352">
      <w:pPr>
        <w:rPr>
          <w:b/>
          <w:bCs/>
          <w:sz w:val="24"/>
        </w:rPr>
      </w:pPr>
    </w:p>
    <w:p w14:paraId="511638E2">
      <w:pPr>
        <w:ind w:firstLine="480" w:firstLineChars="200"/>
        <w:outlineLvl w:val="3"/>
        <w:rPr>
          <w:rFonts w:hint="eastAsia" w:ascii="黑体" w:hAnsi="宋体" w:eastAsia="黑体"/>
          <w:bCs/>
          <w:kern w:val="0"/>
          <w:sz w:val="24"/>
          <w:szCs w:val="32"/>
        </w:rPr>
      </w:pPr>
      <w:bookmarkStart w:id="29" w:name="_Hlk72257908"/>
      <w:r>
        <w:rPr>
          <w:rFonts w:hint="eastAsia" w:ascii="黑体" w:hAnsi="宋体" w:eastAsia="黑体"/>
          <w:bCs/>
          <w:kern w:val="0"/>
          <w:sz w:val="24"/>
          <w:szCs w:val="32"/>
        </w:rPr>
        <w:t>（二）中小企业声明函、残疾人福利性单位声明函及监狱企业声明函</w:t>
      </w:r>
    </w:p>
    <w:bookmarkEnd w:id="28"/>
    <w:p w14:paraId="50D7E7AD">
      <w:pPr>
        <w:jc w:val="left"/>
        <w:outlineLvl w:val="3"/>
        <w:rPr>
          <w:rFonts w:hint="eastAsia" w:ascii="黑体" w:hAnsi="宋体" w:eastAsia="黑体"/>
          <w:bCs/>
          <w:kern w:val="0"/>
          <w:sz w:val="24"/>
          <w:szCs w:val="32"/>
        </w:rPr>
      </w:pPr>
    </w:p>
    <w:p w14:paraId="1CDDF844">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填写指引：</w:t>
      </w:r>
    </w:p>
    <w:p w14:paraId="5657C8E7">
      <w:pPr>
        <w:ind w:firstLine="420" w:firstLineChars="200"/>
        <w:outlineLvl w:val="3"/>
        <w:rPr>
          <w:rFonts w:ascii="黑体" w:hAnsi="黑体" w:eastAsia="黑体"/>
          <w:color w:val="FF0000"/>
          <w:szCs w:val="21"/>
        </w:rPr>
      </w:pPr>
      <w:r>
        <w:rPr>
          <w:rFonts w:hint="eastAsia" w:ascii="黑体" w:hAnsi="宋体" w:eastAsia="黑体"/>
          <w:bCs/>
          <w:color w:val="FF0000"/>
          <w:kern w:val="0"/>
          <w:szCs w:val="21"/>
        </w:rPr>
        <w:t>1、该部分内容由投标人根据自身实际情况填写，不符合要求的投标人可以不填写或直接删除相应的声明函。</w:t>
      </w:r>
      <w:r>
        <w:rPr>
          <w:rFonts w:hint="eastAsia" w:ascii="黑体" w:hAnsi="黑体" w:eastAsia="黑体"/>
          <w:color w:val="FF0000"/>
          <w:szCs w:val="21"/>
        </w:rPr>
        <w:t>投标人提供的声明函不属实的，属于提供虚假资料谋取中标，依照《中华人民共和国政府采购法》等国家有关规定追究相应责任。</w:t>
      </w:r>
    </w:p>
    <w:p w14:paraId="17FAA14A">
      <w:pPr>
        <w:ind w:firstLine="420" w:firstLineChars="200"/>
        <w:outlineLvl w:val="3"/>
        <w:rPr>
          <w:rFonts w:ascii="黑体" w:hAnsi="黑体" w:eastAsia="黑体"/>
          <w:color w:val="FF0000"/>
          <w:szCs w:val="21"/>
        </w:rPr>
      </w:pPr>
      <w:r>
        <w:rPr>
          <w:rFonts w:hint="eastAsia" w:ascii="黑体" w:hAnsi="黑体" w:eastAsia="黑体"/>
          <w:color w:val="FF0000"/>
          <w:szCs w:val="21"/>
        </w:rPr>
        <w:t>2、该部分内容填写需要参考的相关文件：</w:t>
      </w:r>
    </w:p>
    <w:p w14:paraId="6692B557">
      <w:pPr>
        <w:ind w:firstLine="420" w:firstLineChars="200"/>
        <w:outlineLvl w:val="3"/>
        <w:rPr>
          <w:rFonts w:ascii="黑体" w:hAnsi="黑体" w:eastAsia="黑体"/>
          <w:color w:val="FF0000"/>
          <w:szCs w:val="21"/>
        </w:rPr>
      </w:pPr>
      <w:r>
        <w:rPr>
          <w:rFonts w:hint="eastAsia" w:ascii="黑体" w:hAnsi="黑体" w:eastAsia="黑体"/>
          <w:color w:val="FF0000"/>
          <w:szCs w:val="21"/>
        </w:rPr>
        <w:t>(</w:t>
      </w:r>
      <w:r>
        <w:rPr>
          <w:rFonts w:ascii="黑体" w:hAnsi="黑体" w:eastAsia="黑体"/>
          <w:color w:val="FF0000"/>
          <w:szCs w:val="21"/>
        </w:rPr>
        <w:t>1</w:t>
      </w:r>
      <w:r>
        <w:rPr>
          <w:rFonts w:hint="eastAsia" w:ascii="黑体" w:hAnsi="黑体" w:eastAsia="黑体"/>
          <w:color w:val="FF0000"/>
          <w:szCs w:val="21"/>
        </w:rPr>
        <w:t>)财政部《政府采购促进中小企业发展管理办法》（财库〔2020〕46号）</w:t>
      </w:r>
    </w:p>
    <w:p w14:paraId="7743D2BC">
      <w:pPr>
        <w:ind w:firstLine="420" w:firstLineChars="200"/>
        <w:outlineLvl w:val="3"/>
        <w:rPr>
          <w:rFonts w:ascii="黑体" w:hAnsi="黑体" w:eastAsia="黑体"/>
          <w:color w:val="FF0000"/>
          <w:szCs w:val="21"/>
        </w:rPr>
      </w:pPr>
      <w:r>
        <w:rPr>
          <w:rFonts w:hint="eastAsia" w:ascii="黑体" w:hAnsi="黑体" w:eastAsia="黑体"/>
          <w:color w:val="FF0000"/>
          <w:szCs w:val="21"/>
        </w:rPr>
        <w:t>(</w:t>
      </w:r>
      <w:r>
        <w:rPr>
          <w:rFonts w:ascii="黑体" w:hAnsi="黑体" w:eastAsia="黑体"/>
          <w:color w:val="FF0000"/>
          <w:szCs w:val="21"/>
        </w:rPr>
        <w:t>2</w:t>
      </w:r>
      <w:r>
        <w:rPr>
          <w:rFonts w:hint="eastAsia" w:ascii="黑体" w:hAnsi="黑体" w:eastAsia="黑体"/>
          <w:color w:val="FF0000"/>
          <w:szCs w:val="21"/>
        </w:rPr>
        <w:t>)</w:t>
      </w:r>
      <w:bookmarkStart w:id="30" w:name="_Hlk71925120"/>
      <w:r>
        <w:rPr>
          <w:rFonts w:hint="eastAsia" w:ascii="黑体" w:hAnsi="黑体" w:eastAsia="黑体"/>
          <w:color w:val="FF0000"/>
          <w:szCs w:val="21"/>
        </w:rPr>
        <w:t>《工业和信息化部、国家统计局、国家发展和改革委员会、财政部关于印发中小企业划型标准规定的通知》（工信部联企业〔2011〕300号</w:t>
      </w:r>
      <w:bookmarkEnd w:id="30"/>
      <w:r>
        <w:rPr>
          <w:rFonts w:hint="eastAsia" w:ascii="黑体" w:hAnsi="黑体" w:eastAsia="黑体"/>
          <w:color w:val="FF0000"/>
          <w:szCs w:val="21"/>
        </w:rPr>
        <w:t>）</w:t>
      </w:r>
    </w:p>
    <w:p w14:paraId="7291BDA0">
      <w:pPr>
        <w:ind w:firstLine="420" w:firstLineChars="200"/>
        <w:outlineLvl w:val="3"/>
        <w:rPr>
          <w:rFonts w:ascii="黑体" w:hAnsi="黑体" w:eastAsia="黑体"/>
          <w:color w:val="FF0000"/>
          <w:szCs w:val="21"/>
        </w:rPr>
      </w:pPr>
      <w:r>
        <w:rPr>
          <w:rFonts w:hint="eastAsia" w:ascii="黑体" w:hAnsi="黑体" w:eastAsia="黑体"/>
          <w:color w:val="FF0000"/>
          <w:szCs w:val="21"/>
        </w:rPr>
        <w:t>(3)《统计上大中小微型企业划分办法(2017)》（国统字〔2017〕213号）</w:t>
      </w:r>
    </w:p>
    <w:p w14:paraId="5A410BF8">
      <w:pPr>
        <w:ind w:firstLine="420" w:firstLineChars="200"/>
        <w:outlineLvl w:val="3"/>
        <w:rPr>
          <w:rFonts w:ascii="黑体" w:hAnsi="黑体" w:eastAsia="黑体"/>
          <w:color w:val="FF0000"/>
          <w:szCs w:val="21"/>
        </w:rPr>
      </w:pPr>
      <w:r>
        <w:rPr>
          <w:rFonts w:hint="eastAsia" w:ascii="黑体" w:hAnsi="黑体" w:eastAsia="黑体"/>
          <w:color w:val="FF0000"/>
          <w:szCs w:val="21"/>
        </w:rPr>
        <w:t>(4)《关于促进残疾人就业政府采购政策的通知》（财库〔2017〕141号）</w:t>
      </w:r>
    </w:p>
    <w:p w14:paraId="1F65C3B5">
      <w:pPr>
        <w:ind w:firstLine="420" w:firstLineChars="200"/>
        <w:outlineLvl w:val="3"/>
        <w:rPr>
          <w:rFonts w:ascii="黑体" w:hAnsi="黑体" w:eastAsia="黑体"/>
          <w:color w:val="FF0000"/>
          <w:szCs w:val="21"/>
        </w:rPr>
      </w:pPr>
      <w:r>
        <w:rPr>
          <w:rFonts w:hint="eastAsia" w:ascii="黑体" w:hAnsi="黑体" w:eastAsia="黑体"/>
          <w:color w:val="FF0000"/>
          <w:szCs w:val="21"/>
        </w:rPr>
        <w:t>(5)《关于政府采购支持监狱企业发展有关问题的通知》（财库〔2014〕68号）</w:t>
      </w:r>
    </w:p>
    <w:p w14:paraId="61A5FABE">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3、请依照提供的格式和内容填写声明函，不要随意变更格式；声明函不需要盖章或签字；</w:t>
      </w:r>
      <w:r>
        <w:rPr>
          <w:rFonts w:hint="eastAsia" w:ascii="黑体" w:hAnsi="黑体" w:eastAsia="黑体"/>
          <w:color w:val="FF0000"/>
          <w:szCs w:val="21"/>
        </w:rPr>
        <w:t>满足多项优惠政策的投标人，不重复享受多项价格扣除政策。</w:t>
      </w:r>
    </w:p>
    <w:p w14:paraId="4486C0B1">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4、声明函具体填写要求：</w:t>
      </w:r>
    </w:p>
    <w:p w14:paraId="1ABB6DDC">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（1）声明是中小企业须填写《中小企业声明函》的以下内容：</w:t>
      </w:r>
    </w:p>
    <w:p w14:paraId="7DF53F23">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第一处，在“单位名称”下划线处如实填写采购人名称（深圳公共资源交易中心不是本项目的采购人，而是组织实施机构）；</w:t>
      </w:r>
    </w:p>
    <w:p w14:paraId="10051464">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第二处，在“项目名称”下划线处如实填写采购</w:t>
      </w:r>
      <w:r>
        <w:rPr>
          <w:rFonts w:hint="eastAsia" w:ascii="黑体" w:hAnsi="宋体" w:eastAsia="黑体"/>
          <w:bCs/>
          <w:color w:val="FF0000"/>
          <w:kern w:val="0"/>
          <w:szCs w:val="21"/>
          <w:lang w:val="en-US" w:eastAsia="zh-CN"/>
        </w:rPr>
        <w:t>文件中确定的</w:t>
      </w:r>
      <w:r>
        <w:rPr>
          <w:rFonts w:hint="eastAsia" w:ascii="黑体" w:hAnsi="宋体" w:eastAsia="黑体"/>
          <w:bCs/>
          <w:color w:val="FF0000"/>
          <w:kern w:val="0"/>
          <w:szCs w:val="21"/>
        </w:rPr>
        <w:t>项目名称</w:t>
      </w:r>
      <w:r>
        <w:rPr>
          <w:rFonts w:hint="eastAsia" w:ascii="黑体" w:hAnsi="宋体" w:eastAsia="黑体"/>
          <w:bCs/>
          <w:color w:val="FF0000"/>
          <w:kern w:val="0"/>
          <w:szCs w:val="21"/>
          <w:lang w:eastAsia="zh-CN"/>
        </w:rPr>
        <w:t>。对于分包方式面向中小企业采购的项目，应标明中小企业的具体分包内容；对于以联合体方式面向中小企业采购的项目，应标明联合体中中小企业所承担的具体内容</w:t>
      </w:r>
      <w:r>
        <w:rPr>
          <w:rFonts w:hint="eastAsia" w:ascii="黑体" w:hAnsi="宋体" w:eastAsia="黑体"/>
          <w:bCs/>
          <w:color w:val="FF0000"/>
          <w:kern w:val="0"/>
          <w:szCs w:val="21"/>
        </w:rPr>
        <w:t>；</w:t>
      </w:r>
    </w:p>
    <w:p w14:paraId="10295649">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第三处，在“标的名称”下划线处填写所采购标的具体名称（以招标文件第一册第三章用户需求书“</w:t>
      </w:r>
      <w:r>
        <w:rPr>
          <w:rFonts w:hint="eastAsia" w:ascii="黑体" w:hAnsi="宋体" w:eastAsia="黑体"/>
          <w:bCs/>
          <w:color w:val="FF0000"/>
          <w:kern w:val="0"/>
          <w:szCs w:val="21"/>
          <w:lang w:val="en-US" w:eastAsia="zh-CN"/>
        </w:rPr>
        <w:t>服务需求</w:t>
      </w:r>
      <w:r>
        <w:rPr>
          <w:rFonts w:hint="eastAsia" w:ascii="黑体" w:hAnsi="宋体" w:eastAsia="黑体"/>
          <w:bCs/>
          <w:color w:val="FF0000"/>
          <w:kern w:val="0"/>
          <w:szCs w:val="21"/>
        </w:rPr>
        <w:t>明细”的“服务需求名称（标的名称）”一栏为准）；如果涉及多项</w:t>
      </w:r>
      <w:r>
        <w:rPr>
          <w:rFonts w:hint="eastAsia" w:ascii="黑体" w:hAnsi="宋体" w:eastAsia="黑体"/>
          <w:bCs/>
          <w:color w:val="FF0000"/>
          <w:kern w:val="0"/>
          <w:szCs w:val="21"/>
          <w:lang w:val="en-US" w:eastAsia="zh-CN"/>
        </w:rPr>
        <w:t>服务</w:t>
      </w:r>
      <w:r>
        <w:rPr>
          <w:rFonts w:hint="eastAsia" w:ascii="黑体" w:hAnsi="宋体" w:eastAsia="黑体"/>
          <w:bCs/>
          <w:color w:val="FF0000"/>
          <w:kern w:val="0"/>
          <w:szCs w:val="21"/>
        </w:rPr>
        <w:t>（标的）为同一企业</w:t>
      </w:r>
      <w:r>
        <w:rPr>
          <w:rFonts w:hint="eastAsia" w:ascii="黑体" w:hAnsi="宋体" w:eastAsia="黑体"/>
          <w:bCs/>
          <w:color w:val="FF0000"/>
          <w:kern w:val="0"/>
          <w:szCs w:val="21"/>
          <w:lang w:val="en-US" w:eastAsia="zh-CN"/>
        </w:rPr>
        <w:t>承接的</w:t>
      </w:r>
      <w:r>
        <w:rPr>
          <w:rFonts w:hint="eastAsia" w:ascii="黑体" w:hAnsi="宋体" w:eastAsia="黑体"/>
          <w:bCs/>
          <w:color w:val="FF0000"/>
          <w:kern w:val="0"/>
          <w:szCs w:val="21"/>
        </w:rPr>
        <w:t>，“标的名称”下划线处可以如实填写多项</w:t>
      </w:r>
      <w:r>
        <w:rPr>
          <w:rFonts w:hint="eastAsia" w:ascii="黑体" w:hAnsi="宋体" w:eastAsia="黑体"/>
          <w:bCs/>
          <w:color w:val="FF0000"/>
          <w:kern w:val="0"/>
          <w:szCs w:val="21"/>
          <w:lang w:val="en-US" w:eastAsia="zh-CN"/>
        </w:rPr>
        <w:t>服务</w:t>
      </w:r>
      <w:r>
        <w:rPr>
          <w:rFonts w:hint="eastAsia" w:ascii="黑体" w:hAnsi="宋体" w:eastAsia="黑体"/>
          <w:bCs/>
          <w:color w:val="FF0000"/>
          <w:kern w:val="0"/>
          <w:szCs w:val="21"/>
        </w:rPr>
        <w:t>；对于分包方式面向中小企业采购的项目</w:t>
      </w:r>
      <w:r>
        <w:rPr>
          <w:rFonts w:hint="eastAsia" w:ascii="黑体" w:hAnsi="宋体" w:eastAsia="黑体"/>
          <w:bCs/>
          <w:color w:val="FF0000"/>
          <w:kern w:val="0"/>
          <w:szCs w:val="21"/>
          <w:lang w:eastAsia="zh-CN"/>
        </w:rPr>
        <w:t>，</w:t>
      </w:r>
      <w:r>
        <w:rPr>
          <w:rFonts w:hint="eastAsia" w:ascii="黑体" w:hAnsi="宋体" w:eastAsia="黑体"/>
          <w:bCs/>
          <w:color w:val="FF0000"/>
          <w:kern w:val="0"/>
          <w:szCs w:val="21"/>
        </w:rPr>
        <w:t>“标的名称”应填写采购文件中注明的分包给中小企业的采购标的名称；对于以联合体方式面向中小企业采购的项目“标的名称”应填写采购文件中注明的联合体中中小企业承担的采购标的名称。</w:t>
      </w:r>
    </w:p>
    <w:p w14:paraId="049DB416">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第四处，在“</w:t>
      </w:r>
      <w:r>
        <w:rPr>
          <w:rFonts w:hint="eastAsia" w:ascii="黑体" w:hAnsi="宋体" w:eastAsia="黑体"/>
          <w:bCs/>
          <w:color w:val="FF0000"/>
          <w:kern w:val="0"/>
          <w:szCs w:val="21"/>
          <w:lang w:val="en-US" w:eastAsia="zh-CN"/>
        </w:rPr>
        <w:t>采购</w:t>
      </w:r>
      <w:r>
        <w:rPr>
          <w:rFonts w:hint="eastAsia" w:ascii="黑体" w:hAnsi="宋体" w:eastAsia="黑体"/>
          <w:bCs/>
          <w:color w:val="FF0000"/>
          <w:kern w:val="0"/>
          <w:szCs w:val="21"/>
        </w:rPr>
        <w:t>文件中明确的所属行业”下划线处填写采购标的对应的中小企业划分标准所属行业（所属行业以招标文件第一册第三章用户需求书“</w:t>
      </w:r>
      <w:r>
        <w:rPr>
          <w:rFonts w:hint="eastAsia" w:ascii="黑体" w:hAnsi="宋体" w:eastAsia="黑体"/>
          <w:bCs/>
          <w:color w:val="FF0000"/>
          <w:kern w:val="0"/>
          <w:szCs w:val="21"/>
          <w:lang w:val="en-US" w:eastAsia="zh-CN"/>
        </w:rPr>
        <w:t>服务需求</w:t>
      </w:r>
      <w:r>
        <w:rPr>
          <w:rFonts w:hint="eastAsia" w:ascii="黑体" w:hAnsi="宋体" w:eastAsia="黑体"/>
          <w:bCs/>
          <w:color w:val="FF0000"/>
          <w:kern w:val="0"/>
          <w:szCs w:val="21"/>
        </w:rPr>
        <w:t>明细”的“</w:t>
      </w:r>
      <w:r>
        <w:rPr>
          <w:rFonts w:hint="eastAsia" w:ascii="黑体" w:hAnsi="宋体" w:eastAsia="黑体"/>
          <w:bCs/>
          <w:color w:val="FF0000"/>
          <w:kern w:val="0"/>
          <w:szCs w:val="21"/>
          <w:lang w:val="en-US" w:eastAsia="zh-CN"/>
        </w:rPr>
        <w:t>标的所属行业</w:t>
      </w:r>
      <w:r>
        <w:rPr>
          <w:rFonts w:hint="eastAsia" w:ascii="黑体" w:hAnsi="宋体" w:eastAsia="黑体"/>
          <w:bCs/>
          <w:color w:val="FF0000"/>
          <w:kern w:val="0"/>
          <w:szCs w:val="21"/>
        </w:rPr>
        <w:t>”一栏为准）</w:t>
      </w:r>
      <w:r>
        <w:rPr>
          <w:rFonts w:hint="eastAsia" w:ascii="黑体" w:hAnsi="宋体" w:eastAsia="黑体"/>
          <w:bCs/>
          <w:color w:val="FF0000"/>
          <w:kern w:val="0"/>
          <w:szCs w:val="21"/>
          <w:lang w:eastAsia="zh-CN"/>
        </w:rPr>
        <w:t>，并应确保与采购标的涉及的服务承接商本身的所属行业保持一致。对于分包方式面向中小企业采购的项目，“采购文件中明确的所属行业”应按照采购文件中注明的分包给中小企业的采购标的所属行业填写，并应确保与该分包部分采购标的涉及的服务承接商本身的所属行业保持一致；对于以联合体方式面向中小企业采购的项目，“采购文件中明确的所属行业”应按照采购文件中注明的联合体中中小企业承担的采购标的所属行业填写，并应确保与该分包部分采购标的涉及的服务承接商本身的所属行业保持一致；</w:t>
      </w:r>
    </w:p>
    <w:p w14:paraId="3F3A836F">
      <w:pPr>
        <w:ind w:firstLine="420" w:firstLineChars="200"/>
        <w:outlineLvl w:val="3"/>
        <w:rPr>
          <w:rFonts w:hint="eastAsia" w:ascii="黑体" w:hAnsi="宋体" w:eastAsia="黑体"/>
          <w:bCs/>
          <w:color w:val="FF0000"/>
          <w:kern w:val="0"/>
          <w:szCs w:val="21"/>
          <w:lang w:eastAsia="zh-CN"/>
        </w:rPr>
      </w:pPr>
      <w:r>
        <w:rPr>
          <w:rFonts w:hint="eastAsia" w:ascii="黑体" w:hAnsi="宋体" w:eastAsia="黑体"/>
          <w:bCs/>
          <w:color w:val="FF0000"/>
          <w:kern w:val="0"/>
          <w:szCs w:val="21"/>
        </w:rPr>
        <w:t>第五处，在“企业名称”下划线处如实填写</w:t>
      </w:r>
      <w:r>
        <w:rPr>
          <w:rFonts w:hint="eastAsia" w:ascii="黑体" w:hAnsi="宋体" w:eastAsia="黑体"/>
          <w:b/>
          <w:bCs w:val="0"/>
          <w:color w:val="FF0000"/>
          <w:kern w:val="0"/>
          <w:szCs w:val="21"/>
          <w:lang w:eastAsia="zh-CN"/>
        </w:rPr>
        <w:t>服务承接商</w:t>
      </w:r>
      <w:r>
        <w:rPr>
          <w:rFonts w:hint="eastAsia" w:ascii="黑体" w:hAnsi="宋体" w:eastAsia="黑体"/>
          <w:b/>
          <w:bCs w:val="0"/>
          <w:color w:val="FF0000"/>
          <w:kern w:val="0"/>
          <w:szCs w:val="21"/>
        </w:rPr>
        <w:t>名称</w:t>
      </w:r>
      <w:r>
        <w:rPr>
          <w:rFonts w:hint="eastAsia" w:ascii="黑体" w:hAnsi="宋体" w:eastAsia="黑体"/>
          <w:b/>
          <w:bCs w:val="0"/>
          <w:color w:val="FF0000"/>
          <w:kern w:val="0"/>
          <w:szCs w:val="21"/>
          <w:lang w:eastAsia="zh-CN"/>
        </w:rPr>
        <w:t>。</w:t>
      </w:r>
      <w:r>
        <w:rPr>
          <w:rFonts w:hint="eastAsia" w:ascii="黑体" w:hAnsi="宋体" w:eastAsia="黑体"/>
          <w:bCs/>
          <w:color w:val="FF0000"/>
          <w:kern w:val="0"/>
          <w:szCs w:val="21"/>
          <w:lang w:eastAsia="zh-CN"/>
        </w:rPr>
        <w:t>对于分包方式面向中小企业采购的项目，“企业名称”应填写分包部分采购标的对应的服务承接商；对于以联合体方式面向中小企业采购的项目，“企业名称”应填写联合体中中小企业承担采购标的对应的服务承接商；</w:t>
      </w:r>
    </w:p>
    <w:p w14:paraId="5196508B">
      <w:pPr>
        <w:numPr>
          <w:ilvl w:val="0"/>
          <w:numId w:val="0"/>
        </w:numPr>
        <w:ind w:firstLine="420" w:firstLineChars="200"/>
        <w:outlineLvl w:val="3"/>
        <w:rPr>
          <w:rFonts w:hint="eastAsia" w:ascii="黑体" w:hAnsi="宋体" w:eastAsia="黑体"/>
          <w:bCs/>
          <w:color w:val="FF0000"/>
          <w:kern w:val="0"/>
          <w:szCs w:val="21"/>
        </w:rPr>
      </w:pPr>
      <w:r>
        <w:rPr>
          <w:rFonts w:hint="eastAsia" w:ascii="黑体" w:hAnsi="宋体" w:eastAsia="黑体" w:cs="Times New Roman"/>
          <w:bCs/>
          <w:color w:val="FF0000"/>
          <w:kern w:val="0"/>
          <w:sz w:val="21"/>
          <w:szCs w:val="21"/>
          <w:lang w:val="en-US" w:eastAsia="zh-CN" w:bidi="ar-SA"/>
        </w:rPr>
        <w:t>第六、</w:t>
      </w:r>
      <w:r>
        <w:rPr>
          <w:rFonts w:hint="eastAsia" w:ascii="黑体" w:hAnsi="宋体" w:eastAsia="黑体"/>
          <w:bCs/>
          <w:color w:val="FF0000"/>
          <w:kern w:val="0"/>
          <w:szCs w:val="21"/>
          <w:lang w:val="en-US" w:eastAsia="zh-CN"/>
        </w:rPr>
        <w:t>七、八处，</w:t>
      </w:r>
      <w:r>
        <w:rPr>
          <w:rFonts w:hint="eastAsia" w:ascii="黑体" w:hAnsi="宋体" w:eastAsia="黑体"/>
          <w:bCs/>
          <w:color w:val="FF0000"/>
          <w:kern w:val="0"/>
          <w:szCs w:val="21"/>
        </w:rPr>
        <w:t>在“从业人员”、“营业收入”、“资产总额”下划线处如实填写从业人员、营业收入、资产总额</w:t>
      </w:r>
      <w:r>
        <w:rPr>
          <w:rFonts w:hint="eastAsia" w:ascii="黑体" w:hAnsi="宋体" w:eastAsia="黑体"/>
          <w:bCs/>
          <w:color w:val="FF0000"/>
          <w:kern w:val="0"/>
          <w:szCs w:val="21"/>
          <w:lang w:eastAsia="zh-CN"/>
        </w:rPr>
        <w:t>。从业人员、资产总额指标以上年度末数据为依据，营业收入指标以上年度累计数据为依据。无上年度数据的新成立企业可不填报。</w:t>
      </w:r>
    </w:p>
    <w:p w14:paraId="2CEF9F61">
      <w:pPr>
        <w:numPr>
          <w:ilvl w:val="0"/>
          <w:numId w:val="0"/>
        </w:num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lang w:val="en-US" w:eastAsia="zh-CN"/>
        </w:rPr>
        <w:t>第九处，</w:t>
      </w:r>
      <w:r>
        <w:rPr>
          <w:rFonts w:hint="eastAsia" w:ascii="黑体" w:hAnsi="宋体" w:eastAsia="黑体"/>
          <w:bCs/>
          <w:color w:val="FF0000"/>
          <w:kern w:val="0"/>
          <w:szCs w:val="21"/>
        </w:rPr>
        <w:t>在“中型企业、小型企业、微型企业”下划线处应依据企业上年度从业人员、营业收入、资产总额等指标</w:t>
      </w:r>
      <w:r>
        <w:rPr>
          <w:rFonts w:hint="eastAsia" w:ascii="黑体" w:hAnsi="宋体" w:eastAsia="黑体"/>
          <w:bCs/>
          <w:color w:val="FF0000"/>
          <w:kern w:val="0"/>
          <w:szCs w:val="21"/>
          <w:lang w:eastAsia="zh-CN"/>
        </w:rPr>
        <w:t>，</w:t>
      </w:r>
      <w:r>
        <w:rPr>
          <w:rFonts w:hint="eastAsia" w:ascii="黑体" w:hAnsi="宋体" w:eastAsia="黑体"/>
          <w:bCs/>
          <w:color w:val="FF0000"/>
          <w:kern w:val="0"/>
          <w:szCs w:val="21"/>
        </w:rPr>
        <w:t>按照《中小企业划型标准规定》（工信部联企业〔2011〕300号）、《金融业企业划型标准规定》（银发〔2015〕309号）</w:t>
      </w:r>
      <w:r>
        <w:rPr>
          <w:rFonts w:hint="eastAsia" w:ascii="黑体" w:hAnsi="宋体" w:eastAsia="黑体"/>
          <w:bCs/>
          <w:color w:val="FF0000"/>
          <w:kern w:val="0"/>
          <w:szCs w:val="21"/>
          <w:lang w:eastAsia="zh-CN"/>
        </w:rPr>
        <w:t>，</w:t>
      </w:r>
      <w:r>
        <w:rPr>
          <w:rFonts w:hint="eastAsia" w:ascii="黑体" w:hAnsi="宋体" w:eastAsia="黑体"/>
          <w:bCs/>
          <w:color w:val="FF0000"/>
          <w:kern w:val="0"/>
          <w:szCs w:val="21"/>
        </w:rPr>
        <w:t>判断《中小企业声明函》载明的</w:t>
      </w:r>
      <w:r>
        <w:rPr>
          <w:rFonts w:hint="eastAsia" w:ascii="黑体" w:hAnsi="宋体" w:eastAsia="黑体"/>
          <w:bCs/>
          <w:color w:val="FF0000"/>
          <w:kern w:val="0"/>
          <w:szCs w:val="21"/>
          <w:lang w:eastAsia="zh-CN"/>
        </w:rPr>
        <w:t>服务承接商</w:t>
      </w:r>
      <w:r>
        <w:rPr>
          <w:rFonts w:hint="eastAsia" w:ascii="黑体" w:hAnsi="宋体" w:eastAsia="黑体"/>
          <w:bCs/>
          <w:color w:val="FF0000"/>
          <w:kern w:val="0"/>
          <w:szCs w:val="21"/>
        </w:rPr>
        <w:t>是否属于采购文件所属行业的中型企业/小型企业/微型企业。</w:t>
      </w:r>
    </w:p>
    <w:p w14:paraId="489F45D3">
      <w:pPr>
        <w:pStyle w:val="50"/>
        <w:ind w:firstLine="420" w:firstLineChars="200"/>
        <w:rPr>
          <w:rFonts w:hint="eastAsia" w:ascii="黑体" w:hAnsi="宋体" w:eastAsia="黑体"/>
          <w:bCs/>
          <w:color w:val="FF0000"/>
          <w:kern w:val="0"/>
          <w:szCs w:val="21"/>
          <w:lang w:eastAsia="zh-CN"/>
        </w:rPr>
      </w:pPr>
      <w:r>
        <w:rPr>
          <w:rFonts w:hint="eastAsia" w:ascii="黑体" w:hAnsi="宋体" w:eastAsia="黑体"/>
          <w:bCs/>
          <w:color w:val="FF0000"/>
          <w:kern w:val="0"/>
          <w:szCs w:val="21"/>
          <w:lang w:eastAsia="zh-CN"/>
        </w:rPr>
        <w:t>（</w:t>
      </w:r>
      <w:r>
        <w:rPr>
          <w:rFonts w:hint="eastAsia" w:ascii="黑体" w:hAnsi="宋体" w:eastAsia="黑体"/>
          <w:bCs/>
          <w:color w:val="FF0000"/>
          <w:kern w:val="0"/>
          <w:szCs w:val="21"/>
          <w:lang w:val="en-US" w:eastAsia="zh-CN"/>
        </w:rPr>
        <w:t>2</w:t>
      </w:r>
      <w:r>
        <w:rPr>
          <w:rFonts w:hint="eastAsia" w:ascii="黑体" w:hAnsi="宋体" w:eastAsia="黑体"/>
          <w:bCs/>
          <w:color w:val="FF0000"/>
          <w:kern w:val="0"/>
          <w:szCs w:val="21"/>
          <w:lang w:eastAsia="zh-CN"/>
        </w:rPr>
        <w:t>）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14:paraId="4963E526">
      <w:pPr>
        <w:ind w:firstLine="420" w:firstLineChars="200"/>
        <w:outlineLvl w:val="3"/>
        <w:rPr>
          <w:rFonts w:hint="eastAsia" w:ascii="黑体" w:hAnsi="宋体" w:eastAsia="黑体"/>
          <w:bCs/>
          <w:color w:val="FF0000"/>
          <w:kern w:val="0"/>
          <w:szCs w:val="21"/>
          <w:lang w:eastAsia="zh-CN"/>
        </w:rPr>
      </w:pPr>
      <w:r>
        <w:rPr>
          <w:rFonts w:hint="eastAsia" w:ascii="黑体" w:hAnsi="宋体" w:eastAsia="黑体"/>
          <w:bCs/>
          <w:color w:val="FF0000"/>
          <w:kern w:val="0"/>
          <w:szCs w:val="21"/>
          <w:lang w:eastAsia="zh-CN"/>
        </w:rPr>
        <w:t>（</w:t>
      </w:r>
      <w:r>
        <w:rPr>
          <w:rFonts w:hint="eastAsia" w:ascii="黑体" w:hAnsi="宋体" w:eastAsia="黑体"/>
          <w:bCs/>
          <w:color w:val="FF0000"/>
          <w:kern w:val="0"/>
          <w:szCs w:val="21"/>
          <w:lang w:val="en-US" w:eastAsia="zh-CN"/>
        </w:rPr>
        <w:t>3</w:t>
      </w:r>
      <w:r>
        <w:rPr>
          <w:rFonts w:hint="eastAsia" w:ascii="黑体" w:hAnsi="宋体" w:eastAsia="黑体"/>
          <w:bCs/>
          <w:color w:val="FF0000"/>
          <w:kern w:val="0"/>
          <w:szCs w:val="21"/>
          <w:lang w:eastAsia="zh-CN"/>
        </w:rPr>
        <w:t>）</w:t>
      </w:r>
      <w:r>
        <w:rPr>
          <w:rFonts w:hint="eastAsia" w:ascii="黑体" w:hAnsi="宋体" w:eastAsia="黑体"/>
          <w:bCs/>
          <w:color w:val="FF0000"/>
          <w:kern w:val="0"/>
          <w:szCs w:val="21"/>
        </w:rPr>
        <w:t>事业单位、社会组织等非企业主体不享受中小企业扶持政策</w:t>
      </w:r>
      <w:r>
        <w:rPr>
          <w:rFonts w:hint="eastAsia" w:ascii="黑体" w:hAnsi="宋体" w:eastAsia="黑体"/>
          <w:bCs/>
          <w:color w:val="FF0000"/>
          <w:kern w:val="0"/>
          <w:szCs w:val="21"/>
          <w:lang w:eastAsia="zh-CN"/>
        </w:rPr>
        <w:t>。</w:t>
      </w:r>
    </w:p>
    <w:p w14:paraId="4C3712E3">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w:t>
      </w:r>
      <w:r>
        <w:rPr>
          <w:rFonts w:hint="eastAsia" w:ascii="黑体" w:hAnsi="宋体" w:eastAsia="黑体"/>
          <w:bCs/>
          <w:color w:val="FF0000"/>
          <w:kern w:val="0"/>
          <w:szCs w:val="21"/>
          <w:lang w:val="en-US" w:eastAsia="zh-CN"/>
        </w:rPr>
        <w:t>4</w:t>
      </w:r>
      <w:r>
        <w:rPr>
          <w:rFonts w:hint="eastAsia" w:ascii="黑体" w:hAnsi="宋体" w:eastAsia="黑体"/>
          <w:bCs/>
          <w:color w:val="FF0000"/>
          <w:kern w:val="0"/>
          <w:szCs w:val="21"/>
        </w:rPr>
        <w:t>）声明是残疾人福利性单位须填写《残疾人福利性单位声明函》的相关内容，具体参照以上《中小企业声明函》填写要求执行。</w:t>
      </w:r>
    </w:p>
    <w:p w14:paraId="3C793B6A">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w:t>
      </w:r>
      <w:r>
        <w:rPr>
          <w:rFonts w:hint="eastAsia" w:ascii="黑体" w:hAnsi="宋体" w:eastAsia="黑体"/>
          <w:bCs/>
          <w:color w:val="FF0000"/>
          <w:kern w:val="0"/>
          <w:szCs w:val="21"/>
          <w:lang w:val="en-US" w:eastAsia="zh-CN"/>
        </w:rPr>
        <w:t>5</w:t>
      </w:r>
      <w:r>
        <w:rPr>
          <w:rFonts w:hint="eastAsia" w:ascii="黑体" w:hAnsi="宋体" w:eastAsia="黑体"/>
          <w:bCs/>
          <w:color w:val="FF0000"/>
          <w:kern w:val="0"/>
          <w:szCs w:val="21"/>
        </w:rPr>
        <w:t>）声明是监狱企业须填写《监狱企业声明函》的三项内容（填写位置的字体已加粗），具体参照以上《中小企业声明函》填写要求执行。</w:t>
      </w:r>
    </w:p>
    <w:p w14:paraId="2E0AC464">
      <w:pPr>
        <w:ind w:firstLine="420" w:firstLineChars="200"/>
        <w:outlineLvl w:val="3"/>
        <w:rPr>
          <w:rFonts w:hint="eastAsia" w:ascii="黑体" w:hAnsi="宋体" w:eastAsia="黑体"/>
          <w:bCs/>
          <w:color w:val="FF0000"/>
          <w:kern w:val="0"/>
          <w:szCs w:val="21"/>
          <w:lang w:val="en-US" w:eastAsia="zh-CN"/>
        </w:rPr>
      </w:pPr>
      <w:r>
        <w:rPr>
          <w:rFonts w:hint="eastAsia" w:ascii="黑体" w:hAnsi="宋体" w:eastAsia="黑体"/>
          <w:bCs/>
          <w:color w:val="FF0000"/>
          <w:kern w:val="0"/>
          <w:szCs w:val="21"/>
          <w:lang w:val="en-US" w:eastAsia="zh-CN"/>
        </w:rPr>
        <w:t>5、本项目属于服务类项目，相关服务承接商应当为中小企业或残疾人福利性单位或监狱企业，如包含硬件设备、产品等货物采购的，不再对其中涉及的货物制造商作出要求。</w:t>
      </w:r>
    </w:p>
    <w:p w14:paraId="7082DABA">
      <w:pPr>
        <w:ind w:firstLine="420" w:firstLineChars="200"/>
        <w:outlineLvl w:val="3"/>
        <w:rPr>
          <w:rFonts w:hint="eastAsia" w:ascii="黑体" w:hAnsi="宋体" w:eastAsia="黑体"/>
          <w:bCs/>
          <w:color w:val="FF0000"/>
          <w:kern w:val="0"/>
          <w:szCs w:val="21"/>
          <w:lang w:val="en-US" w:eastAsia="zh-CN"/>
        </w:rPr>
      </w:pPr>
      <w:r>
        <w:rPr>
          <w:rFonts w:hint="eastAsia" w:ascii="黑体" w:hAnsi="宋体" w:eastAsia="黑体"/>
          <w:bCs/>
          <w:color w:val="FF0000"/>
          <w:kern w:val="0"/>
          <w:szCs w:val="21"/>
          <w:lang w:val="en-US" w:eastAsia="zh-CN"/>
        </w:rPr>
        <w:t>6、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14:paraId="566C6DAC">
      <w:pPr>
        <w:ind w:firstLine="420" w:firstLineChars="200"/>
      </w:pPr>
      <w:r>
        <w:rPr>
          <w:rFonts w:hint="eastAsia" w:ascii="黑体" w:hAnsi="宋体" w:eastAsia="黑体"/>
          <w:bCs/>
          <w:color w:val="FF0000"/>
          <w:kern w:val="0"/>
          <w:szCs w:val="21"/>
          <w:lang w:val="en-US" w:eastAsia="zh-CN"/>
        </w:rPr>
        <w:t>7、采购人、代理机构、评审委员会在依法进行资格审查、评审过程中，发现《中小企业声明函》存在明显笔误或含义不明确的，应按规定要求供应商进行澄清、说明或补正。澄清修改后符合中小企业条件的供应商，可以享受中小企业扶持政策。</w:t>
      </w:r>
    </w:p>
    <w:p w14:paraId="607F0281">
      <w:pPr>
        <w:ind w:firstLine="420" w:firstLineChars="200"/>
      </w:pPr>
    </w:p>
    <w:p w14:paraId="2BA79B95">
      <w:pPr>
        <w:numPr>
          <w:ilvl w:val="0"/>
          <w:numId w:val="5"/>
        </w:numPr>
        <w:jc w:val="center"/>
        <w:outlineLvl w:val="3"/>
        <w:rPr>
          <w:b/>
          <w:sz w:val="24"/>
        </w:rPr>
      </w:pPr>
      <w:r>
        <w:rPr>
          <w:b/>
          <w:sz w:val="24"/>
        </w:rPr>
        <w:t>中小企业声明函（货物）</w:t>
      </w:r>
    </w:p>
    <w:p w14:paraId="271BC498">
      <w:pPr>
        <w:pStyle w:val="9"/>
      </w:pPr>
    </w:p>
    <w:p w14:paraId="4D34EB40">
      <w:pPr>
        <w:pStyle w:val="10"/>
        <w:ind w:firstLine="420" w:firstLineChars="200"/>
        <w:rPr>
          <w:rFonts w:hint="eastAsia" w:asciiTheme="minorEastAsia" w:hAnsiTheme="minorEastAsia" w:cstheme="minorEastAsia"/>
          <w:sz w:val="21"/>
          <w:szCs w:val="21"/>
        </w:rPr>
      </w:pPr>
      <w:r>
        <w:rPr>
          <w:rFonts w:hint="eastAsia" w:asciiTheme="minorEastAsia" w:hAnsiTheme="minorEastAsia" w:cstheme="minorEastAsia"/>
          <w:sz w:val="21"/>
          <w:szCs w:val="21"/>
        </w:rPr>
        <w:t>本公司（联合体）郑重声明，根据《政府采购促进中小企业发展管理办法》（财库﹝2020﹞46号）的规定，本公司（联合体）参加</w:t>
      </w:r>
      <w:r>
        <w:rPr>
          <w:rFonts w:hint="eastAsia" w:asciiTheme="minorEastAsia" w:hAnsiTheme="minorEastAsia" w:cstheme="minorEastAsia"/>
          <w:b/>
          <w:bCs/>
          <w:i/>
          <w:iCs/>
          <w:sz w:val="21"/>
          <w:szCs w:val="21"/>
          <w:u w:val="single"/>
        </w:rPr>
        <w:t xml:space="preserve">    （单位名称）    </w:t>
      </w:r>
      <w:r>
        <w:rPr>
          <w:rFonts w:hint="eastAsia" w:asciiTheme="minorEastAsia" w:hAnsiTheme="minorEastAsia" w:cstheme="minorEastAsia"/>
          <w:sz w:val="21"/>
          <w:szCs w:val="21"/>
        </w:rPr>
        <w:t>的</w:t>
      </w:r>
      <w:r>
        <w:rPr>
          <w:rFonts w:hint="eastAsia" w:asciiTheme="minorEastAsia" w:hAnsiTheme="minorEastAsia" w:cstheme="minorEastAsia"/>
          <w:b/>
          <w:bCs/>
          <w:i/>
          <w:iCs/>
          <w:sz w:val="21"/>
          <w:szCs w:val="21"/>
          <w:u w:val="single"/>
        </w:rPr>
        <w:t xml:space="preserve">    （项目名称）    </w:t>
      </w:r>
      <w:r>
        <w:rPr>
          <w:rFonts w:hint="eastAsia" w:asciiTheme="minorEastAsia" w:hAnsiTheme="minorEastAsia" w:cstheme="minorEastAsia"/>
          <w:sz w:val="21"/>
          <w:szCs w:val="21"/>
        </w:rPr>
        <w:t>采购活动，提供的货物全部由符合政策要求的中小企业制造。相关企业（含联合体中的中小企业、签订分包意向协议的中小企业）的具体情况如下：</w:t>
      </w:r>
    </w:p>
    <w:p w14:paraId="6E0D4C5C">
      <w:pPr>
        <w:pStyle w:val="10"/>
        <w:ind w:firstLine="420" w:firstLineChars="200"/>
        <w:rPr>
          <w:rFonts w:hint="eastAsia" w:asciiTheme="minorEastAsia" w:hAnsiTheme="minorEastAsia" w:cstheme="minorEastAsia"/>
          <w:sz w:val="21"/>
          <w:szCs w:val="21"/>
        </w:rPr>
      </w:pPr>
      <w:r>
        <w:rPr>
          <w:rFonts w:hint="eastAsia" w:asciiTheme="minorEastAsia" w:hAnsiTheme="minorEastAsia" w:cstheme="minorEastAsia"/>
          <w:sz w:val="21"/>
          <w:szCs w:val="21"/>
        </w:rPr>
        <w:t>1.</w:t>
      </w:r>
      <w:r>
        <w:rPr>
          <w:rFonts w:hint="eastAsia" w:asciiTheme="minorEastAsia" w:hAnsiTheme="minorEastAsia" w:cstheme="minorEastAsia"/>
          <w:b/>
          <w:bCs/>
          <w:i/>
          <w:iCs/>
          <w:sz w:val="21"/>
          <w:szCs w:val="21"/>
          <w:u w:val="single"/>
        </w:rPr>
        <w:t xml:space="preserve">    （标的名称）     </w:t>
      </w:r>
      <w:r>
        <w:rPr>
          <w:rFonts w:hint="eastAsia" w:asciiTheme="minorEastAsia" w:hAnsiTheme="minorEastAsia" w:cstheme="minorEastAsia"/>
          <w:sz w:val="21"/>
          <w:szCs w:val="21"/>
        </w:rPr>
        <w:t>，属于</w:t>
      </w:r>
      <w:r>
        <w:rPr>
          <w:rFonts w:hint="eastAsia" w:asciiTheme="minorEastAsia" w:hAnsiTheme="minorEastAsia" w:cstheme="minorEastAsia"/>
          <w:b/>
          <w:bCs/>
          <w:i/>
          <w:iCs/>
          <w:sz w:val="21"/>
          <w:szCs w:val="21"/>
          <w:u w:val="single"/>
        </w:rPr>
        <w:t xml:space="preserve">    （采购文件中明确的所属行业）    </w:t>
      </w:r>
      <w:r>
        <w:rPr>
          <w:rFonts w:hint="eastAsia" w:asciiTheme="minorEastAsia" w:hAnsiTheme="minorEastAsia" w:cstheme="minorEastAsia"/>
          <w:sz w:val="21"/>
          <w:szCs w:val="21"/>
        </w:rPr>
        <w:t>行业；制造商为</w:t>
      </w:r>
      <w:r>
        <w:rPr>
          <w:rFonts w:hint="eastAsia" w:asciiTheme="minorEastAsia" w:hAnsiTheme="minorEastAsia" w:cstheme="minorEastAsia"/>
          <w:b/>
          <w:bCs/>
          <w:i/>
          <w:iCs/>
          <w:sz w:val="21"/>
          <w:szCs w:val="21"/>
          <w:u w:val="single"/>
        </w:rPr>
        <w:t xml:space="preserve">    （企业名称，要求制造商本身所属行业应当与招标文件要求的行业相一致）    </w:t>
      </w:r>
      <w:r>
        <w:rPr>
          <w:rFonts w:hint="eastAsia" w:asciiTheme="minorEastAsia" w:hAnsiTheme="minorEastAsia" w:cstheme="minorEastAsia"/>
          <w:sz w:val="21"/>
          <w:szCs w:val="21"/>
        </w:rPr>
        <w:t>，从业人员</w:t>
      </w:r>
      <w:r>
        <w:rPr>
          <w:rFonts w:hint="eastAsia" w:asciiTheme="minorEastAsia" w:hAnsiTheme="minorEastAsia" w:cstheme="minorEastAsia"/>
          <w:b/>
          <w:bCs/>
          <w:i/>
          <w:iCs/>
          <w:sz w:val="21"/>
          <w:szCs w:val="21"/>
          <w:u w:val="single"/>
        </w:rPr>
        <w:t xml:space="preserve">        </w:t>
      </w:r>
      <w:r>
        <w:rPr>
          <w:rFonts w:hint="eastAsia" w:asciiTheme="minorEastAsia" w:hAnsiTheme="minorEastAsia" w:cstheme="minorEastAsia"/>
          <w:sz w:val="21"/>
          <w:szCs w:val="21"/>
        </w:rPr>
        <w:t>人，营业收入为</w:t>
      </w:r>
      <w:r>
        <w:rPr>
          <w:rFonts w:hint="eastAsia" w:asciiTheme="minorEastAsia" w:hAnsiTheme="minorEastAsia" w:cstheme="minorEastAsia"/>
          <w:b/>
          <w:bCs/>
          <w:i/>
          <w:iCs/>
          <w:sz w:val="21"/>
          <w:szCs w:val="21"/>
          <w:u w:val="single"/>
        </w:rPr>
        <w:t xml:space="preserve">         </w:t>
      </w:r>
      <w:r>
        <w:rPr>
          <w:rFonts w:hint="eastAsia" w:asciiTheme="minorEastAsia" w:hAnsiTheme="minorEastAsia" w:cstheme="minorEastAsia"/>
          <w:sz w:val="21"/>
          <w:szCs w:val="21"/>
        </w:rPr>
        <w:t>万元，资产总额为</w:t>
      </w:r>
      <w:r>
        <w:rPr>
          <w:rFonts w:hint="eastAsia" w:asciiTheme="minorEastAsia" w:hAnsiTheme="minorEastAsia" w:cstheme="minorEastAsia"/>
          <w:b/>
          <w:bCs/>
          <w:i/>
          <w:iCs/>
          <w:sz w:val="21"/>
          <w:szCs w:val="21"/>
          <w:u w:val="single"/>
        </w:rPr>
        <w:t xml:space="preserve">         </w:t>
      </w:r>
      <w:r>
        <w:rPr>
          <w:rFonts w:hint="eastAsia" w:asciiTheme="minorEastAsia" w:hAnsiTheme="minorEastAsia" w:cstheme="minorEastAsia"/>
          <w:sz w:val="21"/>
          <w:szCs w:val="21"/>
        </w:rPr>
        <w:t>万元，属于</w:t>
      </w:r>
      <w:r>
        <w:rPr>
          <w:rFonts w:hint="eastAsia" w:asciiTheme="minorEastAsia" w:hAnsiTheme="minorEastAsia" w:cstheme="minorEastAsia"/>
          <w:b/>
          <w:bCs/>
          <w:i/>
          <w:iCs/>
          <w:sz w:val="21"/>
          <w:szCs w:val="21"/>
          <w:u w:val="single"/>
        </w:rPr>
        <w:t xml:space="preserve">    （中型企业、小型企业、微型企业）    </w:t>
      </w:r>
      <w:r>
        <w:rPr>
          <w:rFonts w:hint="eastAsia" w:asciiTheme="minorEastAsia" w:hAnsiTheme="minorEastAsia" w:cstheme="minorEastAsia"/>
          <w:sz w:val="21"/>
          <w:szCs w:val="21"/>
        </w:rPr>
        <w:t>；</w:t>
      </w:r>
    </w:p>
    <w:p w14:paraId="140815D0">
      <w:pPr>
        <w:pStyle w:val="10"/>
        <w:ind w:firstLine="420" w:firstLineChars="200"/>
        <w:rPr>
          <w:rFonts w:hint="eastAsia" w:asciiTheme="minorEastAsia" w:hAnsiTheme="minorEastAsia" w:cstheme="minorEastAsia"/>
          <w:sz w:val="21"/>
          <w:szCs w:val="21"/>
        </w:rPr>
      </w:pPr>
      <w:r>
        <w:rPr>
          <w:rFonts w:hint="eastAsia" w:asciiTheme="minorEastAsia" w:hAnsiTheme="minorEastAsia" w:cstheme="minorEastAsia"/>
          <w:sz w:val="21"/>
          <w:szCs w:val="21"/>
        </w:rPr>
        <w:t>2.</w:t>
      </w:r>
      <w:r>
        <w:rPr>
          <w:rFonts w:hint="eastAsia" w:asciiTheme="minorEastAsia" w:hAnsiTheme="minorEastAsia" w:cstheme="minorEastAsia"/>
          <w:b/>
          <w:bCs/>
          <w:i/>
          <w:iCs/>
          <w:sz w:val="21"/>
          <w:szCs w:val="21"/>
          <w:u w:val="single"/>
        </w:rPr>
        <w:t xml:space="preserve">    （标的名称）     </w:t>
      </w:r>
      <w:r>
        <w:rPr>
          <w:rFonts w:hint="eastAsia" w:asciiTheme="minorEastAsia" w:hAnsiTheme="minorEastAsia" w:cstheme="minorEastAsia"/>
          <w:sz w:val="21"/>
          <w:szCs w:val="21"/>
        </w:rPr>
        <w:t>，属于</w:t>
      </w:r>
      <w:r>
        <w:rPr>
          <w:rFonts w:hint="eastAsia" w:asciiTheme="minorEastAsia" w:hAnsiTheme="minorEastAsia" w:cstheme="minorEastAsia"/>
          <w:b/>
          <w:bCs/>
          <w:i/>
          <w:iCs/>
          <w:sz w:val="21"/>
          <w:szCs w:val="21"/>
          <w:u w:val="single"/>
        </w:rPr>
        <w:t xml:space="preserve">    （采购文件中明确的所属行业）    </w:t>
      </w:r>
      <w:r>
        <w:rPr>
          <w:rFonts w:hint="eastAsia" w:asciiTheme="minorEastAsia" w:hAnsiTheme="minorEastAsia" w:cstheme="minorEastAsia"/>
          <w:sz w:val="21"/>
          <w:szCs w:val="21"/>
        </w:rPr>
        <w:t>行业；制造商为</w:t>
      </w:r>
      <w:r>
        <w:rPr>
          <w:rFonts w:hint="eastAsia" w:asciiTheme="minorEastAsia" w:hAnsiTheme="minorEastAsia" w:cstheme="minorEastAsia"/>
          <w:b/>
          <w:bCs/>
          <w:i/>
          <w:iCs/>
          <w:sz w:val="21"/>
          <w:szCs w:val="21"/>
          <w:u w:val="single"/>
        </w:rPr>
        <w:t xml:space="preserve">    （企业名称，要求制造商本身所属行业应当与招标文件要求的行业相一致）    </w:t>
      </w:r>
      <w:r>
        <w:rPr>
          <w:rFonts w:hint="eastAsia" w:asciiTheme="minorEastAsia" w:hAnsiTheme="minorEastAsia" w:cstheme="minorEastAsia"/>
          <w:sz w:val="21"/>
          <w:szCs w:val="21"/>
        </w:rPr>
        <w:t>，从业人员</w:t>
      </w:r>
      <w:r>
        <w:rPr>
          <w:rFonts w:hint="eastAsia" w:asciiTheme="minorEastAsia" w:hAnsiTheme="minorEastAsia" w:cstheme="minorEastAsia"/>
          <w:b/>
          <w:bCs/>
          <w:i/>
          <w:iCs/>
          <w:sz w:val="21"/>
          <w:szCs w:val="21"/>
          <w:u w:val="single"/>
        </w:rPr>
        <w:t xml:space="preserve">        </w:t>
      </w:r>
      <w:r>
        <w:rPr>
          <w:rFonts w:hint="eastAsia" w:asciiTheme="minorEastAsia" w:hAnsiTheme="minorEastAsia" w:cstheme="minorEastAsia"/>
          <w:sz w:val="21"/>
          <w:szCs w:val="21"/>
        </w:rPr>
        <w:t>人，营业收入为</w:t>
      </w:r>
      <w:r>
        <w:rPr>
          <w:rFonts w:hint="eastAsia" w:asciiTheme="minorEastAsia" w:hAnsiTheme="minorEastAsia" w:cstheme="minorEastAsia"/>
          <w:b/>
          <w:bCs/>
          <w:i/>
          <w:iCs/>
          <w:sz w:val="21"/>
          <w:szCs w:val="21"/>
          <w:u w:val="single"/>
        </w:rPr>
        <w:t xml:space="preserve">         </w:t>
      </w:r>
      <w:r>
        <w:rPr>
          <w:rFonts w:hint="eastAsia" w:asciiTheme="minorEastAsia" w:hAnsiTheme="minorEastAsia" w:cstheme="minorEastAsia"/>
          <w:sz w:val="21"/>
          <w:szCs w:val="21"/>
        </w:rPr>
        <w:t>万元，资产总额为</w:t>
      </w:r>
      <w:r>
        <w:rPr>
          <w:rFonts w:hint="eastAsia" w:asciiTheme="minorEastAsia" w:hAnsiTheme="minorEastAsia" w:cstheme="minorEastAsia"/>
          <w:b/>
          <w:bCs/>
          <w:i/>
          <w:iCs/>
          <w:sz w:val="21"/>
          <w:szCs w:val="21"/>
          <w:u w:val="single"/>
        </w:rPr>
        <w:t xml:space="preserve">         </w:t>
      </w:r>
      <w:r>
        <w:rPr>
          <w:rFonts w:hint="eastAsia" w:asciiTheme="minorEastAsia" w:hAnsiTheme="minorEastAsia" w:cstheme="minorEastAsia"/>
          <w:sz w:val="21"/>
          <w:szCs w:val="21"/>
        </w:rPr>
        <w:t>万元，属于</w:t>
      </w:r>
      <w:r>
        <w:rPr>
          <w:rFonts w:hint="eastAsia" w:asciiTheme="minorEastAsia" w:hAnsiTheme="minorEastAsia" w:cstheme="minorEastAsia"/>
          <w:b/>
          <w:bCs/>
          <w:i/>
          <w:iCs/>
          <w:sz w:val="21"/>
          <w:szCs w:val="21"/>
          <w:u w:val="single"/>
        </w:rPr>
        <w:t xml:space="preserve">    （中型企业、小型企业、微型企业）    </w:t>
      </w:r>
      <w:r>
        <w:rPr>
          <w:rFonts w:hint="eastAsia" w:asciiTheme="minorEastAsia" w:hAnsiTheme="minorEastAsia" w:cstheme="minorEastAsia"/>
          <w:sz w:val="21"/>
          <w:szCs w:val="21"/>
        </w:rPr>
        <w:t>；</w:t>
      </w:r>
    </w:p>
    <w:p w14:paraId="7C0B9AAC">
      <w:pPr>
        <w:pStyle w:val="10"/>
        <w:ind w:firstLine="420" w:firstLineChars="200"/>
        <w:rPr>
          <w:rFonts w:hint="eastAsia" w:asciiTheme="minorEastAsia" w:hAnsiTheme="minorEastAsia" w:cstheme="minorEastAsia"/>
          <w:sz w:val="21"/>
          <w:szCs w:val="21"/>
        </w:rPr>
      </w:pPr>
      <w:r>
        <w:rPr>
          <w:rFonts w:hint="eastAsia" w:asciiTheme="minorEastAsia" w:hAnsiTheme="minorEastAsia" w:cstheme="minorEastAsia"/>
          <w:sz w:val="21"/>
          <w:szCs w:val="21"/>
        </w:rPr>
        <w:t>……</w:t>
      </w:r>
    </w:p>
    <w:p w14:paraId="6E841F60">
      <w:pPr>
        <w:pStyle w:val="10"/>
        <w:ind w:firstLine="420" w:firstLineChars="200"/>
        <w:rPr>
          <w:rFonts w:hint="eastAsia" w:asciiTheme="minorEastAsia" w:hAnsiTheme="minorEastAsia" w:cstheme="minorEastAsia"/>
          <w:sz w:val="21"/>
          <w:szCs w:val="21"/>
        </w:rPr>
      </w:pPr>
    </w:p>
    <w:p w14:paraId="33EA82A8">
      <w:pPr>
        <w:spacing w:line="360" w:lineRule="auto"/>
        <w:ind w:firstLine="420" w:firstLineChars="200"/>
        <w:outlineLvl w:val="3"/>
        <w:rPr>
          <w:rFonts w:hint="eastAsia" w:asciiTheme="minorEastAsia" w:hAnsiTheme="minorEastAsia" w:cstheme="minorEastAsia"/>
          <w:szCs w:val="21"/>
        </w:rPr>
      </w:pPr>
      <w:r>
        <w:rPr>
          <w:rFonts w:hint="eastAsia" w:asciiTheme="minorEastAsia" w:hAnsiTheme="minorEastAsia" w:cstheme="minorEastAsia"/>
          <w:szCs w:val="21"/>
        </w:rPr>
        <w:t>以上企业，不属于大企业的分支机构，不存在控股股东为大企业的情形，也不存在与大企业的负责人为同一人的情形。</w:t>
      </w:r>
    </w:p>
    <w:p w14:paraId="4CFC3A89">
      <w:pPr>
        <w:spacing w:line="360" w:lineRule="auto"/>
        <w:ind w:firstLine="420" w:firstLineChars="200"/>
        <w:rPr>
          <w:rFonts w:hint="eastAsia" w:asciiTheme="minorEastAsia" w:hAnsiTheme="minorEastAsia" w:cstheme="minorEastAsia"/>
          <w:szCs w:val="21"/>
        </w:rPr>
      </w:pPr>
      <w:bookmarkStart w:id="31" w:name="_Hlk73562203"/>
      <w:r>
        <w:rPr>
          <w:rFonts w:hint="eastAsia" w:asciiTheme="minorEastAsia" w:hAnsiTheme="minorEastAsia" w:cstheme="minorEastAsia"/>
          <w:szCs w:val="21"/>
        </w:rPr>
        <w:t>本投标人对上述声明内容的真实性负责。如有虚假，将依法承担相应责任。</w:t>
      </w:r>
    </w:p>
    <w:p w14:paraId="4512DC35">
      <w:pPr>
        <w:spacing w:line="360" w:lineRule="auto"/>
        <w:ind w:firstLine="420" w:firstLineChars="200"/>
        <w:rPr>
          <w:rFonts w:ascii="Times New Roman" w:hAnsi="Times New Roman" w:eastAsia="宋体" w:cs="Times New Roman"/>
          <w:sz w:val="24"/>
          <w:szCs w:val="24"/>
        </w:rPr>
      </w:pPr>
      <w:r>
        <w:rPr>
          <w:rFonts w:hint="eastAsia" w:asciiTheme="minorEastAsia" w:hAnsiTheme="minorEastAsia" w:cstheme="minorEastAsia"/>
          <w:szCs w:val="21"/>
        </w:rPr>
        <w:t>本投标人已知悉《政府采购促进中小企业发展管理办法》（财库〔2020〕46号）、《中小企业划型标准规定》（工信部联企〔2011〕300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31"/>
    </w:p>
    <w:p w14:paraId="4366E31C">
      <w:pPr>
        <w:ind w:firstLine="420" w:firstLineChars="200"/>
        <w:outlineLvl w:val="3"/>
        <w:rPr>
          <w:rFonts w:hint="eastAsia" w:ascii="宋体" w:hAnsi="宋体"/>
          <w:bCs/>
          <w:color w:val="FF0000"/>
          <w:kern w:val="0"/>
          <w:szCs w:val="21"/>
        </w:rPr>
      </w:pPr>
    </w:p>
    <w:p w14:paraId="65B25B9E"/>
    <w:p w14:paraId="08993411">
      <w:pPr>
        <w:ind w:firstLine="420" w:firstLineChars="200"/>
      </w:pPr>
    </w:p>
    <w:p w14:paraId="75A92700">
      <w:pPr>
        <w:jc w:val="center"/>
        <w:outlineLvl w:val="3"/>
        <w:rPr>
          <w:b/>
          <w:sz w:val="24"/>
        </w:rPr>
      </w:pPr>
      <w:r>
        <w:rPr>
          <w:rFonts w:hint="eastAsia"/>
          <w:b/>
          <w:sz w:val="24"/>
        </w:rPr>
        <w:t>2、残疾人福利性单位声明函（货物类）</w:t>
      </w:r>
    </w:p>
    <w:p w14:paraId="250C36FD">
      <w:pPr>
        <w:rPr>
          <w:b/>
          <w:bCs/>
        </w:rPr>
      </w:pPr>
    </w:p>
    <w:p w14:paraId="6C275C3C">
      <w:pPr>
        <w:spacing w:line="360" w:lineRule="auto"/>
        <w:ind w:firstLine="420" w:firstLineChars="200"/>
        <w:rPr>
          <w:rFonts w:hint="eastAsia" w:asciiTheme="minorEastAsia" w:hAnsiTheme="minorEastAsia" w:cstheme="minorEastAsia"/>
          <w:szCs w:val="21"/>
        </w:rPr>
      </w:pPr>
      <w:bookmarkStart w:id="32" w:name="_Hlk73562331"/>
      <w:bookmarkStart w:id="33" w:name="_Hlk73562245"/>
      <w:r>
        <w:rPr>
          <w:rFonts w:hint="eastAsia" w:asciiTheme="minorEastAsia" w:hAnsiTheme="minorEastAsia" w:cstheme="minorEastAsia"/>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Theme="minorEastAsia" w:hAnsiTheme="minorEastAsia" w:cstheme="minorEastAsia"/>
          <w:b/>
          <w:bCs/>
          <w:i/>
          <w:iCs/>
          <w:szCs w:val="21"/>
          <w:u w:val="single"/>
        </w:rPr>
        <w:t xml:space="preserve">    （单位名称）    </w:t>
      </w:r>
      <w:r>
        <w:rPr>
          <w:rFonts w:hint="eastAsia" w:asciiTheme="minorEastAsia" w:hAnsiTheme="minorEastAsia" w:cstheme="minorEastAsia"/>
          <w:szCs w:val="21"/>
        </w:rPr>
        <w:t>单位的</w:t>
      </w:r>
      <w:r>
        <w:rPr>
          <w:rFonts w:hint="eastAsia" w:asciiTheme="minorEastAsia" w:hAnsiTheme="minorEastAsia" w:cstheme="minorEastAsia"/>
          <w:b/>
          <w:bCs/>
          <w:i/>
          <w:iCs/>
          <w:szCs w:val="21"/>
          <w:u w:val="single"/>
        </w:rPr>
        <w:t xml:space="preserve">    （项目名称）    </w:t>
      </w:r>
      <w:r>
        <w:rPr>
          <w:rFonts w:hint="eastAsia" w:asciiTheme="minorEastAsia" w:hAnsiTheme="minorEastAsia" w:cstheme="minorEastAsia"/>
          <w:szCs w:val="21"/>
        </w:rPr>
        <w:t>项目采购活动提供本单位制造的货物（由本单位承担工程/提供服务），或者提供其他残疾人福利性单位制造的货物（不包括使用非残疾人福利性单位注册商标的货物）。</w:t>
      </w:r>
    </w:p>
    <w:p w14:paraId="76EB2277">
      <w:pPr>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本单位对上述声明的真实性负责。如有虚假，将依法承担相应责任。</w:t>
      </w:r>
    </w:p>
    <w:p w14:paraId="494A6B93">
      <w:pPr>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本投标人已知悉《财政部民政部中国残疾人联合会关于促进残疾人就业政府采购政策的通知》（财库〔2017〕141号）的规定，承诺提供的声明函内容是真实的，如提供声明函内容不实，则依法追究相关法律责任。</w:t>
      </w:r>
      <w:bookmarkEnd w:id="32"/>
    </w:p>
    <w:bookmarkEnd w:id="33"/>
    <w:p w14:paraId="6EDBABB7">
      <w:pPr>
        <w:ind w:firstLine="420" w:firstLineChars="200"/>
        <w:rPr>
          <w:rFonts w:hint="eastAsia" w:ascii="宋体" w:hAnsi="宋体"/>
          <w:szCs w:val="21"/>
        </w:rPr>
      </w:pPr>
    </w:p>
    <w:p w14:paraId="644E3D7B">
      <w:pPr>
        <w:ind w:firstLine="420" w:firstLineChars="200"/>
        <w:rPr>
          <w:rFonts w:hint="eastAsia" w:ascii="宋体" w:hAnsi="宋体"/>
          <w:szCs w:val="21"/>
        </w:rPr>
      </w:pPr>
    </w:p>
    <w:p w14:paraId="1F467800">
      <w:pPr>
        <w:jc w:val="center"/>
        <w:outlineLvl w:val="3"/>
        <w:rPr>
          <w:b/>
          <w:sz w:val="24"/>
        </w:rPr>
      </w:pPr>
      <w:r>
        <w:rPr>
          <w:rFonts w:hint="eastAsia"/>
          <w:b/>
          <w:sz w:val="24"/>
        </w:rPr>
        <w:t>3、监狱企业声明函【货物类，提供监狱企业货物的供应商如需享受优惠政策，还须另行提供省级以上监狱管理局、戒毒管理局（含新疆生产建设兵团）出具的监狱企业证明文件】</w:t>
      </w:r>
    </w:p>
    <w:p w14:paraId="2FF6E744">
      <w:pPr>
        <w:spacing w:line="360" w:lineRule="auto"/>
        <w:ind w:firstLine="420" w:firstLineChars="200"/>
        <w:rPr>
          <w:rFonts w:hint="eastAsia" w:ascii="宋体" w:hAnsi="宋体"/>
          <w:szCs w:val="21"/>
        </w:rPr>
      </w:pPr>
      <w:r>
        <w:rPr>
          <w:rFonts w:hint="eastAsia" w:ascii="宋体" w:hAnsi="宋体"/>
          <w:szCs w:val="21"/>
        </w:rPr>
        <w:t>本投标人郑重声明，根据《财政部司法部关于政府采购支持监狱企业发展有关问题的通知》（财库〔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号）的规定，本投标人</w:t>
      </w:r>
      <w:r>
        <w:rPr>
          <w:rFonts w:ascii="宋体" w:hAnsi="宋体"/>
          <w:szCs w:val="21"/>
        </w:rPr>
        <w:t>参加</w:t>
      </w:r>
      <w:r>
        <w:rPr>
          <w:rFonts w:ascii="宋体" w:hAnsi="宋体"/>
          <w:b/>
          <w:bCs/>
          <w:i/>
          <w:iCs/>
          <w:szCs w:val="21"/>
          <w:u w:val="single"/>
        </w:rPr>
        <w:t>（</w:t>
      </w:r>
      <w:r>
        <w:rPr>
          <w:rFonts w:hint="eastAsia" w:ascii="宋体" w:hAnsi="宋体"/>
          <w:b/>
          <w:bCs/>
          <w:i/>
          <w:iCs/>
          <w:szCs w:val="21"/>
          <w:u w:val="single"/>
        </w:rPr>
        <w:t>采购人</w:t>
      </w:r>
      <w:r>
        <w:rPr>
          <w:rFonts w:ascii="宋体" w:hAnsi="宋体"/>
          <w:b/>
          <w:bCs/>
          <w:i/>
          <w:iCs/>
          <w:szCs w:val="21"/>
          <w:u w:val="single"/>
        </w:rPr>
        <w:t>名称）</w:t>
      </w:r>
      <w:r>
        <w:rPr>
          <w:rFonts w:ascii="宋体" w:hAnsi="宋体"/>
          <w:szCs w:val="21"/>
        </w:rPr>
        <w:t>的</w:t>
      </w:r>
      <w:r>
        <w:rPr>
          <w:rFonts w:ascii="宋体" w:hAnsi="宋体"/>
          <w:b/>
          <w:bCs/>
          <w:i/>
          <w:iCs/>
          <w:szCs w:val="21"/>
          <w:u w:val="single"/>
        </w:rPr>
        <w:t>（项目名称）</w:t>
      </w:r>
      <w:r>
        <w:rPr>
          <w:rFonts w:ascii="宋体" w:hAnsi="宋体"/>
          <w:szCs w:val="21"/>
        </w:rPr>
        <w:t>采购活动，提供的货物全部由符合政策要求的</w:t>
      </w:r>
      <w:r>
        <w:rPr>
          <w:rFonts w:hint="eastAsia" w:ascii="宋体" w:hAnsi="宋体"/>
          <w:szCs w:val="21"/>
        </w:rPr>
        <w:t>监狱企业</w:t>
      </w:r>
      <w:r>
        <w:rPr>
          <w:rFonts w:ascii="宋体" w:hAnsi="宋体"/>
          <w:szCs w:val="21"/>
        </w:rPr>
        <w:t>制造。相关</w:t>
      </w:r>
      <w:r>
        <w:rPr>
          <w:rFonts w:hint="eastAsia" w:ascii="宋体" w:hAnsi="宋体"/>
          <w:szCs w:val="21"/>
        </w:rPr>
        <w:t>监狱企业</w:t>
      </w:r>
      <w:r>
        <w:rPr>
          <w:rFonts w:ascii="宋体" w:hAnsi="宋体"/>
          <w:szCs w:val="21"/>
        </w:rPr>
        <w:t>的具体情况如下：</w:t>
      </w:r>
    </w:p>
    <w:p w14:paraId="77C141EA">
      <w:pPr>
        <w:spacing w:line="360" w:lineRule="auto"/>
        <w:ind w:firstLine="420" w:firstLineChars="200"/>
        <w:rPr>
          <w:rFonts w:hint="eastAsia" w:ascii="宋体" w:hAnsi="宋体"/>
          <w:szCs w:val="21"/>
        </w:rPr>
      </w:pPr>
      <w:r>
        <w:rPr>
          <w:rFonts w:ascii="宋体" w:hAnsi="宋体"/>
          <w:szCs w:val="21"/>
        </w:rPr>
        <w:t>1.</w:t>
      </w:r>
      <w:r>
        <w:rPr>
          <w:rFonts w:ascii="宋体" w:hAnsi="宋体"/>
          <w:b/>
          <w:bCs/>
          <w:i/>
          <w:iCs/>
          <w:szCs w:val="21"/>
          <w:u w:val="single"/>
        </w:rPr>
        <w:t xml:space="preserve"> </w:t>
      </w:r>
      <w:r>
        <w:rPr>
          <w:rFonts w:hint="eastAsia" w:ascii="宋体" w:hAnsi="宋体"/>
          <w:b/>
          <w:bCs/>
          <w:i/>
          <w:iCs/>
          <w:szCs w:val="21"/>
          <w:u w:val="single"/>
        </w:rPr>
        <w:t xml:space="preserve">   </w:t>
      </w:r>
      <w:r>
        <w:rPr>
          <w:rFonts w:ascii="宋体" w:hAnsi="宋体"/>
          <w:b/>
          <w:bCs/>
          <w:i/>
          <w:iCs/>
          <w:szCs w:val="21"/>
          <w:u w:val="single"/>
        </w:rPr>
        <w:t>（标的名称）</w:t>
      </w:r>
      <w:r>
        <w:rPr>
          <w:rFonts w:hint="eastAsia" w:ascii="宋体" w:hAnsi="宋体"/>
          <w:b/>
          <w:bCs/>
          <w:i/>
          <w:iCs/>
          <w:szCs w:val="21"/>
          <w:u w:val="single"/>
        </w:rPr>
        <w:t xml:space="preserve">    </w:t>
      </w:r>
      <w:r>
        <w:rPr>
          <w:rFonts w:hint="eastAsia" w:ascii="宋体" w:hAnsi="宋体"/>
          <w:szCs w:val="21"/>
        </w:rPr>
        <w:t>，</w:t>
      </w:r>
      <w:r>
        <w:rPr>
          <w:rFonts w:ascii="宋体" w:hAnsi="宋体"/>
          <w:szCs w:val="21"/>
        </w:rPr>
        <w:t>制造商为</w:t>
      </w:r>
      <w:r>
        <w:rPr>
          <w:rFonts w:hint="eastAsia" w:ascii="宋体" w:hAnsi="宋体"/>
          <w:szCs w:val="21"/>
          <w:u w:val="single"/>
        </w:rPr>
        <w:t xml:space="preserve">    </w:t>
      </w:r>
      <w:r>
        <w:rPr>
          <w:rFonts w:ascii="宋体" w:hAnsi="宋体"/>
          <w:b/>
          <w:bCs/>
          <w:i/>
          <w:iCs/>
          <w:szCs w:val="21"/>
          <w:u w:val="single"/>
        </w:rPr>
        <w:t>（</w:t>
      </w:r>
      <w:r>
        <w:rPr>
          <w:rFonts w:hint="eastAsia" w:ascii="宋体" w:hAnsi="宋体"/>
          <w:b/>
          <w:bCs/>
          <w:i/>
          <w:iCs/>
          <w:szCs w:val="21"/>
          <w:u w:val="single"/>
        </w:rPr>
        <w:t>企业</w:t>
      </w:r>
      <w:r>
        <w:rPr>
          <w:rFonts w:ascii="宋体" w:hAnsi="宋体"/>
          <w:b/>
          <w:bCs/>
          <w:i/>
          <w:iCs/>
          <w:szCs w:val="21"/>
          <w:u w:val="single"/>
        </w:rPr>
        <w:t>名称）</w:t>
      </w:r>
      <w:r>
        <w:rPr>
          <w:rFonts w:hint="eastAsia" w:ascii="宋体" w:hAnsi="宋体"/>
          <w:b/>
          <w:bCs/>
          <w:i/>
          <w:iCs/>
          <w:szCs w:val="21"/>
          <w:u w:val="single"/>
        </w:rPr>
        <w:t xml:space="preserve">    </w:t>
      </w:r>
      <w:r>
        <w:rPr>
          <w:rFonts w:ascii="宋体" w:hAnsi="宋体"/>
          <w:szCs w:val="21"/>
        </w:rPr>
        <w:t>，属于</w:t>
      </w:r>
      <w:r>
        <w:rPr>
          <w:rFonts w:hint="eastAsia" w:ascii="宋体" w:hAnsi="宋体"/>
          <w:szCs w:val="21"/>
          <w:u w:val="single"/>
        </w:rPr>
        <w:t xml:space="preserve">  </w:t>
      </w:r>
      <w:r>
        <w:rPr>
          <w:rFonts w:hint="eastAsia" w:ascii="宋体" w:hAnsi="宋体"/>
          <w:b/>
          <w:bCs/>
          <w:szCs w:val="21"/>
          <w:u w:val="single"/>
        </w:rPr>
        <w:t xml:space="preserve">监狱企业  </w:t>
      </w:r>
      <w:r>
        <w:rPr>
          <w:rFonts w:ascii="宋体" w:hAnsi="宋体"/>
          <w:szCs w:val="21"/>
        </w:rPr>
        <w:t>；</w:t>
      </w:r>
    </w:p>
    <w:p w14:paraId="5496EAAD">
      <w:pPr>
        <w:spacing w:line="360" w:lineRule="auto"/>
        <w:ind w:firstLine="420" w:firstLineChars="200"/>
        <w:rPr>
          <w:rFonts w:hint="eastAsia" w:ascii="宋体" w:hAnsi="宋体"/>
          <w:szCs w:val="21"/>
        </w:rPr>
      </w:pPr>
      <w:r>
        <w:rPr>
          <w:rFonts w:ascii="宋体" w:hAnsi="宋体"/>
          <w:szCs w:val="21"/>
        </w:rPr>
        <w:t>2.</w:t>
      </w:r>
      <w:r>
        <w:rPr>
          <w:rFonts w:ascii="宋体" w:hAnsi="宋体"/>
          <w:b/>
          <w:bCs/>
          <w:i/>
          <w:iCs/>
          <w:szCs w:val="21"/>
          <w:u w:val="single"/>
        </w:rPr>
        <w:t xml:space="preserve"> </w:t>
      </w:r>
      <w:r>
        <w:rPr>
          <w:rFonts w:hint="eastAsia" w:ascii="宋体" w:hAnsi="宋体"/>
          <w:b/>
          <w:bCs/>
          <w:i/>
          <w:iCs/>
          <w:szCs w:val="21"/>
          <w:u w:val="single"/>
        </w:rPr>
        <w:t xml:space="preserve">   </w:t>
      </w:r>
      <w:r>
        <w:rPr>
          <w:rFonts w:ascii="宋体" w:hAnsi="宋体"/>
          <w:b/>
          <w:bCs/>
          <w:i/>
          <w:iCs/>
          <w:szCs w:val="21"/>
          <w:u w:val="single"/>
        </w:rPr>
        <w:t>（标的名称）</w:t>
      </w:r>
      <w:r>
        <w:rPr>
          <w:rFonts w:hint="eastAsia" w:ascii="宋体" w:hAnsi="宋体"/>
          <w:b/>
          <w:bCs/>
          <w:i/>
          <w:iCs/>
          <w:szCs w:val="21"/>
          <w:u w:val="single"/>
        </w:rPr>
        <w:t xml:space="preserve">    </w:t>
      </w:r>
      <w:r>
        <w:rPr>
          <w:rFonts w:hint="eastAsia" w:ascii="宋体" w:hAnsi="宋体"/>
          <w:szCs w:val="21"/>
        </w:rPr>
        <w:t>，</w:t>
      </w:r>
      <w:r>
        <w:rPr>
          <w:rFonts w:ascii="宋体" w:hAnsi="宋体"/>
          <w:szCs w:val="21"/>
        </w:rPr>
        <w:t>制造商为</w:t>
      </w:r>
      <w:r>
        <w:rPr>
          <w:rFonts w:hint="eastAsia" w:ascii="宋体" w:hAnsi="宋体"/>
          <w:szCs w:val="21"/>
          <w:u w:val="single"/>
        </w:rPr>
        <w:t xml:space="preserve">    </w:t>
      </w:r>
      <w:r>
        <w:rPr>
          <w:rFonts w:ascii="宋体" w:hAnsi="宋体"/>
          <w:b/>
          <w:bCs/>
          <w:i/>
          <w:iCs/>
          <w:szCs w:val="21"/>
          <w:u w:val="single"/>
        </w:rPr>
        <w:t>（</w:t>
      </w:r>
      <w:r>
        <w:rPr>
          <w:rFonts w:hint="eastAsia" w:ascii="宋体" w:hAnsi="宋体"/>
          <w:b/>
          <w:bCs/>
          <w:i/>
          <w:iCs/>
          <w:szCs w:val="21"/>
          <w:u w:val="single"/>
        </w:rPr>
        <w:t>企业</w:t>
      </w:r>
      <w:r>
        <w:rPr>
          <w:rFonts w:ascii="宋体" w:hAnsi="宋体"/>
          <w:b/>
          <w:bCs/>
          <w:i/>
          <w:iCs/>
          <w:szCs w:val="21"/>
          <w:u w:val="single"/>
        </w:rPr>
        <w:t>名称）</w:t>
      </w:r>
      <w:r>
        <w:rPr>
          <w:rFonts w:hint="eastAsia" w:ascii="宋体" w:hAnsi="宋体"/>
          <w:b/>
          <w:bCs/>
          <w:i/>
          <w:iCs/>
          <w:szCs w:val="21"/>
          <w:u w:val="single"/>
        </w:rPr>
        <w:t xml:space="preserve">    </w:t>
      </w:r>
      <w:r>
        <w:rPr>
          <w:rFonts w:ascii="宋体" w:hAnsi="宋体"/>
          <w:szCs w:val="21"/>
        </w:rPr>
        <w:t>，属于</w:t>
      </w:r>
      <w:r>
        <w:rPr>
          <w:rFonts w:hint="eastAsia" w:ascii="宋体" w:hAnsi="宋体"/>
          <w:szCs w:val="21"/>
          <w:u w:val="single"/>
        </w:rPr>
        <w:t xml:space="preserve">  </w:t>
      </w:r>
      <w:r>
        <w:rPr>
          <w:rFonts w:hint="eastAsia" w:ascii="宋体" w:hAnsi="宋体"/>
          <w:b/>
          <w:bCs/>
          <w:szCs w:val="21"/>
          <w:u w:val="single"/>
        </w:rPr>
        <w:t xml:space="preserve">监狱企业  </w:t>
      </w:r>
      <w:r>
        <w:rPr>
          <w:rFonts w:hint="eastAsia" w:ascii="宋体" w:hAnsi="宋体"/>
          <w:szCs w:val="21"/>
        </w:rPr>
        <w:t>。</w:t>
      </w:r>
    </w:p>
    <w:p w14:paraId="63FE57C6">
      <w:pPr>
        <w:spacing w:line="360" w:lineRule="auto"/>
        <w:ind w:firstLine="420" w:firstLineChars="200"/>
        <w:outlineLvl w:val="3"/>
        <w:rPr>
          <w:rFonts w:hint="eastAsia" w:ascii="宋体" w:hAnsi="宋体"/>
          <w:szCs w:val="21"/>
        </w:rPr>
      </w:pPr>
      <w:r>
        <w:rPr>
          <w:rFonts w:ascii="宋体" w:hAnsi="宋体"/>
          <w:szCs w:val="21"/>
        </w:rPr>
        <w:t xml:space="preserve">…… </w:t>
      </w:r>
    </w:p>
    <w:p w14:paraId="111E8A3B">
      <w:pPr>
        <w:spacing w:line="360" w:lineRule="auto"/>
        <w:ind w:firstLine="420" w:firstLineChars="200"/>
        <w:rPr>
          <w:rFonts w:hint="eastAsia" w:ascii="宋体" w:hAnsi="宋体"/>
          <w:szCs w:val="21"/>
        </w:rPr>
      </w:pPr>
      <w:r>
        <w:rPr>
          <w:rFonts w:ascii="宋体" w:hAnsi="宋体"/>
          <w:szCs w:val="21"/>
        </w:rPr>
        <w:t>本</w:t>
      </w:r>
      <w:r>
        <w:rPr>
          <w:rFonts w:hint="eastAsia" w:ascii="宋体" w:hAnsi="宋体"/>
          <w:szCs w:val="21"/>
        </w:rPr>
        <w:t>投标人</w:t>
      </w:r>
      <w:r>
        <w:rPr>
          <w:rFonts w:ascii="宋体" w:hAnsi="宋体"/>
          <w:szCs w:val="21"/>
        </w:rPr>
        <w:t>对上述声明内容的真实性负责。如有虚假，将依法承担相应责任。</w:t>
      </w:r>
    </w:p>
    <w:p w14:paraId="76ECC74B">
      <w:pPr>
        <w:spacing w:line="360" w:lineRule="auto"/>
        <w:ind w:firstLine="420" w:firstLineChars="200"/>
        <w:rPr>
          <w:b/>
          <w:bCs/>
          <w:color w:val="FF0000"/>
          <w:szCs w:val="21"/>
        </w:rPr>
      </w:pPr>
      <w:r>
        <w:rPr>
          <w:rFonts w:hint="eastAsia" w:ascii="宋体" w:hAnsi="宋体"/>
          <w:szCs w:val="21"/>
        </w:rPr>
        <w:t>附：省级以上监狱管理局、戒毒管理局（含新疆生产建设兵团）出具的监狱企业证明文件。</w:t>
      </w:r>
      <w:bookmarkEnd w:id="29"/>
    </w:p>
    <w:p w14:paraId="7B8E82BF">
      <w:pPr>
        <w:keepNext/>
        <w:keepLines/>
        <w:pageBreakBefore/>
        <w:adjustRightInd w:val="0"/>
        <w:snapToGrid w:val="0"/>
        <w:spacing w:line="360" w:lineRule="auto"/>
        <w:jc w:val="center"/>
        <w:textAlignment w:val="baseline"/>
        <w:outlineLvl w:val="3"/>
        <w:rPr>
          <w:rFonts w:hint="eastAsia" w:ascii="宋体" w:hAnsi="宋体" w:eastAsia="宋体" w:cs="Times New Roman"/>
          <w:b/>
          <w:bCs/>
          <w:kern w:val="0"/>
          <w:sz w:val="24"/>
          <w:szCs w:val="20"/>
        </w:rPr>
      </w:pPr>
      <w:r>
        <w:rPr>
          <w:rFonts w:hint="eastAsia" w:ascii="黑体" w:eastAsia="黑体"/>
          <w:sz w:val="24"/>
          <w:szCs w:val="24"/>
        </w:rPr>
        <w:t>四、</w:t>
      </w:r>
      <w:r>
        <w:rPr>
          <w:rFonts w:hint="eastAsia" w:ascii="宋体" w:hAnsi="宋体" w:eastAsia="宋体" w:cs="Times New Roman"/>
          <w:b/>
          <w:bCs/>
          <w:kern w:val="0"/>
          <w:sz w:val="24"/>
          <w:szCs w:val="20"/>
        </w:rPr>
        <w:t>分项报价清单</w:t>
      </w:r>
    </w:p>
    <w:p w14:paraId="320780B9">
      <w:pPr>
        <w:spacing w:after="78" w:afterLines="25" w:line="300" w:lineRule="auto"/>
        <w:rPr>
          <w:rFonts w:ascii="Arial" w:hAnsi="Arial" w:eastAsia="宋体" w:cs="Arial"/>
          <w:szCs w:val="24"/>
        </w:rPr>
      </w:pPr>
      <w:r>
        <w:rPr>
          <w:rFonts w:hint="eastAsia" w:ascii="Arial" w:hAnsi="Arial" w:eastAsia="宋体" w:cs="Arial"/>
          <w:color w:val="000000"/>
          <w:szCs w:val="24"/>
        </w:rPr>
        <w:t>投标单位（投标人）名称：</w:t>
      </w:r>
      <w:r>
        <w:rPr>
          <w:rFonts w:ascii="Arial" w:hAnsi="Arial" w:eastAsia="宋体" w:cs="Arial"/>
          <w:color w:val="000000"/>
          <w:szCs w:val="24"/>
          <w:u w:val="single"/>
        </w:rPr>
        <w:t xml:space="preserve">                          </w:t>
      </w:r>
    </w:p>
    <w:p w14:paraId="5AC785A2">
      <w:pPr>
        <w:tabs>
          <w:tab w:val="left" w:pos="720"/>
        </w:tabs>
        <w:spacing w:after="78" w:afterLines="25" w:line="300" w:lineRule="auto"/>
        <w:rPr>
          <w:rFonts w:ascii="Arial" w:hAnsi="Arial" w:eastAsia="宋体" w:cs="Times New Roman"/>
          <w:b/>
          <w:sz w:val="24"/>
          <w:szCs w:val="24"/>
        </w:rPr>
      </w:pPr>
      <w:r>
        <w:rPr>
          <w:rFonts w:hint="eastAsia" w:ascii="Arial" w:hAnsi="Arial" w:eastAsia="宋体" w:cs="Times New Roman"/>
          <w:b/>
          <w:sz w:val="24"/>
          <w:szCs w:val="24"/>
        </w:rPr>
        <w:t>（一）项目报价表</w:t>
      </w:r>
    </w:p>
    <w:tbl>
      <w:tblPr>
        <w:tblStyle w:val="17"/>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519"/>
        <w:gridCol w:w="679"/>
        <w:gridCol w:w="796"/>
        <w:gridCol w:w="883"/>
        <w:gridCol w:w="660"/>
        <w:gridCol w:w="462"/>
        <w:gridCol w:w="462"/>
        <w:gridCol w:w="657"/>
        <w:gridCol w:w="880"/>
        <w:gridCol w:w="881"/>
      </w:tblGrid>
      <w:tr w14:paraId="5BC3F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67" w:type="pct"/>
          </w:tcPr>
          <w:p w14:paraId="3D8AE4B5">
            <w:pPr>
              <w:spacing w:line="300" w:lineRule="auto"/>
              <w:jc w:val="center"/>
              <w:rPr>
                <w:rFonts w:ascii="Arial" w:hAnsi="Arial" w:eastAsia="宋体" w:cs="Times New Roman"/>
                <w:szCs w:val="24"/>
              </w:rPr>
            </w:pPr>
            <w:r>
              <w:rPr>
                <w:rFonts w:hint="eastAsia" w:ascii="Arial" w:hAnsi="Arial" w:eastAsia="宋体" w:cs="Times New Roman"/>
                <w:szCs w:val="24"/>
              </w:rPr>
              <w:t>序号</w:t>
            </w:r>
          </w:p>
        </w:tc>
        <w:tc>
          <w:tcPr>
            <w:tcW w:w="903" w:type="pct"/>
            <w:vAlign w:val="center"/>
          </w:tcPr>
          <w:p w14:paraId="3F67A108">
            <w:pPr>
              <w:spacing w:line="300" w:lineRule="auto"/>
              <w:jc w:val="center"/>
              <w:rPr>
                <w:rFonts w:ascii="Arial" w:hAnsi="Arial" w:eastAsia="宋体" w:cs="Times New Roman"/>
                <w:szCs w:val="24"/>
              </w:rPr>
            </w:pPr>
            <w:r>
              <w:rPr>
                <w:rFonts w:hint="eastAsia" w:ascii="Arial" w:hAnsi="Arial" w:eastAsia="宋体" w:cs="Times New Roman"/>
                <w:szCs w:val="24"/>
              </w:rPr>
              <w:t>货物名称</w:t>
            </w:r>
          </w:p>
        </w:tc>
        <w:tc>
          <w:tcPr>
            <w:tcW w:w="409" w:type="pct"/>
            <w:vAlign w:val="center"/>
          </w:tcPr>
          <w:p w14:paraId="69157699">
            <w:pPr>
              <w:spacing w:line="300" w:lineRule="auto"/>
              <w:jc w:val="center"/>
              <w:rPr>
                <w:rFonts w:ascii="Arial" w:hAnsi="Arial" w:eastAsia="宋体" w:cs="Times New Roman"/>
                <w:szCs w:val="24"/>
              </w:rPr>
            </w:pPr>
            <w:r>
              <w:rPr>
                <w:rFonts w:hint="eastAsia" w:ascii="Arial" w:hAnsi="Arial" w:eastAsia="宋体" w:cs="Times New Roman"/>
                <w:szCs w:val="24"/>
              </w:rPr>
              <w:t>品牌</w:t>
            </w:r>
          </w:p>
        </w:tc>
        <w:tc>
          <w:tcPr>
            <w:tcW w:w="478" w:type="pct"/>
            <w:vAlign w:val="center"/>
          </w:tcPr>
          <w:p w14:paraId="10929E0D">
            <w:pPr>
              <w:spacing w:line="300" w:lineRule="auto"/>
              <w:jc w:val="center"/>
              <w:rPr>
                <w:rFonts w:ascii="Arial" w:hAnsi="Arial" w:eastAsia="宋体" w:cs="Times New Roman"/>
                <w:szCs w:val="24"/>
              </w:rPr>
            </w:pPr>
            <w:r>
              <w:rPr>
                <w:rFonts w:hint="eastAsia" w:ascii="Arial" w:hAnsi="Arial" w:eastAsia="宋体" w:cs="Times New Roman"/>
                <w:szCs w:val="24"/>
              </w:rPr>
              <w:t>规格/型号</w:t>
            </w:r>
          </w:p>
        </w:tc>
        <w:tc>
          <w:tcPr>
            <w:tcW w:w="529" w:type="pct"/>
            <w:vAlign w:val="center"/>
          </w:tcPr>
          <w:p w14:paraId="51FABB6F">
            <w:pPr>
              <w:spacing w:line="300" w:lineRule="auto"/>
              <w:jc w:val="center"/>
              <w:rPr>
                <w:rFonts w:ascii="Arial" w:hAnsi="Arial" w:eastAsia="宋体" w:cs="Times New Roman"/>
                <w:b/>
                <w:szCs w:val="24"/>
              </w:rPr>
            </w:pPr>
            <w:r>
              <w:rPr>
                <w:rFonts w:hint="eastAsia" w:ascii="Arial" w:hAnsi="Arial" w:eastAsia="宋体" w:cs="Times New Roman"/>
                <w:bCs/>
                <w:szCs w:val="24"/>
              </w:rPr>
              <w:t>制造商名称</w:t>
            </w:r>
          </w:p>
        </w:tc>
        <w:tc>
          <w:tcPr>
            <w:tcW w:w="395" w:type="pct"/>
            <w:vAlign w:val="center"/>
          </w:tcPr>
          <w:p w14:paraId="67E68AF9">
            <w:pPr>
              <w:spacing w:line="300" w:lineRule="auto"/>
              <w:jc w:val="center"/>
              <w:rPr>
                <w:rFonts w:ascii="Arial" w:hAnsi="Arial" w:eastAsia="宋体" w:cs="Times New Roman"/>
                <w:szCs w:val="24"/>
              </w:rPr>
            </w:pPr>
            <w:r>
              <w:rPr>
                <w:rFonts w:hint="eastAsia" w:ascii="Arial" w:hAnsi="Arial" w:eastAsia="宋体" w:cs="Times New Roman"/>
                <w:szCs w:val="24"/>
              </w:rPr>
              <w:t>原产地</w:t>
            </w:r>
          </w:p>
        </w:tc>
        <w:tc>
          <w:tcPr>
            <w:tcW w:w="282" w:type="pct"/>
            <w:vAlign w:val="center"/>
          </w:tcPr>
          <w:p w14:paraId="2DEB5130">
            <w:pPr>
              <w:spacing w:line="300" w:lineRule="auto"/>
              <w:jc w:val="center"/>
              <w:rPr>
                <w:rFonts w:ascii="Arial" w:hAnsi="Arial" w:eastAsia="宋体" w:cs="Times New Roman"/>
                <w:szCs w:val="24"/>
              </w:rPr>
            </w:pPr>
            <w:r>
              <w:rPr>
                <w:rFonts w:hint="eastAsia" w:ascii="Arial" w:hAnsi="Arial" w:eastAsia="宋体" w:cs="Times New Roman"/>
                <w:szCs w:val="24"/>
              </w:rPr>
              <w:t>数量</w:t>
            </w:r>
          </w:p>
        </w:tc>
        <w:tc>
          <w:tcPr>
            <w:tcW w:w="282" w:type="pct"/>
          </w:tcPr>
          <w:p w14:paraId="11AA9590">
            <w:pPr>
              <w:spacing w:line="300" w:lineRule="auto"/>
              <w:jc w:val="center"/>
              <w:rPr>
                <w:rFonts w:ascii="Arial" w:hAnsi="Arial" w:eastAsia="宋体" w:cs="Times New Roman"/>
                <w:szCs w:val="24"/>
              </w:rPr>
            </w:pPr>
            <w:r>
              <w:rPr>
                <w:rFonts w:hint="eastAsia" w:ascii="Arial" w:hAnsi="Arial" w:eastAsia="宋体" w:cs="Times New Roman"/>
                <w:szCs w:val="24"/>
              </w:rPr>
              <w:t>单位</w:t>
            </w:r>
          </w:p>
        </w:tc>
        <w:tc>
          <w:tcPr>
            <w:tcW w:w="396" w:type="pct"/>
            <w:vAlign w:val="center"/>
          </w:tcPr>
          <w:p w14:paraId="441D05D6">
            <w:pPr>
              <w:spacing w:line="300" w:lineRule="auto"/>
              <w:jc w:val="center"/>
              <w:rPr>
                <w:rFonts w:ascii="Arial" w:hAnsi="Arial" w:eastAsia="宋体" w:cs="Times New Roman"/>
                <w:szCs w:val="24"/>
              </w:rPr>
            </w:pPr>
            <w:r>
              <w:rPr>
                <w:rFonts w:hint="eastAsia" w:ascii="Arial" w:hAnsi="Arial" w:eastAsia="宋体" w:cs="Times New Roman"/>
                <w:szCs w:val="24"/>
              </w:rPr>
              <w:t>单价(元)</w:t>
            </w:r>
          </w:p>
        </w:tc>
        <w:tc>
          <w:tcPr>
            <w:tcW w:w="527" w:type="pct"/>
            <w:vAlign w:val="center"/>
          </w:tcPr>
          <w:p w14:paraId="4B6315FF">
            <w:pPr>
              <w:spacing w:line="300" w:lineRule="auto"/>
              <w:jc w:val="center"/>
              <w:rPr>
                <w:rFonts w:ascii="Arial" w:hAnsi="Arial" w:eastAsia="宋体" w:cs="Times New Roman"/>
                <w:szCs w:val="24"/>
              </w:rPr>
            </w:pPr>
            <w:r>
              <w:rPr>
                <w:rFonts w:hint="eastAsia" w:ascii="Arial" w:hAnsi="Arial" w:eastAsia="宋体" w:cs="Times New Roman"/>
                <w:szCs w:val="24"/>
              </w:rPr>
              <w:t>合价(元)</w:t>
            </w:r>
          </w:p>
        </w:tc>
        <w:tc>
          <w:tcPr>
            <w:tcW w:w="527" w:type="pct"/>
            <w:vAlign w:val="center"/>
          </w:tcPr>
          <w:p w14:paraId="765DB440">
            <w:pPr>
              <w:spacing w:line="300" w:lineRule="auto"/>
              <w:jc w:val="center"/>
              <w:rPr>
                <w:rFonts w:ascii="Arial" w:hAnsi="Arial" w:eastAsia="宋体" w:cs="Times New Roman"/>
                <w:szCs w:val="24"/>
              </w:rPr>
            </w:pPr>
            <w:r>
              <w:rPr>
                <w:rFonts w:hint="eastAsia" w:ascii="Times New Roman" w:hAnsi="Times New Roman" w:eastAsia="宋体" w:cs="Times New Roman"/>
                <w:szCs w:val="21"/>
              </w:rPr>
              <w:t>预算金额（元）</w:t>
            </w:r>
          </w:p>
        </w:tc>
      </w:tr>
      <w:tr w14:paraId="79C2A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7" w:type="pct"/>
            <w:vAlign w:val="center"/>
          </w:tcPr>
          <w:p w14:paraId="23DEB3B4">
            <w:pPr>
              <w:spacing w:after="78" w:afterLines="25" w:line="300" w:lineRule="auto"/>
              <w:jc w:val="center"/>
              <w:rPr>
                <w:rFonts w:ascii="Arial" w:hAnsi="Arial" w:eastAsia="宋体" w:cs="Times New Roman"/>
                <w:szCs w:val="24"/>
              </w:rPr>
            </w:pPr>
            <w:r>
              <w:rPr>
                <w:rFonts w:hint="eastAsia" w:ascii="Arial" w:hAnsi="Arial" w:eastAsia="宋体" w:cs="Times New Roman"/>
                <w:szCs w:val="24"/>
              </w:rPr>
              <w:t>1</w:t>
            </w:r>
          </w:p>
        </w:tc>
        <w:tc>
          <w:tcPr>
            <w:tcW w:w="903" w:type="pct"/>
            <w:vAlign w:val="center"/>
          </w:tcPr>
          <w:p w14:paraId="79151974">
            <w:pPr>
              <w:spacing w:after="78" w:afterLines="25" w:line="300" w:lineRule="auto"/>
              <w:rPr>
                <w:rFonts w:ascii="Arial" w:hAnsi="Arial" w:eastAsia="宋体" w:cs="Times New Roman"/>
                <w:b/>
                <w:szCs w:val="24"/>
              </w:rPr>
            </w:pPr>
          </w:p>
        </w:tc>
        <w:tc>
          <w:tcPr>
            <w:tcW w:w="409" w:type="pct"/>
          </w:tcPr>
          <w:p w14:paraId="17CB2255">
            <w:pPr>
              <w:spacing w:after="78" w:afterLines="25" w:line="300" w:lineRule="auto"/>
              <w:rPr>
                <w:rFonts w:ascii="Arial" w:hAnsi="Arial" w:eastAsia="宋体" w:cs="Times New Roman"/>
                <w:szCs w:val="24"/>
              </w:rPr>
            </w:pPr>
          </w:p>
        </w:tc>
        <w:tc>
          <w:tcPr>
            <w:tcW w:w="478" w:type="pct"/>
          </w:tcPr>
          <w:p w14:paraId="4E953FE3">
            <w:pPr>
              <w:spacing w:after="78" w:afterLines="25" w:line="300" w:lineRule="auto"/>
              <w:rPr>
                <w:rFonts w:ascii="Arial" w:hAnsi="Arial" w:eastAsia="宋体" w:cs="Times New Roman"/>
                <w:szCs w:val="24"/>
              </w:rPr>
            </w:pPr>
          </w:p>
        </w:tc>
        <w:tc>
          <w:tcPr>
            <w:tcW w:w="529" w:type="pct"/>
          </w:tcPr>
          <w:p w14:paraId="5DA4AD57">
            <w:pPr>
              <w:spacing w:after="78" w:afterLines="25" w:line="300" w:lineRule="auto"/>
              <w:rPr>
                <w:rFonts w:ascii="Arial" w:hAnsi="Arial" w:eastAsia="宋体" w:cs="Times New Roman"/>
                <w:szCs w:val="24"/>
              </w:rPr>
            </w:pPr>
          </w:p>
        </w:tc>
        <w:tc>
          <w:tcPr>
            <w:tcW w:w="395" w:type="pct"/>
          </w:tcPr>
          <w:p w14:paraId="1ED60AC1">
            <w:pPr>
              <w:spacing w:after="78" w:afterLines="25" w:line="300" w:lineRule="auto"/>
              <w:rPr>
                <w:rFonts w:ascii="Arial" w:hAnsi="Arial" w:eastAsia="宋体" w:cs="Times New Roman"/>
                <w:szCs w:val="24"/>
              </w:rPr>
            </w:pPr>
          </w:p>
        </w:tc>
        <w:tc>
          <w:tcPr>
            <w:tcW w:w="282" w:type="pct"/>
          </w:tcPr>
          <w:p w14:paraId="776394AE">
            <w:pPr>
              <w:spacing w:after="78" w:afterLines="25" w:line="300" w:lineRule="auto"/>
              <w:rPr>
                <w:rFonts w:ascii="Arial" w:hAnsi="Arial" w:eastAsia="宋体" w:cs="Times New Roman"/>
                <w:szCs w:val="24"/>
              </w:rPr>
            </w:pPr>
          </w:p>
        </w:tc>
        <w:tc>
          <w:tcPr>
            <w:tcW w:w="282" w:type="pct"/>
          </w:tcPr>
          <w:p w14:paraId="521A9B3A">
            <w:pPr>
              <w:spacing w:after="78" w:afterLines="25" w:line="300" w:lineRule="auto"/>
              <w:rPr>
                <w:rFonts w:ascii="Arial" w:hAnsi="Arial" w:eastAsia="宋体" w:cs="Times New Roman"/>
                <w:szCs w:val="24"/>
              </w:rPr>
            </w:pPr>
          </w:p>
        </w:tc>
        <w:tc>
          <w:tcPr>
            <w:tcW w:w="396" w:type="pct"/>
          </w:tcPr>
          <w:p w14:paraId="092F161D">
            <w:pPr>
              <w:spacing w:after="78" w:afterLines="25" w:line="300" w:lineRule="auto"/>
              <w:rPr>
                <w:rFonts w:ascii="Arial" w:hAnsi="Arial" w:eastAsia="宋体" w:cs="Times New Roman"/>
                <w:szCs w:val="24"/>
              </w:rPr>
            </w:pPr>
          </w:p>
        </w:tc>
        <w:tc>
          <w:tcPr>
            <w:tcW w:w="527" w:type="pct"/>
          </w:tcPr>
          <w:p w14:paraId="65ACE8FC">
            <w:pPr>
              <w:spacing w:after="78" w:afterLines="25" w:line="300" w:lineRule="auto"/>
              <w:rPr>
                <w:rFonts w:ascii="Arial" w:hAnsi="Arial" w:eastAsia="宋体" w:cs="Times New Roman"/>
                <w:szCs w:val="24"/>
              </w:rPr>
            </w:pPr>
          </w:p>
        </w:tc>
        <w:tc>
          <w:tcPr>
            <w:tcW w:w="527" w:type="pct"/>
            <w:vMerge w:val="restart"/>
          </w:tcPr>
          <w:p w14:paraId="1F7954CB">
            <w:pPr>
              <w:spacing w:after="78" w:afterLines="25" w:line="300" w:lineRule="auto"/>
              <w:rPr>
                <w:rFonts w:ascii="Arial" w:hAnsi="Arial" w:eastAsia="宋体" w:cs="Times New Roman"/>
                <w:szCs w:val="24"/>
              </w:rPr>
            </w:pPr>
          </w:p>
        </w:tc>
      </w:tr>
      <w:tr w14:paraId="5C58C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67" w:type="pct"/>
          </w:tcPr>
          <w:p w14:paraId="5D7B2ADC">
            <w:pPr>
              <w:spacing w:after="78" w:afterLines="25" w:line="300" w:lineRule="auto"/>
              <w:jc w:val="center"/>
              <w:rPr>
                <w:rFonts w:ascii="Arial" w:hAnsi="Arial" w:eastAsia="宋体" w:cs="Times New Roman"/>
                <w:szCs w:val="24"/>
              </w:rPr>
            </w:pPr>
            <w:r>
              <w:rPr>
                <w:rFonts w:hint="eastAsia" w:ascii="Arial" w:hAnsi="Arial" w:eastAsia="宋体" w:cs="Times New Roman"/>
                <w:szCs w:val="24"/>
              </w:rPr>
              <w:t>2</w:t>
            </w:r>
          </w:p>
        </w:tc>
        <w:tc>
          <w:tcPr>
            <w:tcW w:w="903" w:type="pct"/>
          </w:tcPr>
          <w:p w14:paraId="4CB8C4DC">
            <w:pPr>
              <w:spacing w:after="78" w:afterLines="25" w:line="300" w:lineRule="auto"/>
              <w:rPr>
                <w:rFonts w:ascii="Arial" w:hAnsi="Arial" w:eastAsia="宋体" w:cs="Times New Roman"/>
                <w:b/>
                <w:szCs w:val="24"/>
              </w:rPr>
            </w:pPr>
          </w:p>
        </w:tc>
        <w:tc>
          <w:tcPr>
            <w:tcW w:w="409" w:type="pct"/>
          </w:tcPr>
          <w:p w14:paraId="23E94331">
            <w:pPr>
              <w:spacing w:after="78" w:afterLines="25" w:line="300" w:lineRule="auto"/>
              <w:rPr>
                <w:rFonts w:ascii="Arial" w:hAnsi="Arial" w:eastAsia="宋体" w:cs="Times New Roman"/>
                <w:szCs w:val="24"/>
              </w:rPr>
            </w:pPr>
          </w:p>
        </w:tc>
        <w:tc>
          <w:tcPr>
            <w:tcW w:w="478" w:type="pct"/>
          </w:tcPr>
          <w:p w14:paraId="43FD7103">
            <w:pPr>
              <w:spacing w:after="78" w:afterLines="25" w:line="300" w:lineRule="auto"/>
              <w:rPr>
                <w:rFonts w:ascii="Arial" w:hAnsi="Arial" w:eastAsia="宋体" w:cs="Times New Roman"/>
                <w:szCs w:val="24"/>
              </w:rPr>
            </w:pPr>
          </w:p>
        </w:tc>
        <w:tc>
          <w:tcPr>
            <w:tcW w:w="529" w:type="pct"/>
          </w:tcPr>
          <w:p w14:paraId="7E707834">
            <w:pPr>
              <w:spacing w:after="78" w:afterLines="25" w:line="300" w:lineRule="auto"/>
              <w:rPr>
                <w:rFonts w:ascii="Arial" w:hAnsi="Arial" w:eastAsia="宋体" w:cs="Times New Roman"/>
                <w:szCs w:val="24"/>
              </w:rPr>
            </w:pPr>
          </w:p>
        </w:tc>
        <w:tc>
          <w:tcPr>
            <w:tcW w:w="395" w:type="pct"/>
          </w:tcPr>
          <w:p w14:paraId="40B278AE">
            <w:pPr>
              <w:spacing w:after="78" w:afterLines="25" w:line="300" w:lineRule="auto"/>
              <w:rPr>
                <w:rFonts w:ascii="Arial" w:hAnsi="Arial" w:eastAsia="宋体" w:cs="Times New Roman"/>
                <w:szCs w:val="24"/>
              </w:rPr>
            </w:pPr>
          </w:p>
        </w:tc>
        <w:tc>
          <w:tcPr>
            <w:tcW w:w="282" w:type="pct"/>
          </w:tcPr>
          <w:p w14:paraId="5FA3C94D">
            <w:pPr>
              <w:spacing w:after="78" w:afterLines="25" w:line="300" w:lineRule="auto"/>
              <w:rPr>
                <w:rFonts w:ascii="Arial" w:hAnsi="Arial" w:eastAsia="宋体" w:cs="Times New Roman"/>
                <w:szCs w:val="24"/>
              </w:rPr>
            </w:pPr>
          </w:p>
        </w:tc>
        <w:tc>
          <w:tcPr>
            <w:tcW w:w="282" w:type="pct"/>
          </w:tcPr>
          <w:p w14:paraId="64BDF432">
            <w:pPr>
              <w:spacing w:after="78" w:afterLines="25" w:line="300" w:lineRule="auto"/>
              <w:rPr>
                <w:rFonts w:ascii="Arial" w:hAnsi="Arial" w:eastAsia="宋体" w:cs="Times New Roman"/>
                <w:szCs w:val="24"/>
              </w:rPr>
            </w:pPr>
          </w:p>
        </w:tc>
        <w:tc>
          <w:tcPr>
            <w:tcW w:w="396" w:type="pct"/>
          </w:tcPr>
          <w:p w14:paraId="79C7E614">
            <w:pPr>
              <w:spacing w:after="78" w:afterLines="25" w:line="300" w:lineRule="auto"/>
              <w:rPr>
                <w:rFonts w:ascii="Arial" w:hAnsi="Arial" w:eastAsia="宋体" w:cs="Times New Roman"/>
                <w:szCs w:val="24"/>
              </w:rPr>
            </w:pPr>
          </w:p>
        </w:tc>
        <w:tc>
          <w:tcPr>
            <w:tcW w:w="527" w:type="pct"/>
          </w:tcPr>
          <w:p w14:paraId="560509B2">
            <w:pPr>
              <w:spacing w:after="78" w:afterLines="25" w:line="300" w:lineRule="auto"/>
              <w:rPr>
                <w:rFonts w:ascii="Arial" w:hAnsi="Arial" w:eastAsia="宋体" w:cs="Times New Roman"/>
                <w:szCs w:val="24"/>
              </w:rPr>
            </w:pPr>
          </w:p>
        </w:tc>
        <w:tc>
          <w:tcPr>
            <w:tcW w:w="527" w:type="pct"/>
            <w:vMerge w:val="continue"/>
          </w:tcPr>
          <w:p w14:paraId="17D5B5A9">
            <w:pPr>
              <w:spacing w:after="78" w:afterLines="25" w:line="300" w:lineRule="auto"/>
              <w:rPr>
                <w:rFonts w:ascii="Arial" w:hAnsi="Arial" w:eastAsia="宋体" w:cs="Times New Roman"/>
                <w:szCs w:val="24"/>
              </w:rPr>
            </w:pPr>
          </w:p>
        </w:tc>
      </w:tr>
      <w:tr w14:paraId="17709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67" w:type="pct"/>
          </w:tcPr>
          <w:p w14:paraId="684D1F43">
            <w:pPr>
              <w:spacing w:after="78" w:afterLines="25" w:line="300" w:lineRule="auto"/>
              <w:jc w:val="center"/>
              <w:rPr>
                <w:rFonts w:ascii="Arial" w:hAnsi="Arial" w:eastAsia="宋体" w:cs="Times New Roman"/>
                <w:szCs w:val="24"/>
              </w:rPr>
            </w:pPr>
            <w:r>
              <w:rPr>
                <w:rFonts w:hint="eastAsia" w:ascii="Arial" w:hAnsi="Arial" w:eastAsia="宋体" w:cs="Times New Roman"/>
                <w:szCs w:val="24"/>
              </w:rPr>
              <w:t>3</w:t>
            </w:r>
          </w:p>
        </w:tc>
        <w:tc>
          <w:tcPr>
            <w:tcW w:w="903" w:type="pct"/>
          </w:tcPr>
          <w:p w14:paraId="3231E968">
            <w:pPr>
              <w:spacing w:after="78" w:afterLines="25" w:line="300" w:lineRule="auto"/>
              <w:rPr>
                <w:rFonts w:ascii="Arial" w:hAnsi="Arial" w:eastAsia="宋体" w:cs="Times New Roman"/>
                <w:b/>
                <w:szCs w:val="24"/>
              </w:rPr>
            </w:pPr>
          </w:p>
        </w:tc>
        <w:tc>
          <w:tcPr>
            <w:tcW w:w="409" w:type="pct"/>
          </w:tcPr>
          <w:p w14:paraId="4049CEBF">
            <w:pPr>
              <w:spacing w:after="78" w:afterLines="25" w:line="300" w:lineRule="auto"/>
              <w:rPr>
                <w:rFonts w:ascii="Arial" w:hAnsi="Arial" w:eastAsia="宋体" w:cs="Times New Roman"/>
                <w:szCs w:val="24"/>
              </w:rPr>
            </w:pPr>
          </w:p>
        </w:tc>
        <w:tc>
          <w:tcPr>
            <w:tcW w:w="478" w:type="pct"/>
          </w:tcPr>
          <w:p w14:paraId="68DC1245">
            <w:pPr>
              <w:spacing w:after="78" w:afterLines="25" w:line="300" w:lineRule="auto"/>
              <w:rPr>
                <w:rFonts w:ascii="Arial" w:hAnsi="Arial" w:eastAsia="宋体" w:cs="Times New Roman"/>
                <w:szCs w:val="24"/>
              </w:rPr>
            </w:pPr>
          </w:p>
        </w:tc>
        <w:tc>
          <w:tcPr>
            <w:tcW w:w="529" w:type="pct"/>
          </w:tcPr>
          <w:p w14:paraId="50BFAF95">
            <w:pPr>
              <w:spacing w:after="78" w:afterLines="25" w:line="300" w:lineRule="auto"/>
              <w:rPr>
                <w:rFonts w:ascii="Arial" w:hAnsi="Arial" w:eastAsia="宋体" w:cs="Times New Roman"/>
                <w:szCs w:val="24"/>
              </w:rPr>
            </w:pPr>
          </w:p>
        </w:tc>
        <w:tc>
          <w:tcPr>
            <w:tcW w:w="395" w:type="pct"/>
          </w:tcPr>
          <w:p w14:paraId="0D2708D0">
            <w:pPr>
              <w:spacing w:after="78" w:afterLines="25" w:line="300" w:lineRule="auto"/>
              <w:rPr>
                <w:rFonts w:ascii="Arial" w:hAnsi="Arial" w:eastAsia="宋体" w:cs="Times New Roman"/>
                <w:szCs w:val="24"/>
              </w:rPr>
            </w:pPr>
          </w:p>
        </w:tc>
        <w:tc>
          <w:tcPr>
            <w:tcW w:w="282" w:type="pct"/>
          </w:tcPr>
          <w:p w14:paraId="1113EFB3">
            <w:pPr>
              <w:spacing w:after="78" w:afterLines="25" w:line="300" w:lineRule="auto"/>
              <w:rPr>
                <w:rFonts w:ascii="Arial" w:hAnsi="Arial" w:eastAsia="宋体" w:cs="Times New Roman"/>
                <w:szCs w:val="24"/>
              </w:rPr>
            </w:pPr>
          </w:p>
        </w:tc>
        <w:tc>
          <w:tcPr>
            <w:tcW w:w="282" w:type="pct"/>
          </w:tcPr>
          <w:p w14:paraId="36F59C59">
            <w:pPr>
              <w:spacing w:after="78" w:afterLines="25" w:line="300" w:lineRule="auto"/>
              <w:rPr>
                <w:rFonts w:ascii="Arial" w:hAnsi="Arial" w:eastAsia="宋体" w:cs="Times New Roman"/>
                <w:szCs w:val="24"/>
              </w:rPr>
            </w:pPr>
          </w:p>
        </w:tc>
        <w:tc>
          <w:tcPr>
            <w:tcW w:w="396" w:type="pct"/>
          </w:tcPr>
          <w:p w14:paraId="740BEA3E">
            <w:pPr>
              <w:spacing w:after="78" w:afterLines="25" w:line="300" w:lineRule="auto"/>
              <w:rPr>
                <w:rFonts w:ascii="Arial" w:hAnsi="Arial" w:eastAsia="宋体" w:cs="Times New Roman"/>
                <w:szCs w:val="24"/>
              </w:rPr>
            </w:pPr>
          </w:p>
        </w:tc>
        <w:tc>
          <w:tcPr>
            <w:tcW w:w="527" w:type="pct"/>
          </w:tcPr>
          <w:p w14:paraId="556FA81D">
            <w:pPr>
              <w:spacing w:after="78" w:afterLines="25" w:line="300" w:lineRule="auto"/>
              <w:rPr>
                <w:rFonts w:ascii="Arial" w:hAnsi="Arial" w:eastAsia="宋体" w:cs="Times New Roman"/>
                <w:szCs w:val="24"/>
              </w:rPr>
            </w:pPr>
          </w:p>
        </w:tc>
        <w:tc>
          <w:tcPr>
            <w:tcW w:w="527" w:type="pct"/>
            <w:vMerge w:val="continue"/>
          </w:tcPr>
          <w:p w14:paraId="36A7D020">
            <w:pPr>
              <w:spacing w:after="78" w:afterLines="25" w:line="300" w:lineRule="auto"/>
              <w:rPr>
                <w:rFonts w:ascii="Arial" w:hAnsi="Arial" w:eastAsia="宋体" w:cs="Times New Roman"/>
                <w:szCs w:val="24"/>
              </w:rPr>
            </w:pPr>
          </w:p>
        </w:tc>
      </w:tr>
      <w:tr w14:paraId="200D0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267" w:type="pct"/>
          </w:tcPr>
          <w:p w14:paraId="32676FB3">
            <w:pPr>
              <w:spacing w:after="78" w:afterLines="25" w:line="300" w:lineRule="auto"/>
              <w:jc w:val="center"/>
              <w:rPr>
                <w:rFonts w:ascii="Arial" w:hAnsi="Arial" w:eastAsia="宋体" w:cs="Times New Roman"/>
                <w:szCs w:val="24"/>
              </w:rPr>
            </w:pPr>
            <w:r>
              <w:rPr>
                <w:rFonts w:hint="eastAsia" w:ascii="Arial" w:hAnsi="Arial" w:eastAsia="宋体" w:cs="Times New Roman"/>
                <w:szCs w:val="24"/>
              </w:rPr>
              <w:t>……</w:t>
            </w:r>
          </w:p>
        </w:tc>
        <w:tc>
          <w:tcPr>
            <w:tcW w:w="903" w:type="pct"/>
          </w:tcPr>
          <w:p w14:paraId="13471DB6">
            <w:pPr>
              <w:spacing w:after="78" w:afterLines="25" w:line="300" w:lineRule="auto"/>
              <w:rPr>
                <w:rFonts w:ascii="Arial" w:hAnsi="Arial" w:eastAsia="宋体" w:cs="Times New Roman"/>
                <w:b/>
                <w:szCs w:val="24"/>
              </w:rPr>
            </w:pPr>
          </w:p>
        </w:tc>
        <w:tc>
          <w:tcPr>
            <w:tcW w:w="409" w:type="pct"/>
          </w:tcPr>
          <w:p w14:paraId="7F8721D1">
            <w:pPr>
              <w:spacing w:after="78" w:afterLines="25" w:line="300" w:lineRule="auto"/>
              <w:rPr>
                <w:rFonts w:ascii="Arial" w:hAnsi="Arial" w:eastAsia="宋体" w:cs="Times New Roman"/>
                <w:szCs w:val="24"/>
              </w:rPr>
            </w:pPr>
          </w:p>
        </w:tc>
        <w:tc>
          <w:tcPr>
            <w:tcW w:w="478" w:type="pct"/>
          </w:tcPr>
          <w:p w14:paraId="2386529E">
            <w:pPr>
              <w:spacing w:after="78" w:afterLines="25" w:line="300" w:lineRule="auto"/>
              <w:rPr>
                <w:rFonts w:ascii="Arial" w:hAnsi="Arial" w:eastAsia="宋体" w:cs="Times New Roman"/>
                <w:szCs w:val="24"/>
              </w:rPr>
            </w:pPr>
          </w:p>
        </w:tc>
        <w:tc>
          <w:tcPr>
            <w:tcW w:w="529" w:type="pct"/>
          </w:tcPr>
          <w:p w14:paraId="0A3E4B37">
            <w:pPr>
              <w:spacing w:after="78" w:afterLines="25" w:line="300" w:lineRule="auto"/>
              <w:rPr>
                <w:rFonts w:ascii="Arial" w:hAnsi="Arial" w:eastAsia="宋体" w:cs="Times New Roman"/>
                <w:szCs w:val="24"/>
              </w:rPr>
            </w:pPr>
          </w:p>
        </w:tc>
        <w:tc>
          <w:tcPr>
            <w:tcW w:w="395" w:type="pct"/>
          </w:tcPr>
          <w:p w14:paraId="07066807">
            <w:pPr>
              <w:spacing w:after="78" w:afterLines="25" w:line="300" w:lineRule="auto"/>
              <w:rPr>
                <w:rFonts w:ascii="Arial" w:hAnsi="Arial" w:eastAsia="宋体" w:cs="Times New Roman"/>
                <w:szCs w:val="24"/>
              </w:rPr>
            </w:pPr>
          </w:p>
        </w:tc>
        <w:tc>
          <w:tcPr>
            <w:tcW w:w="282" w:type="pct"/>
          </w:tcPr>
          <w:p w14:paraId="754BE27A">
            <w:pPr>
              <w:spacing w:after="78" w:afterLines="25" w:line="300" w:lineRule="auto"/>
              <w:rPr>
                <w:rFonts w:ascii="Arial" w:hAnsi="Arial" w:eastAsia="宋体" w:cs="Times New Roman"/>
                <w:szCs w:val="24"/>
              </w:rPr>
            </w:pPr>
          </w:p>
        </w:tc>
        <w:tc>
          <w:tcPr>
            <w:tcW w:w="282" w:type="pct"/>
          </w:tcPr>
          <w:p w14:paraId="412B22A6">
            <w:pPr>
              <w:spacing w:after="78" w:afterLines="25" w:line="300" w:lineRule="auto"/>
              <w:rPr>
                <w:rFonts w:ascii="Arial" w:hAnsi="Arial" w:eastAsia="宋体" w:cs="Times New Roman"/>
                <w:szCs w:val="24"/>
              </w:rPr>
            </w:pPr>
          </w:p>
        </w:tc>
        <w:tc>
          <w:tcPr>
            <w:tcW w:w="396" w:type="pct"/>
          </w:tcPr>
          <w:p w14:paraId="3CF07424">
            <w:pPr>
              <w:spacing w:after="78" w:afterLines="25" w:line="300" w:lineRule="auto"/>
              <w:rPr>
                <w:rFonts w:ascii="Arial" w:hAnsi="Arial" w:eastAsia="宋体" w:cs="Times New Roman"/>
                <w:szCs w:val="24"/>
              </w:rPr>
            </w:pPr>
          </w:p>
        </w:tc>
        <w:tc>
          <w:tcPr>
            <w:tcW w:w="527" w:type="pct"/>
          </w:tcPr>
          <w:p w14:paraId="3A10C233">
            <w:pPr>
              <w:spacing w:after="78" w:afterLines="25" w:line="300" w:lineRule="auto"/>
              <w:rPr>
                <w:rFonts w:ascii="Arial" w:hAnsi="Arial" w:eastAsia="宋体" w:cs="Times New Roman"/>
                <w:szCs w:val="24"/>
              </w:rPr>
            </w:pPr>
          </w:p>
        </w:tc>
        <w:tc>
          <w:tcPr>
            <w:tcW w:w="527" w:type="pct"/>
            <w:vMerge w:val="continue"/>
          </w:tcPr>
          <w:p w14:paraId="3468FF1A">
            <w:pPr>
              <w:spacing w:after="78" w:afterLines="25" w:line="300" w:lineRule="auto"/>
              <w:rPr>
                <w:rFonts w:ascii="Arial" w:hAnsi="Arial" w:eastAsia="宋体" w:cs="Times New Roman"/>
                <w:szCs w:val="24"/>
              </w:rPr>
            </w:pPr>
          </w:p>
        </w:tc>
      </w:tr>
      <w:tr w14:paraId="1C77D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984" w:type="pct"/>
            <w:gridSpan w:val="6"/>
          </w:tcPr>
          <w:p w14:paraId="4B3B5A8F">
            <w:pPr>
              <w:spacing w:after="78" w:afterLines="25" w:line="300" w:lineRule="auto"/>
              <w:jc w:val="center"/>
              <w:rPr>
                <w:rFonts w:ascii="Arial" w:hAnsi="Arial" w:eastAsia="宋体" w:cs="Times New Roman"/>
                <w:szCs w:val="24"/>
              </w:rPr>
            </w:pPr>
            <w:r>
              <w:rPr>
                <w:rFonts w:hint="eastAsia" w:ascii="Arial" w:hAnsi="Arial" w:eastAsia="宋体" w:cs="Times New Roman"/>
                <w:b/>
                <w:szCs w:val="24"/>
              </w:rPr>
              <w:t>投标总价</w:t>
            </w:r>
            <w:r>
              <w:rPr>
                <w:rFonts w:hint="eastAsia" w:ascii="Arial" w:hAnsi="Arial" w:eastAsia="宋体" w:cs="Times New Roman"/>
                <w:szCs w:val="24"/>
              </w:rPr>
              <w:t>（以上各项之和；币种：人民币；单位：元）</w:t>
            </w:r>
          </w:p>
        </w:tc>
        <w:tc>
          <w:tcPr>
            <w:tcW w:w="2015" w:type="pct"/>
            <w:gridSpan w:val="5"/>
          </w:tcPr>
          <w:p w14:paraId="6065EABE">
            <w:pPr>
              <w:spacing w:after="78" w:afterLines="25" w:line="300" w:lineRule="auto"/>
              <w:rPr>
                <w:rFonts w:ascii="Arial" w:hAnsi="Arial" w:eastAsia="宋体" w:cs="Times New Roman"/>
                <w:szCs w:val="24"/>
              </w:rPr>
            </w:pPr>
          </w:p>
        </w:tc>
      </w:tr>
    </w:tbl>
    <w:p w14:paraId="066434D6">
      <w:pPr>
        <w:snapToGrid w:val="0"/>
        <w:rPr>
          <w:rFonts w:hint="eastAsia" w:cs="Times New Roman" w:asciiTheme="minorEastAsia" w:hAnsiTheme="minorEastAsia"/>
          <w:b/>
          <w:szCs w:val="24"/>
        </w:rPr>
      </w:pPr>
      <w:r>
        <w:rPr>
          <w:rFonts w:hint="eastAsia" w:cs="Times New Roman" w:asciiTheme="minorEastAsia" w:hAnsiTheme="minorEastAsia"/>
          <w:b/>
          <w:szCs w:val="24"/>
        </w:rPr>
        <w:t>填写说明：</w:t>
      </w:r>
    </w:p>
    <w:p w14:paraId="6418EE65">
      <w:pPr>
        <w:snapToGrid w:val="0"/>
        <w:rPr>
          <w:rFonts w:hint="eastAsia" w:cs="Times New Roman" w:asciiTheme="minorEastAsia" w:hAnsiTheme="minorEastAsia"/>
          <w:b/>
          <w:szCs w:val="24"/>
        </w:rPr>
      </w:pPr>
      <w:r>
        <w:rPr>
          <w:rFonts w:hint="eastAsia" w:cs="Times New Roman" w:asciiTheme="minorEastAsia" w:hAnsiTheme="minorEastAsia"/>
          <w:b/>
          <w:szCs w:val="24"/>
        </w:rPr>
        <w:t>1.本表可按同样格式扩展。</w:t>
      </w:r>
    </w:p>
    <w:p w14:paraId="3FB6E4AB">
      <w:pPr>
        <w:snapToGrid w:val="0"/>
        <w:rPr>
          <w:rFonts w:hint="eastAsia" w:cs="Times New Roman" w:asciiTheme="minorEastAsia" w:hAnsiTheme="minorEastAsia"/>
          <w:b/>
          <w:szCs w:val="24"/>
        </w:rPr>
      </w:pPr>
      <w:r>
        <w:rPr>
          <w:rFonts w:hint="eastAsia" w:cs="Times New Roman" w:asciiTheme="minorEastAsia" w:hAnsiTheme="minorEastAsia"/>
          <w:b/>
          <w:szCs w:val="24"/>
        </w:rPr>
        <w:t>2. “品牌”可以与商标一致，也可以填写便于区分其他公司商品的制造商简称或者制造商认可的品牌名称。</w:t>
      </w:r>
    </w:p>
    <w:p w14:paraId="4886797F">
      <w:pPr>
        <w:snapToGrid w:val="0"/>
        <w:rPr>
          <w:rFonts w:hint="eastAsia" w:cs="Times New Roman" w:asciiTheme="minorEastAsia" w:hAnsiTheme="minorEastAsia"/>
          <w:b/>
          <w:szCs w:val="24"/>
        </w:rPr>
      </w:pPr>
      <w:r>
        <w:rPr>
          <w:rFonts w:hint="eastAsia" w:cs="Times New Roman" w:asciiTheme="minorEastAsia" w:hAnsiTheme="minorEastAsia"/>
          <w:b/>
          <w:szCs w:val="24"/>
        </w:rPr>
        <w:t>3.如所投货物属于定制类的非量产货物或无具体型号的货物，可以在“规格/型号”一栏仅填写规格信息而不填写型号信息（型号信息用“定制”描述即可）；</w:t>
      </w:r>
      <w:bookmarkStart w:id="34" w:name="_Hlk73646428"/>
      <w:r>
        <w:rPr>
          <w:rFonts w:hint="eastAsia" w:cs="Times New Roman" w:asciiTheme="minorEastAsia" w:hAnsiTheme="minorEastAsia"/>
          <w:b/>
          <w:szCs w:val="24"/>
        </w:rPr>
        <w:t>此类填写错误或缺漏（所投货物为定制类的非量产货物但供应商却错误填报了型号）可能带来的不利后果由供应商承担。</w:t>
      </w:r>
      <w:bookmarkEnd w:id="34"/>
    </w:p>
    <w:p w14:paraId="27D25999">
      <w:pPr>
        <w:snapToGrid w:val="0"/>
        <w:rPr>
          <w:rFonts w:hint="eastAsia" w:cs="Times New Roman" w:asciiTheme="minorEastAsia" w:hAnsiTheme="minorEastAsia"/>
          <w:b/>
          <w:szCs w:val="24"/>
        </w:rPr>
      </w:pPr>
      <w:r>
        <w:rPr>
          <w:rFonts w:hint="eastAsia" w:cs="Times New Roman" w:asciiTheme="minorEastAsia" w:hAnsiTheme="minorEastAsia"/>
          <w:b/>
          <w:szCs w:val="24"/>
        </w:rPr>
        <w:t>4.</w:t>
      </w:r>
      <w:bookmarkStart w:id="35" w:name="_Hlk72074795"/>
      <w:r>
        <w:rPr>
          <w:rFonts w:hint="eastAsia" w:cs="Times New Roman" w:asciiTheme="minorEastAsia" w:hAnsiTheme="minorEastAsia"/>
          <w:b/>
          <w:szCs w:val="24"/>
        </w:rPr>
        <w:t>“原产地”是指该货物的实际生产加工地，而非品牌所在地</w:t>
      </w:r>
      <w:bookmarkEnd w:id="35"/>
      <w:r>
        <w:rPr>
          <w:rFonts w:hint="eastAsia" w:cs="Times New Roman" w:asciiTheme="minorEastAsia" w:hAnsiTheme="minorEastAsia"/>
          <w:b/>
          <w:szCs w:val="24"/>
        </w:rPr>
        <w:t>。</w:t>
      </w:r>
    </w:p>
    <w:p w14:paraId="533B3EE9">
      <w:pPr>
        <w:snapToGrid w:val="0"/>
        <w:rPr>
          <w:rFonts w:hint="eastAsia" w:cs="Times New Roman" w:asciiTheme="minorEastAsia" w:hAnsiTheme="minorEastAsia"/>
          <w:b/>
          <w:szCs w:val="24"/>
        </w:rPr>
      </w:pPr>
      <w:r>
        <w:rPr>
          <w:rFonts w:hint="eastAsia" w:cs="Times New Roman" w:asciiTheme="minorEastAsia" w:hAnsiTheme="minorEastAsia"/>
          <w:b/>
          <w:szCs w:val="24"/>
        </w:rPr>
        <w:t>5.所投货物均应填写制造商名称。“制造商”是指产品制造厂商，产品代工制造的，应填写接受委托生产制造的制造商。</w:t>
      </w:r>
    </w:p>
    <w:p w14:paraId="3C656727">
      <w:pPr>
        <w:snapToGrid w:val="0"/>
        <w:rPr>
          <w:rFonts w:hint="eastAsia" w:cs="Times New Roman" w:asciiTheme="minorEastAsia" w:hAnsiTheme="minorEastAsia"/>
          <w:b/>
          <w:szCs w:val="24"/>
        </w:rPr>
      </w:pPr>
      <w:r>
        <w:rPr>
          <w:rFonts w:hint="eastAsia" w:cs="Times New Roman" w:asciiTheme="minorEastAsia" w:hAnsiTheme="minorEastAsia"/>
          <w:b/>
          <w:szCs w:val="24"/>
        </w:rPr>
        <w:t>6.以上分项报价表的投标总价应当与开标一览表的投标总价一致。</w:t>
      </w:r>
    </w:p>
    <w:p w14:paraId="2EC440D5">
      <w:pPr>
        <w:snapToGrid w:val="0"/>
        <w:rPr>
          <w:rFonts w:hint="eastAsia" w:cs="Times New Roman" w:asciiTheme="minorEastAsia" w:hAnsiTheme="minorEastAsia"/>
          <w:b/>
          <w:szCs w:val="24"/>
        </w:rPr>
      </w:pPr>
      <w:r>
        <w:rPr>
          <w:rFonts w:hint="eastAsia" w:cs="Times New Roman" w:asciiTheme="minorEastAsia" w:hAnsiTheme="minorEastAsia"/>
          <w:b/>
          <w:szCs w:val="24"/>
        </w:rPr>
        <w:t>7.单价、合价和投标总价为包干价，即三者均应包含货物的价款、包装、运输、装卸、安装、调试、技术指导、培训、咨询、服务、保险、税费、检测、验收合格交付使用之前以及技术和售后服务等其他各项有关费用。</w:t>
      </w:r>
    </w:p>
    <w:p w14:paraId="285CFCE2">
      <w:pPr>
        <w:snapToGrid w:val="0"/>
        <w:rPr>
          <w:rFonts w:hint="eastAsia" w:cs="Times New Roman" w:asciiTheme="minorEastAsia" w:hAnsiTheme="minorEastAsia"/>
          <w:b/>
          <w:szCs w:val="24"/>
        </w:rPr>
      </w:pPr>
      <w:r>
        <w:rPr>
          <w:rFonts w:hint="eastAsia" w:cs="Times New Roman" w:asciiTheme="minorEastAsia" w:hAnsiTheme="minorEastAsia"/>
          <w:b/>
          <w:szCs w:val="24"/>
        </w:rPr>
        <w:t>8.所有价格应按“招标文件”中规定的货币单位填写；投标总价应为以上各分项价格之和；投标总价和项目报价表中单个采购预算条目报价均不得超过对应的财政预算限额，否则将导致投标无效。</w:t>
      </w:r>
    </w:p>
    <w:p w14:paraId="4D797C95">
      <w:pPr>
        <w:snapToGrid w:val="0"/>
        <w:rPr>
          <w:rFonts w:hint="eastAsia" w:cs="Times New Roman" w:asciiTheme="minorEastAsia" w:hAnsiTheme="minorEastAsia"/>
          <w:b/>
          <w:szCs w:val="24"/>
        </w:rPr>
      </w:pPr>
    </w:p>
    <w:p w14:paraId="240F8A58">
      <w:pPr>
        <w:snapToGrid w:val="0"/>
        <w:rPr>
          <w:rFonts w:hint="eastAsia" w:cs="Times New Roman" w:asciiTheme="minorEastAsia" w:hAnsiTheme="minorEastAsia"/>
          <w:b/>
          <w:color w:val="FF0000"/>
          <w:szCs w:val="24"/>
        </w:rPr>
      </w:pPr>
      <w:r>
        <w:rPr>
          <w:rFonts w:hint="eastAsia" w:cs="Times New Roman" w:asciiTheme="minorEastAsia" w:hAnsiTheme="minorEastAsia"/>
          <w:bCs/>
          <w:color w:val="FF0000"/>
          <w:szCs w:val="24"/>
        </w:rPr>
        <w:t>★</w:t>
      </w:r>
      <w:r>
        <w:rPr>
          <w:rFonts w:hint="eastAsia" w:cs="Times New Roman" w:asciiTheme="minorEastAsia" w:hAnsiTheme="minorEastAsia"/>
          <w:b/>
          <w:color w:val="FF0000"/>
          <w:szCs w:val="24"/>
        </w:rPr>
        <w:t>填写</w:t>
      </w:r>
      <w:r>
        <w:rPr>
          <w:rFonts w:cs="Times New Roman" w:asciiTheme="minorEastAsia" w:hAnsiTheme="minorEastAsia"/>
          <w:b/>
          <w:color w:val="FF0000"/>
          <w:szCs w:val="24"/>
        </w:rPr>
        <w:t>要求：</w:t>
      </w:r>
    </w:p>
    <w:p w14:paraId="21835707">
      <w:pPr>
        <w:snapToGrid w:val="0"/>
        <w:rPr>
          <w:rFonts w:hint="eastAsia" w:cs="Times New Roman" w:asciiTheme="minorEastAsia" w:hAnsiTheme="minorEastAsia"/>
          <w:b/>
          <w:color w:val="FF0000"/>
          <w:szCs w:val="24"/>
        </w:rPr>
      </w:pPr>
      <w:r>
        <w:rPr>
          <w:rFonts w:cs="Times New Roman" w:asciiTheme="minorEastAsia" w:hAnsiTheme="minorEastAsia"/>
          <w:b/>
          <w:color w:val="FF0000"/>
          <w:szCs w:val="24"/>
        </w:rPr>
        <w:t>1.</w:t>
      </w:r>
      <w:r>
        <w:rPr>
          <w:rFonts w:hint="eastAsia" w:cs="Times New Roman" w:asciiTheme="minorEastAsia" w:hAnsiTheme="minorEastAsia"/>
          <w:b/>
          <w:color w:val="FF0000"/>
          <w:szCs w:val="24"/>
        </w:rPr>
        <w:t>《分项报价清单》</w:t>
      </w:r>
      <w:r>
        <w:rPr>
          <w:rFonts w:cs="Times New Roman" w:asciiTheme="minorEastAsia" w:hAnsiTheme="minorEastAsia"/>
          <w:b/>
          <w:color w:val="FF0000"/>
          <w:szCs w:val="24"/>
        </w:rPr>
        <w:t>所有价格应</w:t>
      </w:r>
      <w:r>
        <w:rPr>
          <w:rFonts w:hint="eastAsia" w:cs="Times New Roman" w:asciiTheme="minorEastAsia" w:hAnsiTheme="minorEastAsia"/>
          <w:b/>
          <w:color w:val="FF0000"/>
          <w:szCs w:val="24"/>
        </w:rPr>
        <w:t>以人民币为结算单位填写</w:t>
      </w:r>
      <w:r>
        <w:rPr>
          <w:rFonts w:cs="Times New Roman" w:asciiTheme="minorEastAsia" w:hAnsiTheme="minorEastAsia"/>
          <w:b/>
          <w:color w:val="FF0000"/>
          <w:szCs w:val="24"/>
        </w:rPr>
        <w:t>；</w:t>
      </w:r>
    </w:p>
    <w:p w14:paraId="23C1286E">
      <w:pPr>
        <w:snapToGrid w:val="0"/>
        <w:rPr>
          <w:rFonts w:hint="eastAsia" w:cs="Times New Roman" w:asciiTheme="minorEastAsia" w:hAnsiTheme="minorEastAsia"/>
          <w:b/>
          <w:color w:val="FF0000"/>
          <w:szCs w:val="24"/>
        </w:rPr>
      </w:pPr>
      <w:r>
        <w:rPr>
          <w:rFonts w:cs="Times New Roman" w:asciiTheme="minorEastAsia" w:hAnsiTheme="minorEastAsia"/>
          <w:b/>
          <w:color w:val="FF0000"/>
          <w:szCs w:val="24"/>
        </w:rPr>
        <w:t>2.</w:t>
      </w:r>
      <w:r>
        <w:rPr>
          <w:rFonts w:hint="eastAsia" w:cs="Times New Roman" w:asciiTheme="minorEastAsia" w:hAnsiTheme="minorEastAsia"/>
          <w:b/>
          <w:color w:val="FF0000"/>
          <w:szCs w:val="24"/>
        </w:rPr>
        <w:t>《（一）项目报价表》</w:t>
      </w:r>
      <w:r>
        <w:rPr>
          <w:rFonts w:cs="Times New Roman" w:asciiTheme="minorEastAsia" w:hAnsiTheme="minorEastAsia"/>
          <w:b/>
          <w:color w:val="FF0000"/>
          <w:szCs w:val="24"/>
        </w:rPr>
        <w:t>可根据</w:t>
      </w:r>
      <w:r>
        <w:rPr>
          <w:rFonts w:hint="eastAsia" w:cs="Times New Roman" w:asciiTheme="minorEastAsia" w:hAnsiTheme="minorEastAsia"/>
          <w:b/>
          <w:color w:val="FF0000"/>
          <w:szCs w:val="24"/>
        </w:rPr>
        <w:t>实际需要</w:t>
      </w:r>
      <w:r>
        <w:rPr>
          <w:rFonts w:cs="Times New Roman" w:asciiTheme="minorEastAsia" w:hAnsiTheme="minorEastAsia"/>
          <w:b/>
          <w:color w:val="FF0000"/>
          <w:szCs w:val="24"/>
        </w:rPr>
        <w:t>增加</w:t>
      </w:r>
      <w:r>
        <w:rPr>
          <w:rFonts w:hint="eastAsia" w:cs="Times New Roman" w:asciiTheme="minorEastAsia" w:hAnsiTheme="minorEastAsia"/>
          <w:b/>
          <w:color w:val="FF0000"/>
          <w:szCs w:val="24"/>
        </w:rPr>
        <w:t>相关</w:t>
      </w:r>
      <w:r>
        <w:rPr>
          <w:rFonts w:cs="Times New Roman" w:asciiTheme="minorEastAsia" w:hAnsiTheme="minorEastAsia"/>
          <w:b/>
          <w:color w:val="FF0000"/>
          <w:szCs w:val="24"/>
        </w:rPr>
        <w:t>内容，但原</w:t>
      </w:r>
      <w:r>
        <w:rPr>
          <w:rFonts w:hint="eastAsia" w:cs="Times New Roman" w:asciiTheme="minorEastAsia" w:hAnsiTheme="minorEastAsia"/>
          <w:b/>
          <w:color w:val="FF0000"/>
          <w:szCs w:val="24"/>
        </w:rPr>
        <w:t>有</w:t>
      </w:r>
      <w:r>
        <w:rPr>
          <w:rFonts w:cs="Times New Roman" w:asciiTheme="minorEastAsia" w:hAnsiTheme="minorEastAsia"/>
          <w:b/>
          <w:color w:val="FF0000"/>
          <w:szCs w:val="24"/>
        </w:rPr>
        <w:t>的格式</w:t>
      </w:r>
      <w:r>
        <w:rPr>
          <w:rFonts w:hint="eastAsia" w:cs="Times New Roman" w:asciiTheme="minorEastAsia" w:hAnsiTheme="minorEastAsia"/>
          <w:b/>
          <w:color w:val="FF0000"/>
          <w:szCs w:val="24"/>
        </w:rPr>
        <w:t>内容</w:t>
      </w:r>
      <w:r>
        <w:rPr>
          <w:rFonts w:cs="Times New Roman" w:asciiTheme="minorEastAsia" w:hAnsiTheme="minorEastAsia"/>
          <w:b/>
          <w:color w:val="FF0000"/>
          <w:szCs w:val="24"/>
        </w:rPr>
        <w:t>不得删减；</w:t>
      </w:r>
    </w:p>
    <w:p w14:paraId="361BBE56">
      <w:pPr>
        <w:snapToGrid w:val="0"/>
        <w:rPr>
          <w:rFonts w:hint="eastAsia" w:cs="Times New Roman" w:asciiTheme="minorEastAsia" w:hAnsiTheme="minorEastAsia"/>
          <w:b/>
          <w:color w:val="FF0000"/>
          <w:szCs w:val="24"/>
        </w:rPr>
      </w:pPr>
      <w:r>
        <w:rPr>
          <w:rFonts w:hint="eastAsia" w:cs="Times New Roman" w:asciiTheme="minorEastAsia" w:hAnsiTheme="minorEastAsia"/>
          <w:b/>
          <w:color w:val="FF0000"/>
          <w:szCs w:val="24"/>
        </w:rPr>
        <w:t>3.</w:t>
      </w:r>
      <w:r>
        <w:rPr>
          <w:rFonts w:cs="Times New Roman" w:asciiTheme="minorEastAsia" w:hAnsiTheme="minorEastAsia"/>
          <w:b/>
          <w:color w:val="FF0000"/>
          <w:szCs w:val="24"/>
        </w:rPr>
        <w:t>如</w:t>
      </w:r>
      <w:r>
        <w:rPr>
          <w:rFonts w:hint="eastAsia" w:cs="Times New Roman" w:asciiTheme="minorEastAsia" w:hAnsiTheme="minorEastAsia"/>
          <w:b/>
          <w:color w:val="FF0000"/>
          <w:szCs w:val="24"/>
        </w:rPr>
        <w:t>未提供《（一）项目报价表》或者</w:t>
      </w:r>
      <w:r>
        <w:rPr>
          <w:rFonts w:cs="Times New Roman" w:asciiTheme="minorEastAsia" w:hAnsiTheme="minorEastAsia"/>
          <w:b/>
          <w:color w:val="FF0000"/>
          <w:szCs w:val="24"/>
        </w:rPr>
        <w:t>不按</w:t>
      </w:r>
      <w:r>
        <w:rPr>
          <w:rFonts w:hint="eastAsia" w:cs="Times New Roman" w:asciiTheme="minorEastAsia" w:hAnsiTheme="minorEastAsia"/>
          <w:b/>
          <w:color w:val="FF0000"/>
          <w:szCs w:val="24"/>
        </w:rPr>
        <w:t>《第三章 用户需求书：二、货物需求明细》</w:t>
      </w:r>
      <w:r>
        <w:rPr>
          <w:rFonts w:cs="Times New Roman" w:asciiTheme="minorEastAsia" w:hAnsiTheme="minorEastAsia"/>
          <w:b/>
          <w:color w:val="FF0000"/>
          <w:szCs w:val="24"/>
        </w:rPr>
        <w:t>要求填报、漏报或错报</w:t>
      </w:r>
      <w:r>
        <w:rPr>
          <w:rFonts w:hint="eastAsia" w:cs="Times New Roman" w:asciiTheme="minorEastAsia" w:hAnsiTheme="minorEastAsia"/>
          <w:b/>
          <w:color w:val="FF0000"/>
          <w:szCs w:val="24"/>
        </w:rPr>
        <w:t>的将作</w:t>
      </w:r>
      <w:r>
        <w:rPr>
          <w:rFonts w:cs="Times New Roman" w:asciiTheme="minorEastAsia" w:hAnsiTheme="minorEastAsia"/>
          <w:b/>
          <w:color w:val="FF0000"/>
          <w:szCs w:val="24"/>
        </w:rPr>
        <w:t>投标无效处理。</w:t>
      </w:r>
    </w:p>
    <w:p w14:paraId="07A33367">
      <w:pPr>
        <w:tabs>
          <w:tab w:val="left" w:pos="720"/>
        </w:tabs>
        <w:rPr>
          <w:rFonts w:ascii="Times New Roman" w:hAnsi="Times New Roman" w:eastAsia="宋体" w:cs="Times New Roman"/>
          <w:b/>
          <w:sz w:val="24"/>
          <w:szCs w:val="24"/>
        </w:rPr>
      </w:pPr>
    </w:p>
    <w:p w14:paraId="40148FC6">
      <w:pPr>
        <w:tabs>
          <w:tab w:val="left" w:pos="720"/>
        </w:tabs>
        <w:rPr>
          <w:rFonts w:ascii="Times New Roman" w:hAnsi="Times New Roman" w:eastAsia="宋体" w:cs="Times New Roman"/>
          <w:b/>
          <w:color w:val="FF0000"/>
          <w:sz w:val="24"/>
          <w:szCs w:val="24"/>
        </w:rPr>
      </w:pPr>
      <w:r>
        <w:rPr>
          <w:rFonts w:hint="eastAsia" w:ascii="Times New Roman" w:hAnsi="Times New Roman" w:eastAsia="宋体" w:cs="Times New Roman"/>
          <w:b/>
          <w:color w:val="FF0000"/>
          <w:sz w:val="24"/>
          <w:szCs w:val="24"/>
        </w:rPr>
        <w:t>（二）核心产品品牌</w:t>
      </w:r>
    </w:p>
    <w:p w14:paraId="206BDA83">
      <w:pPr>
        <w:rPr>
          <w:rFonts w:ascii="Times New Roman" w:hAnsi="Times New Roman" w:eastAsia="宋体" w:cs="Times New Roman"/>
          <w:color w:val="FF0000"/>
          <w:sz w:val="24"/>
          <w:szCs w:val="24"/>
        </w:rPr>
      </w:pPr>
      <w:r>
        <w:rPr>
          <w:rFonts w:hint="eastAsia" w:ascii="Times New Roman" w:hAnsi="Times New Roman" w:eastAsia="宋体" w:cs="Times New Roman"/>
          <w:b/>
          <w:color w:val="FF0000"/>
          <w:sz w:val="24"/>
          <w:szCs w:val="24"/>
        </w:rPr>
        <w:t>我单位所投核心产品的品牌为：</w:t>
      </w:r>
      <w:r>
        <w:rPr>
          <w:rFonts w:hint="eastAsia" w:ascii="Times New Roman" w:hAnsi="Times New Roman" w:eastAsia="宋体" w:cs="Times New Roman"/>
          <w:color w:val="FF0000"/>
          <w:sz w:val="24"/>
          <w:szCs w:val="24"/>
          <w:u w:val="single"/>
        </w:rPr>
        <w:t xml:space="preserve">               </w:t>
      </w:r>
      <w:r>
        <w:rPr>
          <w:rFonts w:hint="eastAsia" w:ascii="Times New Roman" w:hAnsi="Times New Roman" w:eastAsia="宋体" w:cs="Times New Roman"/>
          <w:color w:val="FF0000"/>
          <w:sz w:val="24"/>
          <w:szCs w:val="24"/>
        </w:rPr>
        <w:t>。</w:t>
      </w:r>
    </w:p>
    <w:p w14:paraId="6E538AC7">
      <w:pPr>
        <w:rPr>
          <w:rFonts w:ascii="Arial" w:hAnsi="Arial" w:eastAsia="宋体" w:cs="Times New Roman"/>
          <w:b/>
          <w:szCs w:val="24"/>
        </w:rPr>
      </w:pPr>
      <w:r>
        <w:rPr>
          <w:rFonts w:hint="eastAsia" w:ascii="宋体" w:hAnsi="宋体" w:eastAsia="宋体" w:cs="Times New Roman"/>
          <w:color w:val="FF0000"/>
          <w:sz w:val="24"/>
          <w:szCs w:val="24"/>
        </w:rPr>
        <w:t>备注：单一产品采购项目，核心产品即为该单一产品。</w:t>
      </w:r>
    </w:p>
    <w:p w14:paraId="3BC182A8">
      <w:pPr>
        <w:spacing w:after="78" w:afterLines="25" w:line="300" w:lineRule="auto"/>
        <w:rPr>
          <w:rFonts w:ascii="Arial" w:hAnsi="Arial" w:eastAsia="宋体" w:cs="Times New Roman"/>
          <w:b/>
          <w:szCs w:val="24"/>
        </w:rPr>
      </w:pPr>
    </w:p>
    <w:p w14:paraId="14226DED">
      <w:pPr>
        <w:spacing w:after="78" w:afterLines="25" w:line="300" w:lineRule="auto"/>
        <w:rPr>
          <w:rFonts w:ascii="Arial" w:hAnsi="Arial" w:eastAsia="宋体" w:cs="Times New Roman"/>
          <w:b/>
          <w:sz w:val="24"/>
          <w:szCs w:val="24"/>
        </w:rPr>
      </w:pPr>
      <w:r>
        <w:rPr>
          <w:rFonts w:hint="eastAsia" w:ascii="Arial" w:hAnsi="Arial" w:eastAsia="宋体" w:cs="Times New Roman"/>
          <w:b/>
          <w:sz w:val="24"/>
          <w:szCs w:val="24"/>
        </w:rPr>
        <w:t>（三）可选配件报价清单（非项目需求要求的必备配件，此部分不包括在总报价内）</w:t>
      </w:r>
    </w:p>
    <w:p w14:paraId="210B178F">
      <w:pPr>
        <w:ind w:firstLine="422" w:firstLineChars="200"/>
        <w:rPr>
          <w:rFonts w:hint="eastAsia" w:hAnsi="宋体"/>
          <w:b/>
          <w:bCs/>
          <w:szCs w:val="21"/>
        </w:rPr>
      </w:pPr>
      <w:r>
        <w:rPr>
          <w:rFonts w:hint="eastAsia" w:hAnsi="宋体"/>
          <w:b/>
          <w:bCs/>
          <w:szCs w:val="21"/>
        </w:rPr>
        <w:t>注：格式可以参照《（一）项目报价表》表格，并提供相应的品牌/规格/型号、原产地、制造商信息（没有品牌、型号的，用“定制”描述即可）、单价等详细信息</w:t>
      </w:r>
    </w:p>
    <w:p w14:paraId="2A60EFD6">
      <w:pPr>
        <w:ind w:firstLine="422" w:firstLineChars="200"/>
        <w:rPr>
          <w:rFonts w:hint="eastAsia" w:hAnsi="宋体"/>
          <w:b/>
          <w:bCs/>
          <w:szCs w:val="21"/>
        </w:rPr>
      </w:pPr>
    </w:p>
    <w:p w14:paraId="642C295E">
      <w:pPr>
        <w:spacing w:after="78" w:afterLines="25" w:line="300" w:lineRule="auto"/>
        <w:rPr>
          <w:rFonts w:ascii="Arial" w:hAnsi="Arial" w:eastAsia="宋体" w:cs="Times New Roman"/>
          <w:b/>
          <w:sz w:val="24"/>
          <w:szCs w:val="24"/>
        </w:rPr>
      </w:pPr>
      <w:r>
        <w:rPr>
          <w:rFonts w:hint="eastAsia" w:ascii="Arial" w:hAnsi="Arial" w:eastAsia="宋体" w:cs="Times New Roman"/>
          <w:b/>
          <w:sz w:val="24"/>
          <w:szCs w:val="24"/>
        </w:rPr>
        <w:t>（四）供应商认为需要涉及的其他内容报价清单</w:t>
      </w:r>
    </w:p>
    <w:p w14:paraId="4D2814AF">
      <w:pPr>
        <w:wordWrap w:val="0"/>
        <w:spacing w:after="78" w:afterLines="25" w:line="300" w:lineRule="auto"/>
        <w:ind w:right="420" w:firstLine="4410" w:firstLineChars="2100"/>
        <w:jc w:val="right"/>
        <w:rPr>
          <w:rFonts w:ascii="Arial" w:hAnsi="Arial" w:eastAsia="宋体" w:cs="Times New Roman"/>
          <w:szCs w:val="21"/>
        </w:rPr>
      </w:pPr>
      <w:r>
        <w:rPr>
          <w:rFonts w:hint="eastAsia" w:ascii="Arial" w:hAnsi="Arial" w:eastAsia="宋体" w:cs="Times New Roman"/>
          <w:szCs w:val="21"/>
        </w:rPr>
        <w:t xml:space="preserve">   </w:t>
      </w:r>
    </w:p>
    <w:p w14:paraId="26722C4D">
      <w:pPr>
        <w:widowControl/>
        <w:jc w:val="left"/>
        <w:rPr>
          <w:rFonts w:ascii="Arial" w:hAnsi="Arial" w:eastAsia="宋体" w:cs="Times New Roman"/>
          <w:b/>
          <w:sz w:val="24"/>
          <w:szCs w:val="24"/>
        </w:rPr>
      </w:pPr>
    </w:p>
    <w:p w14:paraId="5A5538EC">
      <w:pPr>
        <w:rPr>
          <w:rFonts w:hint="eastAsia" w:ascii="宋体" w:hAnsi="宋体"/>
        </w:rPr>
      </w:pPr>
      <w:r>
        <w:t xml:space="preserve">       </w:t>
      </w:r>
      <w:bookmarkStart w:id="36" w:name="_Hlk72260501"/>
      <w:r>
        <w:t xml:space="preserve">  </w:t>
      </w:r>
      <w:r>
        <w:rPr>
          <w:rFonts w:hint="eastAsia" w:ascii="宋体" w:hAnsi="宋体"/>
        </w:rPr>
        <w:t>………………</w:t>
      </w:r>
      <w:bookmarkEnd w:id="36"/>
      <w:r>
        <w:rPr>
          <w:rFonts w:hint="eastAsia" w:ascii="宋体" w:hAnsi="宋体"/>
        </w:rPr>
        <w:t>（根据项目具体情况增加与综合实力评审相关的节点）………………</w:t>
      </w:r>
    </w:p>
    <w:p w14:paraId="69FF4C74">
      <w:pPr>
        <w:jc w:val="both"/>
        <w:rPr>
          <w:b/>
          <w:bCs/>
          <w:color w:val="FF0000"/>
          <w:sz w:val="24"/>
        </w:rPr>
      </w:pPr>
    </w:p>
    <w:p w14:paraId="63596FBC">
      <w:pPr>
        <w:jc w:val="center"/>
        <w:rPr>
          <w:rFonts w:hint="eastAsia" w:ascii="宋体" w:hAnsi="宋体"/>
        </w:rPr>
      </w:pPr>
      <w:r>
        <w:rPr>
          <w:rFonts w:hint="eastAsia"/>
          <w:b/>
          <w:bCs/>
          <w:color w:val="FF0000"/>
          <w:sz w:val="24"/>
        </w:rPr>
        <w:t>★</w:t>
      </w:r>
      <w:r>
        <w:rPr>
          <w:rFonts w:hint="eastAsia" w:ascii="黑体" w:eastAsia="黑体"/>
          <w:sz w:val="24"/>
          <w:szCs w:val="24"/>
        </w:rPr>
        <w:t>五、供应商基本情况表</w:t>
      </w:r>
    </w:p>
    <w:tbl>
      <w:tblPr>
        <w:tblStyle w:val="1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644"/>
        <w:gridCol w:w="1528"/>
        <w:gridCol w:w="903"/>
        <w:gridCol w:w="751"/>
        <w:gridCol w:w="1145"/>
        <w:gridCol w:w="1428"/>
        <w:gridCol w:w="1420"/>
      </w:tblGrid>
      <w:tr w14:paraId="16526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pct"/>
            <w:gridSpan w:val="2"/>
            <w:noWrap w:val="0"/>
            <w:vAlign w:val="center"/>
          </w:tcPr>
          <w:p w14:paraId="399AC10E">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投标（响应）供应商</w:t>
            </w:r>
          </w:p>
        </w:tc>
        <w:tc>
          <w:tcPr>
            <w:tcW w:w="1427" w:type="pct"/>
            <w:gridSpan w:val="2"/>
            <w:noWrap w:val="0"/>
            <w:vAlign w:val="center"/>
          </w:tcPr>
          <w:p w14:paraId="12B88CA6">
            <w:pPr>
              <w:jc w:val="center"/>
              <w:rPr>
                <w:rFonts w:hint="eastAsia" w:ascii="宋体" w:hAnsi="宋体" w:eastAsia="宋体" w:cs="宋体"/>
                <w:color w:val="auto"/>
                <w:sz w:val="21"/>
                <w:szCs w:val="21"/>
                <w:vertAlign w:val="baseline"/>
                <w:lang w:val="en-US" w:eastAsia="zh-CN"/>
              </w:rPr>
            </w:pPr>
          </w:p>
        </w:tc>
        <w:tc>
          <w:tcPr>
            <w:tcW w:w="1113" w:type="pct"/>
            <w:gridSpan w:val="2"/>
            <w:noWrap w:val="0"/>
            <w:vAlign w:val="center"/>
          </w:tcPr>
          <w:p w14:paraId="000A6E43">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项目名称及编号</w:t>
            </w:r>
          </w:p>
        </w:tc>
        <w:tc>
          <w:tcPr>
            <w:tcW w:w="1669" w:type="pct"/>
            <w:gridSpan w:val="2"/>
            <w:noWrap w:val="0"/>
            <w:vAlign w:val="center"/>
          </w:tcPr>
          <w:p w14:paraId="21C23601">
            <w:pPr>
              <w:jc w:val="center"/>
              <w:rPr>
                <w:rFonts w:hint="eastAsia" w:ascii="宋体" w:hAnsi="宋体" w:eastAsia="宋体" w:cs="宋体"/>
                <w:color w:val="auto"/>
                <w:sz w:val="21"/>
                <w:szCs w:val="21"/>
                <w:vertAlign w:val="baseline"/>
                <w:lang w:val="en-US" w:eastAsia="zh-CN"/>
              </w:rPr>
            </w:pPr>
          </w:p>
        </w:tc>
      </w:tr>
      <w:tr w14:paraId="41EFB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noWrap w:val="0"/>
            <w:vAlign w:val="center"/>
          </w:tcPr>
          <w:p w14:paraId="7A3D52C7">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投标（响应）供应商相关人员情况</w:t>
            </w:r>
          </w:p>
        </w:tc>
      </w:tr>
      <w:tr w14:paraId="3DAFE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bottom w:val="single" w:color="auto" w:sz="4" w:space="0"/>
            </w:tcBorders>
            <w:noWrap w:val="0"/>
            <w:vAlign w:val="center"/>
          </w:tcPr>
          <w:p w14:paraId="223944F4">
            <w:pPr>
              <w:snapToGrid w:val="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序号</w:t>
            </w:r>
          </w:p>
        </w:tc>
        <w:tc>
          <w:tcPr>
            <w:tcW w:w="1275" w:type="pct"/>
            <w:gridSpan w:val="2"/>
            <w:tcBorders>
              <w:bottom w:val="single" w:color="auto" w:sz="4" w:space="0"/>
            </w:tcBorders>
            <w:noWrap w:val="0"/>
            <w:vAlign w:val="center"/>
          </w:tcPr>
          <w:p w14:paraId="3AF5366A">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职务</w:t>
            </w:r>
          </w:p>
        </w:tc>
        <w:tc>
          <w:tcPr>
            <w:tcW w:w="529" w:type="pct"/>
            <w:tcBorders>
              <w:bottom w:val="single" w:color="auto" w:sz="4" w:space="0"/>
            </w:tcBorders>
            <w:noWrap w:val="0"/>
            <w:vAlign w:val="center"/>
          </w:tcPr>
          <w:p w14:paraId="63A41192">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姓名</w:t>
            </w:r>
          </w:p>
        </w:tc>
        <w:tc>
          <w:tcPr>
            <w:tcW w:w="1113" w:type="pct"/>
            <w:gridSpan w:val="2"/>
            <w:tcBorders>
              <w:bottom w:val="single" w:color="auto" w:sz="4" w:space="0"/>
            </w:tcBorders>
            <w:noWrap w:val="0"/>
            <w:vAlign w:val="center"/>
          </w:tcPr>
          <w:p w14:paraId="1E32801C">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身份证号码</w:t>
            </w:r>
          </w:p>
        </w:tc>
        <w:tc>
          <w:tcPr>
            <w:tcW w:w="838" w:type="pct"/>
            <w:tcBorders>
              <w:bottom w:val="single" w:color="auto" w:sz="4" w:space="0"/>
            </w:tcBorders>
            <w:noWrap w:val="0"/>
            <w:vAlign w:val="center"/>
          </w:tcPr>
          <w:p w14:paraId="4995E275">
            <w:pPr>
              <w:snapToGrid w:val="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劳动合同</w:t>
            </w:r>
          </w:p>
          <w:p w14:paraId="1A5D8E24">
            <w:pPr>
              <w:snapToGrid w:val="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关系单位</w:t>
            </w:r>
          </w:p>
        </w:tc>
        <w:tc>
          <w:tcPr>
            <w:tcW w:w="830" w:type="pct"/>
            <w:tcBorders>
              <w:bottom w:val="single" w:color="auto" w:sz="4" w:space="0"/>
            </w:tcBorders>
            <w:noWrap w:val="0"/>
            <w:vAlign w:val="center"/>
          </w:tcPr>
          <w:p w14:paraId="41C59BD5">
            <w:pPr>
              <w:snapToGrid w:val="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缴纳社会</w:t>
            </w:r>
          </w:p>
          <w:p w14:paraId="1DC3B09E">
            <w:pPr>
              <w:snapToGrid w:val="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保险单位</w:t>
            </w:r>
          </w:p>
        </w:tc>
      </w:tr>
      <w:tr w14:paraId="25A3B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top w:val="single" w:color="auto" w:sz="4" w:space="0"/>
              <w:left w:val="single" w:color="auto" w:sz="4" w:space="0"/>
              <w:bottom w:val="single" w:color="auto" w:sz="4" w:space="0"/>
              <w:right w:val="single" w:color="auto" w:sz="4" w:space="0"/>
            </w:tcBorders>
            <w:noWrap w:val="0"/>
            <w:vAlign w:val="center"/>
          </w:tcPr>
          <w:p w14:paraId="139046CE">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w:t>
            </w:r>
          </w:p>
        </w:tc>
        <w:tc>
          <w:tcPr>
            <w:tcW w:w="1275" w:type="pct"/>
            <w:gridSpan w:val="2"/>
            <w:tcBorders>
              <w:top w:val="single" w:color="auto" w:sz="4" w:space="0"/>
              <w:left w:val="single" w:color="auto" w:sz="4" w:space="0"/>
              <w:bottom w:val="single" w:color="auto" w:sz="4" w:space="0"/>
              <w:right w:val="single" w:color="auto" w:sz="4" w:space="0"/>
            </w:tcBorders>
            <w:noWrap w:val="0"/>
            <w:vAlign w:val="center"/>
          </w:tcPr>
          <w:p w14:paraId="0543D1E9">
            <w:pPr>
              <w:spacing w:line="4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lang w:val="en-US" w:eastAsia="zh-CN"/>
              </w:rPr>
              <w:t>/单位负责人/主要经营负责人</w:t>
            </w:r>
          </w:p>
        </w:tc>
        <w:tc>
          <w:tcPr>
            <w:tcW w:w="529" w:type="pct"/>
            <w:tcBorders>
              <w:top w:val="single" w:color="auto" w:sz="4" w:space="0"/>
              <w:left w:val="single" w:color="auto" w:sz="4" w:space="0"/>
              <w:bottom w:val="single" w:color="auto" w:sz="4" w:space="0"/>
              <w:right w:val="single" w:color="auto" w:sz="4" w:space="0"/>
            </w:tcBorders>
            <w:noWrap w:val="0"/>
            <w:vAlign w:val="center"/>
          </w:tcPr>
          <w:p w14:paraId="1939A189">
            <w:pPr>
              <w:jc w:val="center"/>
              <w:rPr>
                <w:rFonts w:hint="eastAsia" w:ascii="宋体" w:hAnsi="宋体" w:eastAsia="宋体" w:cs="宋体"/>
                <w:color w:val="auto"/>
                <w:sz w:val="21"/>
                <w:szCs w:val="21"/>
                <w:vertAlign w:val="baseline"/>
                <w:lang w:val="en-US" w:eastAsia="zh-CN"/>
              </w:rPr>
            </w:pPr>
          </w:p>
        </w:tc>
        <w:tc>
          <w:tcPr>
            <w:tcW w:w="1113" w:type="pct"/>
            <w:gridSpan w:val="2"/>
            <w:tcBorders>
              <w:top w:val="single" w:color="auto" w:sz="4" w:space="0"/>
              <w:left w:val="single" w:color="auto" w:sz="4" w:space="0"/>
              <w:bottom w:val="single" w:color="auto" w:sz="4" w:space="0"/>
              <w:right w:val="single" w:color="auto" w:sz="4" w:space="0"/>
            </w:tcBorders>
            <w:noWrap w:val="0"/>
            <w:vAlign w:val="center"/>
          </w:tcPr>
          <w:p w14:paraId="62DF8EF1">
            <w:pPr>
              <w:jc w:val="center"/>
              <w:rPr>
                <w:rFonts w:hint="eastAsia" w:ascii="宋体" w:hAnsi="宋体" w:eastAsia="宋体" w:cs="宋体"/>
                <w:color w:val="auto"/>
                <w:sz w:val="21"/>
                <w:szCs w:val="21"/>
                <w:vertAlign w:val="baseline"/>
                <w:lang w:val="en-US" w:eastAsia="zh-CN"/>
              </w:rPr>
            </w:pPr>
          </w:p>
        </w:tc>
        <w:tc>
          <w:tcPr>
            <w:tcW w:w="838" w:type="pct"/>
            <w:tcBorders>
              <w:top w:val="single" w:color="auto" w:sz="4" w:space="0"/>
              <w:left w:val="single" w:color="auto" w:sz="4" w:space="0"/>
              <w:bottom w:val="single" w:color="auto" w:sz="4" w:space="0"/>
              <w:right w:val="single" w:color="auto" w:sz="4" w:space="0"/>
            </w:tcBorders>
            <w:noWrap w:val="0"/>
            <w:vAlign w:val="center"/>
          </w:tcPr>
          <w:p w14:paraId="12C8B360">
            <w:pPr>
              <w:jc w:val="center"/>
              <w:rPr>
                <w:rFonts w:hint="eastAsia" w:ascii="宋体" w:hAnsi="宋体" w:eastAsia="宋体" w:cs="宋体"/>
                <w:color w:val="auto"/>
                <w:sz w:val="21"/>
                <w:szCs w:val="21"/>
                <w:vertAlign w:val="baseline"/>
                <w:lang w:val="en-US" w:eastAsia="zh-CN"/>
              </w:rPr>
            </w:pPr>
          </w:p>
        </w:tc>
        <w:tc>
          <w:tcPr>
            <w:tcW w:w="830" w:type="pct"/>
            <w:tcBorders>
              <w:top w:val="single" w:color="auto" w:sz="4" w:space="0"/>
              <w:left w:val="single" w:color="auto" w:sz="4" w:space="0"/>
              <w:bottom w:val="single" w:color="auto" w:sz="4" w:space="0"/>
              <w:right w:val="single" w:color="auto" w:sz="4" w:space="0"/>
            </w:tcBorders>
            <w:noWrap w:val="0"/>
            <w:vAlign w:val="center"/>
          </w:tcPr>
          <w:p w14:paraId="7F5301E1">
            <w:pPr>
              <w:jc w:val="center"/>
              <w:rPr>
                <w:rFonts w:hint="eastAsia" w:ascii="宋体" w:hAnsi="宋体" w:eastAsia="宋体" w:cs="宋体"/>
                <w:color w:val="auto"/>
                <w:sz w:val="21"/>
                <w:szCs w:val="21"/>
                <w:vertAlign w:val="baseline"/>
                <w:lang w:val="en-US" w:eastAsia="zh-CN"/>
              </w:rPr>
            </w:pPr>
          </w:p>
        </w:tc>
      </w:tr>
      <w:tr w14:paraId="5FC8B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top w:val="single" w:color="auto" w:sz="4" w:space="0"/>
              <w:left w:val="single" w:color="auto" w:sz="4" w:space="0"/>
              <w:bottom w:val="single" w:color="auto" w:sz="4" w:space="0"/>
              <w:right w:val="single" w:color="auto" w:sz="4" w:space="0"/>
            </w:tcBorders>
            <w:noWrap w:val="0"/>
            <w:vAlign w:val="center"/>
          </w:tcPr>
          <w:p w14:paraId="537EB1E2">
            <w:pPr>
              <w:spacing w:beforeLines="0" w:afterLines="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rPr>
              <w:t>2</w:t>
            </w:r>
          </w:p>
        </w:tc>
        <w:tc>
          <w:tcPr>
            <w:tcW w:w="1275" w:type="pct"/>
            <w:gridSpan w:val="2"/>
            <w:tcBorders>
              <w:top w:val="single" w:color="auto" w:sz="4" w:space="0"/>
              <w:left w:val="single" w:color="auto" w:sz="4" w:space="0"/>
              <w:bottom w:val="single" w:color="auto" w:sz="4" w:space="0"/>
              <w:right w:val="single" w:color="auto" w:sz="4" w:space="0"/>
            </w:tcBorders>
            <w:noWrap w:val="0"/>
            <w:vAlign w:val="center"/>
          </w:tcPr>
          <w:p w14:paraId="1F86A1CF">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highlight w:val="none"/>
              </w:rPr>
              <w:t>项目投标授权代表人</w:t>
            </w:r>
          </w:p>
        </w:tc>
        <w:tc>
          <w:tcPr>
            <w:tcW w:w="529" w:type="pct"/>
            <w:tcBorders>
              <w:top w:val="single" w:color="auto" w:sz="4" w:space="0"/>
              <w:left w:val="single" w:color="auto" w:sz="4" w:space="0"/>
              <w:bottom w:val="single" w:color="auto" w:sz="4" w:space="0"/>
              <w:right w:val="single" w:color="auto" w:sz="4" w:space="0"/>
            </w:tcBorders>
            <w:noWrap w:val="0"/>
            <w:vAlign w:val="center"/>
          </w:tcPr>
          <w:p w14:paraId="4FB10C5D">
            <w:pPr>
              <w:jc w:val="center"/>
              <w:rPr>
                <w:rFonts w:hint="eastAsia" w:ascii="宋体" w:hAnsi="宋体" w:eastAsia="宋体" w:cs="宋体"/>
                <w:color w:val="auto"/>
                <w:sz w:val="21"/>
                <w:szCs w:val="21"/>
                <w:vertAlign w:val="baseline"/>
                <w:lang w:val="en-US" w:eastAsia="zh-CN"/>
              </w:rPr>
            </w:pPr>
          </w:p>
        </w:tc>
        <w:tc>
          <w:tcPr>
            <w:tcW w:w="1113" w:type="pct"/>
            <w:gridSpan w:val="2"/>
            <w:tcBorders>
              <w:top w:val="single" w:color="auto" w:sz="4" w:space="0"/>
              <w:left w:val="single" w:color="auto" w:sz="4" w:space="0"/>
              <w:bottom w:val="single" w:color="auto" w:sz="4" w:space="0"/>
              <w:right w:val="single" w:color="auto" w:sz="4" w:space="0"/>
            </w:tcBorders>
            <w:noWrap w:val="0"/>
            <w:vAlign w:val="center"/>
          </w:tcPr>
          <w:p w14:paraId="5B2215C1">
            <w:pPr>
              <w:jc w:val="center"/>
              <w:rPr>
                <w:rFonts w:hint="eastAsia" w:ascii="宋体" w:hAnsi="宋体" w:eastAsia="宋体" w:cs="宋体"/>
                <w:color w:val="auto"/>
                <w:sz w:val="21"/>
                <w:szCs w:val="21"/>
                <w:vertAlign w:val="baseline"/>
                <w:lang w:val="en-US" w:eastAsia="zh-CN"/>
              </w:rPr>
            </w:pPr>
          </w:p>
        </w:tc>
        <w:tc>
          <w:tcPr>
            <w:tcW w:w="838" w:type="pct"/>
            <w:tcBorders>
              <w:top w:val="single" w:color="auto" w:sz="4" w:space="0"/>
              <w:left w:val="single" w:color="auto" w:sz="4" w:space="0"/>
              <w:bottom w:val="single" w:color="auto" w:sz="4" w:space="0"/>
              <w:right w:val="single" w:color="auto" w:sz="4" w:space="0"/>
            </w:tcBorders>
            <w:noWrap w:val="0"/>
            <w:vAlign w:val="center"/>
          </w:tcPr>
          <w:p w14:paraId="5ABC19B9">
            <w:pPr>
              <w:jc w:val="center"/>
              <w:rPr>
                <w:rFonts w:hint="eastAsia" w:ascii="宋体" w:hAnsi="宋体" w:eastAsia="宋体" w:cs="宋体"/>
                <w:color w:val="auto"/>
                <w:sz w:val="21"/>
                <w:szCs w:val="21"/>
                <w:vertAlign w:val="baseline"/>
                <w:lang w:val="en-US" w:eastAsia="zh-CN"/>
              </w:rPr>
            </w:pPr>
          </w:p>
        </w:tc>
        <w:tc>
          <w:tcPr>
            <w:tcW w:w="830" w:type="pct"/>
            <w:tcBorders>
              <w:top w:val="single" w:color="auto" w:sz="4" w:space="0"/>
              <w:left w:val="single" w:color="auto" w:sz="4" w:space="0"/>
              <w:bottom w:val="single" w:color="auto" w:sz="4" w:space="0"/>
              <w:right w:val="single" w:color="auto" w:sz="4" w:space="0"/>
            </w:tcBorders>
            <w:noWrap w:val="0"/>
            <w:vAlign w:val="center"/>
          </w:tcPr>
          <w:p w14:paraId="3CA92375">
            <w:pPr>
              <w:jc w:val="center"/>
              <w:rPr>
                <w:rFonts w:hint="eastAsia" w:ascii="宋体" w:hAnsi="宋体" w:eastAsia="宋体" w:cs="宋体"/>
                <w:color w:val="auto"/>
                <w:sz w:val="21"/>
                <w:szCs w:val="21"/>
                <w:vertAlign w:val="baseline"/>
                <w:lang w:val="en-US" w:eastAsia="zh-CN"/>
              </w:rPr>
            </w:pPr>
          </w:p>
        </w:tc>
      </w:tr>
      <w:tr w14:paraId="7EE6F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top w:val="single" w:color="auto" w:sz="4" w:space="0"/>
            </w:tcBorders>
            <w:noWrap w:val="0"/>
            <w:vAlign w:val="center"/>
          </w:tcPr>
          <w:p w14:paraId="70D05E99">
            <w:pPr>
              <w:spacing w:beforeLines="0" w:afterLines="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lang w:bidi="ar"/>
              </w:rPr>
              <w:t>3</w:t>
            </w:r>
          </w:p>
        </w:tc>
        <w:tc>
          <w:tcPr>
            <w:tcW w:w="1275" w:type="pct"/>
            <w:gridSpan w:val="2"/>
            <w:tcBorders>
              <w:top w:val="single" w:color="auto" w:sz="4" w:space="0"/>
            </w:tcBorders>
            <w:noWrap w:val="0"/>
            <w:vAlign w:val="center"/>
          </w:tcPr>
          <w:p w14:paraId="0AD5F98E">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highlight w:val="none"/>
              </w:rPr>
              <w:t>项目负责人</w:t>
            </w:r>
          </w:p>
        </w:tc>
        <w:tc>
          <w:tcPr>
            <w:tcW w:w="529" w:type="pct"/>
            <w:tcBorders>
              <w:top w:val="single" w:color="auto" w:sz="4" w:space="0"/>
            </w:tcBorders>
            <w:noWrap w:val="0"/>
            <w:vAlign w:val="center"/>
          </w:tcPr>
          <w:p w14:paraId="4D56F312">
            <w:pPr>
              <w:jc w:val="center"/>
              <w:rPr>
                <w:rFonts w:hint="eastAsia" w:ascii="宋体" w:hAnsi="宋体" w:eastAsia="宋体" w:cs="宋体"/>
                <w:color w:val="auto"/>
                <w:sz w:val="21"/>
                <w:szCs w:val="21"/>
                <w:vertAlign w:val="baseline"/>
                <w:lang w:val="en-US" w:eastAsia="zh-CN"/>
              </w:rPr>
            </w:pPr>
          </w:p>
        </w:tc>
        <w:tc>
          <w:tcPr>
            <w:tcW w:w="1113" w:type="pct"/>
            <w:gridSpan w:val="2"/>
            <w:tcBorders>
              <w:top w:val="single" w:color="auto" w:sz="4" w:space="0"/>
            </w:tcBorders>
            <w:noWrap w:val="0"/>
            <w:vAlign w:val="center"/>
          </w:tcPr>
          <w:p w14:paraId="2AB918A5">
            <w:pPr>
              <w:jc w:val="center"/>
              <w:rPr>
                <w:rFonts w:hint="eastAsia" w:ascii="宋体" w:hAnsi="宋体" w:eastAsia="宋体" w:cs="宋体"/>
                <w:color w:val="auto"/>
                <w:sz w:val="21"/>
                <w:szCs w:val="21"/>
                <w:vertAlign w:val="baseline"/>
                <w:lang w:val="en-US" w:eastAsia="zh-CN"/>
              </w:rPr>
            </w:pPr>
          </w:p>
        </w:tc>
        <w:tc>
          <w:tcPr>
            <w:tcW w:w="838" w:type="pct"/>
            <w:tcBorders>
              <w:top w:val="single" w:color="auto" w:sz="4" w:space="0"/>
            </w:tcBorders>
            <w:noWrap w:val="0"/>
            <w:vAlign w:val="center"/>
          </w:tcPr>
          <w:p w14:paraId="2CD85F5D">
            <w:pPr>
              <w:jc w:val="center"/>
              <w:rPr>
                <w:rFonts w:hint="eastAsia" w:ascii="宋体" w:hAnsi="宋体" w:eastAsia="宋体" w:cs="宋体"/>
                <w:color w:val="auto"/>
                <w:sz w:val="21"/>
                <w:szCs w:val="21"/>
                <w:vertAlign w:val="baseline"/>
                <w:lang w:val="en-US" w:eastAsia="zh-CN"/>
              </w:rPr>
            </w:pPr>
          </w:p>
        </w:tc>
        <w:tc>
          <w:tcPr>
            <w:tcW w:w="830" w:type="pct"/>
            <w:tcBorders>
              <w:top w:val="single" w:color="auto" w:sz="4" w:space="0"/>
            </w:tcBorders>
            <w:noWrap w:val="0"/>
            <w:vAlign w:val="center"/>
          </w:tcPr>
          <w:p w14:paraId="4B0069DA">
            <w:pPr>
              <w:jc w:val="center"/>
              <w:rPr>
                <w:rFonts w:hint="eastAsia" w:ascii="宋体" w:hAnsi="宋体" w:eastAsia="宋体" w:cs="宋体"/>
                <w:color w:val="auto"/>
                <w:sz w:val="21"/>
                <w:szCs w:val="21"/>
                <w:vertAlign w:val="baseline"/>
                <w:lang w:val="en-US" w:eastAsia="zh-CN"/>
              </w:rPr>
            </w:pPr>
          </w:p>
        </w:tc>
      </w:tr>
      <w:tr w14:paraId="160E2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noWrap w:val="0"/>
            <w:vAlign w:val="center"/>
          </w:tcPr>
          <w:p w14:paraId="181CFC2E">
            <w:pPr>
              <w:spacing w:beforeLines="0" w:afterLines="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lang w:bidi="ar"/>
              </w:rPr>
              <w:t>4</w:t>
            </w:r>
          </w:p>
        </w:tc>
        <w:tc>
          <w:tcPr>
            <w:tcW w:w="1275" w:type="pct"/>
            <w:gridSpan w:val="2"/>
            <w:noWrap w:val="0"/>
            <w:vAlign w:val="center"/>
          </w:tcPr>
          <w:p w14:paraId="4E132464">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highlight w:val="none"/>
              </w:rPr>
              <w:t>主要技术人员</w:t>
            </w:r>
          </w:p>
        </w:tc>
        <w:tc>
          <w:tcPr>
            <w:tcW w:w="529" w:type="pct"/>
            <w:noWrap w:val="0"/>
            <w:vAlign w:val="center"/>
          </w:tcPr>
          <w:p w14:paraId="6AFEA95A">
            <w:pPr>
              <w:jc w:val="center"/>
              <w:rPr>
                <w:rFonts w:hint="eastAsia" w:ascii="宋体" w:hAnsi="宋体" w:eastAsia="宋体" w:cs="宋体"/>
                <w:color w:val="auto"/>
                <w:sz w:val="21"/>
                <w:szCs w:val="21"/>
                <w:vertAlign w:val="baseline"/>
                <w:lang w:val="en-US" w:eastAsia="zh-CN"/>
              </w:rPr>
            </w:pPr>
          </w:p>
        </w:tc>
        <w:tc>
          <w:tcPr>
            <w:tcW w:w="1113" w:type="pct"/>
            <w:gridSpan w:val="2"/>
            <w:noWrap w:val="0"/>
            <w:vAlign w:val="center"/>
          </w:tcPr>
          <w:p w14:paraId="52EC93B1">
            <w:pPr>
              <w:jc w:val="center"/>
              <w:rPr>
                <w:rFonts w:hint="eastAsia" w:ascii="宋体" w:hAnsi="宋体" w:eastAsia="宋体" w:cs="宋体"/>
                <w:color w:val="auto"/>
                <w:sz w:val="21"/>
                <w:szCs w:val="21"/>
                <w:vertAlign w:val="baseline"/>
                <w:lang w:val="en-US" w:eastAsia="zh-CN"/>
              </w:rPr>
            </w:pPr>
          </w:p>
        </w:tc>
        <w:tc>
          <w:tcPr>
            <w:tcW w:w="838" w:type="pct"/>
            <w:noWrap w:val="0"/>
            <w:vAlign w:val="center"/>
          </w:tcPr>
          <w:p w14:paraId="3F667373">
            <w:pPr>
              <w:jc w:val="center"/>
              <w:rPr>
                <w:rFonts w:hint="eastAsia" w:ascii="宋体" w:hAnsi="宋体" w:eastAsia="宋体" w:cs="宋体"/>
                <w:color w:val="auto"/>
                <w:sz w:val="21"/>
                <w:szCs w:val="21"/>
                <w:vertAlign w:val="baseline"/>
                <w:lang w:val="en-US" w:eastAsia="zh-CN"/>
              </w:rPr>
            </w:pPr>
          </w:p>
        </w:tc>
        <w:tc>
          <w:tcPr>
            <w:tcW w:w="830" w:type="pct"/>
            <w:noWrap w:val="0"/>
            <w:vAlign w:val="center"/>
          </w:tcPr>
          <w:p w14:paraId="338772CD">
            <w:pPr>
              <w:jc w:val="center"/>
              <w:rPr>
                <w:rFonts w:hint="eastAsia" w:ascii="宋体" w:hAnsi="宋体" w:eastAsia="宋体" w:cs="宋体"/>
                <w:color w:val="auto"/>
                <w:sz w:val="21"/>
                <w:szCs w:val="21"/>
                <w:vertAlign w:val="baseline"/>
                <w:lang w:val="en-US" w:eastAsia="zh-CN"/>
              </w:rPr>
            </w:pPr>
          </w:p>
        </w:tc>
      </w:tr>
      <w:tr w14:paraId="5EADF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noWrap w:val="0"/>
            <w:vAlign w:val="center"/>
          </w:tcPr>
          <w:p w14:paraId="70A44B6D">
            <w:pPr>
              <w:spacing w:beforeLines="0" w:afterLines="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lang w:bidi="ar"/>
              </w:rPr>
              <w:t>5</w:t>
            </w:r>
          </w:p>
        </w:tc>
        <w:tc>
          <w:tcPr>
            <w:tcW w:w="1275" w:type="pct"/>
            <w:gridSpan w:val="2"/>
            <w:noWrap w:val="0"/>
            <w:vAlign w:val="center"/>
          </w:tcPr>
          <w:p w14:paraId="48BF2C28">
            <w:pPr>
              <w:widowControl w:val="0"/>
              <w:snapToGrid w:val="0"/>
              <w:ind w:left="0" w:leftChars="0"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highlight w:val="none"/>
                <w:lang w:val="en-US" w:eastAsia="zh-CN" w:bidi="ar-SA"/>
              </w:rPr>
              <w:t>投标文件编制人员</w:t>
            </w:r>
          </w:p>
        </w:tc>
        <w:tc>
          <w:tcPr>
            <w:tcW w:w="529" w:type="pct"/>
            <w:noWrap w:val="0"/>
            <w:vAlign w:val="center"/>
          </w:tcPr>
          <w:p w14:paraId="73A3274C">
            <w:pPr>
              <w:jc w:val="center"/>
              <w:rPr>
                <w:rFonts w:hint="eastAsia" w:ascii="宋体" w:hAnsi="宋体" w:eastAsia="宋体" w:cs="宋体"/>
                <w:color w:val="auto"/>
                <w:sz w:val="21"/>
                <w:szCs w:val="21"/>
                <w:vertAlign w:val="baseline"/>
                <w:lang w:val="en-US" w:eastAsia="zh-CN"/>
              </w:rPr>
            </w:pPr>
          </w:p>
        </w:tc>
        <w:tc>
          <w:tcPr>
            <w:tcW w:w="1113" w:type="pct"/>
            <w:gridSpan w:val="2"/>
            <w:noWrap w:val="0"/>
            <w:vAlign w:val="center"/>
          </w:tcPr>
          <w:p w14:paraId="1FCE352C">
            <w:pPr>
              <w:jc w:val="center"/>
              <w:rPr>
                <w:rFonts w:hint="eastAsia" w:ascii="宋体" w:hAnsi="宋体" w:eastAsia="宋体" w:cs="宋体"/>
                <w:color w:val="auto"/>
                <w:sz w:val="21"/>
                <w:szCs w:val="21"/>
                <w:vertAlign w:val="baseline"/>
                <w:lang w:val="en-US" w:eastAsia="zh-CN"/>
              </w:rPr>
            </w:pPr>
          </w:p>
        </w:tc>
        <w:tc>
          <w:tcPr>
            <w:tcW w:w="838" w:type="pct"/>
            <w:noWrap w:val="0"/>
            <w:vAlign w:val="center"/>
          </w:tcPr>
          <w:p w14:paraId="47C7FA4C">
            <w:pPr>
              <w:jc w:val="center"/>
              <w:rPr>
                <w:rFonts w:hint="eastAsia" w:ascii="宋体" w:hAnsi="宋体" w:eastAsia="宋体" w:cs="宋体"/>
                <w:color w:val="auto"/>
                <w:sz w:val="21"/>
                <w:szCs w:val="21"/>
                <w:vertAlign w:val="baseline"/>
                <w:lang w:val="en-US" w:eastAsia="zh-CN"/>
              </w:rPr>
            </w:pPr>
          </w:p>
        </w:tc>
        <w:tc>
          <w:tcPr>
            <w:tcW w:w="830" w:type="pct"/>
            <w:noWrap w:val="0"/>
            <w:vAlign w:val="center"/>
          </w:tcPr>
          <w:p w14:paraId="435A6E07">
            <w:pPr>
              <w:jc w:val="center"/>
              <w:rPr>
                <w:rFonts w:hint="eastAsia" w:ascii="宋体" w:hAnsi="宋体" w:eastAsia="宋体" w:cs="宋体"/>
                <w:color w:val="auto"/>
                <w:sz w:val="21"/>
                <w:szCs w:val="21"/>
                <w:vertAlign w:val="baseline"/>
                <w:lang w:val="en-US" w:eastAsia="zh-CN"/>
              </w:rPr>
            </w:pPr>
          </w:p>
        </w:tc>
      </w:tr>
      <w:tr w14:paraId="1C6C2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noWrap w:val="0"/>
            <w:vAlign w:val="center"/>
          </w:tcPr>
          <w:p w14:paraId="5408CC54">
            <w:pPr>
              <w:jc w:val="left"/>
              <w:rPr>
                <w:rFonts w:hint="eastAsia" w:ascii="宋体" w:hAnsi="宋体" w:eastAsia="宋体" w:cs="宋体"/>
                <w:color w:val="auto"/>
                <w:sz w:val="21"/>
                <w:szCs w:val="21"/>
                <w:vertAlign w:val="baseline"/>
                <w:lang w:val="en-US" w:eastAsia="zh-CN"/>
              </w:rPr>
            </w:pPr>
            <w:r>
              <w:rPr>
                <w:rFonts w:hint="eastAsia" w:ascii="宋体" w:hAnsi="宋体" w:eastAsia="宋体" w:cs="宋体"/>
                <w:b/>
                <w:bCs/>
                <w:color w:val="auto"/>
                <w:sz w:val="21"/>
                <w:szCs w:val="21"/>
                <w:highlight w:val="none"/>
                <w:vertAlign w:val="baseline"/>
                <w:lang w:val="en-US" w:eastAsia="zh-CN"/>
              </w:rPr>
              <w:t>说明：同一职务有多人担任（如主要技术人员），应分行填写。</w:t>
            </w:r>
          </w:p>
        </w:tc>
      </w:tr>
      <w:tr w14:paraId="5ABDA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00" w:type="pct"/>
            <w:gridSpan w:val="8"/>
            <w:noWrap w:val="0"/>
            <w:vAlign w:val="center"/>
          </w:tcPr>
          <w:p w14:paraId="395A0165">
            <w:pPr>
              <w:jc w:val="center"/>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投标（响应）供应商关联关系情况</w:t>
            </w:r>
          </w:p>
        </w:tc>
      </w:tr>
      <w:tr w14:paraId="001AF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bottom w:val="single" w:color="auto" w:sz="4" w:space="0"/>
            </w:tcBorders>
            <w:noWrap w:val="0"/>
            <w:vAlign w:val="center"/>
          </w:tcPr>
          <w:p w14:paraId="62D55EF3">
            <w:pPr>
              <w:jc w:val="center"/>
              <w:rPr>
                <w:rFonts w:hint="eastAsia" w:ascii="宋体" w:hAnsi="宋体" w:eastAsia="宋体" w:cs="宋体"/>
                <w:color w:val="auto"/>
                <w:sz w:val="21"/>
                <w:szCs w:val="21"/>
                <w:vertAlign w:val="baseline"/>
                <w:lang w:val="en-US" w:eastAsia="zh-CN" w:bidi="ar"/>
              </w:rPr>
            </w:pPr>
            <w:r>
              <w:rPr>
                <w:rFonts w:hint="eastAsia" w:ascii="宋体" w:hAnsi="宋体" w:eastAsia="宋体" w:cs="宋体"/>
                <w:color w:val="auto"/>
                <w:sz w:val="21"/>
                <w:szCs w:val="21"/>
                <w:vertAlign w:val="baseline"/>
                <w:lang w:val="en-US" w:eastAsia="zh-CN" w:bidi="ar"/>
              </w:rPr>
              <w:t>序号</w:t>
            </w:r>
          </w:p>
        </w:tc>
        <w:tc>
          <w:tcPr>
            <w:tcW w:w="1275" w:type="pct"/>
            <w:gridSpan w:val="2"/>
            <w:tcBorders>
              <w:bottom w:val="single" w:color="auto" w:sz="4" w:space="0"/>
            </w:tcBorders>
            <w:noWrap w:val="0"/>
            <w:vAlign w:val="center"/>
          </w:tcPr>
          <w:p w14:paraId="5B8DD3E1">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vertAlign w:val="baseline"/>
                <w:lang w:val="en-US" w:eastAsia="zh-CN"/>
              </w:rPr>
              <w:t>关联关系类型</w:t>
            </w:r>
          </w:p>
        </w:tc>
        <w:tc>
          <w:tcPr>
            <w:tcW w:w="971" w:type="pct"/>
            <w:gridSpan w:val="2"/>
            <w:tcBorders>
              <w:bottom w:val="single" w:color="auto" w:sz="4" w:space="0"/>
            </w:tcBorders>
            <w:noWrap w:val="0"/>
            <w:vAlign w:val="center"/>
          </w:tcPr>
          <w:p w14:paraId="303377F2">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关联主体名称</w:t>
            </w:r>
          </w:p>
        </w:tc>
        <w:tc>
          <w:tcPr>
            <w:tcW w:w="2340" w:type="pct"/>
            <w:gridSpan w:val="3"/>
            <w:tcBorders>
              <w:bottom w:val="single" w:color="auto" w:sz="4" w:space="0"/>
            </w:tcBorders>
            <w:noWrap w:val="0"/>
            <w:vAlign w:val="center"/>
          </w:tcPr>
          <w:p w14:paraId="1FE782A4">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备注</w:t>
            </w:r>
          </w:p>
        </w:tc>
      </w:tr>
      <w:tr w14:paraId="050FA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top w:val="single" w:color="auto" w:sz="4" w:space="0"/>
              <w:left w:val="single" w:color="auto" w:sz="4" w:space="0"/>
              <w:bottom w:val="single" w:color="auto" w:sz="4" w:space="0"/>
              <w:right w:val="single" w:color="auto" w:sz="4" w:space="0"/>
            </w:tcBorders>
            <w:noWrap w:val="0"/>
            <w:vAlign w:val="center"/>
          </w:tcPr>
          <w:p w14:paraId="22DB20D7">
            <w:pPr>
              <w:jc w:val="center"/>
              <w:rPr>
                <w:rFonts w:hint="eastAsia" w:ascii="宋体" w:hAnsi="宋体" w:eastAsia="宋体" w:cs="宋体"/>
                <w:color w:val="auto"/>
                <w:sz w:val="21"/>
                <w:szCs w:val="21"/>
                <w:vertAlign w:val="baseline"/>
                <w:lang w:val="en-US" w:eastAsia="zh-CN" w:bidi="ar"/>
              </w:rPr>
            </w:pPr>
            <w:r>
              <w:rPr>
                <w:rFonts w:hint="eastAsia" w:ascii="宋体" w:hAnsi="宋体" w:eastAsia="宋体" w:cs="宋体"/>
                <w:color w:val="auto"/>
                <w:sz w:val="21"/>
                <w:szCs w:val="21"/>
                <w:vertAlign w:val="baseline"/>
                <w:lang w:val="en-US" w:eastAsia="zh-CN" w:bidi="ar"/>
              </w:rPr>
              <w:t>1</w:t>
            </w:r>
          </w:p>
        </w:tc>
        <w:tc>
          <w:tcPr>
            <w:tcW w:w="1275" w:type="pct"/>
            <w:gridSpan w:val="2"/>
            <w:tcBorders>
              <w:top w:val="single" w:color="auto" w:sz="4" w:space="0"/>
              <w:left w:val="single" w:color="auto" w:sz="4" w:space="0"/>
              <w:bottom w:val="single" w:color="auto" w:sz="4" w:space="0"/>
              <w:right w:val="single" w:color="auto" w:sz="4" w:space="0"/>
            </w:tcBorders>
            <w:noWrap w:val="0"/>
            <w:vAlign w:val="center"/>
          </w:tcPr>
          <w:p w14:paraId="68C011B7">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控股股东</w:t>
            </w:r>
          </w:p>
        </w:tc>
        <w:tc>
          <w:tcPr>
            <w:tcW w:w="971" w:type="pct"/>
            <w:gridSpan w:val="2"/>
            <w:tcBorders>
              <w:top w:val="single" w:color="auto" w:sz="4" w:space="0"/>
              <w:left w:val="single" w:color="auto" w:sz="4" w:space="0"/>
              <w:bottom w:val="single" w:color="auto" w:sz="4" w:space="0"/>
              <w:right w:val="single" w:color="auto" w:sz="4" w:space="0"/>
            </w:tcBorders>
            <w:noWrap w:val="0"/>
            <w:vAlign w:val="center"/>
          </w:tcPr>
          <w:p w14:paraId="6EE6D458">
            <w:pPr>
              <w:jc w:val="center"/>
              <w:rPr>
                <w:rFonts w:hint="eastAsia" w:ascii="宋体" w:hAnsi="宋体" w:eastAsia="宋体" w:cs="宋体"/>
                <w:color w:val="auto"/>
                <w:sz w:val="21"/>
                <w:szCs w:val="21"/>
                <w:highlight w:val="none"/>
                <w:vertAlign w:val="baseline"/>
                <w:lang w:val="en-US" w:eastAsia="zh-CN"/>
              </w:rPr>
            </w:pPr>
          </w:p>
        </w:tc>
        <w:tc>
          <w:tcPr>
            <w:tcW w:w="2340" w:type="pct"/>
            <w:gridSpan w:val="3"/>
            <w:tcBorders>
              <w:top w:val="single" w:color="auto" w:sz="4" w:space="0"/>
              <w:left w:val="single" w:color="auto" w:sz="4" w:space="0"/>
              <w:bottom w:val="single" w:color="auto" w:sz="4" w:space="0"/>
              <w:right w:val="single" w:color="auto" w:sz="4" w:space="0"/>
            </w:tcBorders>
            <w:noWrap w:val="0"/>
            <w:vAlign w:val="center"/>
          </w:tcPr>
          <w:p w14:paraId="713B4223">
            <w:pPr>
              <w:snapToGrid w:val="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14:paraId="15120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411" w:type="pct"/>
            <w:tcBorders>
              <w:top w:val="single" w:color="auto" w:sz="4" w:space="0"/>
              <w:left w:val="single" w:color="auto" w:sz="4" w:space="0"/>
              <w:bottom w:val="single" w:color="auto" w:sz="4" w:space="0"/>
              <w:right w:val="single" w:color="auto" w:sz="4" w:space="0"/>
            </w:tcBorders>
            <w:noWrap w:val="0"/>
            <w:vAlign w:val="center"/>
          </w:tcPr>
          <w:p w14:paraId="7EC67F6C">
            <w:pPr>
              <w:jc w:val="center"/>
              <w:rPr>
                <w:rFonts w:hint="eastAsia" w:ascii="宋体" w:hAnsi="宋体" w:eastAsia="宋体" w:cs="宋体"/>
                <w:color w:val="auto"/>
                <w:sz w:val="21"/>
                <w:szCs w:val="21"/>
                <w:vertAlign w:val="baseline"/>
                <w:lang w:val="en-US" w:eastAsia="zh-CN" w:bidi="ar"/>
              </w:rPr>
            </w:pPr>
            <w:r>
              <w:rPr>
                <w:rFonts w:hint="eastAsia" w:ascii="宋体" w:hAnsi="宋体" w:eastAsia="宋体" w:cs="宋体"/>
                <w:color w:val="auto"/>
                <w:sz w:val="21"/>
                <w:szCs w:val="21"/>
                <w:vertAlign w:val="baseline"/>
                <w:lang w:val="en-US" w:eastAsia="zh-CN" w:bidi="ar"/>
              </w:rPr>
              <w:t>2</w:t>
            </w:r>
          </w:p>
        </w:tc>
        <w:tc>
          <w:tcPr>
            <w:tcW w:w="1275" w:type="pct"/>
            <w:gridSpan w:val="2"/>
            <w:tcBorders>
              <w:top w:val="single" w:color="auto" w:sz="4" w:space="0"/>
              <w:left w:val="single" w:color="auto" w:sz="4" w:space="0"/>
              <w:bottom w:val="single" w:color="auto" w:sz="4" w:space="0"/>
              <w:right w:val="single" w:color="auto" w:sz="4" w:space="0"/>
            </w:tcBorders>
            <w:noWrap w:val="0"/>
            <w:vAlign w:val="center"/>
          </w:tcPr>
          <w:p w14:paraId="25C87F59">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管理关系</w:t>
            </w:r>
          </w:p>
        </w:tc>
        <w:tc>
          <w:tcPr>
            <w:tcW w:w="971" w:type="pct"/>
            <w:gridSpan w:val="2"/>
            <w:tcBorders>
              <w:top w:val="single" w:color="auto" w:sz="4" w:space="0"/>
              <w:left w:val="single" w:color="auto" w:sz="4" w:space="0"/>
              <w:bottom w:val="single" w:color="auto" w:sz="4" w:space="0"/>
              <w:right w:val="single" w:color="auto" w:sz="4" w:space="0"/>
            </w:tcBorders>
            <w:noWrap w:val="0"/>
            <w:vAlign w:val="center"/>
          </w:tcPr>
          <w:p w14:paraId="7AF881C8">
            <w:pPr>
              <w:jc w:val="center"/>
              <w:rPr>
                <w:rFonts w:hint="eastAsia" w:ascii="宋体" w:hAnsi="宋体" w:eastAsia="宋体" w:cs="宋体"/>
                <w:color w:val="auto"/>
                <w:sz w:val="21"/>
                <w:szCs w:val="21"/>
                <w:highlight w:val="none"/>
                <w:vertAlign w:val="baseline"/>
                <w:lang w:val="en-US" w:eastAsia="zh-CN"/>
              </w:rPr>
            </w:pPr>
          </w:p>
        </w:tc>
        <w:tc>
          <w:tcPr>
            <w:tcW w:w="2340" w:type="pct"/>
            <w:gridSpan w:val="3"/>
            <w:tcBorders>
              <w:top w:val="single" w:color="auto" w:sz="4" w:space="0"/>
              <w:left w:val="single" w:color="auto" w:sz="4" w:space="0"/>
              <w:bottom w:val="single" w:color="auto" w:sz="4" w:space="0"/>
              <w:right w:val="single" w:color="auto" w:sz="4" w:space="0"/>
            </w:tcBorders>
            <w:noWrap w:val="0"/>
            <w:vAlign w:val="center"/>
          </w:tcPr>
          <w:p w14:paraId="20191253">
            <w:pPr>
              <w:snapToGrid w:val="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指对投标（响应）供应商不具有出资持股关系，但对其存在管理关系的主体。</w:t>
            </w:r>
          </w:p>
        </w:tc>
      </w:tr>
      <w:tr w14:paraId="1AFB0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000" w:type="pct"/>
            <w:gridSpan w:val="8"/>
            <w:tcBorders>
              <w:top w:val="single" w:color="auto" w:sz="4" w:space="0"/>
              <w:left w:val="single" w:color="auto" w:sz="4" w:space="0"/>
              <w:bottom w:val="single" w:color="auto" w:sz="4" w:space="0"/>
              <w:right w:val="single" w:color="auto" w:sz="4" w:space="0"/>
            </w:tcBorders>
            <w:noWrap w:val="0"/>
            <w:vAlign w:val="center"/>
          </w:tcPr>
          <w:p w14:paraId="2194E140">
            <w:pPr>
              <w:snapToGrid w:val="0"/>
              <w:jc w:val="left"/>
              <w:rPr>
                <w:rFonts w:hint="default" w:ascii="宋体" w:hAnsi="宋体" w:eastAsia="宋体" w:cs="宋体"/>
                <w:b/>
                <w:bCs/>
                <w:color w:val="FF0000"/>
                <w:sz w:val="21"/>
                <w:szCs w:val="21"/>
                <w:highlight w:val="none"/>
                <w:vertAlign w:val="baseline"/>
                <w:lang w:val="en-US" w:eastAsia="zh-CN"/>
              </w:rPr>
            </w:pPr>
            <w:r>
              <w:rPr>
                <w:rFonts w:hint="default" w:ascii="宋体" w:hAnsi="宋体" w:eastAsia="宋体" w:cs="宋体"/>
                <w:b/>
                <w:bCs/>
                <w:color w:val="FF0000"/>
                <w:sz w:val="21"/>
                <w:szCs w:val="21"/>
                <w:highlight w:val="none"/>
                <w:vertAlign w:val="baseline"/>
                <w:lang w:val="en-US" w:eastAsia="zh-CN"/>
              </w:rPr>
              <w:t>说明：1.同一关联关系类型有多个主体的，应分行填写。</w:t>
            </w:r>
          </w:p>
          <w:p w14:paraId="783EBEC2">
            <w:pPr>
              <w:snapToGrid w:val="0"/>
              <w:jc w:val="left"/>
              <w:rPr>
                <w:rFonts w:hint="eastAsia" w:ascii="宋体" w:hAnsi="宋体" w:eastAsia="宋体" w:cs="宋体"/>
                <w:color w:val="auto"/>
                <w:sz w:val="21"/>
                <w:szCs w:val="21"/>
                <w:highlight w:val="none"/>
                <w:vertAlign w:val="baseline"/>
                <w:lang w:val="en-US" w:eastAsia="zh-CN"/>
              </w:rPr>
            </w:pPr>
            <w:r>
              <w:rPr>
                <w:rFonts w:hint="default" w:ascii="宋体" w:hAnsi="宋体" w:eastAsia="宋体" w:cs="宋体"/>
                <w:b/>
                <w:bCs/>
                <w:color w:val="FF0000"/>
                <w:sz w:val="21"/>
                <w:szCs w:val="21"/>
                <w:highlight w:val="none"/>
                <w:vertAlign w:val="baseline"/>
                <w:lang w:val="en-US" w:eastAsia="zh-CN"/>
              </w:rPr>
              <w:t>2.《供应商基本情况表》为必填内容，若存在异常且不符合要求的供应商资格性审查将不予通过，作投标无效处理。</w:t>
            </w:r>
          </w:p>
        </w:tc>
      </w:tr>
    </w:tbl>
    <w:p w14:paraId="7CC70DC0">
      <w:pPr>
        <w:autoSpaceDE w:val="0"/>
        <w:autoSpaceDN w:val="0"/>
        <w:adjustRightInd w:val="0"/>
        <w:snapToGrid w:val="0"/>
        <w:jc w:val="left"/>
        <w:rPr>
          <w:rFonts w:ascii="Arial" w:hAnsi="Arial" w:eastAsia="宋体" w:cs="Times New Roman"/>
          <w:b/>
          <w:sz w:val="24"/>
          <w:szCs w:val="24"/>
        </w:rPr>
      </w:pPr>
    </w:p>
    <w:p w14:paraId="7C5C05F3">
      <w:pPr>
        <w:widowControl/>
        <w:jc w:val="center"/>
        <w:rPr>
          <w:rFonts w:ascii="Arial" w:hAnsi="Arial" w:eastAsia="宋体" w:cs="Times New Roman"/>
          <w:b/>
          <w:sz w:val="24"/>
          <w:szCs w:val="24"/>
        </w:rPr>
      </w:pPr>
    </w:p>
    <w:p w14:paraId="15F52C37">
      <w:pPr>
        <w:widowControl/>
        <w:jc w:val="center"/>
        <w:rPr>
          <w:rFonts w:ascii="Arial" w:hAnsi="Arial" w:eastAsia="宋体" w:cs="Times New Roman"/>
          <w:b/>
          <w:sz w:val="24"/>
          <w:szCs w:val="24"/>
        </w:rPr>
      </w:pPr>
      <w:r>
        <w:rPr>
          <w:rFonts w:hint="eastAsia" w:ascii="Arial" w:hAnsi="Arial" w:eastAsia="宋体" w:cs="Times New Roman"/>
          <w:b/>
          <w:sz w:val="24"/>
          <w:szCs w:val="24"/>
        </w:rPr>
        <w:t>（本章未提供的招标要求的其他文件格式由供应商自拟）</w:t>
      </w:r>
    </w:p>
    <w:p w14:paraId="72425D2E">
      <w:pPr>
        <w:widowControl/>
        <w:jc w:val="center"/>
        <w:rPr>
          <w:rFonts w:ascii="Arial" w:hAnsi="Arial" w:eastAsia="宋体" w:cs="Times New Roman"/>
          <w:szCs w:val="24"/>
        </w:rPr>
      </w:pPr>
      <w:r>
        <w:rPr>
          <w:rFonts w:ascii="Arial" w:hAnsi="Arial" w:eastAsia="宋体" w:cs="Times New Roman"/>
          <w:szCs w:val="24"/>
        </w:rPr>
        <w:br w:type="page"/>
      </w:r>
    </w:p>
    <w:p w14:paraId="52A0C55B">
      <w:pPr>
        <w:spacing w:after="78" w:afterLines="25" w:line="300" w:lineRule="auto"/>
        <w:outlineLvl w:val="2"/>
        <w:rPr>
          <w:rFonts w:ascii="Arial" w:hAnsi="Arial" w:eastAsia="宋体" w:cs="Times New Roman"/>
          <w:b/>
          <w:color w:val="FF0000"/>
          <w:sz w:val="32"/>
          <w:szCs w:val="32"/>
        </w:rPr>
      </w:pPr>
      <w:r>
        <w:rPr>
          <w:rFonts w:hint="eastAsia" w:ascii="Arial" w:hAnsi="Arial" w:eastAsia="宋体" w:cs="Times New Roman"/>
          <w:b/>
          <w:color w:val="FF0000"/>
          <w:sz w:val="32"/>
          <w:szCs w:val="32"/>
        </w:rPr>
        <w:t>（二）投标文件附件</w:t>
      </w:r>
    </w:p>
    <w:p w14:paraId="005DEF0D">
      <w:pPr>
        <w:pStyle w:val="4"/>
        <w:jc w:val="center"/>
        <w:rPr>
          <w:rFonts w:hint="eastAsia" w:ascii="黑体" w:eastAsia="黑体"/>
          <w:b w:val="0"/>
          <w:sz w:val="24"/>
        </w:rPr>
      </w:pPr>
      <w:r>
        <w:rPr>
          <w:rFonts w:hint="eastAsia" w:ascii="黑体" w:eastAsia="黑体"/>
          <w:b w:val="0"/>
          <w:sz w:val="24"/>
        </w:rPr>
        <w:t>一、</w:t>
      </w:r>
      <w:bookmarkStart w:id="37" w:name="_Hlk72092499"/>
      <w:r>
        <w:rPr>
          <w:rFonts w:hint="eastAsia" w:ascii="黑体" w:eastAsia="黑体"/>
          <w:b w:val="0"/>
          <w:sz w:val="24"/>
        </w:rPr>
        <w:t>法定代表人（负责人）证明书</w:t>
      </w:r>
      <w:bookmarkEnd w:id="37"/>
    </w:p>
    <w:p w14:paraId="2054457A">
      <w:pPr>
        <w:rPr>
          <w:sz w:val="24"/>
        </w:rPr>
      </w:pPr>
    </w:p>
    <w:p w14:paraId="47268DEE">
      <w:pPr>
        <w:spacing w:line="360" w:lineRule="auto"/>
        <w:ind w:firstLine="420" w:firstLineChars="200"/>
        <w:rPr>
          <w:rFonts w:eastAsia="宋体"/>
          <w:szCs w:val="21"/>
        </w:rPr>
      </w:pPr>
      <w:r>
        <w:rPr>
          <w:rFonts w:hint="eastAsia"/>
          <w:szCs w:val="21"/>
          <w:u w:val="single"/>
        </w:rPr>
        <w:t xml:space="preserve">                 </w:t>
      </w:r>
      <w:r>
        <w:rPr>
          <w:rFonts w:hint="eastAsia"/>
          <w:szCs w:val="21"/>
        </w:rPr>
        <w:t>（姓名），现任我单位</w:t>
      </w:r>
      <w:r>
        <w:rPr>
          <w:rFonts w:hint="eastAsia"/>
          <w:szCs w:val="21"/>
          <w:u w:val="single"/>
        </w:rPr>
        <w:t xml:space="preserve">             </w:t>
      </w:r>
      <w:r>
        <w:rPr>
          <w:rFonts w:hint="eastAsia"/>
          <w:szCs w:val="21"/>
        </w:rPr>
        <w:t>职务，为法定代表人（负责人），身份证件号为：</w:t>
      </w:r>
      <w:r>
        <w:rPr>
          <w:rFonts w:hint="eastAsia"/>
          <w:szCs w:val="21"/>
          <w:u w:val="single"/>
        </w:rPr>
        <w:t xml:space="preserve">                                     </w:t>
      </w:r>
      <w:r>
        <w:rPr>
          <w:rFonts w:hint="eastAsia"/>
          <w:szCs w:val="21"/>
        </w:rPr>
        <w:t>，联系电话：</w:t>
      </w:r>
      <w:r>
        <w:rPr>
          <w:rFonts w:hint="eastAsia"/>
          <w:szCs w:val="21"/>
          <w:u w:val="single"/>
        </w:rPr>
        <w:t xml:space="preserve">                </w:t>
      </w:r>
      <w:r>
        <w:rPr>
          <w:rFonts w:hint="eastAsia"/>
          <w:szCs w:val="21"/>
        </w:rPr>
        <w:t>。</w:t>
      </w:r>
    </w:p>
    <w:p w14:paraId="0A6B1ADB">
      <w:pPr>
        <w:spacing w:line="360" w:lineRule="auto"/>
        <w:ind w:firstLine="420" w:firstLineChars="200"/>
        <w:rPr>
          <w:szCs w:val="21"/>
        </w:rPr>
      </w:pPr>
      <w:r>
        <w:rPr>
          <w:rFonts w:hint="eastAsia"/>
          <w:szCs w:val="21"/>
        </w:rPr>
        <w:t>特此证明。</w:t>
      </w:r>
    </w:p>
    <w:p w14:paraId="460436D4">
      <w:pPr>
        <w:spacing w:line="360" w:lineRule="auto"/>
        <w:ind w:firstLine="420" w:firstLineChars="200"/>
        <w:rPr>
          <w:szCs w:val="21"/>
        </w:rPr>
      </w:pPr>
      <w:r>
        <w:rPr>
          <w:rFonts w:hint="eastAsia"/>
          <w:szCs w:val="21"/>
        </w:rPr>
        <w:t>说明：1、法定代表人为投标人（企业事业单位、国家机关、社会团体）的主要行政负责人。</w:t>
      </w:r>
    </w:p>
    <w:p w14:paraId="2A21D311">
      <w:pPr>
        <w:numPr>
          <w:ilvl w:val="0"/>
          <w:numId w:val="6"/>
        </w:numPr>
        <w:spacing w:line="360" w:lineRule="auto"/>
        <w:ind w:firstLine="420" w:firstLineChars="200"/>
        <w:rPr>
          <w:szCs w:val="21"/>
        </w:rPr>
      </w:pPr>
      <w:r>
        <w:rPr>
          <w:rFonts w:hint="eastAsia"/>
          <w:szCs w:val="21"/>
          <w:lang w:eastAsia="zh-Hans"/>
        </w:rPr>
        <w:t>本证明书要供法定代表人（负责人）</w:t>
      </w:r>
      <w:r>
        <w:rPr>
          <w:rFonts w:hint="eastAsia"/>
          <w:szCs w:val="21"/>
        </w:rPr>
        <w:t>相关身份证明文件：身份证扫描件（正反两面）；港澳台居民可提供来往通行证扫描件；非中国国籍管辖范围人员，可提供公安部门认可的身份证明材料扫描件。</w:t>
      </w:r>
    </w:p>
    <w:p w14:paraId="767DEE15">
      <w:pPr>
        <w:numPr>
          <w:ilvl w:val="0"/>
          <w:numId w:val="6"/>
        </w:numPr>
        <w:spacing w:line="360" w:lineRule="auto"/>
        <w:ind w:firstLine="420" w:firstLineChars="200"/>
        <w:rPr>
          <w:szCs w:val="21"/>
        </w:rPr>
      </w:pPr>
      <w:r>
        <w:rPr>
          <w:rFonts w:hint="eastAsia"/>
          <w:szCs w:val="21"/>
          <w:lang w:eastAsia="zh-Hans"/>
        </w:rPr>
        <w:t>本项目投标授权代表为法定代表人（负责人）的，无需提供</w:t>
      </w:r>
      <w:r>
        <w:rPr>
          <w:rFonts w:hint="eastAsia"/>
          <w:szCs w:val="21"/>
        </w:rPr>
        <w:t>《投标文件签署授权委托书》</w:t>
      </w:r>
      <w:r>
        <w:rPr>
          <w:rFonts w:hint="eastAsia"/>
          <w:szCs w:val="21"/>
          <w:lang w:eastAsia="zh-Hans"/>
        </w:rPr>
        <w:t>。</w:t>
      </w:r>
    </w:p>
    <w:p w14:paraId="2DE09848">
      <w:pPr>
        <w:numPr>
          <w:ilvl w:val="0"/>
          <w:numId w:val="6"/>
        </w:numPr>
        <w:spacing w:line="360" w:lineRule="auto"/>
        <w:ind w:firstLine="420" w:firstLineChars="200"/>
        <w:rPr>
          <w:szCs w:val="21"/>
        </w:rPr>
      </w:pPr>
      <w:r>
        <w:rPr>
          <w:rFonts w:hint="eastAsia"/>
          <w:szCs w:val="21"/>
        </w:rPr>
        <w:t>内容必须填写真实、清楚，涂改无效，不得转让、买卖。</w:t>
      </w:r>
    </w:p>
    <w:tbl>
      <w:tblPr>
        <w:tblStyle w:val="18"/>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4F30F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44E72D10">
            <w:pPr>
              <w:jc w:val="center"/>
            </w:pPr>
            <w:r>
              <w:rPr>
                <w:rFonts w:hint="eastAsia"/>
              </w:rPr>
              <w:t>证件扫描件正面</w:t>
            </w:r>
          </w:p>
          <w:p w14:paraId="2CAD3820">
            <w:pPr>
              <w:pStyle w:val="9"/>
              <w:jc w:val="center"/>
            </w:pPr>
          </w:p>
          <w:p w14:paraId="590BC3DE">
            <w:pPr>
              <w:pStyle w:val="10"/>
              <w:jc w:val="center"/>
            </w:pPr>
          </w:p>
        </w:tc>
        <w:tc>
          <w:tcPr>
            <w:tcW w:w="4265" w:type="dxa"/>
          </w:tcPr>
          <w:p w14:paraId="06AD27DF">
            <w:pPr>
              <w:jc w:val="center"/>
            </w:pPr>
            <w:r>
              <w:rPr>
                <w:rFonts w:hint="eastAsia"/>
              </w:rPr>
              <w:t>证件扫描件反面</w:t>
            </w:r>
          </w:p>
          <w:p w14:paraId="7408AA01">
            <w:pPr>
              <w:pStyle w:val="9"/>
              <w:jc w:val="center"/>
            </w:pPr>
          </w:p>
          <w:p w14:paraId="58FA13F5">
            <w:pPr>
              <w:pStyle w:val="10"/>
              <w:jc w:val="center"/>
            </w:pPr>
          </w:p>
        </w:tc>
      </w:tr>
    </w:tbl>
    <w:p w14:paraId="01FFB4ED">
      <w:pPr>
        <w:rPr>
          <w:rFonts w:hint="eastAsia"/>
          <w:b/>
          <w:bCs/>
          <w:color w:val="FF0000"/>
          <w:szCs w:val="21"/>
          <w:u w:val="none"/>
        </w:rPr>
      </w:pPr>
      <w:r>
        <w:rPr>
          <w:rFonts w:hint="eastAsia"/>
          <w:b/>
          <w:bCs/>
          <w:color w:val="FF0000"/>
          <w:szCs w:val="21"/>
          <w:u w:val="none"/>
        </w:rPr>
        <w:t>温馨提示：为避免出现《深圳经济特区政府采购条例实施细则》第七十五条第二项所列情形，请投标供应商核实你单位法定代表人、本项目投标授权代表人、项目负责人（如有）、主要技术人员（如有）等是否在贵公司缴纳社会保险。</w:t>
      </w:r>
    </w:p>
    <w:p w14:paraId="70BE6541">
      <w:pPr>
        <w:rPr>
          <w:rFonts w:hint="eastAsia"/>
          <w:b/>
          <w:bCs/>
          <w:color w:val="FF0000"/>
          <w:szCs w:val="21"/>
          <w:u w:val="none"/>
        </w:rPr>
      </w:pPr>
    </w:p>
    <w:p w14:paraId="20F2206D">
      <w:pPr>
        <w:pStyle w:val="4"/>
        <w:spacing w:before="120" w:after="120"/>
        <w:jc w:val="center"/>
        <w:rPr>
          <w:rFonts w:hint="eastAsia" w:ascii="黑体" w:eastAsia="黑体"/>
          <w:b w:val="0"/>
          <w:sz w:val="24"/>
        </w:rPr>
      </w:pPr>
      <w:r>
        <w:rPr>
          <w:rFonts w:hint="eastAsia" w:ascii="黑体" w:eastAsia="黑体"/>
          <w:b w:val="0"/>
          <w:sz w:val="24"/>
        </w:rPr>
        <w:t>二、投标文件签署授权委托书</w:t>
      </w:r>
    </w:p>
    <w:p w14:paraId="6228DD4F">
      <w:pPr>
        <w:spacing w:line="360" w:lineRule="auto"/>
        <w:ind w:firstLine="420" w:firstLineChars="20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14:paraId="689C167D">
      <w:pPr>
        <w:spacing w:line="360" w:lineRule="auto"/>
        <w:ind w:firstLine="420" w:firstLineChars="200"/>
        <w:rPr>
          <w:szCs w:val="21"/>
        </w:rPr>
      </w:pPr>
      <w:r>
        <w:rPr>
          <w:rFonts w:hint="eastAsia"/>
          <w:szCs w:val="21"/>
        </w:rPr>
        <w:t>代理人无转委托权，特此委托。</w:t>
      </w:r>
    </w:p>
    <w:p w14:paraId="3B7E8C1B">
      <w:pPr>
        <w:spacing w:line="360" w:lineRule="auto"/>
        <w:ind w:firstLine="420" w:firstLineChars="200"/>
        <w:rPr>
          <w:szCs w:val="21"/>
        </w:rPr>
      </w:pPr>
      <w:r>
        <w:rPr>
          <w:rFonts w:hint="eastAsia"/>
          <w:szCs w:val="21"/>
        </w:rPr>
        <w:t>代理人：</w:t>
      </w:r>
      <w:r>
        <w:rPr>
          <w:rFonts w:hint="eastAsia"/>
          <w:szCs w:val="21"/>
          <w:u w:val="single"/>
        </w:rPr>
        <w:t xml:space="preserve">              </w:t>
      </w:r>
      <w:r>
        <w:rPr>
          <w:rFonts w:hint="eastAsia"/>
          <w:szCs w:val="21"/>
        </w:rPr>
        <w:t>；</w:t>
      </w:r>
    </w:p>
    <w:p w14:paraId="1570E818">
      <w:pPr>
        <w:spacing w:line="360" w:lineRule="auto"/>
        <w:ind w:firstLine="420" w:firstLineChars="200"/>
        <w:rPr>
          <w:szCs w:val="21"/>
        </w:rPr>
      </w:pPr>
      <w:r>
        <w:rPr>
          <w:rFonts w:hint="eastAsia"/>
          <w:szCs w:val="21"/>
        </w:rPr>
        <w:t>身份证件号：</w:t>
      </w:r>
      <w:r>
        <w:rPr>
          <w:rFonts w:hint="eastAsia"/>
          <w:szCs w:val="21"/>
          <w:u w:val="single"/>
        </w:rPr>
        <w:t xml:space="preserve">                        </w:t>
      </w:r>
      <w:r>
        <w:rPr>
          <w:rFonts w:hint="eastAsia"/>
          <w:szCs w:val="21"/>
        </w:rPr>
        <w:t>，职务：</w:t>
      </w:r>
      <w:r>
        <w:rPr>
          <w:rFonts w:hint="eastAsia"/>
          <w:szCs w:val="21"/>
          <w:u w:val="single"/>
        </w:rPr>
        <w:t xml:space="preserve">                </w:t>
      </w:r>
      <w:r>
        <w:rPr>
          <w:rFonts w:hint="eastAsia"/>
          <w:szCs w:val="21"/>
        </w:rPr>
        <w:t>；</w:t>
      </w:r>
    </w:p>
    <w:p w14:paraId="44F7D1D9">
      <w:pPr>
        <w:spacing w:line="360" w:lineRule="auto"/>
        <w:ind w:firstLine="420" w:firstLineChars="200"/>
        <w:rPr>
          <w:szCs w:val="21"/>
        </w:rPr>
      </w:pPr>
      <w:r>
        <w:rPr>
          <w:rFonts w:hint="eastAsia"/>
          <w:szCs w:val="21"/>
        </w:rPr>
        <w:t>联系电话：</w:t>
      </w:r>
      <w:r>
        <w:rPr>
          <w:rFonts w:hint="eastAsia"/>
          <w:szCs w:val="21"/>
          <w:u w:val="single"/>
        </w:rPr>
        <w:t xml:space="preserve">            </w:t>
      </w:r>
      <w:r>
        <w:rPr>
          <w:rFonts w:hint="eastAsia"/>
          <w:szCs w:val="21"/>
        </w:rPr>
        <w:t>，手机：</w:t>
      </w:r>
      <w:r>
        <w:rPr>
          <w:rFonts w:hint="eastAsia"/>
          <w:szCs w:val="21"/>
          <w:u w:val="single"/>
        </w:rPr>
        <w:t xml:space="preserve">                   </w:t>
      </w:r>
      <w:r>
        <w:rPr>
          <w:rFonts w:hint="eastAsia"/>
          <w:szCs w:val="21"/>
        </w:rPr>
        <w:t>，电子邮箱：</w:t>
      </w:r>
      <w:r>
        <w:rPr>
          <w:rFonts w:hint="eastAsia"/>
          <w:szCs w:val="21"/>
          <w:u w:val="single"/>
        </w:rPr>
        <w:t xml:space="preserve">                        </w:t>
      </w:r>
      <w:r>
        <w:rPr>
          <w:rFonts w:hint="eastAsia" w:eastAsia="宋体"/>
          <w:szCs w:val="21"/>
        </w:rPr>
        <w:t>；</w:t>
      </w:r>
    </w:p>
    <w:p w14:paraId="0CCA0480">
      <w:pPr>
        <w:spacing w:line="360" w:lineRule="auto"/>
        <w:ind w:firstLine="420" w:firstLineChars="200"/>
        <w:rPr>
          <w:rFonts w:eastAsia="宋体"/>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p>
    <w:p w14:paraId="699C2D7B">
      <w:pPr>
        <w:spacing w:line="360" w:lineRule="auto"/>
        <w:ind w:firstLine="422" w:firstLineChars="200"/>
        <w:rPr>
          <w:b/>
          <w:color w:val="FF0000"/>
          <w:szCs w:val="21"/>
        </w:rPr>
      </w:pPr>
      <w:r>
        <w:rPr>
          <w:rFonts w:hint="eastAsia"/>
          <w:b/>
          <w:color w:val="FF0000"/>
          <w:szCs w:val="21"/>
        </w:rPr>
        <w:t>附：请提供代理人身份证扫描件（正反两面）；港澳台居民可提供来往通行证扫描件；非中国国籍管辖范围人员，可提供公安部门认可的身份证明材料扫描件。</w:t>
      </w:r>
    </w:p>
    <w:tbl>
      <w:tblPr>
        <w:tblStyle w:val="18"/>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49928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1D947567">
            <w:pPr>
              <w:jc w:val="center"/>
            </w:pPr>
            <w:r>
              <w:rPr>
                <w:rFonts w:hint="eastAsia" w:ascii="Times New Roman" w:eastAsia="宋体"/>
              </w:rPr>
              <w:t>证件扫描件正面</w:t>
            </w:r>
          </w:p>
          <w:p w14:paraId="34FC1F13">
            <w:pPr>
              <w:pStyle w:val="9"/>
              <w:jc w:val="center"/>
            </w:pPr>
          </w:p>
          <w:p w14:paraId="6C8E1BB8">
            <w:pPr>
              <w:pStyle w:val="10"/>
              <w:jc w:val="center"/>
            </w:pPr>
          </w:p>
        </w:tc>
        <w:tc>
          <w:tcPr>
            <w:tcW w:w="4265" w:type="dxa"/>
          </w:tcPr>
          <w:p w14:paraId="1E65ECAD">
            <w:pPr>
              <w:jc w:val="center"/>
            </w:pPr>
            <w:r>
              <w:rPr>
                <w:rFonts w:hint="eastAsia" w:ascii="Times New Roman" w:eastAsia="宋体"/>
              </w:rPr>
              <w:t>证件扫描件反面</w:t>
            </w:r>
          </w:p>
          <w:p w14:paraId="31A5117F">
            <w:pPr>
              <w:pStyle w:val="9"/>
              <w:jc w:val="center"/>
            </w:pPr>
          </w:p>
          <w:p w14:paraId="2A2985A7">
            <w:pPr>
              <w:pStyle w:val="10"/>
              <w:jc w:val="center"/>
            </w:pPr>
          </w:p>
        </w:tc>
      </w:tr>
    </w:tbl>
    <w:p w14:paraId="5305DB3B">
      <w:pPr>
        <w:tabs>
          <w:tab w:val="left" w:pos="651"/>
        </w:tabs>
        <w:snapToGrid w:val="0"/>
        <w:jc w:val="both"/>
        <w:rPr>
          <w:rFonts w:ascii="黑体" w:eastAsia="黑体"/>
          <w:kern w:val="0"/>
          <w:sz w:val="24"/>
          <w:szCs w:val="24"/>
        </w:rPr>
      </w:pPr>
      <w:r>
        <w:rPr>
          <w:rFonts w:hint="eastAsia"/>
          <w:b/>
          <w:bCs/>
          <w:color w:val="FF0000"/>
          <w:szCs w:val="21"/>
          <w:u w:val="none"/>
        </w:rPr>
        <w:t>温馨提示：为避免出现《深圳经济特区政府采购条例实施细则》第七十五条第二项所列情形，请投标供应商核实你单位法定代表人、本项目投标授权代表人、项目负责人（如有）、主要技术人员（如有）等是否在贵公司缴纳社会保险。</w:t>
      </w:r>
    </w:p>
    <w:p w14:paraId="2EDD1765">
      <w:pPr>
        <w:tabs>
          <w:tab w:val="left" w:pos="651"/>
        </w:tabs>
        <w:snapToGrid w:val="0"/>
        <w:jc w:val="center"/>
        <w:rPr>
          <w:rFonts w:ascii="黑体" w:eastAsia="黑体"/>
          <w:kern w:val="0"/>
          <w:sz w:val="24"/>
          <w:szCs w:val="24"/>
        </w:rPr>
      </w:pPr>
    </w:p>
    <w:p w14:paraId="7095D32C">
      <w:pPr>
        <w:tabs>
          <w:tab w:val="left" w:pos="651"/>
        </w:tabs>
        <w:snapToGrid w:val="0"/>
        <w:jc w:val="center"/>
        <w:rPr>
          <w:rFonts w:ascii="黑体" w:eastAsia="黑体"/>
          <w:kern w:val="0"/>
          <w:sz w:val="24"/>
          <w:szCs w:val="24"/>
        </w:rPr>
      </w:pPr>
    </w:p>
    <w:p w14:paraId="4612F6C7">
      <w:pPr>
        <w:tabs>
          <w:tab w:val="left" w:pos="651"/>
        </w:tabs>
        <w:snapToGrid w:val="0"/>
        <w:jc w:val="center"/>
        <w:rPr>
          <w:rFonts w:ascii="黑体" w:eastAsia="黑体"/>
          <w:kern w:val="0"/>
          <w:sz w:val="24"/>
          <w:szCs w:val="24"/>
        </w:rPr>
      </w:pPr>
    </w:p>
    <w:p w14:paraId="2E87F54D">
      <w:pPr>
        <w:tabs>
          <w:tab w:val="left" w:pos="651"/>
        </w:tabs>
        <w:snapToGrid w:val="0"/>
        <w:jc w:val="center"/>
        <w:rPr>
          <w:rFonts w:hint="eastAsia" w:ascii="宋体" w:hAnsi="宋体" w:eastAsia="宋体" w:cs="Times New Roman"/>
          <w:b/>
          <w:bCs/>
          <w:kern w:val="0"/>
          <w:sz w:val="24"/>
          <w:szCs w:val="20"/>
        </w:rPr>
      </w:pPr>
      <w:r>
        <w:rPr>
          <w:rFonts w:hint="eastAsia" w:ascii="黑体" w:eastAsia="黑体"/>
          <w:kern w:val="0"/>
          <w:sz w:val="24"/>
          <w:szCs w:val="24"/>
        </w:rPr>
        <w:t>三、</w:t>
      </w:r>
      <w:bookmarkStart w:id="38" w:name="_Hlk72092634"/>
      <w:r>
        <w:rPr>
          <w:rFonts w:hint="eastAsia" w:ascii="黑体" w:eastAsia="黑体"/>
          <w:kern w:val="0"/>
          <w:sz w:val="24"/>
          <w:szCs w:val="24"/>
        </w:rPr>
        <w:t>实质性条款响应情况表</w:t>
      </w:r>
      <w:bookmarkEnd w:id="38"/>
    </w:p>
    <w:p w14:paraId="2D3E86F2">
      <w:pPr>
        <w:snapToGrid w:val="0"/>
        <w:rPr>
          <w:rFonts w:ascii="Arial" w:hAnsi="Arial" w:eastAsia="宋体" w:cs="Arial"/>
          <w:sz w:val="24"/>
          <w:szCs w:val="24"/>
        </w:rPr>
      </w:pPr>
      <w:r>
        <w:rPr>
          <w:rFonts w:hint="eastAsia" w:ascii="Arial" w:hAnsi="Arial" w:eastAsia="宋体" w:cs="Arial"/>
          <w:color w:val="000000"/>
          <w:sz w:val="24"/>
          <w:szCs w:val="24"/>
        </w:rPr>
        <w:t>投标单位（投标人）名称：</w:t>
      </w:r>
      <w:r>
        <w:rPr>
          <w:rFonts w:ascii="Arial" w:hAnsi="Arial" w:eastAsia="宋体" w:cs="Arial"/>
          <w:color w:val="000000"/>
          <w:sz w:val="24"/>
          <w:szCs w:val="24"/>
          <w:u w:val="single"/>
        </w:rPr>
        <w:t xml:space="preserve">                         </w:t>
      </w:r>
    </w:p>
    <w:p w14:paraId="21553F43">
      <w:pPr>
        <w:snapToGrid w:val="0"/>
        <w:rPr>
          <w:rFonts w:hint="eastAsia" w:cs="Times New Roman" w:asciiTheme="minorEastAsia" w:hAnsiTheme="minorEastAsia"/>
          <w:b/>
          <w:sz w:val="24"/>
          <w:szCs w:val="24"/>
        </w:rPr>
      </w:pPr>
    </w:p>
    <w:tbl>
      <w:tblPr>
        <w:tblStyle w:val="17"/>
        <w:tblW w:w="9403"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602"/>
        <w:gridCol w:w="3901"/>
        <w:gridCol w:w="2176"/>
        <w:gridCol w:w="1732"/>
        <w:gridCol w:w="992"/>
      </w:tblGrid>
      <w:tr w14:paraId="75AAA4F6">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29" w:hRule="atLeast"/>
          <w:jc w:val="center"/>
        </w:trPr>
        <w:tc>
          <w:tcPr>
            <w:tcW w:w="602" w:type="dxa"/>
            <w:vAlign w:val="center"/>
          </w:tcPr>
          <w:p w14:paraId="73491C19">
            <w:pPr>
              <w:jc w:val="center"/>
              <w:rPr>
                <w:rFonts w:hint="eastAsia" w:ascii="宋体" w:hAnsi="宋体" w:eastAsia="宋体" w:cs="Arial"/>
                <w:b/>
                <w:szCs w:val="21"/>
              </w:rPr>
            </w:pPr>
            <w:r>
              <w:rPr>
                <w:rFonts w:hint="eastAsia" w:ascii="宋体" w:hAnsi="宋体" w:eastAsia="宋体" w:cs="Arial"/>
                <w:b/>
                <w:szCs w:val="21"/>
              </w:rPr>
              <w:t>序号</w:t>
            </w:r>
          </w:p>
        </w:tc>
        <w:tc>
          <w:tcPr>
            <w:tcW w:w="3901" w:type="dxa"/>
            <w:vAlign w:val="center"/>
          </w:tcPr>
          <w:p w14:paraId="3D8AB861">
            <w:pPr>
              <w:jc w:val="center"/>
              <w:rPr>
                <w:rFonts w:hint="eastAsia" w:ascii="宋体" w:hAnsi="宋体" w:eastAsia="宋体" w:cs="Arial"/>
                <w:b/>
                <w:szCs w:val="21"/>
              </w:rPr>
            </w:pPr>
            <w:r>
              <w:rPr>
                <w:rFonts w:hint="eastAsia" w:ascii="宋体" w:hAnsi="宋体" w:eastAsia="宋体" w:cs="Arial"/>
                <w:b/>
                <w:szCs w:val="21"/>
              </w:rPr>
              <w:t>实质性条款具体内容</w:t>
            </w:r>
          </w:p>
        </w:tc>
        <w:tc>
          <w:tcPr>
            <w:tcW w:w="2176" w:type="dxa"/>
            <w:vAlign w:val="center"/>
          </w:tcPr>
          <w:p w14:paraId="0C361D80">
            <w:pPr>
              <w:jc w:val="center"/>
              <w:rPr>
                <w:rFonts w:hint="eastAsia" w:ascii="宋体" w:hAnsi="宋体" w:eastAsia="宋体" w:cs="Arial"/>
                <w:b/>
                <w:szCs w:val="21"/>
              </w:rPr>
            </w:pPr>
            <w:r>
              <w:rPr>
                <w:rFonts w:hint="eastAsia" w:ascii="宋体" w:hAnsi="宋体" w:eastAsia="宋体" w:cs="Arial"/>
                <w:b/>
                <w:szCs w:val="21"/>
              </w:rPr>
              <w:t>投标文件响应</w:t>
            </w:r>
          </w:p>
        </w:tc>
        <w:tc>
          <w:tcPr>
            <w:tcW w:w="1732" w:type="dxa"/>
          </w:tcPr>
          <w:p w14:paraId="28748679">
            <w:pPr>
              <w:spacing w:before="156" w:beforeLines="50"/>
              <w:jc w:val="center"/>
              <w:rPr>
                <w:rFonts w:hint="eastAsia" w:ascii="宋体" w:hAnsi="宋体" w:eastAsia="宋体" w:cs="Arial"/>
                <w:b/>
                <w:szCs w:val="21"/>
              </w:rPr>
            </w:pPr>
            <w:r>
              <w:rPr>
                <w:rFonts w:hint="eastAsia" w:ascii="宋体" w:hAnsi="宋体" w:eastAsia="宋体" w:cs="Arial"/>
                <w:b/>
                <w:szCs w:val="21"/>
              </w:rPr>
              <w:t>偏离情况</w:t>
            </w:r>
          </w:p>
        </w:tc>
        <w:tc>
          <w:tcPr>
            <w:tcW w:w="992" w:type="dxa"/>
            <w:vAlign w:val="center"/>
          </w:tcPr>
          <w:p w14:paraId="2F01D27C">
            <w:pPr>
              <w:jc w:val="center"/>
              <w:rPr>
                <w:rFonts w:hint="eastAsia" w:ascii="宋体" w:hAnsi="宋体" w:eastAsia="宋体" w:cs="Arial"/>
                <w:b/>
                <w:szCs w:val="21"/>
              </w:rPr>
            </w:pPr>
            <w:r>
              <w:rPr>
                <w:rFonts w:hint="eastAsia" w:ascii="宋体" w:hAnsi="宋体" w:eastAsia="宋体" w:cs="Arial"/>
                <w:b/>
                <w:szCs w:val="21"/>
              </w:rPr>
              <w:t>说明</w:t>
            </w:r>
          </w:p>
        </w:tc>
      </w:tr>
      <w:tr w14:paraId="61CB56FD">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060" w:hRule="atLeast"/>
          <w:jc w:val="center"/>
        </w:trPr>
        <w:tc>
          <w:tcPr>
            <w:tcW w:w="602" w:type="dxa"/>
            <w:vAlign w:val="center"/>
          </w:tcPr>
          <w:p w14:paraId="3ED2570F">
            <w:pPr>
              <w:spacing w:line="300" w:lineRule="auto"/>
              <w:jc w:val="center"/>
              <w:rPr>
                <w:rFonts w:hint="eastAsia" w:ascii="宋体" w:hAnsi="宋体" w:eastAsia="宋体" w:cs="Times New Roman"/>
                <w:b/>
                <w:color w:val="FF0000"/>
                <w:kern w:val="0"/>
                <w:szCs w:val="21"/>
              </w:rPr>
            </w:pPr>
            <w:r>
              <w:rPr>
                <w:rFonts w:hint="eastAsia" w:ascii="宋体" w:hAnsi="宋体" w:eastAsia="宋体" w:cs="Times New Roman"/>
                <w:b/>
                <w:color w:val="FF0000"/>
                <w:kern w:val="0"/>
                <w:szCs w:val="21"/>
              </w:rPr>
              <w:t>1</w:t>
            </w:r>
          </w:p>
        </w:tc>
        <w:tc>
          <w:tcPr>
            <w:tcW w:w="3901" w:type="dxa"/>
            <w:vAlign w:val="center"/>
          </w:tcPr>
          <w:p w14:paraId="3EAE8254">
            <w:pPr>
              <w:spacing w:line="300" w:lineRule="auto"/>
              <w:jc w:val="center"/>
              <w:rPr>
                <w:rFonts w:hint="eastAsia" w:ascii="宋体" w:hAnsi="宋体" w:eastAsia="宋体" w:cs="Times New Roman"/>
                <w:b/>
                <w:color w:val="FF0000"/>
                <w:kern w:val="0"/>
                <w:szCs w:val="21"/>
              </w:rPr>
            </w:pPr>
            <w:r>
              <w:rPr>
                <w:rFonts w:hint="eastAsia" w:ascii="宋体" w:hAnsi="宋体" w:eastAsia="宋体" w:cs="Times New Roman"/>
                <w:b/>
                <w:color w:val="FF0000"/>
                <w:kern w:val="0"/>
                <w:szCs w:val="21"/>
              </w:rPr>
              <w:t>本项目招标文件中所有带★号条款内容</w:t>
            </w:r>
          </w:p>
        </w:tc>
        <w:tc>
          <w:tcPr>
            <w:tcW w:w="2176" w:type="dxa"/>
            <w:vAlign w:val="center"/>
          </w:tcPr>
          <w:p w14:paraId="3A14CCAE">
            <w:pPr>
              <w:spacing w:line="300" w:lineRule="auto"/>
              <w:jc w:val="center"/>
              <w:rPr>
                <w:rFonts w:hint="eastAsia" w:ascii="宋体" w:hAnsi="宋体" w:eastAsia="宋体" w:cs="Times New Roman"/>
                <w:b/>
                <w:kern w:val="0"/>
                <w:szCs w:val="21"/>
              </w:rPr>
            </w:pPr>
            <w:r>
              <w:rPr>
                <w:rFonts w:hint="eastAsia" w:ascii="宋体" w:hAnsi="宋体" w:eastAsia="宋体" w:cs="Times New Roman"/>
                <w:b/>
                <w:kern w:val="0"/>
                <w:szCs w:val="21"/>
              </w:rPr>
              <w:t>完全响应</w:t>
            </w:r>
          </w:p>
        </w:tc>
        <w:tc>
          <w:tcPr>
            <w:tcW w:w="1732" w:type="dxa"/>
            <w:vAlign w:val="center"/>
          </w:tcPr>
          <w:p w14:paraId="6BC7C923">
            <w:pPr>
              <w:spacing w:line="300" w:lineRule="auto"/>
              <w:jc w:val="center"/>
              <w:rPr>
                <w:rFonts w:hint="eastAsia" w:ascii="宋体" w:hAnsi="宋体" w:eastAsia="宋体" w:cs="Times New Roman"/>
                <w:b/>
                <w:kern w:val="0"/>
                <w:szCs w:val="21"/>
              </w:rPr>
            </w:pPr>
            <w:r>
              <w:rPr>
                <w:rFonts w:hint="eastAsia" w:ascii="宋体" w:hAnsi="宋体" w:eastAsia="宋体" w:cs="Times New Roman"/>
                <w:b/>
                <w:kern w:val="0"/>
                <w:szCs w:val="21"/>
              </w:rPr>
              <w:t>无偏离</w:t>
            </w:r>
          </w:p>
        </w:tc>
        <w:tc>
          <w:tcPr>
            <w:tcW w:w="992" w:type="dxa"/>
            <w:vAlign w:val="center"/>
          </w:tcPr>
          <w:p w14:paraId="62D45BD3">
            <w:pPr>
              <w:spacing w:line="300" w:lineRule="auto"/>
              <w:jc w:val="center"/>
              <w:rPr>
                <w:rFonts w:hint="eastAsia" w:ascii="宋体" w:hAnsi="宋体" w:eastAsia="宋体" w:cs="Times New Roman"/>
                <w:b/>
                <w:color w:val="FF0000"/>
                <w:kern w:val="0"/>
                <w:szCs w:val="21"/>
              </w:rPr>
            </w:pPr>
          </w:p>
        </w:tc>
      </w:tr>
    </w:tbl>
    <w:p w14:paraId="05435700">
      <w:pPr>
        <w:snapToGrid w:val="0"/>
        <w:rPr>
          <w:rFonts w:hint="eastAsia" w:cs="Times New Roman" w:asciiTheme="minorEastAsia" w:hAnsiTheme="minorEastAsia"/>
          <w:b/>
          <w:sz w:val="24"/>
          <w:szCs w:val="24"/>
        </w:rPr>
      </w:pPr>
      <w:r>
        <w:rPr>
          <w:rFonts w:hint="eastAsia" w:ascii="宋体" w:hAnsi="宋体" w:eastAsia="宋体" w:cs="Times New Roman"/>
          <w:b/>
          <w:sz w:val="24"/>
          <w:szCs w:val="24"/>
        </w:rPr>
        <w:t>填写说明：</w:t>
      </w:r>
    </w:p>
    <w:p w14:paraId="203A5FF3">
      <w:pPr>
        <w:spacing w:line="276" w:lineRule="auto"/>
        <w:ind w:firstLine="480" w:firstLineChars="200"/>
        <w:rPr>
          <w:rFonts w:hint="eastAsia" w:ascii="宋体" w:hAnsi="宋体" w:cs="宋体"/>
          <w:bCs/>
          <w:sz w:val="24"/>
          <w:szCs w:val="24"/>
        </w:rPr>
      </w:pPr>
      <w:r>
        <w:rPr>
          <w:rFonts w:hint="eastAsia" w:ascii="宋体" w:hAnsi="宋体" w:cs="宋体"/>
          <w:bCs/>
          <w:sz w:val="24"/>
          <w:szCs w:val="24"/>
        </w:rPr>
        <w:t>1、上表所列各项均为不可负偏离条款。</w:t>
      </w:r>
    </w:p>
    <w:p w14:paraId="7C8B9315">
      <w:pPr>
        <w:spacing w:line="276" w:lineRule="auto"/>
        <w:ind w:firstLine="480" w:firstLineChars="200"/>
        <w:rPr>
          <w:rFonts w:hint="eastAsia" w:ascii="宋体" w:hAnsi="宋体" w:cs="宋体"/>
          <w:bCs/>
          <w:sz w:val="24"/>
          <w:szCs w:val="24"/>
        </w:rPr>
      </w:pPr>
      <w:r>
        <w:rPr>
          <w:rFonts w:hint="eastAsia" w:ascii="宋体" w:hAnsi="宋体" w:cs="宋体"/>
          <w:bCs/>
          <w:sz w:val="24"/>
          <w:szCs w:val="24"/>
        </w:rPr>
        <w:t>2、“投标文件响应”一栏应当详细填写投标人自身响应情况，而不能不合理照搬照抄招标文件实质性条款具体内容。</w:t>
      </w:r>
      <w:r>
        <w:rPr>
          <w:rFonts w:hint="eastAsia" w:ascii="宋体" w:hAnsi="宋体" w:cs="宋体"/>
          <w:b/>
          <w:bCs/>
          <w:sz w:val="24"/>
          <w:szCs w:val="24"/>
        </w:rPr>
        <w:t>如完全满足实质性条款具体内容可填写“完全响应”，除招标文件另有注明外，不强制要求逐条列出响应。</w:t>
      </w:r>
    </w:p>
    <w:p w14:paraId="0F47C83C">
      <w:pPr>
        <w:spacing w:line="276" w:lineRule="auto"/>
        <w:ind w:firstLine="480" w:firstLineChars="200"/>
        <w:rPr>
          <w:rFonts w:hint="eastAsia" w:ascii="宋体" w:hAnsi="宋体" w:cs="宋体"/>
          <w:bCs/>
          <w:sz w:val="24"/>
          <w:szCs w:val="24"/>
        </w:rPr>
      </w:pPr>
      <w:r>
        <w:rPr>
          <w:rFonts w:hint="eastAsia" w:ascii="宋体" w:hAnsi="宋体" w:cs="宋体"/>
          <w:bCs/>
          <w:sz w:val="24"/>
          <w:szCs w:val="24"/>
        </w:rPr>
        <w:t>3、“偏离情况”一栏应填写</w:t>
      </w:r>
      <w:r>
        <w:rPr>
          <w:rFonts w:hint="eastAsia" w:ascii="宋体" w:hAnsi="宋体" w:cs="宋体"/>
          <w:sz w:val="24"/>
          <w:szCs w:val="24"/>
        </w:rPr>
        <w:t>“</w:t>
      </w:r>
      <w:r>
        <w:rPr>
          <w:rFonts w:hint="eastAsia" w:ascii="宋体" w:hAnsi="宋体" w:cs="宋体"/>
          <w:b/>
          <w:bCs/>
          <w:sz w:val="24"/>
          <w:szCs w:val="24"/>
        </w:rPr>
        <w:t>正偏离</w:t>
      </w:r>
      <w:r>
        <w:rPr>
          <w:rFonts w:hint="eastAsia" w:ascii="宋体" w:hAnsi="宋体" w:cs="宋体"/>
          <w:sz w:val="24"/>
          <w:szCs w:val="24"/>
        </w:rPr>
        <w:t>”或“</w:t>
      </w:r>
      <w:r>
        <w:rPr>
          <w:rFonts w:hint="eastAsia" w:ascii="宋体" w:hAnsi="宋体" w:cs="宋体"/>
          <w:b/>
          <w:bCs/>
          <w:sz w:val="24"/>
          <w:szCs w:val="24"/>
        </w:rPr>
        <w:t>负偏离</w:t>
      </w:r>
      <w:r>
        <w:rPr>
          <w:rFonts w:hint="eastAsia" w:ascii="宋体" w:hAnsi="宋体" w:cs="宋体"/>
          <w:sz w:val="24"/>
          <w:szCs w:val="24"/>
        </w:rPr>
        <w:t>”或“</w:t>
      </w:r>
      <w:r>
        <w:rPr>
          <w:rFonts w:hint="eastAsia" w:ascii="宋体" w:hAnsi="宋体" w:cs="宋体"/>
          <w:b/>
          <w:bCs/>
          <w:sz w:val="24"/>
          <w:szCs w:val="24"/>
        </w:rPr>
        <w:t>无偏离</w:t>
      </w:r>
      <w:r>
        <w:rPr>
          <w:rFonts w:hint="eastAsia" w:ascii="宋体" w:hAnsi="宋体" w:cs="宋体"/>
          <w:sz w:val="24"/>
          <w:szCs w:val="24"/>
        </w:rPr>
        <w:t>”</w:t>
      </w:r>
      <w:r>
        <w:rPr>
          <w:rFonts w:hint="eastAsia" w:ascii="宋体" w:hAnsi="宋体" w:cs="宋体"/>
          <w:bCs/>
          <w:sz w:val="24"/>
          <w:szCs w:val="24"/>
        </w:rPr>
        <w:t>，“正偏离”表示“投标响应优于实质性条款具体内容要求”，“负偏离”表示“投标响应不满足实质性条款具体内容要求”，“无偏离”表示“投标响应与实质性条款具体内容要求一致”。</w:t>
      </w:r>
    </w:p>
    <w:p w14:paraId="30934597">
      <w:pPr>
        <w:spacing w:line="276" w:lineRule="auto"/>
        <w:ind w:firstLine="480" w:firstLineChars="200"/>
        <w:rPr>
          <w:rFonts w:hint="eastAsia" w:ascii="宋体" w:hAnsi="宋体" w:cs="宋体"/>
          <w:bCs/>
          <w:sz w:val="24"/>
          <w:szCs w:val="24"/>
        </w:rPr>
      </w:pPr>
      <w:r>
        <w:rPr>
          <w:rFonts w:hint="eastAsia" w:ascii="宋体" w:hAnsi="宋体" w:cs="宋体"/>
          <w:bCs/>
          <w:sz w:val="24"/>
          <w:szCs w:val="24"/>
        </w:rPr>
        <w:t>4、评审委员会有权对投标响应情况作出判断。</w:t>
      </w:r>
    </w:p>
    <w:p w14:paraId="522F68F4">
      <w:pPr>
        <w:spacing w:line="276" w:lineRule="auto"/>
        <w:ind w:firstLine="480" w:firstLineChars="200"/>
        <w:rPr>
          <w:rFonts w:hint="eastAsia" w:ascii="宋体" w:hAnsi="宋体" w:cs="宋体"/>
          <w:bCs/>
          <w:sz w:val="24"/>
          <w:szCs w:val="24"/>
        </w:rPr>
      </w:pPr>
      <w:r>
        <w:rPr>
          <w:rFonts w:hint="eastAsia" w:ascii="宋体" w:hAnsi="宋体" w:cs="宋体"/>
          <w:bCs/>
          <w:sz w:val="24"/>
          <w:szCs w:val="24"/>
        </w:rPr>
        <w:t>5、实质性响应条款“投标响应情况”与投标文件其它内容冲突的，以实质性响应条款“投标响应情况”为准。</w:t>
      </w:r>
    </w:p>
    <w:p w14:paraId="02500980">
      <w:pPr>
        <w:spacing w:line="276" w:lineRule="auto"/>
        <w:ind w:firstLine="480" w:firstLineChars="200"/>
        <w:rPr>
          <w:rFonts w:hint="eastAsia" w:ascii="宋体" w:hAnsi="宋体" w:cs="宋体"/>
          <w:bCs/>
          <w:sz w:val="24"/>
          <w:szCs w:val="24"/>
        </w:rPr>
      </w:pPr>
      <w:r>
        <w:rPr>
          <w:rFonts w:hint="eastAsia" w:ascii="宋体" w:hAnsi="宋体" w:cs="宋体"/>
          <w:bCs/>
          <w:sz w:val="24"/>
          <w:szCs w:val="24"/>
        </w:rPr>
        <w:t>6、以上实质性条款中要求提供证明材料，需如实提供证明材料扫描件，在“说明”一栏中列明证明材料的位置，以便评审；未要求提供证明材料的，投标人可以不提供。</w:t>
      </w:r>
    </w:p>
    <w:p w14:paraId="26260172">
      <w:pPr>
        <w:rPr>
          <w:rFonts w:hint="eastAsia" w:ascii="宋体" w:hAnsi="宋体" w:eastAsia="宋体" w:cs="Times New Roman"/>
          <w:b/>
          <w:bCs/>
          <w:kern w:val="0"/>
          <w:sz w:val="24"/>
          <w:szCs w:val="20"/>
        </w:rPr>
      </w:pPr>
      <w:r>
        <w:rPr>
          <w:rFonts w:hint="eastAsia" w:ascii="宋体" w:hAnsi="宋体" w:eastAsia="宋体" w:cs="Times New Roman"/>
          <w:b/>
          <w:bCs/>
          <w:kern w:val="0"/>
          <w:sz w:val="24"/>
          <w:szCs w:val="20"/>
        </w:rPr>
        <w:br w:type="page"/>
      </w:r>
    </w:p>
    <w:p w14:paraId="2E21B59A">
      <w:pPr>
        <w:pStyle w:val="4"/>
        <w:jc w:val="center"/>
        <w:rPr>
          <w:rFonts w:hint="eastAsia"/>
          <w:sz w:val="24"/>
        </w:rPr>
      </w:pPr>
      <w:r>
        <w:rPr>
          <w:rFonts w:hint="eastAsia" w:ascii="黑体" w:eastAsia="黑体"/>
          <w:b w:val="0"/>
          <w:bCs w:val="0"/>
          <w:sz w:val="24"/>
          <w:szCs w:val="20"/>
        </w:rPr>
        <w:t>四、商务要求偏离表</w:t>
      </w:r>
    </w:p>
    <w:tbl>
      <w:tblPr>
        <w:tblStyle w:val="17"/>
        <w:tblW w:w="9091" w:type="dxa"/>
        <w:tblInd w:w="-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1408"/>
        <w:gridCol w:w="4918"/>
        <w:gridCol w:w="973"/>
        <w:gridCol w:w="642"/>
        <w:gridCol w:w="540"/>
      </w:tblGrid>
      <w:tr w14:paraId="6EDFD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0" w:type="dxa"/>
            <w:vAlign w:val="center"/>
          </w:tcPr>
          <w:p w14:paraId="05375667">
            <w:pPr>
              <w:jc w:val="center"/>
              <w:rPr>
                <w:b/>
              </w:rPr>
            </w:pPr>
            <w:r>
              <w:rPr>
                <w:rFonts w:hint="eastAsia"/>
                <w:sz w:val="24"/>
              </w:rPr>
              <w:t>序号</w:t>
            </w:r>
          </w:p>
        </w:tc>
        <w:tc>
          <w:tcPr>
            <w:tcW w:w="1408" w:type="dxa"/>
            <w:vAlign w:val="center"/>
          </w:tcPr>
          <w:p w14:paraId="4E42C3D9">
            <w:pPr>
              <w:jc w:val="center"/>
              <w:rPr>
                <w:b/>
              </w:rPr>
            </w:pPr>
            <w:r>
              <w:rPr>
                <w:rFonts w:hint="eastAsia"/>
                <w:b/>
              </w:rPr>
              <w:t>商务需求项</w:t>
            </w:r>
          </w:p>
        </w:tc>
        <w:tc>
          <w:tcPr>
            <w:tcW w:w="4918" w:type="dxa"/>
            <w:vAlign w:val="center"/>
          </w:tcPr>
          <w:p w14:paraId="2F44664D">
            <w:pPr>
              <w:jc w:val="center"/>
              <w:rPr>
                <w:b/>
              </w:rPr>
            </w:pPr>
            <w:r>
              <w:rPr>
                <w:rFonts w:hint="eastAsia"/>
                <w:sz w:val="24"/>
              </w:rPr>
              <w:t>招标商务要求</w:t>
            </w:r>
          </w:p>
        </w:tc>
        <w:tc>
          <w:tcPr>
            <w:tcW w:w="973" w:type="dxa"/>
            <w:vAlign w:val="center"/>
          </w:tcPr>
          <w:p w14:paraId="6A5E6E6F">
            <w:pPr>
              <w:jc w:val="center"/>
              <w:rPr>
                <w:b/>
              </w:rPr>
            </w:pPr>
            <w:r>
              <w:rPr>
                <w:rFonts w:hint="eastAsia"/>
                <w:sz w:val="24"/>
              </w:rPr>
              <w:t>投标商务响应</w:t>
            </w:r>
          </w:p>
        </w:tc>
        <w:tc>
          <w:tcPr>
            <w:tcW w:w="642" w:type="dxa"/>
            <w:vAlign w:val="center"/>
          </w:tcPr>
          <w:p w14:paraId="29496304">
            <w:pPr>
              <w:jc w:val="center"/>
              <w:rPr>
                <w:b/>
              </w:rPr>
            </w:pPr>
            <w:r>
              <w:rPr>
                <w:rFonts w:hint="eastAsia"/>
              </w:rPr>
              <w:t>偏离情况</w:t>
            </w:r>
          </w:p>
        </w:tc>
        <w:tc>
          <w:tcPr>
            <w:tcW w:w="540" w:type="dxa"/>
            <w:vAlign w:val="center"/>
          </w:tcPr>
          <w:p w14:paraId="7814CDD4">
            <w:pPr>
              <w:jc w:val="center"/>
              <w:rPr>
                <w:b/>
              </w:rPr>
            </w:pPr>
            <w:r>
              <w:rPr>
                <w:rFonts w:hint="eastAsia"/>
                <w:sz w:val="24"/>
              </w:rPr>
              <w:t>说明</w:t>
            </w:r>
          </w:p>
        </w:tc>
      </w:tr>
      <w:tr w14:paraId="0C1F9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91" w:type="dxa"/>
            <w:gridSpan w:val="6"/>
          </w:tcPr>
          <w:p w14:paraId="07A21C05">
            <w:pPr>
              <w:rPr>
                <w:b/>
              </w:rPr>
            </w:pPr>
            <w:r>
              <w:rPr>
                <w:rFonts w:hint="eastAsia"/>
                <w:b/>
              </w:rPr>
              <w:t>（一）免费保修期内售后服务要求</w:t>
            </w:r>
          </w:p>
        </w:tc>
      </w:tr>
      <w:tr w14:paraId="4008C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10" w:type="dxa"/>
            <w:vAlign w:val="center"/>
          </w:tcPr>
          <w:p w14:paraId="4024A008">
            <w:pPr>
              <w:jc w:val="center"/>
              <w:rPr>
                <w:bCs/>
              </w:rPr>
            </w:pPr>
            <w:r>
              <w:rPr>
                <w:rFonts w:hint="eastAsia"/>
                <w:bCs/>
              </w:rPr>
              <w:t>1</w:t>
            </w:r>
          </w:p>
        </w:tc>
        <w:tc>
          <w:tcPr>
            <w:tcW w:w="1408" w:type="dxa"/>
          </w:tcPr>
          <w:p w14:paraId="5CCDDB1D">
            <w:pPr>
              <w:jc w:val="center"/>
            </w:pPr>
            <w:r>
              <w:rPr>
                <w:rFonts w:hint="eastAsia"/>
              </w:rPr>
              <w:t>*</w:t>
            </w:r>
            <w:r>
              <w:t>***</w:t>
            </w:r>
          </w:p>
        </w:tc>
        <w:tc>
          <w:tcPr>
            <w:tcW w:w="4918" w:type="dxa"/>
          </w:tcPr>
          <w:p w14:paraId="64D790B2">
            <w:pPr>
              <w:jc w:val="center"/>
              <w:rPr>
                <w:b/>
              </w:rPr>
            </w:pPr>
            <w:r>
              <w:rPr>
                <w:rFonts w:hint="eastAsia"/>
                <w:bCs/>
                <w:szCs w:val="21"/>
              </w:rPr>
              <w:t>（填写相关内容）</w:t>
            </w:r>
          </w:p>
        </w:tc>
        <w:tc>
          <w:tcPr>
            <w:tcW w:w="973" w:type="dxa"/>
          </w:tcPr>
          <w:p w14:paraId="4024F8C4">
            <w:pPr>
              <w:rPr>
                <w:bCs/>
                <w:szCs w:val="21"/>
              </w:rPr>
            </w:pPr>
          </w:p>
        </w:tc>
        <w:tc>
          <w:tcPr>
            <w:tcW w:w="642" w:type="dxa"/>
          </w:tcPr>
          <w:p w14:paraId="6743D9FE">
            <w:pPr>
              <w:rPr>
                <w:bCs/>
                <w:szCs w:val="21"/>
              </w:rPr>
            </w:pPr>
          </w:p>
        </w:tc>
        <w:tc>
          <w:tcPr>
            <w:tcW w:w="540" w:type="dxa"/>
          </w:tcPr>
          <w:p w14:paraId="7A3C4659">
            <w:pPr>
              <w:rPr>
                <w:bCs/>
                <w:szCs w:val="21"/>
              </w:rPr>
            </w:pPr>
          </w:p>
        </w:tc>
      </w:tr>
      <w:tr w14:paraId="24727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10" w:type="dxa"/>
            <w:vAlign w:val="center"/>
          </w:tcPr>
          <w:p w14:paraId="5F6E8B9E">
            <w:pPr>
              <w:jc w:val="center"/>
              <w:rPr>
                <w:bCs/>
              </w:rPr>
            </w:pPr>
            <w:r>
              <w:rPr>
                <w:bCs/>
              </w:rPr>
              <w:t>2</w:t>
            </w:r>
          </w:p>
        </w:tc>
        <w:tc>
          <w:tcPr>
            <w:tcW w:w="1408" w:type="dxa"/>
          </w:tcPr>
          <w:p w14:paraId="32278D87">
            <w:pPr>
              <w:jc w:val="center"/>
            </w:pPr>
            <w:r>
              <w:rPr>
                <w:rFonts w:hint="eastAsia"/>
              </w:rPr>
              <w:t>****</w:t>
            </w:r>
          </w:p>
        </w:tc>
        <w:tc>
          <w:tcPr>
            <w:tcW w:w="4918" w:type="dxa"/>
          </w:tcPr>
          <w:p w14:paraId="33C02974">
            <w:pPr>
              <w:jc w:val="center"/>
              <w:rPr>
                <w:bCs/>
                <w:szCs w:val="21"/>
              </w:rPr>
            </w:pPr>
            <w:r>
              <w:rPr>
                <w:rFonts w:hint="eastAsia"/>
              </w:rPr>
              <w:t>（填写相关内容）</w:t>
            </w:r>
          </w:p>
        </w:tc>
        <w:tc>
          <w:tcPr>
            <w:tcW w:w="973" w:type="dxa"/>
          </w:tcPr>
          <w:p w14:paraId="6EAF270F">
            <w:pPr>
              <w:rPr>
                <w:bCs/>
                <w:szCs w:val="21"/>
              </w:rPr>
            </w:pPr>
          </w:p>
        </w:tc>
        <w:tc>
          <w:tcPr>
            <w:tcW w:w="642" w:type="dxa"/>
          </w:tcPr>
          <w:p w14:paraId="628CCFBD">
            <w:pPr>
              <w:rPr>
                <w:bCs/>
                <w:szCs w:val="21"/>
              </w:rPr>
            </w:pPr>
          </w:p>
        </w:tc>
        <w:tc>
          <w:tcPr>
            <w:tcW w:w="540" w:type="dxa"/>
          </w:tcPr>
          <w:p w14:paraId="786B12B8">
            <w:pPr>
              <w:rPr>
                <w:bCs/>
                <w:szCs w:val="21"/>
              </w:rPr>
            </w:pPr>
          </w:p>
        </w:tc>
      </w:tr>
      <w:tr w14:paraId="0169F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9091" w:type="dxa"/>
            <w:gridSpan w:val="6"/>
            <w:vAlign w:val="center"/>
          </w:tcPr>
          <w:p w14:paraId="78F37B78">
            <w:pPr>
              <w:rPr>
                <w:bCs/>
                <w:szCs w:val="21"/>
              </w:rPr>
            </w:pPr>
            <w:r>
              <w:rPr>
                <w:rFonts w:hint="eastAsia"/>
                <w:b/>
              </w:rPr>
              <w:t>（二）免费保修期外售后服务要求</w:t>
            </w:r>
          </w:p>
        </w:tc>
      </w:tr>
      <w:tr w14:paraId="2EFDF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10" w:type="dxa"/>
          </w:tcPr>
          <w:p w14:paraId="435B70CD">
            <w:pPr>
              <w:jc w:val="center"/>
              <w:rPr>
                <w:bCs/>
              </w:rPr>
            </w:pPr>
            <w:r>
              <w:rPr>
                <w:rFonts w:hint="eastAsia"/>
              </w:rPr>
              <w:t>1</w:t>
            </w:r>
          </w:p>
        </w:tc>
        <w:tc>
          <w:tcPr>
            <w:tcW w:w="1408" w:type="dxa"/>
          </w:tcPr>
          <w:p w14:paraId="27FCAF82">
            <w:pPr>
              <w:jc w:val="center"/>
            </w:pPr>
            <w:r>
              <w:rPr>
                <w:rFonts w:hint="eastAsia"/>
              </w:rPr>
              <w:t>****</w:t>
            </w:r>
          </w:p>
        </w:tc>
        <w:tc>
          <w:tcPr>
            <w:tcW w:w="4918" w:type="dxa"/>
          </w:tcPr>
          <w:p w14:paraId="65BF724B">
            <w:pPr>
              <w:jc w:val="center"/>
            </w:pPr>
            <w:r>
              <w:rPr>
                <w:rFonts w:hint="eastAsia"/>
              </w:rPr>
              <w:t>（填写相关内容）</w:t>
            </w:r>
          </w:p>
        </w:tc>
        <w:tc>
          <w:tcPr>
            <w:tcW w:w="973" w:type="dxa"/>
          </w:tcPr>
          <w:p w14:paraId="619C18B5">
            <w:pPr>
              <w:rPr>
                <w:bCs/>
                <w:szCs w:val="21"/>
              </w:rPr>
            </w:pPr>
          </w:p>
        </w:tc>
        <w:tc>
          <w:tcPr>
            <w:tcW w:w="642" w:type="dxa"/>
          </w:tcPr>
          <w:p w14:paraId="516E03D4">
            <w:pPr>
              <w:rPr>
                <w:bCs/>
                <w:szCs w:val="21"/>
              </w:rPr>
            </w:pPr>
          </w:p>
        </w:tc>
        <w:tc>
          <w:tcPr>
            <w:tcW w:w="540" w:type="dxa"/>
          </w:tcPr>
          <w:p w14:paraId="49680FB7">
            <w:pPr>
              <w:rPr>
                <w:bCs/>
                <w:szCs w:val="21"/>
              </w:rPr>
            </w:pPr>
          </w:p>
        </w:tc>
      </w:tr>
      <w:tr w14:paraId="456AA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9091" w:type="dxa"/>
            <w:gridSpan w:val="6"/>
          </w:tcPr>
          <w:p w14:paraId="2C7D6D43">
            <w:pPr>
              <w:rPr>
                <w:bCs/>
                <w:szCs w:val="21"/>
              </w:rPr>
            </w:pPr>
            <w:r>
              <w:rPr>
                <w:rFonts w:hint="eastAsia"/>
                <w:b/>
              </w:rPr>
              <w:t>（三）其他商务要求</w:t>
            </w:r>
          </w:p>
        </w:tc>
      </w:tr>
      <w:tr w14:paraId="029D1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10" w:type="dxa"/>
          </w:tcPr>
          <w:p w14:paraId="4973D56A">
            <w:pPr>
              <w:jc w:val="center"/>
            </w:pPr>
            <w:r>
              <w:rPr>
                <w:rFonts w:hint="eastAsia"/>
              </w:rPr>
              <w:t>1</w:t>
            </w:r>
          </w:p>
        </w:tc>
        <w:tc>
          <w:tcPr>
            <w:tcW w:w="1408" w:type="dxa"/>
          </w:tcPr>
          <w:p w14:paraId="41E5AF0F">
            <w:pPr>
              <w:jc w:val="center"/>
            </w:pPr>
            <w:r>
              <w:rPr>
                <w:rFonts w:hint="eastAsia"/>
              </w:rPr>
              <w:t>****</w:t>
            </w:r>
          </w:p>
        </w:tc>
        <w:tc>
          <w:tcPr>
            <w:tcW w:w="4918" w:type="dxa"/>
          </w:tcPr>
          <w:p w14:paraId="1A1173F3">
            <w:pPr>
              <w:jc w:val="center"/>
            </w:pPr>
            <w:r>
              <w:rPr>
                <w:rFonts w:hint="eastAsia"/>
              </w:rPr>
              <w:t>（填写相关内容）</w:t>
            </w:r>
          </w:p>
        </w:tc>
        <w:tc>
          <w:tcPr>
            <w:tcW w:w="973" w:type="dxa"/>
          </w:tcPr>
          <w:p w14:paraId="2E23EFFB">
            <w:pPr>
              <w:rPr>
                <w:bCs/>
                <w:szCs w:val="21"/>
              </w:rPr>
            </w:pPr>
          </w:p>
        </w:tc>
        <w:tc>
          <w:tcPr>
            <w:tcW w:w="642" w:type="dxa"/>
          </w:tcPr>
          <w:p w14:paraId="359A88FD">
            <w:pPr>
              <w:rPr>
                <w:bCs/>
                <w:szCs w:val="21"/>
              </w:rPr>
            </w:pPr>
          </w:p>
        </w:tc>
        <w:tc>
          <w:tcPr>
            <w:tcW w:w="540" w:type="dxa"/>
          </w:tcPr>
          <w:p w14:paraId="0B5F35D6">
            <w:pPr>
              <w:rPr>
                <w:bCs/>
                <w:szCs w:val="21"/>
              </w:rPr>
            </w:pPr>
          </w:p>
        </w:tc>
      </w:tr>
    </w:tbl>
    <w:p w14:paraId="445581EB">
      <w:pPr>
        <w:ind w:firstLine="420" w:firstLineChars="200"/>
        <w:rPr>
          <w:bCs/>
          <w:szCs w:val="21"/>
        </w:rPr>
      </w:pPr>
      <w:r>
        <w:rPr>
          <w:rFonts w:hint="eastAsia"/>
          <w:bCs/>
          <w:szCs w:val="21"/>
        </w:rPr>
        <w:t>《商务要求偏离表》编制指引：</w:t>
      </w:r>
    </w:p>
    <w:p w14:paraId="12DDF189">
      <w:pPr>
        <w:ind w:firstLine="420" w:firstLineChars="200"/>
        <w:rPr>
          <w:bCs/>
          <w:szCs w:val="21"/>
        </w:rPr>
      </w:pPr>
      <w:r>
        <w:rPr>
          <w:rFonts w:hint="eastAsia"/>
          <w:bCs/>
          <w:szCs w:val="21"/>
        </w:rPr>
        <w:t>1、商务要求偏离表的序号、商务需求项、招标商务要求等栏目对应“用户需求书”中的“商务要求”章节相关内容。</w:t>
      </w:r>
    </w:p>
    <w:p w14:paraId="33BDB783">
      <w:pPr>
        <w:ind w:firstLine="420" w:firstLineChars="200"/>
        <w:rPr>
          <w:bCs/>
          <w:szCs w:val="21"/>
        </w:rPr>
      </w:pPr>
      <w:r>
        <w:rPr>
          <w:bCs/>
          <w:szCs w:val="21"/>
        </w:rPr>
        <w:t>2</w:t>
      </w:r>
      <w:r>
        <w:rPr>
          <w:rFonts w:hint="eastAsia"/>
          <w:bCs/>
          <w:szCs w:val="21"/>
        </w:rPr>
        <w:t>、“投标商务响应”一栏必须一一对照“招标商务要求”，详细填写自身响应情况，而不能不合理照搬照抄招标文件的商务要求，以体现具体响应情况。</w:t>
      </w:r>
    </w:p>
    <w:p w14:paraId="52F8943C">
      <w:pPr>
        <w:ind w:firstLine="420" w:firstLineChars="200"/>
        <w:rPr>
          <w:bCs/>
          <w:color w:val="FF0000"/>
          <w:szCs w:val="21"/>
        </w:rPr>
      </w:pPr>
      <w:r>
        <w:rPr>
          <w:bCs/>
          <w:szCs w:val="21"/>
        </w:rPr>
        <w:t>3</w:t>
      </w:r>
      <w:r>
        <w:rPr>
          <w:rFonts w:hint="eastAsia"/>
          <w:bCs/>
          <w:szCs w:val="21"/>
        </w:rPr>
        <w:t>、“偏离情况”一栏填写如实填写“正偏离”、“负偏离”或“无偏离”，其中：“正偏离”表示“投标响应优于招标商务要求”，“负偏离”表示“投标响应不满足招标商务要求”，“无偏离”表示“投标响应与招标商务要求一致”。</w:t>
      </w:r>
    </w:p>
    <w:p w14:paraId="7FFABE82">
      <w:pPr>
        <w:rPr>
          <w:bCs/>
          <w:szCs w:val="21"/>
        </w:rPr>
      </w:pPr>
      <w:r>
        <w:rPr>
          <w:rFonts w:hint="eastAsia"/>
          <w:bCs/>
          <w:szCs w:val="21"/>
        </w:rPr>
        <w:t>“投标商务响应”对比“招标商务要求”存在响应不全（包括未响应整项招标商务要求或者未响应一项招标商务要求的部分内容），均视为“负偏离”。</w:t>
      </w:r>
    </w:p>
    <w:p w14:paraId="1E82B8DB">
      <w:pPr>
        <w:ind w:firstLine="420" w:firstLineChars="200"/>
        <w:rPr>
          <w:bCs/>
          <w:szCs w:val="21"/>
        </w:rPr>
      </w:pPr>
      <w:r>
        <w:rPr>
          <w:rFonts w:hint="eastAsia"/>
          <w:bCs/>
          <w:szCs w:val="21"/>
        </w:rPr>
        <w:t>4、带★号条款为不可偏离条款，如未响应或出现负偏离的，将作投标无效处理。</w:t>
      </w:r>
    </w:p>
    <w:p w14:paraId="12ADA412">
      <w:pPr>
        <w:widowControl/>
        <w:jc w:val="left"/>
        <w:rPr>
          <w:rFonts w:hint="eastAsia" w:ascii="宋体" w:hAnsi="宋体" w:eastAsia="宋体" w:cs="Times New Roman"/>
          <w:color w:val="FF0000"/>
          <w:sz w:val="32"/>
          <w:szCs w:val="32"/>
        </w:rPr>
      </w:pPr>
      <w:r>
        <w:rPr>
          <w:rFonts w:ascii="宋体" w:hAnsi="宋体" w:eastAsia="宋体" w:cs="Times New Roman"/>
          <w:color w:val="FF0000"/>
          <w:sz w:val="32"/>
          <w:szCs w:val="32"/>
        </w:rPr>
        <w:br w:type="page"/>
      </w:r>
    </w:p>
    <w:p w14:paraId="559E1C01">
      <w:pPr>
        <w:pStyle w:val="4"/>
        <w:jc w:val="center"/>
        <w:rPr>
          <w:rFonts w:hint="eastAsia"/>
          <w:sz w:val="24"/>
        </w:rPr>
      </w:pPr>
      <w:r>
        <w:rPr>
          <w:rFonts w:hint="eastAsia" w:ascii="黑体" w:eastAsia="黑体"/>
          <w:b w:val="0"/>
          <w:sz w:val="24"/>
          <w:szCs w:val="24"/>
        </w:rPr>
        <w:t>五、技术要求偏离表</w:t>
      </w:r>
    </w:p>
    <w:tbl>
      <w:tblPr>
        <w:tblStyle w:val="17"/>
        <w:tblW w:w="8754" w:type="dxa"/>
        <w:tblInd w:w="-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
        <w:gridCol w:w="772"/>
        <w:gridCol w:w="3795"/>
        <w:gridCol w:w="2623"/>
        <w:gridCol w:w="710"/>
        <w:gridCol w:w="390"/>
      </w:tblGrid>
      <w:tr w14:paraId="4229C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464" w:type="dxa"/>
            <w:vAlign w:val="center"/>
          </w:tcPr>
          <w:p w14:paraId="1A7643B8">
            <w:pPr>
              <w:jc w:val="center"/>
              <w:rPr>
                <w:color w:val="000000" w:themeColor="text1"/>
                <w:szCs w:val="21"/>
                <w14:textFill>
                  <w14:solidFill>
                    <w14:schemeClr w14:val="tx1"/>
                  </w14:solidFill>
                </w14:textFill>
              </w:rPr>
            </w:pPr>
            <w:r>
              <w:rPr>
                <w:rFonts w:hint="eastAsia"/>
                <w:sz w:val="24"/>
              </w:rPr>
              <w:t>序号</w:t>
            </w:r>
          </w:p>
        </w:tc>
        <w:tc>
          <w:tcPr>
            <w:tcW w:w="772" w:type="dxa"/>
            <w:vAlign w:val="center"/>
          </w:tcPr>
          <w:p w14:paraId="50253058">
            <w:pPr>
              <w:jc w:val="center"/>
              <w:rPr>
                <w:color w:val="000000" w:themeColor="text1"/>
                <w:szCs w:val="21"/>
                <w14:textFill>
                  <w14:solidFill>
                    <w14:schemeClr w14:val="tx1"/>
                  </w14:solidFill>
                </w14:textFill>
              </w:rPr>
            </w:pPr>
            <w:r>
              <w:rPr>
                <w:rFonts w:hint="eastAsia"/>
                <w:sz w:val="24"/>
              </w:rPr>
              <w:t>货物名称</w:t>
            </w:r>
          </w:p>
        </w:tc>
        <w:tc>
          <w:tcPr>
            <w:tcW w:w="3795" w:type="dxa"/>
            <w:vAlign w:val="center"/>
          </w:tcPr>
          <w:p w14:paraId="1EC718AE">
            <w:pPr>
              <w:jc w:val="center"/>
              <w:rPr>
                <w:color w:val="000000" w:themeColor="text1"/>
                <w:szCs w:val="21"/>
                <w14:textFill>
                  <w14:solidFill>
                    <w14:schemeClr w14:val="tx1"/>
                  </w14:solidFill>
                </w14:textFill>
              </w:rPr>
            </w:pPr>
            <w:r>
              <w:rPr>
                <w:rFonts w:hint="eastAsia"/>
                <w:sz w:val="24"/>
              </w:rPr>
              <w:t>招标技术要求</w:t>
            </w:r>
          </w:p>
        </w:tc>
        <w:tc>
          <w:tcPr>
            <w:tcW w:w="2623" w:type="dxa"/>
            <w:vAlign w:val="center"/>
          </w:tcPr>
          <w:p w14:paraId="5E68A6CA">
            <w:pPr>
              <w:jc w:val="center"/>
              <w:rPr>
                <w:color w:val="000000" w:themeColor="text1"/>
                <w:szCs w:val="21"/>
                <w14:textFill>
                  <w14:solidFill>
                    <w14:schemeClr w14:val="tx1"/>
                  </w14:solidFill>
                </w14:textFill>
              </w:rPr>
            </w:pPr>
            <w:r>
              <w:rPr>
                <w:rFonts w:hint="eastAsia"/>
                <w:sz w:val="24"/>
              </w:rPr>
              <w:t>投标技术响应</w:t>
            </w:r>
          </w:p>
        </w:tc>
        <w:tc>
          <w:tcPr>
            <w:tcW w:w="710" w:type="dxa"/>
            <w:vAlign w:val="center"/>
          </w:tcPr>
          <w:p w14:paraId="0011C72C">
            <w:pPr>
              <w:jc w:val="center"/>
              <w:rPr>
                <w:color w:val="000000" w:themeColor="text1"/>
                <w:szCs w:val="21"/>
                <w14:textFill>
                  <w14:solidFill>
                    <w14:schemeClr w14:val="tx1"/>
                  </w14:solidFill>
                </w14:textFill>
              </w:rPr>
            </w:pPr>
            <w:r>
              <w:rPr>
                <w:rFonts w:hint="eastAsia"/>
                <w:sz w:val="24"/>
              </w:rPr>
              <w:t>偏离情况</w:t>
            </w:r>
          </w:p>
        </w:tc>
        <w:tc>
          <w:tcPr>
            <w:tcW w:w="390" w:type="dxa"/>
            <w:vAlign w:val="center"/>
          </w:tcPr>
          <w:p w14:paraId="3422B4DE">
            <w:pPr>
              <w:jc w:val="center"/>
              <w:rPr>
                <w:color w:val="000000" w:themeColor="text1"/>
                <w:szCs w:val="21"/>
                <w14:textFill>
                  <w14:solidFill>
                    <w14:schemeClr w14:val="tx1"/>
                  </w14:solidFill>
                </w14:textFill>
              </w:rPr>
            </w:pPr>
            <w:r>
              <w:rPr>
                <w:rFonts w:hint="eastAsia"/>
                <w:sz w:val="24"/>
              </w:rPr>
              <w:t>说明</w:t>
            </w:r>
          </w:p>
        </w:tc>
      </w:tr>
      <w:tr w14:paraId="0BE2A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4" w:type="dxa"/>
            <w:vMerge w:val="restart"/>
            <w:vAlign w:val="center"/>
          </w:tcPr>
          <w:p w14:paraId="417E9133">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772" w:type="dxa"/>
            <w:vMerge w:val="restart"/>
            <w:vAlign w:val="center"/>
          </w:tcPr>
          <w:p w14:paraId="186B2D54">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设备</w:t>
            </w:r>
          </w:p>
        </w:tc>
        <w:tc>
          <w:tcPr>
            <w:tcW w:w="3795" w:type="dxa"/>
          </w:tcPr>
          <w:p w14:paraId="56313DE6">
            <w:pPr>
              <w:jc w:val="center"/>
              <w:rPr>
                <w:color w:val="000000" w:themeColor="text1"/>
                <w:szCs w:val="21"/>
                <w14:textFill>
                  <w14:solidFill>
                    <w14:schemeClr w14:val="tx1"/>
                  </w14:solidFill>
                </w14:textFill>
              </w:rPr>
            </w:pPr>
            <w:r>
              <w:rPr>
                <w:rFonts w:hint="eastAsia"/>
              </w:rPr>
              <w:t>（填写相关内容）</w:t>
            </w:r>
          </w:p>
        </w:tc>
        <w:tc>
          <w:tcPr>
            <w:tcW w:w="2623" w:type="dxa"/>
          </w:tcPr>
          <w:p w14:paraId="0E8B4644">
            <w:pPr>
              <w:rPr>
                <w:color w:val="000000" w:themeColor="text1"/>
                <w:szCs w:val="21"/>
                <w14:textFill>
                  <w14:solidFill>
                    <w14:schemeClr w14:val="tx1"/>
                  </w14:solidFill>
                </w14:textFill>
              </w:rPr>
            </w:pPr>
          </w:p>
        </w:tc>
        <w:tc>
          <w:tcPr>
            <w:tcW w:w="710" w:type="dxa"/>
          </w:tcPr>
          <w:p w14:paraId="02081C38">
            <w:pPr>
              <w:rPr>
                <w:color w:val="000000" w:themeColor="text1"/>
                <w:szCs w:val="21"/>
                <w14:textFill>
                  <w14:solidFill>
                    <w14:schemeClr w14:val="tx1"/>
                  </w14:solidFill>
                </w14:textFill>
              </w:rPr>
            </w:pPr>
          </w:p>
        </w:tc>
        <w:tc>
          <w:tcPr>
            <w:tcW w:w="390" w:type="dxa"/>
          </w:tcPr>
          <w:p w14:paraId="07B33BCD">
            <w:pPr>
              <w:rPr>
                <w:color w:val="000000" w:themeColor="text1"/>
                <w:szCs w:val="21"/>
                <w14:textFill>
                  <w14:solidFill>
                    <w14:schemeClr w14:val="tx1"/>
                  </w14:solidFill>
                </w14:textFill>
              </w:rPr>
            </w:pPr>
          </w:p>
        </w:tc>
      </w:tr>
      <w:tr w14:paraId="6BC7A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4" w:type="dxa"/>
            <w:vMerge w:val="continue"/>
            <w:vAlign w:val="center"/>
          </w:tcPr>
          <w:p w14:paraId="03AF08A6">
            <w:pPr>
              <w:jc w:val="center"/>
              <w:rPr>
                <w:color w:val="000000" w:themeColor="text1"/>
                <w:szCs w:val="21"/>
                <w14:textFill>
                  <w14:solidFill>
                    <w14:schemeClr w14:val="tx1"/>
                  </w14:solidFill>
                </w14:textFill>
              </w:rPr>
            </w:pPr>
          </w:p>
        </w:tc>
        <w:tc>
          <w:tcPr>
            <w:tcW w:w="772" w:type="dxa"/>
            <w:vMerge w:val="continue"/>
            <w:vAlign w:val="center"/>
          </w:tcPr>
          <w:p w14:paraId="29F7396F">
            <w:pPr>
              <w:jc w:val="center"/>
              <w:rPr>
                <w:color w:val="000000" w:themeColor="text1"/>
                <w:szCs w:val="21"/>
                <w14:textFill>
                  <w14:solidFill>
                    <w14:schemeClr w14:val="tx1"/>
                  </w14:solidFill>
                </w14:textFill>
              </w:rPr>
            </w:pPr>
          </w:p>
        </w:tc>
        <w:tc>
          <w:tcPr>
            <w:tcW w:w="3795" w:type="dxa"/>
          </w:tcPr>
          <w:p w14:paraId="1B5FCD4A">
            <w:pPr>
              <w:jc w:val="center"/>
              <w:rPr>
                <w:color w:val="000000" w:themeColor="text1"/>
                <w:szCs w:val="21"/>
                <w14:textFill>
                  <w14:solidFill>
                    <w14:schemeClr w14:val="tx1"/>
                  </w14:solidFill>
                </w14:textFill>
              </w:rPr>
            </w:pPr>
            <w:r>
              <w:rPr>
                <w:rFonts w:hint="eastAsia"/>
              </w:rPr>
              <w:t>（填写相关内容）</w:t>
            </w:r>
          </w:p>
        </w:tc>
        <w:tc>
          <w:tcPr>
            <w:tcW w:w="2623" w:type="dxa"/>
          </w:tcPr>
          <w:p w14:paraId="184F46EC">
            <w:pPr>
              <w:rPr>
                <w:color w:val="000000" w:themeColor="text1"/>
                <w:szCs w:val="21"/>
                <w14:textFill>
                  <w14:solidFill>
                    <w14:schemeClr w14:val="tx1"/>
                  </w14:solidFill>
                </w14:textFill>
              </w:rPr>
            </w:pPr>
          </w:p>
        </w:tc>
        <w:tc>
          <w:tcPr>
            <w:tcW w:w="710" w:type="dxa"/>
          </w:tcPr>
          <w:p w14:paraId="6BE5D2AA">
            <w:pPr>
              <w:rPr>
                <w:color w:val="000000" w:themeColor="text1"/>
                <w:szCs w:val="21"/>
                <w14:textFill>
                  <w14:solidFill>
                    <w14:schemeClr w14:val="tx1"/>
                  </w14:solidFill>
                </w14:textFill>
              </w:rPr>
            </w:pPr>
          </w:p>
        </w:tc>
        <w:tc>
          <w:tcPr>
            <w:tcW w:w="390" w:type="dxa"/>
          </w:tcPr>
          <w:p w14:paraId="25191CEC">
            <w:pPr>
              <w:rPr>
                <w:color w:val="000000" w:themeColor="text1"/>
                <w:szCs w:val="21"/>
                <w14:textFill>
                  <w14:solidFill>
                    <w14:schemeClr w14:val="tx1"/>
                  </w14:solidFill>
                </w14:textFill>
              </w:rPr>
            </w:pPr>
          </w:p>
        </w:tc>
      </w:tr>
      <w:tr w14:paraId="1CCC3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4" w:type="dxa"/>
            <w:vMerge w:val="continue"/>
            <w:vAlign w:val="center"/>
          </w:tcPr>
          <w:p w14:paraId="5978D87E">
            <w:pPr>
              <w:jc w:val="center"/>
              <w:rPr>
                <w:color w:val="000000" w:themeColor="text1"/>
                <w:szCs w:val="21"/>
                <w14:textFill>
                  <w14:solidFill>
                    <w14:schemeClr w14:val="tx1"/>
                  </w14:solidFill>
                </w14:textFill>
              </w:rPr>
            </w:pPr>
          </w:p>
        </w:tc>
        <w:tc>
          <w:tcPr>
            <w:tcW w:w="772" w:type="dxa"/>
            <w:vMerge w:val="continue"/>
            <w:vAlign w:val="center"/>
          </w:tcPr>
          <w:p w14:paraId="6165EBB2">
            <w:pPr>
              <w:jc w:val="center"/>
              <w:rPr>
                <w:color w:val="000000" w:themeColor="text1"/>
                <w:szCs w:val="21"/>
                <w14:textFill>
                  <w14:solidFill>
                    <w14:schemeClr w14:val="tx1"/>
                  </w14:solidFill>
                </w14:textFill>
              </w:rPr>
            </w:pPr>
          </w:p>
        </w:tc>
        <w:tc>
          <w:tcPr>
            <w:tcW w:w="3795" w:type="dxa"/>
          </w:tcPr>
          <w:p w14:paraId="107B2DA1">
            <w:pPr>
              <w:jc w:val="center"/>
              <w:rPr>
                <w:color w:val="000000" w:themeColor="text1"/>
                <w:szCs w:val="21"/>
                <w14:textFill>
                  <w14:solidFill>
                    <w14:schemeClr w14:val="tx1"/>
                  </w14:solidFill>
                </w14:textFill>
              </w:rPr>
            </w:pPr>
            <w:r>
              <w:rPr>
                <w:rFonts w:hint="eastAsia"/>
              </w:rPr>
              <w:t>（填写相关内容）</w:t>
            </w:r>
          </w:p>
        </w:tc>
        <w:tc>
          <w:tcPr>
            <w:tcW w:w="2623" w:type="dxa"/>
          </w:tcPr>
          <w:p w14:paraId="22BA11AB">
            <w:pPr>
              <w:rPr>
                <w:color w:val="000000" w:themeColor="text1"/>
                <w:szCs w:val="21"/>
                <w14:textFill>
                  <w14:solidFill>
                    <w14:schemeClr w14:val="tx1"/>
                  </w14:solidFill>
                </w14:textFill>
              </w:rPr>
            </w:pPr>
          </w:p>
        </w:tc>
        <w:tc>
          <w:tcPr>
            <w:tcW w:w="710" w:type="dxa"/>
          </w:tcPr>
          <w:p w14:paraId="0EFB4677">
            <w:pPr>
              <w:rPr>
                <w:color w:val="000000" w:themeColor="text1"/>
                <w:szCs w:val="21"/>
                <w14:textFill>
                  <w14:solidFill>
                    <w14:schemeClr w14:val="tx1"/>
                  </w14:solidFill>
                </w14:textFill>
              </w:rPr>
            </w:pPr>
          </w:p>
        </w:tc>
        <w:tc>
          <w:tcPr>
            <w:tcW w:w="390" w:type="dxa"/>
          </w:tcPr>
          <w:p w14:paraId="03F5CE36">
            <w:pPr>
              <w:rPr>
                <w:color w:val="000000" w:themeColor="text1"/>
                <w:szCs w:val="21"/>
                <w14:textFill>
                  <w14:solidFill>
                    <w14:schemeClr w14:val="tx1"/>
                  </w14:solidFill>
                </w14:textFill>
              </w:rPr>
            </w:pPr>
          </w:p>
        </w:tc>
      </w:tr>
      <w:tr w14:paraId="34E68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4" w:type="dxa"/>
            <w:vMerge w:val="continue"/>
            <w:vAlign w:val="center"/>
          </w:tcPr>
          <w:p w14:paraId="4BEB3A7D">
            <w:pPr>
              <w:jc w:val="center"/>
              <w:rPr>
                <w:color w:val="000000" w:themeColor="text1"/>
                <w:szCs w:val="21"/>
                <w14:textFill>
                  <w14:solidFill>
                    <w14:schemeClr w14:val="tx1"/>
                  </w14:solidFill>
                </w14:textFill>
              </w:rPr>
            </w:pPr>
          </w:p>
        </w:tc>
        <w:tc>
          <w:tcPr>
            <w:tcW w:w="772" w:type="dxa"/>
            <w:vMerge w:val="continue"/>
            <w:vAlign w:val="center"/>
          </w:tcPr>
          <w:p w14:paraId="6F99FBDD">
            <w:pPr>
              <w:jc w:val="center"/>
              <w:rPr>
                <w:color w:val="000000" w:themeColor="text1"/>
                <w:szCs w:val="21"/>
                <w14:textFill>
                  <w14:solidFill>
                    <w14:schemeClr w14:val="tx1"/>
                  </w14:solidFill>
                </w14:textFill>
              </w:rPr>
            </w:pPr>
          </w:p>
        </w:tc>
        <w:tc>
          <w:tcPr>
            <w:tcW w:w="3795" w:type="dxa"/>
          </w:tcPr>
          <w:p w14:paraId="29D2B832">
            <w:pPr>
              <w:jc w:val="center"/>
              <w:rPr>
                <w:color w:val="000000" w:themeColor="text1"/>
                <w:szCs w:val="21"/>
                <w14:textFill>
                  <w14:solidFill>
                    <w14:schemeClr w14:val="tx1"/>
                  </w14:solidFill>
                </w14:textFill>
              </w:rPr>
            </w:pPr>
            <w:r>
              <w:rPr>
                <w:rFonts w:hint="eastAsia"/>
              </w:rPr>
              <w:t>（填写相关内容）</w:t>
            </w:r>
          </w:p>
        </w:tc>
        <w:tc>
          <w:tcPr>
            <w:tcW w:w="2623" w:type="dxa"/>
          </w:tcPr>
          <w:p w14:paraId="47B5FDC6">
            <w:pPr>
              <w:rPr>
                <w:color w:val="000000" w:themeColor="text1"/>
                <w:szCs w:val="21"/>
                <w14:textFill>
                  <w14:solidFill>
                    <w14:schemeClr w14:val="tx1"/>
                  </w14:solidFill>
                </w14:textFill>
              </w:rPr>
            </w:pPr>
          </w:p>
        </w:tc>
        <w:tc>
          <w:tcPr>
            <w:tcW w:w="710" w:type="dxa"/>
          </w:tcPr>
          <w:p w14:paraId="6FB493C1">
            <w:pPr>
              <w:rPr>
                <w:color w:val="000000" w:themeColor="text1"/>
                <w:szCs w:val="21"/>
                <w14:textFill>
                  <w14:solidFill>
                    <w14:schemeClr w14:val="tx1"/>
                  </w14:solidFill>
                </w14:textFill>
              </w:rPr>
            </w:pPr>
          </w:p>
        </w:tc>
        <w:tc>
          <w:tcPr>
            <w:tcW w:w="390" w:type="dxa"/>
          </w:tcPr>
          <w:p w14:paraId="318D6E56">
            <w:pPr>
              <w:rPr>
                <w:color w:val="000000" w:themeColor="text1"/>
                <w:szCs w:val="21"/>
                <w14:textFill>
                  <w14:solidFill>
                    <w14:schemeClr w14:val="tx1"/>
                  </w14:solidFill>
                </w14:textFill>
              </w:rPr>
            </w:pPr>
          </w:p>
        </w:tc>
      </w:tr>
      <w:tr w14:paraId="4886F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4" w:type="dxa"/>
            <w:vMerge w:val="continue"/>
            <w:vAlign w:val="center"/>
          </w:tcPr>
          <w:p w14:paraId="19840F7B">
            <w:pPr>
              <w:jc w:val="center"/>
              <w:rPr>
                <w:color w:val="000000" w:themeColor="text1"/>
                <w:szCs w:val="21"/>
                <w14:textFill>
                  <w14:solidFill>
                    <w14:schemeClr w14:val="tx1"/>
                  </w14:solidFill>
                </w14:textFill>
              </w:rPr>
            </w:pPr>
          </w:p>
        </w:tc>
        <w:tc>
          <w:tcPr>
            <w:tcW w:w="772" w:type="dxa"/>
            <w:vMerge w:val="continue"/>
            <w:vAlign w:val="center"/>
          </w:tcPr>
          <w:p w14:paraId="0916945A">
            <w:pPr>
              <w:jc w:val="center"/>
              <w:rPr>
                <w:color w:val="000000" w:themeColor="text1"/>
                <w:szCs w:val="21"/>
                <w14:textFill>
                  <w14:solidFill>
                    <w14:schemeClr w14:val="tx1"/>
                  </w14:solidFill>
                </w14:textFill>
              </w:rPr>
            </w:pPr>
          </w:p>
        </w:tc>
        <w:tc>
          <w:tcPr>
            <w:tcW w:w="3795" w:type="dxa"/>
          </w:tcPr>
          <w:p w14:paraId="3D8B6435">
            <w:pPr>
              <w:jc w:val="center"/>
              <w:rPr>
                <w:color w:val="000000" w:themeColor="text1"/>
                <w:szCs w:val="21"/>
                <w14:textFill>
                  <w14:solidFill>
                    <w14:schemeClr w14:val="tx1"/>
                  </w14:solidFill>
                </w14:textFill>
              </w:rPr>
            </w:pPr>
            <w:r>
              <w:rPr>
                <w:rFonts w:hint="eastAsia"/>
              </w:rPr>
              <w:t>（填写相关内容）</w:t>
            </w:r>
          </w:p>
        </w:tc>
        <w:tc>
          <w:tcPr>
            <w:tcW w:w="2623" w:type="dxa"/>
          </w:tcPr>
          <w:p w14:paraId="1228F3A0">
            <w:pPr>
              <w:rPr>
                <w:rStyle w:val="20"/>
                <w:b w:val="0"/>
                <w:bCs w:val="0"/>
                <w:color w:val="000000" w:themeColor="text1"/>
                <w:szCs w:val="21"/>
                <w14:textFill>
                  <w14:solidFill>
                    <w14:schemeClr w14:val="tx1"/>
                  </w14:solidFill>
                </w14:textFill>
              </w:rPr>
            </w:pPr>
          </w:p>
        </w:tc>
        <w:tc>
          <w:tcPr>
            <w:tcW w:w="710" w:type="dxa"/>
          </w:tcPr>
          <w:p w14:paraId="1080CFD1">
            <w:pPr>
              <w:rPr>
                <w:rStyle w:val="20"/>
                <w:b w:val="0"/>
                <w:bCs w:val="0"/>
                <w:color w:val="000000" w:themeColor="text1"/>
                <w:szCs w:val="21"/>
                <w14:textFill>
                  <w14:solidFill>
                    <w14:schemeClr w14:val="tx1"/>
                  </w14:solidFill>
                </w14:textFill>
              </w:rPr>
            </w:pPr>
          </w:p>
        </w:tc>
        <w:tc>
          <w:tcPr>
            <w:tcW w:w="390" w:type="dxa"/>
          </w:tcPr>
          <w:p w14:paraId="0953D5EE">
            <w:pPr>
              <w:rPr>
                <w:rStyle w:val="20"/>
                <w:b w:val="0"/>
                <w:bCs w:val="0"/>
                <w:color w:val="000000" w:themeColor="text1"/>
                <w:szCs w:val="21"/>
                <w14:textFill>
                  <w14:solidFill>
                    <w14:schemeClr w14:val="tx1"/>
                  </w14:solidFill>
                </w14:textFill>
              </w:rPr>
            </w:pPr>
          </w:p>
        </w:tc>
      </w:tr>
      <w:tr w14:paraId="4A788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4" w:type="dxa"/>
            <w:vMerge w:val="continue"/>
            <w:vAlign w:val="center"/>
          </w:tcPr>
          <w:p w14:paraId="7EA5C715">
            <w:pPr>
              <w:jc w:val="center"/>
              <w:rPr>
                <w:color w:val="000000" w:themeColor="text1"/>
                <w:szCs w:val="21"/>
                <w14:textFill>
                  <w14:solidFill>
                    <w14:schemeClr w14:val="tx1"/>
                  </w14:solidFill>
                </w14:textFill>
              </w:rPr>
            </w:pPr>
          </w:p>
        </w:tc>
        <w:tc>
          <w:tcPr>
            <w:tcW w:w="772" w:type="dxa"/>
            <w:vMerge w:val="continue"/>
            <w:vAlign w:val="center"/>
          </w:tcPr>
          <w:p w14:paraId="4073A58F">
            <w:pPr>
              <w:jc w:val="center"/>
              <w:rPr>
                <w:color w:val="000000" w:themeColor="text1"/>
                <w:szCs w:val="21"/>
                <w14:textFill>
                  <w14:solidFill>
                    <w14:schemeClr w14:val="tx1"/>
                  </w14:solidFill>
                </w14:textFill>
              </w:rPr>
            </w:pPr>
          </w:p>
        </w:tc>
        <w:tc>
          <w:tcPr>
            <w:tcW w:w="3795" w:type="dxa"/>
          </w:tcPr>
          <w:p w14:paraId="125F616C">
            <w:pPr>
              <w:jc w:val="center"/>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tc>
        <w:tc>
          <w:tcPr>
            <w:tcW w:w="2623" w:type="dxa"/>
          </w:tcPr>
          <w:p w14:paraId="0BCDA17E">
            <w:pPr>
              <w:rPr>
                <w:color w:val="000000" w:themeColor="text1"/>
                <w:szCs w:val="21"/>
                <w14:textFill>
                  <w14:solidFill>
                    <w14:schemeClr w14:val="tx1"/>
                  </w14:solidFill>
                </w14:textFill>
              </w:rPr>
            </w:pPr>
          </w:p>
        </w:tc>
        <w:tc>
          <w:tcPr>
            <w:tcW w:w="710" w:type="dxa"/>
          </w:tcPr>
          <w:p w14:paraId="02BAFBA8">
            <w:pPr>
              <w:rPr>
                <w:color w:val="000000" w:themeColor="text1"/>
                <w:szCs w:val="21"/>
                <w14:textFill>
                  <w14:solidFill>
                    <w14:schemeClr w14:val="tx1"/>
                  </w14:solidFill>
                </w14:textFill>
              </w:rPr>
            </w:pPr>
          </w:p>
        </w:tc>
        <w:tc>
          <w:tcPr>
            <w:tcW w:w="390" w:type="dxa"/>
          </w:tcPr>
          <w:p w14:paraId="15F389D3">
            <w:pPr>
              <w:rPr>
                <w:color w:val="000000" w:themeColor="text1"/>
                <w:szCs w:val="21"/>
                <w14:textFill>
                  <w14:solidFill>
                    <w14:schemeClr w14:val="tx1"/>
                  </w14:solidFill>
                </w14:textFill>
              </w:rPr>
            </w:pPr>
          </w:p>
        </w:tc>
      </w:tr>
      <w:tr w14:paraId="355F5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4" w:type="dxa"/>
            <w:vMerge w:val="continue"/>
            <w:vAlign w:val="center"/>
          </w:tcPr>
          <w:p w14:paraId="101B6577">
            <w:pPr>
              <w:jc w:val="center"/>
              <w:rPr>
                <w:color w:val="000000" w:themeColor="text1"/>
                <w:szCs w:val="21"/>
                <w14:textFill>
                  <w14:solidFill>
                    <w14:schemeClr w14:val="tx1"/>
                  </w14:solidFill>
                </w14:textFill>
              </w:rPr>
            </w:pPr>
          </w:p>
        </w:tc>
        <w:tc>
          <w:tcPr>
            <w:tcW w:w="772" w:type="dxa"/>
            <w:vMerge w:val="continue"/>
            <w:vAlign w:val="center"/>
          </w:tcPr>
          <w:p w14:paraId="5204FFA9">
            <w:pPr>
              <w:jc w:val="center"/>
              <w:rPr>
                <w:color w:val="000000" w:themeColor="text1"/>
                <w:szCs w:val="21"/>
                <w14:textFill>
                  <w14:solidFill>
                    <w14:schemeClr w14:val="tx1"/>
                  </w14:solidFill>
                </w14:textFill>
              </w:rPr>
            </w:pPr>
          </w:p>
        </w:tc>
        <w:tc>
          <w:tcPr>
            <w:tcW w:w="3795" w:type="dxa"/>
          </w:tcPr>
          <w:p w14:paraId="762C8959">
            <w:pPr>
              <w:jc w:val="center"/>
              <w:rPr>
                <w:b/>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tc>
        <w:tc>
          <w:tcPr>
            <w:tcW w:w="2623" w:type="dxa"/>
          </w:tcPr>
          <w:p w14:paraId="12316B20">
            <w:pPr>
              <w:rPr>
                <w:b/>
                <w:bCs/>
                <w:color w:val="FF0000"/>
                <w:szCs w:val="21"/>
              </w:rPr>
            </w:pPr>
          </w:p>
        </w:tc>
        <w:tc>
          <w:tcPr>
            <w:tcW w:w="710" w:type="dxa"/>
          </w:tcPr>
          <w:p w14:paraId="7E169A5A">
            <w:pPr>
              <w:rPr>
                <w:b/>
                <w:bCs/>
                <w:color w:val="FF0000"/>
                <w:szCs w:val="21"/>
              </w:rPr>
            </w:pPr>
          </w:p>
        </w:tc>
        <w:tc>
          <w:tcPr>
            <w:tcW w:w="390" w:type="dxa"/>
          </w:tcPr>
          <w:p w14:paraId="784C3C7E">
            <w:pPr>
              <w:rPr>
                <w:b/>
                <w:bCs/>
                <w:color w:val="FF0000"/>
                <w:szCs w:val="21"/>
              </w:rPr>
            </w:pPr>
          </w:p>
        </w:tc>
      </w:tr>
      <w:tr w14:paraId="1F711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4" w:type="dxa"/>
            <w:vMerge w:val="continue"/>
            <w:vAlign w:val="center"/>
          </w:tcPr>
          <w:p w14:paraId="440C5349">
            <w:pPr>
              <w:jc w:val="center"/>
              <w:rPr>
                <w:color w:val="000000" w:themeColor="text1"/>
                <w:szCs w:val="21"/>
                <w14:textFill>
                  <w14:solidFill>
                    <w14:schemeClr w14:val="tx1"/>
                  </w14:solidFill>
                </w14:textFill>
              </w:rPr>
            </w:pPr>
          </w:p>
        </w:tc>
        <w:tc>
          <w:tcPr>
            <w:tcW w:w="772" w:type="dxa"/>
            <w:vMerge w:val="continue"/>
            <w:vAlign w:val="center"/>
          </w:tcPr>
          <w:p w14:paraId="0A9D24AA">
            <w:pPr>
              <w:jc w:val="center"/>
              <w:rPr>
                <w:color w:val="000000" w:themeColor="text1"/>
                <w:szCs w:val="21"/>
                <w14:textFill>
                  <w14:solidFill>
                    <w14:schemeClr w14:val="tx1"/>
                  </w14:solidFill>
                </w14:textFill>
              </w:rPr>
            </w:pPr>
          </w:p>
        </w:tc>
        <w:tc>
          <w:tcPr>
            <w:tcW w:w="3795" w:type="dxa"/>
          </w:tcPr>
          <w:p w14:paraId="3C6A64AC">
            <w:pPr>
              <w:jc w:val="center"/>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tc>
        <w:tc>
          <w:tcPr>
            <w:tcW w:w="2623" w:type="dxa"/>
          </w:tcPr>
          <w:p w14:paraId="0264108A">
            <w:pPr>
              <w:rPr>
                <w:color w:val="000000" w:themeColor="text1"/>
                <w:szCs w:val="21"/>
                <w14:textFill>
                  <w14:solidFill>
                    <w14:schemeClr w14:val="tx1"/>
                  </w14:solidFill>
                </w14:textFill>
              </w:rPr>
            </w:pPr>
          </w:p>
        </w:tc>
        <w:tc>
          <w:tcPr>
            <w:tcW w:w="710" w:type="dxa"/>
          </w:tcPr>
          <w:p w14:paraId="3E4701D7">
            <w:pPr>
              <w:rPr>
                <w:color w:val="000000" w:themeColor="text1"/>
                <w:szCs w:val="21"/>
                <w14:textFill>
                  <w14:solidFill>
                    <w14:schemeClr w14:val="tx1"/>
                  </w14:solidFill>
                </w14:textFill>
              </w:rPr>
            </w:pPr>
          </w:p>
        </w:tc>
        <w:tc>
          <w:tcPr>
            <w:tcW w:w="390" w:type="dxa"/>
          </w:tcPr>
          <w:p w14:paraId="71660E6D">
            <w:pPr>
              <w:rPr>
                <w:color w:val="000000" w:themeColor="text1"/>
                <w:szCs w:val="21"/>
                <w14:textFill>
                  <w14:solidFill>
                    <w14:schemeClr w14:val="tx1"/>
                  </w14:solidFill>
                </w14:textFill>
              </w:rPr>
            </w:pPr>
          </w:p>
        </w:tc>
      </w:tr>
      <w:tr w14:paraId="5A366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464" w:type="dxa"/>
            <w:vMerge w:val="restart"/>
            <w:vAlign w:val="center"/>
          </w:tcPr>
          <w:p w14:paraId="3816313E">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p>
        </w:tc>
        <w:tc>
          <w:tcPr>
            <w:tcW w:w="772" w:type="dxa"/>
            <w:vMerge w:val="restart"/>
            <w:vAlign w:val="center"/>
          </w:tcPr>
          <w:p w14:paraId="6ED3A4EE">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设备</w:t>
            </w:r>
          </w:p>
        </w:tc>
        <w:tc>
          <w:tcPr>
            <w:tcW w:w="3795" w:type="dxa"/>
          </w:tcPr>
          <w:p w14:paraId="180727D3">
            <w:pPr>
              <w:jc w:val="center"/>
              <w:rPr>
                <w:b/>
                <w:bCs/>
                <w:color w:val="000000" w:themeColor="text1"/>
                <w:szCs w:val="21"/>
                <w14:textFill>
                  <w14:solidFill>
                    <w14:schemeClr w14:val="tx1"/>
                  </w14:solidFill>
                </w14:textFill>
              </w:rPr>
            </w:pPr>
            <w:r>
              <w:rPr>
                <w:rFonts w:hint="eastAsia"/>
              </w:rPr>
              <w:t>（填写相关内容）</w:t>
            </w:r>
          </w:p>
        </w:tc>
        <w:tc>
          <w:tcPr>
            <w:tcW w:w="2623" w:type="dxa"/>
          </w:tcPr>
          <w:p w14:paraId="2551F170">
            <w:pPr>
              <w:rPr>
                <w:b/>
                <w:bCs/>
                <w:color w:val="FF0000"/>
                <w:szCs w:val="21"/>
              </w:rPr>
            </w:pPr>
          </w:p>
        </w:tc>
        <w:tc>
          <w:tcPr>
            <w:tcW w:w="710" w:type="dxa"/>
          </w:tcPr>
          <w:p w14:paraId="78A832B2">
            <w:pPr>
              <w:rPr>
                <w:b/>
                <w:bCs/>
                <w:color w:val="FF0000"/>
                <w:szCs w:val="21"/>
              </w:rPr>
            </w:pPr>
          </w:p>
        </w:tc>
        <w:tc>
          <w:tcPr>
            <w:tcW w:w="390" w:type="dxa"/>
          </w:tcPr>
          <w:p w14:paraId="0603F3B4">
            <w:pPr>
              <w:rPr>
                <w:b/>
                <w:bCs/>
                <w:color w:val="FF0000"/>
                <w:szCs w:val="21"/>
              </w:rPr>
            </w:pPr>
          </w:p>
        </w:tc>
      </w:tr>
      <w:tr w14:paraId="50E79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4" w:type="dxa"/>
            <w:vMerge w:val="continue"/>
          </w:tcPr>
          <w:p w14:paraId="41C0BA47">
            <w:pPr>
              <w:jc w:val="center"/>
              <w:rPr>
                <w:color w:val="000000" w:themeColor="text1"/>
                <w:szCs w:val="21"/>
                <w14:textFill>
                  <w14:solidFill>
                    <w14:schemeClr w14:val="tx1"/>
                  </w14:solidFill>
                </w14:textFill>
              </w:rPr>
            </w:pPr>
          </w:p>
        </w:tc>
        <w:tc>
          <w:tcPr>
            <w:tcW w:w="772" w:type="dxa"/>
            <w:vMerge w:val="continue"/>
          </w:tcPr>
          <w:p w14:paraId="5B197E0D">
            <w:pPr>
              <w:rPr>
                <w:color w:val="000000" w:themeColor="text1"/>
                <w:szCs w:val="21"/>
                <w14:textFill>
                  <w14:solidFill>
                    <w14:schemeClr w14:val="tx1"/>
                  </w14:solidFill>
                </w14:textFill>
              </w:rPr>
            </w:pPr>
          </w:p>
        </w:tc>
        <w:tc>
          <w:tcPr>
            <w:tcW w:w="3795" w:type="dxa"/>
          </w:tcPr>
          <w:p w14:paraId="510F30A5">
            <w:pPr>
              <w:jc w:val="center"/>
              <w:rPr>
                <w:color w:val="000000" w:themeColor="text1"/>
                <w:szCs w:val="21"/>
                <w14:textFill>
                  <w14:solidFill>
                    <w14:schemeClr w14:val="tx1"/>
                  </w14:solidFill>
                </w14:textFill>
              </w:rPr>
            </w:pPr>
            <w:r>
              <w:rPr>
                <w:rFonts w:hint="eastAsia"/>
              </w:rPr>
              <w:t>（填写相关内容）</w:t>
            </w:r>
          </w:p>
        </w:tc>
        <w:tc>
          <w:tcPr>
            <w:tcW w:w="2623" w:type="dxa"/>
          </w:tcPr>
          <w:p w14:paraId="25A2E97C">
            <w:pPr>
              <w:rPr>
                <w:color w:val="000000" w:themeColor="text1"/>
                <w:szCs w:val="21"/>
                <w14:textFill>
                  <w14:solidFill>
                    <w14:schemeClr w14:val="tx1"/>
                  </w14:solidFill>
                </w14:textFill>
              </w:rPr>
            </w:pPr>
          </w:p>
        </w:tc>
        <w:tc>
          <w:tcPr>
            <w:tcW w:w="710" w:type="dxa"/>
          </w:tcPr>
          <w:p w14:paraId="7AFD4D5D">
            <w:pPr>
              <w:rPr>
                <w:color w:val="000000" w:themeColor="text1"/>
                <w:szCs w:val="21"/>
                <w14:textFill>
                  <w14:solidFill>
                    <w14:schemeClr w14:val="tx1"/>
                  </w14:solidFill>
                </w14:textFill>
              </w:rPr>
            </w:pPr>
          </w:p>
        </w:tc>
        <w:tc>
          <w:tcPr>
            <w:tcW w:w="390" w:type="dxa"/>
          </w:tcPr>
          <w:p w14:paraId="3FF040BC">
            <w:pPr>
              <w:rPr>
                <w:color w:val="000000" w:themeColor="text1"/>
                <w:szCs w:val="21"/>
                <w14:textFill>
                  <w14:solidFill>
                    <w14:schemeClr w14:val="tx1"/>
                  </w14:solidFill>
                </w14:textFill>
              </w:rPr>
            </w:pPr>
          </w:p>
        </w:tc>
      </w:tr>
      <w:tr w14:paraId="36A56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464" w:type="dxa"/>
            <w:vMerge w:val="continue"/>
          </w:tcPr>
          <w:p w14:paraId="49100452">
            <w:pPr>
              <w:jc w:val="center"/>
              <w:rPr>
                <w:color w:val="000000" w:themeColor="text1"/>
                <w:szCs w:val="21"/>
                <w14:textFill>
                  <w14:solidFill>
                    <w14:schemeClr w14:val="tx1"/>
                  </w14:solidFill>
                </w14:textFill>
              </w:rPr>
            </w:pPr>
          </w:p>
        </w:tc>
        <w:tc>
          <w:tcPr>
            <w:tcW w:w="772" w:type="dxa"/>
            <w:vMerge w:val="continue"/>
          </w:tcPr>
          <w:p w14:paraId="08E8F84B">
            <w:pPr>
              <w:rPr>
                <w:color w:val="000000" w:themeColor="text1"/>
                <w:szCs w:val="21"/>
                <w14:textFill>
                  <w14:solidFill>
                    <w14:schemeClr w14:val="tx1"/>
                  </w14:solidFill>
                </w14:textFill>
              </w:rPr>
            </w:pPr>
          </w:p>
        </w:tc>
        <w:tc>
          <w:tcPr>
            <w:tcW w:w="3795" w:type="dxa"/>
          </w:tcPr>
          <w:p w14:paraId="5A41B2B0">
            <w:pPr>
              <w:jc w:val="center"/>
              <w:rPr>
                <w:color w:val="000000" w:themeColor="text1"/>
                <w:szCs w:val="21"/>
                <w14:textFill>
                  <w14:solidFill>
                    <w14:schemeClr w14:val="tx1"/>
                  </w14:solidFill>
                </w14:textFill>
              </w:rPr>
            </w:pPr>
            <w:r>
              <w:rPr>
                <w:rFonts w:hint="eastAsia"/>
              </w:rPr>
              <w:t>（填写相关内容）</w:t>
            </w:r>
          </w:p>
        </w:tc>
        <w:tc>
          <w:tcPr>
            <w:tcW w:w="2623" w:type="dxa"/>
          </w:tcPr>
          <w:p w14:paraId="3DBDFAAC">
            <w:pPr>
              <w:rPr>
                <w:color w:val="000000" w:themeColor="text1"/>
                <w:szCs w:val="21"/>
                <w14:textFill>
                  <w14:solidFill>
                    <w14:schemeClr w14:val="tx1"/>
                  </w14:solidFill>
                </w14:textFill>
              </w:rPr>
            </w:pPr>
          </w:p>
        </w:tc>
        <w:tc>
          <w:tcPr>
            <w:tcW w:w="710" w:type="dxa"/>
          </w:tcPr>
          <w:p w14:paraId="3C564094">
            <w:pPr>
              <w:rPr>
                <w:color w:val="000000" w:themeColor="text1"/>
                <w:szCs w:val="21"/>
                <w14:textFill>
                  <w14:solidFill>
                    <w14:schemeClr w14:val="tx1"/>
                  </w14:solidFill>
                </w14:textFill>
              </w:rPr>
            </w:pPr>
          </w:p>
        </w:tc>
        <w:tc>
          <w:tcPr>
            <w:tcW w:w="390" w:type="dxa"/>
          </w:tcPr>
          <w:p w14:paraId="3AA5AED0">
            <w:pPr>
              <w:rPr>
                <w:color w:val="000000" w:themeColor="text1"/>
                <w:szCs w:val="21"/>
                <w14:textFill>
                  <w14:solidFill>
                    <w14:schemeClr w14:val="tx1"/>
                  </w14:solidFill>
                </w14:textFill>
              </w:rPr>
            </w:pPr>
          </w:p>
        </w:tc>
      </w:tr>
      <w:tr w14:paraId="43619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4" w:type="dxa"/>
            <w:vMerge w:val="continue"/>
          </w:tcPr>
          <w:p w14:paraId="583E78B0">
            <w:pPr>
              <w:jc w:val="center"/>
              <w:rPr>
                <w:color w:val="000000" w:themeColor="text1"/>
                <w:szCs w:val="21"/>
                <w14:textFill>
                  <w14:solidFill>
                    <w14:schemeClr w14:val="tx1"/>
                  </w14:solidFill>
                </w14:textFill>
              </w:rPr>
            </w:pPr>
          </w:p>
        </w:tc>
        <w:tc>
          <w:tcPr>
            <w:tcW w:w="772" w:type="dxa"/>
            <w:vMerge w:val="continue"/>
          </w:tcPr>
          <w:p w14:paraId="6D61EB8C">
            <w:pPr>
              <w:rPr>
                <w:color w:val="000000" w:themeColor="text1"/>
                <w:szCs w:val="21"/>
                <w14:textFill>
                  <w14:solidFill>
                    <w14:schemeClr w14:val="tx1"/>
                  </w14:solidFill>
                </w14:textFill>
              </w:rPr>
            </w:pPr>
          </w:p>
        </w:tc>
        <w:tc>
          <w:tcPr>
            <w:tcW w:w="3795" w:type="dxa"/>
          </w:tcPr>
          <w:p w14:paraId="7DA207A5">
            <w:pPr>
              <w:jc w:val="center"/>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tc>
        <w:tc>
          <w:tcPr>
            <w:tcW w:w="2623" w:type="dxa"/>
          </w:tcPr>
          <w:p w14:paraId="375E5EDE">
            <w:pPr>
              <w:rPr>
                <w:color w:val="000000" w:themeColor="text1"/>
                <w:szCs w:val="21"/>
                <w14:textFill>
                  <w14:solidFill>
                    <w14:schemeClr w14:val="tx1"/>
                  </w14:solidFill>
                </w14:textFill>
              </w:rPr>
            </w:pPr>
          </w:p>
        </w:tc>
        <w:tc>
          <w:tcPr>
            <w:tcW w:w="710" w:type="dxa"/>
          </w:tcPr>
          <w:p w14:paraId="266263D1">
            <w:pPr>
              <w:rPr>
                <w:color w:val="000000" w:themeColor="text1"/>
                <w:szCs w:val="21"/>
                <w14:textFill>
                  <w14:solidFill>
                    <w14:schemeClr w14:val="tx1"/>
                  </w14:solidFill>
                </w14:textFill>
              </w:rPr>
            </w:pPr>
          </w:p>
        </w:tc>
        <w:tc>
          <w:tcPr>
            <w:tcW w:w="390" w:type="dxa"/>
          </w:tcPr>
          <w:p w14:paraId="62AB6CA5">
            <w:pPr>
              <w:rPr>
                <w:color w:val="000000" w:themeColor="text1"/>
                <w:szCs w:val="21"/>
                <w14:textFill>
                  <w14:solidFill>
                    <w14:schemeClr w14:val="tx1"/>
                  </w14:solidFill>
                </w14:textFill>
              </w:rPr>
            </w:pPr>
          </w:p>
        </w:tc>
      </w:tr>
    </w:tbl>
    <w:p w14:paraId="71F24520">
      <w:pPr>
        <w:rPr>
          <w:sz w:val="24"/>
        </w:rPr>
      </w:pPr>
    </w:p>
    <w:p w14:paraId="6F960016">
      <w:pPr>
        <w:rPr>
          <w:szCs w:val="21"/>
        </w:rPr>
      </w:pPr>
      <w:bookmarkStart w:id="39" w:name="_Hlk72095977"/>
      <w:r>
        <w:rPr>
          <w:rFonts w:hint="eastAsia"/>
          <w:szCs w:val="21"/>
        </w:rPr>
        <w:t>证明资料【如有的话，提供的证明资料应统一编号（排序），格式自定】</w:t>
      </w:r>
      <w:bookmarkEnd w:id="39"/>
      <w:r>
        <w:rPr>
          <w:rFonts w:hint="eastAsia"/>
          <w:szCs w:val="21"/>
        </w:rPr>
        <w:t>：</w:t>
      </w:r>
    </w:p>
    <w:p w14:paraId="1E6BA4E5">
      <w:pPr>
        <w:rPr>
          <w:b/>
          <w:szCs w:val="21"/>
        </w:rPr>
      </w:pPr>
    </w:p>
    <w:p w14:paraId="41EF46F1">
      <w:pPr>
        <w:ind w:firstLine="420" w:firstLineChars="200"/>
        <w:rPr>
          <w:bCs/>
          <w:szCs w:val="21"/>
        </w:rPr>
      </w:pPr>
      <w:r>
        <w:rPr>
          <w:rFonts w:hint="eastAsia"/>
          <w:bCs/>
          <w:szCs w:val="21"/>
        </w:rPr>
        <w:t>《技术要求偏离表》编制指引：</w:t>
      </w:r>
    </w:p>
    <w:p w14:paraId="7B93406E">
      <w:pPr>
        <w:ind w:firstLine="420" w:firstLineChars="200"/>
        <w:rPr>
          <w:bCs/>
          <w:szCs w:val="21"/>
        </w:rPr>
      </w:pPr>
      <w:r>
        <w:rPr>
          <w:rFonts w:hint="eastAsia"/>
          <w:bCs/>
          <w:szCs w:val="21"/>
        </w:rPr>
        <w:t>1、技术要求偏离表的序号、货物名称、招标技术要求等栏目</w:t>
      </w:r>
      <w:bookmarkStart w:id="40" w:name="_Hlk72094407"/>
      <w:r>
        <w:rPr>
          <w:rFonts w:hint="eastAsia"/>
          <w:bCs/>
          <w:szCs w:val="21"/>
        </w:rPr>
        <w:t>对应“用户需求书”中的“技术要求”章节</w:t>
      </w:r>
      <w:bookmarkEnd w:id="40"/>
      <w:r>
        <w:rPr>
          <w:rFonts w:hint="eastAsia"/>
          <w:bCs/>
          <w:szCs w:val="21"/>
        </w:rPr>
        <w:t>相关内容。</w:t>
      </w:r>
    </w:p>
    <w:p w14:paraId="56506146">
      <w:pPr>
        <w:pStyle w:val="14"/>
        <w:spacing w:beforeAutospacing="0" w:afterAutospacing="0"/>
        <w:ind w:firstLine="420" w:firstLineChars="200"/>
        <w:jc w:val="both"/>
        <w:outlineLvl w:val="1"/>
        <w:rPr>
          <w:rFonts w:ascii="Times New Roman" w:hAnsi="Times New Roman" w:eastAsia="宋体" w:cs="Times New Roman"/>
          <w:bCs/>
          <w:color w:val="FF0000"/>
          <w:sz w:val="21"/>
          <w:szCs w:val="21"/>
        </w:rPr>
      </w:pPr>
      <w:r>
        <w:rPr>
          <w:bCs/>
          <w:sz w:val="21"/>
          <w:szCs w:val="21"/>
        </w:rPr>
        <w:t>2</w:t>
      </w:r>
      <w:r>
        <w:rPr>
          <w:rFonts w:hint="eastAsia"/>
          <w:bCs/>
          <w:sz w:val="21"/>
          <w:szCs w:val="21"/>
        </w:rPr>
        <w:t>、“投标技术响应”一栏必须一一对照“招标技术要求”，详细填写投标人自身投标货物的具体参数，而不能不合理照搬照抄招标文件的技术要求，以体现具体响应情况。</w:t>
      </w:r>
      <w:r>
        <w:rPr>
          <w:rFonts w:hint="eastAsia" w:ascii="Times New Roman" w:hAnsi="Times New Roman" w:eastAsia="宋体" w:cs="Times New Roman"/>
          <w:bCs/>
          <w:color w:val="FF0000"/>
          <w:sz w:val="21"/>
          <w:szCs w:val="21"/>
        </w:rPr>
        <w:t>“投标技术响应”必须与</w:t>
      </w:r>
      <w:r>
        <w:rPr>
          <w:rFonts w:hint="eastAsia" w:cs="Times New Roman"/>
          <w:bCs/>
          <w:color w:val="FF0000"/>
          <w:sz w:val="21"/>
          <w:szCs w:val="21"/>
        </w:rPr>
        <w:t>所投产品</w:t>
      </w:r>
      <w:r>
        <w:rPr>
          <w:rFonts w:hint="eastAsia" w:ascii="Times New Roman" w:hAnsi="Times New Roman" w:eastAsia="宋体" w:cs="Times New Roman"/>
          <w:bCs/>
          <w:color w:val="FF0000"/>
          <w:sz w:val="21"/>
          <w:szCs w:val="21"/>
        </w:rPr>
        <w:t>客观实际保持一致，响应不实且情节严重的，经查实，将依法记入供应商诚信档案或受到行政处罚。</w:t>
      </w:r>
    </w:p>
    <w:p w14:paraId="31F91439">
      <w:pPr>
        <w:ind w:firstLine="420" w:firstLineChars="200"/>
        <w:rPr>
          <w:rFonts w:ascii="Times New Roman" w:hAnsi="Times New Roman" w:eastAsia="宋体" w:cs="Times New Roman"/>
          <w:bCs/>
          <w:color w:val="FF0000"/>
          <w:szCs w:val="21"/>
        </w:rPr>
      </w:pPr>
      <w:r>
        <w:rPr>
          <w:bCs/>
          <w:szCs w:val="21"/>
        </w:rPr>
        <w:t>3</w:t>
      </w:r>
      <w:r>
        <w:rPr>
          <w:rFonts w:hint="eastAsia"/>
          <w:bCs/>
          <w:szCs w:val="21"/>
        </w:rPr>
        <w:t>、</w:t>
      </w:r>
      <w:bookmarkStart w:id="41" w:name="_Hlk72158270"/>
      <w:r>
        <w:rPr>
          <w:rFonts w:hint="eastAsia"/>
          <w:bCs/>
          <w:szCs w:val="21"/>
        </w:rPr>
        <w:t>“偏离情况”</w:t>
      </w:r>
      <w:bookmarkEnd w:id="41"/>
      <w:r>
        <w:rPr>
          <w:rFonts w:hint="eastAsia"/>
          <w:bCs/>
          <w:szCs w:val="21"/>
        </w:rPr>
        <w:t>一栏填写如实填写“正偏离”、“负偏离”或“无偏离”，其中：</w:t>
      </w:r>
      <w:bookmarkStart w:id="42" w:name="_Hlk72093866"/>
      <w:r>
        <w:rPr>
          <w:rFonts w:hint="eastAsia"/>
          <w:bCs/>
          <w:szCs w:val="21"/>
        </w:rPr>
        <w:t>“正偏离”表示“投标响应优于招标技术要求”，“负偏离”表示“投标响应不满足招标技术要求”，“无偏离”表示“投标响应与招标技术要求一致”</w:t>
      </w:r>
      <w:bookmarkEnd w:id="42"/>
      <w:r>
        <w:rPr>
          <w:rFonts w:hint="eastAsia"/>
          <w:bCs/>
          <w:szCs w:val="21"/>
        </w:rPr>
        <w:t>。“投标技术响应”对比“招标技术要求”存在响应不全（包括未响应整项招标技术要求或者未响应一项招标技术要求的部分内容），均视为“负偏离”。带★号条款为不可负偏离条款，不作为评分准则中的评分内容</w:t>
      </w:r>
      <w:r>
        <w:rPr>
          <w:rFonts w:hint="eastAsia" w:eastAsia="宋体"/>
          <w:bCs/>
          <w:szCs w:val="21"/>
        </w:rPr>
        <w:t>，</w:t>
      </w:r>
      <w:r>
        <w:rPr>
          <w:rFonts w:hint="eastAsia"/>
          <w:bCs/>
          <w:szCs w:val="21"/>
        </w:rPr>
        <w:t>如未响应或出现负偏离的，将做投标无效处理。</w:t>
      </w:r>
      <w:r>
        <w:rPr>
          <w:rFonts w:hint="eastAsia" w:ascii="Times New Roman" w:hAnsi="Times New Roman" w:eastAsia="宋体" w:cs="Times New Roman"/>
          <w:bCs/>
          <w:color w:val="FF0000"/>
          <w:szCs w:val="21"/>
        </w:rPr>
        <w:t>“偏离情况”必须与所投产品客观实际保持一致，响应不实且情节严重的，经查实，将依法记入供应商诚信档案或受到行政处罚。</w:t>
      </w:r>
    </w:p>
    <w:p w14:paraId="621A3885">
      <w:pPr>
        <w:ind w:firstLine="420" w:firstLineChars="200"/>
        <w:rPr>
          <w:bCs/>
          <w:szCs w:val="21"/>
        </w:rPr>
      </w:pPr>
      <w:r>
        <w:rPr>
          <w:bCs/>
          <w:szCs w:val="21"/>
        </w:rPr>
        <w:t>4</w:t>
      </w:r>
      <w:r>
        <w:rPr>
          <w:rFonts w:hint="eastAsia"/>
          <w:bCs/>
          <w:szCs w:val="21"/>
        </w:rPr>
        <w:t>、未要求提供证明资料的招标技术要求，可以不提供证明资料（如实响应即可）。</w:t>
      </w:r>
    </w:p>
    <w:p w14:paraId="198D07C8">
      <w:pPr>
        <w:ind w:firstLine="420" w:firstLineChars="200"/>
        <w:rPr>
          <w:bCs/>
          <w:szCs w:val="21"/>
        </w:rPr>
      </w:pPr>
      <w:r>
        <w:rPr>
          <w:rFonts w:hint="eastAsia"/>
          <w:bCs/>
          <w:szCs w:val="21"/>
        </w:rPr>
        <w:t>5、</w:t>
      </w:r>
      <w:bookmarkStart w:id="43" w:name="_Hlk72096106"/>
      <w:r>
        <w:rPr>
          <w:rFonts w:hint="eastAsia"/>
          <w:bCs/>
          <w:szCs w:val="21"/>
        </w:rPr>
        <w:t>证明资料条款响应要求</w:t>
      </w:r>
      <w:bookmarkEnd w:id="43"/>
      <w:r>
        <w:rPr>
          <w:rFonts w:hint="eastAsia"/>
          <w:bCs/>
          <w:szCs w:val="21"/>
        </w:rPr>
        <w:t>：要求提供证明资料（且已对证明资料的形式、内容作出明确要求）进行响应的条款，应当在“说明”一栏中列明是否提供了符合要求的证明资料，以及所提供证明资料在表后“证明资料”中的编号（位置）,以便评审；</w:t>
      </w:r>
      <w:bookmarkStart w:id="44" w:name="_Hlk73558782"/>
      <w:r>
        <w:rPr>
          <w:rFonts w:hint="eastAsia"/>
          <w:bCs/>
          <w:szCs w:val="21"/>
        </w:rPr>
        <w:t>此类条款应严格依照要求的形式、内容提供证明资料，如未提供证明资料（或：证明资料的形式、内容等不符合要求；证明资料显示不符合招标技术要求；证明资料模糊不清无法判断或未显示是否满足招标技术要求），</w:t>
      </w:r>
      <w:bookmarkStart w:id="45" w:name="_Hlk73558164"/>
      <w:r>
        <w:rPr>
          <w:rFonts w:hint="eastAsia"/>
          <w:bCs/>
          <w:szCs w:val="21"/>
        </w:rPr>
        <w:t>且投标人在“偏离情况”一栏响应为“正偏离”或“无偏离”的，经评审委员会认定，将判定为负偏离。</w:t>
      </w:r>
      <w:bookmarkEnd w:id="44"/>
      <w:bookmarkEnd w:id="45"/>
    </w:p>
    <w:p w14:paraId="7E769C96">
      <w:pPr>
        <w:ind w:firstLine="420" w:firstLineChars="200"/>
        <w:rPr>
          <w:bCs/>
          <w:szCs w:val="21"/>
        </w:rPr>
      </w:pPr>
      <w:r>
        <w:rPr>
          <w:rFonts w:hint="eastAsia"/>
          <w:bCs/>
          <w:szCs w:val="21"/>
        </w:rPr>
        <w:t>6、</w:t>
      </w:r>
      <w:bookmarkStart w:id="46" w:name="_Hlk72096137"/>
      <w:r>
        <w:rPr>
          <w:rFonts w:hint="eastAsia"/>
          <w:bCs/>
          <w:szCs w:val="21"/>
        </w:rPr>
        <w:t>表后“证明资料”部分内容的编制</w:t>
      </w:r>
      <w:bookmarkEnd w:id="46"/>
      <w:r>
        <w:rPr>
          <w:rFonts w:hint="eastAsia"/>
          <w:bCs/>
          <w:szCs w:val="21"/>
        </w:rPr>
        <w:t>：提供的所有证明资料应当统一编号（排序），且证明资料的编号（顺序）、数量和名称（形式）均应与“说明”一栏所填内容保持一致（一一对应），以便评审委员会查看。</w:t>
      </w:r>
      <w:bookmarkStart w:id="47" w:name="_Hlk73558180"/>
      <w:r>
        <w:rPr>
          <w:rFonts w:hint="eastAsia"/>
          <w:bCs/>
          <w:szCs w:val="21"/>
        </w:rPr>
        <w:t>未按照招标文件要求在表后放置证明材料的供应商将承担不利后果，经评审委员会认定，相关技术要求将判定为负偏离。</w:t>
      </w:r>
      <w:bookmarkEnd w:id="47"/>
    </w:p>
    <w:p w14:paraId="1A18F46C">
      <w:pPr>
        <w:ind w:firstLine="420" w:firstLineChars="200"/>
        <w:rPr>
          <w:bCs/>
          <w:szCs w:val="21"/>
        </w:rPr>
      </w:pPr>
      <w:r>
        <w:rPr>
          <w:rFonts w:hint="eastAsia"/>
          <w:bCs/>
          <w:szCs w:val="21"/>
        </w:rPr>
        <w:t>7、</w:t>
      </w:r>
      <w:bookmarkStart w:id="48" w:name="_Hlk72096176"/>
      <w:r>
        <w:rPr>
          <w:rFonts w:hint="eastAsia"/>
          <w:bCs/>
          <w:szCs w:val="21"/>
        </w:rPr>
        <w:t>证明资料的形式及其它具体要求</w:t>
      </w:r>
      <w:bookmarkEnd w:id="48"/>
      <w:r>
        <w:rPr>
          <w:rFonts w:hint="eastAsia"/>
          <w:bCs/>
          <w:szCs w:val="21"/>
        </w:rPr>
        <w:t>：</w:t>
      </w:r>
    </w:p>
    <w:p w14:paraId="209B1DCF">
      <w:pPr>
        <w:ind w:firstLine="420" w:firstLineChars="200"/>
        <w:rPr>
          <w:bCs/>
          <w:szCs w:val="21"/>
        </w:rPr>
      </w:pPr>
      <w:r>
        <w:rPr>
          <w:rFonts w:hint="eastAsia"/>
          <w:bCs/>
          <w:szCs w:val="21"/>
        </w:rPr>
        <w:t>（1）除照片、图片（截图）及不需加盖公章的文字说明（技术说明）外，其它证明资料均要求为原件扫描件；</w:t>
      </w:r>
    </w:p>
    <w:p w14:paraId="00FEBDFF">
      <w:pPr>
        <w:ind w:firstLine="420" w:firstLineChars="200"/>
        <w:rPr>
          <w:bCs/>
          <w:szCs w:val="21"/>
        </w:rPr>
      </w:pPr>
      <w:r>
        <w:rPr>
          <w:rFonts w:hint="eastAsia"/>
          <w:bCs/>
          <w:szCs w:val="21"/>
        </w:rPr>
        <w:t>（2）提供证明资料的形式包括但不限于：a.制造商公布（出具）的产品说明书、产品彩页；b.我国政府机构出具的产品检验和核准证件等；c.第三方机构出具的检测（检验、测试）报告、认证证书等；已对证明资料的形式、内容作出具体要求的，必须严格按要求的形式、内容提供证明资料；</w:t>
      </w:r>
    </w:p>
    <w:p w14:paraId="31B2CA28">
      <w:pPr>
        <w:ind w:firstLine="420" w:firstLineChars="200"/>
        <w:rPr>
          <w:bCs/>
          <w:szCs w:val="21"/>
        </w:rPr>
      </w:pPr>
      <w:r>
        <w:rPr>
          <w:rFonts w:hint="eastAsia"/>
          <w:bCs/>
          <w:szCs w:val="21"/>
        </w:rPr>
        <w:t>（3）产品说明书或彩页应为制造商公布（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14:paraId="2572D46D">
      <w:pPr>
        <w:ind w:firstLine="420" w:firstLineChars="200"/>
        <w:rPr>
          <w:bCs/>
          <w:szCs w:val="21"/>
        </w:rPr>
      </w:pPr>
      <w:r>
        <w:rPr>
          <w:rFonts w:hint="eastAsia"/>
          <w:bCs/>
          <w:szCs w:val="21"/>
        </w:rPr>
        <w:t>我国政府机构出具的产品检验和核准证件应为证件正面、背面和附件标注的全部具体内容；产品检验和核准证件的尺寸和清晰度应该能够在电脑上被阅读、识别和判断；</w:t>
      </w:r>
    </w:p>
    <w:p w14:paraId="71A1FDF9">
      <w:pPr>
        <w:ind w:firstLine="420" w:firstLineChars="200"/>
        <w:rPr>
          <w:bCs/>
          <w:szCs w:val="21"/>
        </w:rPr>
      </w:pPr>
      <w:r>
        <w:rPr>
          <w:rFonts w:hint="eastAsia"/>
          <w:bCs/>
          <w:szCs w:val="21"/>
        </w:rPr>
        <w:t>第三方机构出具的检测（检验、测试）报告、认证（证明）证书应为中文报告或证书；提供外文报告或证书的，必须同时提供对应的中文翻译文字说明，评标依据以中文翻译文字说明内容为准，外文报告或证书仅供参考；报告或证书的尺寸和清晰度应该能够在电脑上被阅读、识别和判断；</w:t>
      </w:r>
    </w:p>
    <w:p w14:paraId="6D6CF3A2">
      <w:pPr>
        <w:ind w:firstLine="420" w:firstLineChars="200"/>
        <w:rPr>
          <w:bCs/>
          <w:szCs w:val="21"/>
        </w:rPr>
      </w:pPr>
      <w:r>
        <w:rPr>
          <w:rFonts w:hint="eastAsia"/>
          <w:bCs/>
          <w:szCs w:val="21"/>
        </w:rPr>
        <w:t>其它证明资料的形式要求参照以上要求执行；</w:t>
      </w:r>
    </w:p>
    <w:p w14:paraId="1E1ECE59">
      <w:pPr>
        <w:ind w:firstLine="420" w:firstLineChars="200"/>
        <w:rPr>
          <w:bCs/>
          <w:szCs w:val="21"/>
        </w:rPr>
      </w:pPr>
      <w:r>
        <w:rPr>
          <w:rFonts w:hint="eastAsia"/>
          <w:bCs/>
          <w:szCs w:val="21"/>
        </w:rPr>
        <w:t>（4）证明资料均要求原件备查。</w:t>
      </w:r>
    </w:p>
    <w:p w14:paraId="6F88D51C">
      <w:pPr>
        <w:ind w:firstLine="420" w:firstLineChars="200"/>
        <w:rPr>
          <w:bCs/>
          <w:szCs w:val="21"/>
        </w:rPr>
      </w:pPr>
      <w:r>
        <w:rPr>
          <w:rFonts w:hint="eastAsia"/>
          <w:bCs/>
          <w:szCs w:val="21"/>
        </w:rPr>
        <w:t>8、其它注意事项：</w:t>
      </w:r>
    </w:p>
    <w:p w14:paraId="3349B31A">
      <w:pPr>
        <w:ind w:firstLine="420" w:firstLineChars="200"/>
        <w:rPr>
          <w:bCs/>
          <w:szCs w:val="21"/>
        </w:rPr>
      </w:pPr>
      <w:r>
        <w:rPr>
          <w:rFonts w:hint="eastAsia"/>
          <w:bCs/>
          <w:szCs w:val="21"/>
        </w:rPr>
        <w:t>（1）评审委员会有权对投标人的响应情况作出判断（评审结论）；</w:t>
      </w:r>
    </w:p>
    <w:p w14:paraId="20C2E744">
      <w:pPr>
        <w:ind w:firstLine="420" w:firstLineChars="200"/>
        <w:rPr>
          <w:bCs/>
          <w:szCs w:val="21"/>
        </w:rPr>
      </w:pPr>
      <w:r>
        <w:rPr>
          <w:rFonts w:hint="eastAsia"/>
          <w:bCs/>
          <w:szCs w:val="21"/>
        </w:rPr>
        <w:t>（2）</w:t>
      </w:r>
      <w:bookmarkStart w:id="49" w:name="_Hlk72158213"/>
      <w:r>
        <w:rPr>
          <w:rFonts w:hint="eastAsia"/>
          <w:bCs/>
          <w:szCs w:val="21"/>
        </w:rPr>
        <w:t>评审委员会有权对以谋取中标为目的的技术规格模糊响应（如有意不合理照搬照抄招标文件的技术要求）或虚假响应予以认定，并视情况经政府集中采购机构报主管部门进行处理。</w:t>
      </w:r>
      <w:bookmarkEnd w:id="49"/>
    </w:p>
    <w:p w14:paraId="627C1998">
      <w:pPr>
        <w:ind w:firstLine="482" w:firstLineChars="200"/>
        <w:rPr>
          <w:b/>
          <w:sz w:val="24"/>
        </w:rPr>
      </w:pPr>
    </w:p>
    <w:p w14:paraId="69BC731F">
      <w:pPr>
        <w:ind w:firstLine="482" w:firstLineChars="200"/>
        <w:rPr>
          <w:b/>
          <w:sz w:val="24"/>
        </w:rPr>
      </w:pPr>
    </w:p>
    <w:p w14:paraId="4CCA1632">
      <w:pPr>
        <w:ind w:firstLine="482" w:firstLineChars="200"/>
        <w:rPr>
          <w:b/>
          <w:sz w:val="24"/>
        </w:rPr>
      </w:pPr>
    </w:p>
    <w:p w14:paraId="5A2E1663">
      <w:pPr>
        <w:rPr>
          <w:rFonts w:hint="eastAsia" w:ascii="宋体" w:hAnsi="宋体"/>
        </w:rPr>
      </w:pPr>
      <w:r>
        <w:rPr>
          <w:rFonts w:ascii="宋体" w:hAnsi="宋体" w:eastAsia="宋体" w:cs="Times New Roman"/>
          <w:color w:val="FF0000"/>
          <w:sz w:val="32"/>
          <w:szCs w:val="32"/>
        </w:rPr>
        <w:br w:type="page"/>
      </w:r>
      <w:r>
        <w:t xml:space="preserve"> </w:t>
      </w:r>
      <w:bookmarkStart w:id="50" w:name="_Hlk72588611"/>
      <w:bookmarkStart w:id="51" w:name="_Hlk72260843"/>
      <w:r>
        <w:rPr>
          <w:rFonts w:hint="eastAsia" w:ascii="宋体" w:hAnsi="宋体"/>
        </w:rPr>
        <w:t>………………</w:t>
      </w:r>
      <w:bookmarkEnd w:id="50"/>
      <w:r>
        <w:rPr>
          <w:rFonts w:hint="eastAsia" w:ascii="宋体" w:hAnsi="宋体"/>
        </w:rPr>
        <w:t>（根据项目具体情况增加与技术、商务评审相关的节点）</w:t>
      </w:r>
      <w:bookmarkEnd w:id="51"/>
      <w:r>
        <w:rPr>
          <w:rFonts w:hint="eastAsia" w:ascii="宋体" w:hAnsi="宋体"/>
        </w:rPr>
        <w:t>………………</w:t>
      </w:r>
    </w:p>
    <w:p w14:paraId="29E7B2BC">
      <w:pPr>
        <w:jc w:val="center"/>
        <w:rPr>
          <w:sz w:val="24"/>
        </w:rPr>
      </w:pPr>
    </w:p>
    <w:p w14:paraId="12DA8479">
      <w:pPr>
        <w:ind w:left="718" w:leftChars="342" w:firstLine="1620" w:firstLineChars="675"/>
        <w:rPr>
          <w:rFonts w:hint="eastAsia" w:ascii="黑体" w:hAnsi="宋体" w:eastAsia="黑体" w:cstheme="minorBidi"/>
          <w:b w:val="0"/>
          <w:bCs w:val="0"/>
          <w:kern w:val="2"/>
          <w:sz w:val="24"/>
          <w:szCs w:val="20"/>
          <w:lang w:val="en-US" w:eastAsia="zh-CN" w:bidi="ar-SA"/>
        </w:rPr>
      </w:pPr>
      <w:bookmarkStart w:id="52" w:name="_Hlk72062872"/>
      <w:r>
        <w:rPr>
          <w:rFonts w:hint="eastAsia" w:ascii="黑体" w:hAnsi="宋体" w:eastAsia="黑体" w:cstheme="minorBidi"/>
          <w:b w:val="0"/>
          <w:bCs w:val="0"/>
          <w:kern w:val="2"/>
          <w:sz w:val="24"/>
          <w:szCs w:val="20"/>
          <w:lang w:val="en-US" w:eastAsia="zh-CN" w:bidi="ar-SA"/>
        </w:rPr>
        <w:t>六、技术保障措施</w:t>
      </w:r>
    </w:p>
    <w:p w14:paraId="14B35E7A">
      <w:pPr>
        <w:ind w:left="718" w:leftChars="342" w:firstLine="1620" w:firstLineChars="675"/>
        <w:rPr>
          <w:rFonts w:hint="eastAsia" w:ascii="黑体" w:hAnsi="宋体" w:eastAsia="黑体" w:cstheme="minorBidi"/>
          <w:b w:val="0"/>
          <w:bCs w:val="0"/>
          <w:kern w:val="2"/>
          <w:sz w:val="24"/>
          <w:szCs w:val="20"/>
          <w:lang w:val="en-US" w:eastAsia="zh-CN" w:bidi="ar-SA"/>
        </w:rPr>
      </w:pPr>
      <w:r>
        <w:rPr>
          <w:rFonts w:hint="eastAsia" w:ascii="黑体" w:hAnsi="宋体" w:eastAsia="黑体" w:cstheme="minorBidi"/>
          <w:b w:val="0"/>
          <w:bCs w:val="0"/>
          <w:kern w:val="2"/>
          <w:sz w:val="24"/>
          <w:szCs w:val="20"/>
          <w:lang w:val="en-US" w:eastAsia="zh-CN" w:bidi="ar-SA"/>
        </w:rPr>
        <w:t>七、现场踏勘</w:t>
      </w:r>
    </w:p>
    <w:p w14:paraId="75A6FEC1">
      <w:pPr>
        <w:ind w:left="718" w:leftChars="342" w:firstLine="1620" w:firstLineChars="675"/>
        <w:rPr>
          <w:rFonts w:hint="eastAsia" w:ascii="黑体" w:hAnsi="宋体" w:eastAsia="黑体" w:cstheme="minorBidi"/>
          <w:b w:val="0"/>
          <w:bCs w:val="0"/>
          <w:kern w:val="2"/>
          <w:sz w:val="24"/>
          <w:szCs w:val="20"/>
          <w:lang w:val="en-US" w:eastAsia="zh-CN" w:bidi="ar-SA"/>
        </w:rPr>
      </w:pPr>
      <w:r>
        <w:rPr>
          <w:rFonts w:hint="eastAsia" w:ascii="黑体" w:hAnsi="宋体" w:eastAsia="黑体" w:cstheme="minorBidi"/>
          <w:b w:val="0"/>
          <w:bCs w:val="0"/>
          <w:kern w:val="2"/>
          <w:sz w:val="24"/>
          <w:szCs w:val="20"/>
          <w:lang w:val="en-US" w:eastAsia="zh-CN" w:bidi="ar-SA"/>
        </w:rPr>
        <w:t>八、设计方案及效果图</w:t>
      </w:r>
    </w:p>
    <w:p w14:paraId="2DC29B05">
      <w:pPr>
        <w:ind w:left="718" w:leftChars="342" w:firstLine="1620" w:firstLineChars="675"/>
        <w:rPr>
          <w:rFonts w:hint="eastAsia" w:ascii="黑体" w:hAnsi="宋体" w:eastAsia="黑体" w:cstheme="minorBidi"/>
          <w:b w:val="0"/>
          <w:bCs w:val="0"/>
          <w:kern w:val="2"/>
          <w:sz w:val="24"/>
          <w:szCs w:val="20"/>
          <w:lang w:val="en-US" w:eastAsia="zh-CN" w:bidi="ar-SA"/>
        </w:rPr>
      </w:pPr>
      <w:r>
        <w:rPr>
          <w:rFonts w:hint="eastAsia" w:ascii="黑体" w:hAnsi="宋体" w:eastAsia="黑体" w:cstheme="minorBidi"/>
          <w:b w:val="0"/>
          <w:bCs w:val="0"/>
          <w:kern w:val="2"/>
          <w:sz w:val="24"/>
          <w:szCs w:val="20"/>
          <w:lang w:val="en-US" w:eastAsia="zh-CN" w:bidi="ar-SA"/>
        </w:rPr>
        <w:t>九、环保认证</w:t>
      </w:r>
    </w:p>
    <w:p w14:paraId="275F801F">
      <w:pPr>
        <w:ind w:left="718" w:leftChars="342" w:firstLine="1620" w:firstLineChars="675"/>
        <w:jc w:val="both"/>
        <w:rPr>
          <w:rFonts w:hint="eastAsia" w:ascii="黑体" w:hAnsi="宋体" w:eastAsia="黑体" w:cstheme="minorBidi"/>
          <w:b w:val="0"/>
          <w:bCs w:val="0"/>
          <w:kern w:val="2"/>
          <w:sz w:val="24"/>
          <w:szCs w:val="20"/>
          <w:lang w:val="en-US" w:eastAsia="zh-CN" w:bidi="ar-SA"/>
        </w:rPr>
      </w:pPr>
      <w:r>
        <w:rPr>
          <w:rFonts w:hint="eastAsia" w:ascii="黑体" w:hAnsi="宋体" w:eastAsia="黑体" w:cstheme="minorBidi"/>
          <w:b w:val="0"/>
          <w:bCs w:val="0"/>
          <w:kern w:val="2"/>
          <w:sz w:val="24"/>
          <w:szCs w:val="20"/>
          <w:lang w:val="en-US" w:eastAsia="zh-CN" w:bidi="ar-SA"/>
        </w:rPr>
        <w:t>十、同类项目业绩</w:t>
      </w:r>
    </w:p>
    <w:p w14:paraId="0B90BA07">
      <w:pPr>
        <w:ind w:left="718" w:leftChars="342" w:firstLine="1620" w:firstLineChars="675"/>
        <w:jc w:val="both"/>
        <w:rPr>
          <w:rFonts w:hint="eastAsia" w:ascii="黑体" w:hAnsi="宋体" w:eastAsia="黑体" w:cstheme="minorBidi"/>
          <w:b w:val="0"/>
          <w:bCs w:val="0"/>
          <w:kern w:val="2"/>
          <w:sz w:val="24"/>
          <w:szCs w:val="20"/>
          <w:lang w:val="en-US" w:eastAsia="zh-CN" w:bidi="ar-SA"/>
        </w:rPr>
      </w:pPr>
      <w:r>
        <w:rPr>
          <w:rFonts w:hint="eastAsia" w:ascii="黑体" w:hAnsi="宋体" w:eastAsia="黑体" w:cstheme="minorBidi"/>
          <w:b w:val="0"/>
          <w:bCs w:val="0"/>
          <w:kern w:val="2"/>
          <w:sz w:val="24"/>
          <w:szCs w:val="20"/>
          <w:lang w:val="en-US" w:eastAsia="zh-CN" w:bidi="ar-SA"/>
        </w:rPr>
        <w:t>十一、履约评价情况</w:t>
      </w:r>
    </w:p>
    <w:p w14:paraId="460F8E16">
      <w:pPr>
        <w:ind w:left="718" w:leftChars="342" w:firstLine="1620" w:firstLineChars="675"/>
        <w:jc w:val="both"/>
        <w:rPr>
          <w:rFonts w:hint="eastAsia" w:ascii="黑体" w:hAnsi="宋体" w:eastAsia="黑体" w:cstheme="minorBidi"/>
          <w:b w:val="0"/>
          <w:bCs w:val="0"/>
          <w:kern w:val="2"/>
          <w:sz w:val="24"/>
          <w:szCs w:val="20"/>
          <w:lang w:val="en-US" w:eastAsia="zh-CN" w:bidi="ar-SA"/>
        </w:rPr>
      </w:pPr>
      <w:r>
        <w:rPr>
          <w:rFonts w:hint="eastAsia" w:ascii="黑体" w:hAnsi="宋体" w:eastAsia="黑体" w:cstheme="minorBidi"/>
          <w:b w:val="0"/>
          <w:bCs w:val="0"/>
          <w:kern w:val="2"/>
          <w:sz w:val="24"/>
          <w:szCs w:val="20"/>
          <w:lang w:val="en-US" w:eastAsia="zh-CN" w:bidi="ar-SA"/>
        </w:rPr>
        <w:t>十二、投标人认为需要加以说明的其他内容</w:t>
      </w:r>
    </w:p>
    <w:bookmarkEnd w:id="52"/>
    <w:p w14:paraId="0ECA9D79">
      <w:pPr>
        <w:widowControl/>
        <w:jc w:val="center"/>
        <w:rPr>
          <w:rFonts w:hint="eastAsia" w:ascii="黑体" w:hAnsi="宋体" w:eastAsia="黑体"/>
          <w:kern w:val="0"/>
          <w:sz w:val="24"/>
          <w:szCs w:val="20"/>
        </w:rPr>
      </w:pPr>
    </w:p>
    <w:p w14:paraId="0684996A">
      <w:pPr>
        <w:widowControl/>
        <w:jc w:val="center"/>
        <w:rPr>
          <w:rFonts w:ascii="黑体" w:hAnsi="宋体" w:eastAsia="黑体"/>
          <w:kern w:val="0"/>
          <w:sz w:val="24"/>
          <w:szCs w:val="20"/>
        </w:rPr>
      </w:pPr>
      <w:r>
        <w:rPr>
          <w:rFonts w:hint="eastAsia" w:ascii="黑体" w:hAnsi="宋体" w:eastAsia="黑体"/>
          <w:kern w:val="0"/>
          <w:sz w:val="24"/>
          <w:szCs w:val="20"/>
        </w:rPr>
        <w:t>（一）</w:t>
      </w:r>
      <w:r>
        <w:rPr>
          <w:rFonts w:hint="eastAsia" w:ascii="黑体" w:hAnsi="宋体" w:eastAsia="黑体"/>
          <w:kern w:val="0"/>
          <w:sz w:val="24"/>
          <w:szCs w:val="20"/>
          <w:highlight w:val="yellow"/>
        </w:rPr>
        <w:t>政府采购违法行为风险知悉确认书</w:t>
      </w:r>
    </w:p>
    <w:p w14:paraId="045CE355">
      <w:pPr>
        <w:widowControl/>
        <w:jc w:val="center"/>
        <w:rPr>
          <w:rFonts w:ascii="黑体" w:hAnsi="宋体" w:eastAsia="黑体"/>
          <w:kern w:val="0"/>
          <w:sz w:val="24"/>
          <w:szCs w:val="20"/>
        </w:rPr>
      </w:pPr>
    </w:p>
    <w:p w14:paraId="3A890FAE">
      <w:pPr>
        <w:spacing w:before="0" w:beforeLines="0" w:after="157" w:afterLines="50" w:line="360" w:lineRule="exact"/>
        <w:ind w:firstLine="482" w:firstLineChars="200"/>
        <w:rPr>
          <w:rFonts w:hint="eastAsia" w:eastAsia="宋体" w:cs="Times New Roman"/>
          <w:b/>
          <w:bCs/>
          <w:color w:val="auto"/>
          <w:sz w:val="24"/>
          <w:lang w:val="en-US" w:eastAsia="zh-CN"/>
        </w:rPr>
      </w:pPr>
      <w:r>
        <w:rPr>
          <w:rFonts w:hint="eastAsia"/>
          <w:b/>
          <w:bCs/>
          <w:color w:val="auto"/>
          <w:sz w:val="24"/>
          <w:lang w:eastAsia="zh-CN"/>
        </w:rPr>
        <w:t>我</w:t>
      </w:r>
      <w:r>
        <w:rPr>
          <w:rFonts w:hint="eastAsia" w:ascii="Calibri" w:hAnsi="Calibri" w:eastAsia="宋体" w:cs="Times New Roman"/>
          <w:b/>
          <w:bCs/>
          <w:color w:val="auto"/>
          <w:sz w:val="24"/>
          <w:szCs w:val="24"/>
          <w:lang w:val="en-US" w:eastAsia="zh-CN"/>
        </w:rPr>
        <w:t>单位</w:t>
      </w:r>
      <w:r>
        <w:rPr>
          <w:rFonts w:hint="eastAsia" w:eastAsia="宋体"/>
          <w:b/>
          <w:bCs/>
          <w:color w:val="auto"/>
          <w:sz w:val="24"/>
        </w:rPr>
        <w:t>在</w:t>
      </w:r>
      <w:r>
        <w:rPr>
          <w:rFonts w:hint="eastAsia"/>
          <w:b/>
          <w:bCs/>
          <w:color w:val="auto"/>
          <w:sz w:val="24"/>
        </w:rPr>
        <w:t>投标前已充分知悉以下情形为参与政府采购活动时的重大风险事项，并承诺已对下述风险提示事项重点排查，</w:t>
      </w:r>
      <w:r>
        <w:rPr>
          <w:rFonts w:hint="eastAsia" w:eastAsia="宋体" w:cs="Times New Roman"/>
          <w:b/>
          <w:bCs/>
          <w:color w:val="auto"/>
          <w:sz w:val="24"/>
          <w:lang w:val="en-US" w:eastAsia="zh-CN"/>
        </w:rPr>
        <w:t>若存在下述情况，我单位愿意依法承担被记入供应商诚信档案、罚款、取消参与政府采购资格、吊销营业执照等处罚；构成犯罪的，依法承担刑事责任。</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7811"/>
      </w:tblGrid>
      <w:tr w14:paraId="30DE2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11" w:type="dxa"/>
            <w:noWrap w:val="0"/>
            <w:vAlign w:val="top"/>
          </w:tcPr>
          <w:p w14:paraId="09EBD61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序号</w:t>
            </w:r>
          </w:p>
        </w:tc>
        <w:tc>
          <w:tcPr>
            <w:tcW w:w="7811" w:type="dxa"/>
            <w:noWrap w:val="0"/>
            <w:vAlign w:val="top"/>
          </w:tcPr>
          <w:p w14:paraId="40770D3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供应商参与投标禁止情形</w:t>
            </w:r>
          </w:p>
        </w:tc>
      </w:tr>
      <w:tr w14:paraId="0BBD3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top"/>
          </w:tcPr>
          <w:p w14:paraId="679B189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7811" w:type="dxa"/>
            <w:noWrap w:val="0"/>
            <w:vAlign w:val="center"/>
          </w:tcPr>
          <w:p w14:paraId="0BBF5AB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与其他投标供应商的法定代表人、主要经营负责人、投标授权代表人、项目负责人、主要技术人员为</w:t>
            </w:r>
            <w:r>
              <w:rPr>
                <w:rFonts w:hint="eastAsia" w:ascii="仿宋_GB2312" w:hAnsi="仿宋_GB2312" w:eastAsia="仿宋_GB2312" w:cs="仿宋_GB2312"/>
                <w:b/>
                <w:bCs/>
                <w:color w:val="auto"/>
                <w:sz w:val="24"/>
                <w:szCs w:val="24"/>
                <w:highlight w:val="none"/>
                <w:lang w:val="en-US" w:eastAsia="zh-CN"/>
              </w:rPr>
              <w:t>同一人、属同一单位或者在同一单位缴纳社会保险</w:t>
            </w:r>
            <w:r>
              <w:rPr>
                <w:rFonts w:hint="eastAsia" w:ascii="仿宋_GB2312" w:hAnsi="仿宋_GB2312" w:eastAsia="仿宋_GB2312" w:cs="仿宋_GB2312"/>
                <w:color w:val="auto"/>
                <w:sz w:val="24"/>
                <w:szCs w:val="24"/>
                <w:highlight w:val="none"/>
                <w:lang w:val="en-US" w:eastAsia="zh-CN"/>
              </w:rPr>
              <w:t>。</w:t>
            </w:r>
          </w:p>
        </w:tc>
      </w:tr>
      <w:tr w14:paraId="0231E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noWrap w:val="0"/>
            <w:vAlign w:val="top"/>
          </w:tcPr>
          <w:p w14:paraId="0D0669D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w:t>
            </w:r>
          </w:p>
        </w:tc>
        <w:tc>
          <w:tcPr>
            <w:tcW w:w="7811" w:type="dxa"/>
            <w:noWrap w:val="0"/>
            <w:vAlign w:val="center"/>
          </w:tcPr>
          <w:p w14:paraId="605362D2">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参与本项目政府采购活动时，与其他投标供应商存在单位负责人为</w:t>
            </w:r>
            <w:r>
              <w:rPr>
                <w:rFonts w:hint="eastAsia" w:ascii="仿宋_GB2312" w:hAnsi="仿宋_GB2312" w:eastAsia="仿宋_GB2312" w:cs="仿宋_GB2312"/>
                <w:b/>
                <w:bCs/>
                <w:color w:val="auto"/>
                <w:sz w:val="24"/>
                <w:szCs w:val="24"/>
                <w:highlight w:val="none"/>
                <w:lang w:val="en-US" w:eastAsia="zh-CN"/>
              </w:rPr>
              <w:t>同一人或直接控股、管理关系</w:t>
            </w:r>
            <w:r>
              <w:rPr>
                <w:rFonts w:hint="eastAsia" w:ascii="仿宋_GB2312" w:hAnsi="仿宋_GB2312" w:eastAsia="仿宋_GB2312" w:cs="仿宋_GB2312"/>
                <w:color w:val="auto"/>
                <w:sz w:val="24"/>
                <w:szCs w:val="24"/>
                <w:highlight w:val="none"/>
                <w:lang w:val="en-US" w:eastAsia="zh-CN"/>
              </w:rPr>
              <w:t>。</w:t>
            </w:r>
          </w:p>
        </w:tc>
      </w:tr>
      <w:tr w14:paraId="559DE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top"/>
          </w:tcPr>
          <w:p w14:paraId="5270838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w:t>
            </w:r>
          </w:p>
        </w:tc>
        <w:tc>
          <w:tcPr>
            <w:tcW w:w="7811" w:type="dxa"/>
            <w:noWrap w:val="0"/>
            <w:vAlign w:val="center"/>
          </w:tcPr>
          <w:p w14:paraId="7C5313B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与其他投标供应商的投标文件或部分投标文件</w:t>
            </w:r>
            <w:r>
              <w:rPr>
                <w:rFonts w:hint="eastAsia" w:ascii="仿宋_GB2312" w:hAnsi="仿宋_GB2312" w:eastAsia="仿宋_GB2312" w:cs="仿宋_GB2312"/>
                <w:b/>
                <w:bCs/>
                <w:color w:val="auto"/>
                <w:sz w:val="24"/>
                <w:szCs w:val="24"/>
                <w:highlight w:val="none"/>
                <w:lang w:val="en-US" w:eastAsia="zh-CN"/>
              </w:rPr>
              <w:t>相互混装或存在非正常一致</w:t>
            </w:r>
            <w:r>
              <w:rPr>
                <w:rFonts w:hint="eastAsia" w:ascii="仿宋_GB2312" w:hAnsi="仿宋_GB2312" w:eastAsia="仿宋_GB2312" w:cs="仿宋_GB2312"/>
                <w:color w:val="auto"/>
                <w:sz w:val="24"/>
                <w:szCs w:val="24"/>
                <w:highlight w:val="none"/>
                <w:lang w:val="en-US" w:eastAsia="zh-CN"/>
              </w:rPr>
              <w:t>。</w:t>
            </w:r>
          </w:p>
        </w:tc>
      </w:tr>
      <w:tr w14:paraId="60439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top"/>
          </w:tcPr>
          <w:p w14:paraId="0E92AC2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w:t>
            </w:r>
          </w:p>
        </w:tc>
        <w:tc>
          <w:tcPr>
            <w:tcW w:w="7811" w:type="dxa"/>
            <w:noWrap w:val="0"/>
            <w:vAlign w:val="center"/>
          </w:tcPr>
          <w:p w14:paraId="56D0051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与其他投标供应商的投标文件由</w:t>
            </w:r>
            <w:r>
              <w:rPr>
                <w:rFonts w:hint="eastAsia" w:ascii="仿宋_GB2312" w:hAnsi="仿宋_GB2312" w:eastAsia="仿宋_GB2312" w:cs="仿宋_GB2312"/>
                <w:b/>
                <w:bCs/>
                <w:color w:val="auto"/>
                <w:sz w:val="24"/>
                <w:szCs w:val="24"/>
                <w:highlight w:val="none"/>
                <w:lang w:val="en-US" w:eastAsia="zh-CN"/>
              </w:rPr>
              <w:t>同一单位或者同一人编制</w:t>
            </w:r>
            <w:r>
              <w:rPr>
                <w:rFonts w:hint="eastAsia" w:ascii="仿宋_GB2312" w:hAnsi="仿宋_GB2312" w:eastAsia="仿宋_GB2312" w:cs="仿宋_GB2312"/>
                <w:color w:val="auto"/>
                <w:sz w:val="24"/>
                <w:szCs w:val="24"/>
                <w:highlight w:val="none"/>
                <w:lang w:val="en-US" w:eastAsia="zh-CN"/>
              </w:rPr>
              <w:t>，或者使用</w:t>
            </w:r>
            <w:r>
              <w:rPr>
                <w:rFonts w:hint="eastAsia" w:ascii="仿宋_GB2312" w:hAnsi="仿宋_GB2312" w:eastAsia="仿宋_GB2312" w:cs="仿宋_GB2312"/>
                <w:b/>
                <w:bCs/>
                <w:color w:val="auto"/>
                <w:sz w:val="24"/>
                <w:szCs w:val="24"/>
                <w:highlight w:val="none"/>
                <w:lang w:val="en-US" w:eastAsia="zh-CN"/>
              </w:rPr>
              <w:t>同一设备编制</w:t>
            </w:r>
            <w:r>
              <w:rPr>
                <w:rFonts w:hint="eastAsia" w:ascii="仿宋_GB2312" w:hAnsi="仿宋_GB2312" w:eastAsia="仿宋_GB2312" w:cs="仿宋_GB2312"/>
                <w:color w:val="auto"/>
                <w:sz w:val="24"/>
                <w:szCs w:val="24"/>
                <w:highlight w:val="none"/>
                <w:lang w:val="en-US" w:eastAsia="zh-CN"/>
              </w:rPr>
              <w:t>（“文件制作机器码”“文件创建标识码”一致）。</w:t>
            </w:r>
          </w:p>
        </w:tc>
      </w:tr>
      <w:tr w14:paraId="13729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noWrap w:val="0"/>
            <w:vAlign w:val="top"/>
          </w:tcPr>
          <w:p w14:paraId="331398A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w:t>
            </w:r>
          </w:p>
        </w:tc>
        <w:tc>
          <w:tcPr>
            <w:tcW w:w="7811" w:type="dxa"/>
            <w:noWrap w:val="0"/>
            <w:vAlign w:val="center"/>
          </w:tcPr>
          <w:p w14:paraId="2DF84EB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提供</w:t>
            </w:r>
            <w:r>
              <w:rPr>
                <w:rFonts w:hint="eastAsia" w:ascii="仿宋_GB2312" w:hAnsi="仿宋_GB2312" w:eastAsia="仿宋_GB2312" w:cs="仿宋_GB2312"/>
                <w:b/>
                <w:bCs/>
                <w:color w:val="auto"/>
                <w:sz w:val="24"/>
                <w:szCs w:val="24"/>
                <w:highlight w:val="none"/>
                <w:lang w:val="en-US" w:eastAsia="zh-CN"/>
              </w:rPr>
              <w:t>未经出具机构核实</w:t>
            </w:r>
            <w:r>
              <w:rPr>
                <w:rFonts w:hint="eastAsia" w:ascii="仿宋_GB2312" w:hAnsi="仿宋_GB2312" w:eastAsia="仿宋_GB2312" w:cs="仿宋_GB2312"/>
                <w:color w:val="auto"/>
                <w:sz w:val="24"/>
                <w:szCs w:val="24"/>
                <w:highlight w:val="none"/>
                <w:lang w:val="en-US" w:eastAsia="zh-CN"/>
              </w:rPr>
              <w:t>的虚假的检验检测报告、业绩材料、社保缴纳证明、学历学位证书、职称认证证书等材料。</w:t>
            </w:r>
          </w:p>
        </w:tc>
      </w:tr>
      <w:tr w14:paraId="4E5D0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top"/>
          </w:tcPr>
          <w:p w14:paraId="141AAA4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w:t>
            </w:r>
          </w:p>
        </w:tc>
        <w:tc>
          <w:tcPr>
            <w:tcW w:w="7811" w:type="dxa"/>
            <w:noWrap w:val="0"/>
            <w:vAlign w:val="center"/>
          </w:tcPr>
          <w:p w14:paraId="6DD78CE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擅自将投标密钥或电子营业执照出借他人使用或未妥善保管。</w:t>
            </w:r>
          </w:p>
        </w:tc>
      </w:tr>
    </w:tbl>
    <w:p w14:paraId="72E39BA3">
      <w:pPr>
        <w:spacing w:before="157" w:beforeLines="50" w:line="380" w:lineRule="exact"/>
        <w:ind w:firstLine="422" w:firstLineChars="200"/>
        <w:rPr>
          <w:b/>
          <w:color w:val="auto"/>
        </w:rPr>
      </w:pPr>
      <w:r>
        <w:rPr>
          <w:rFonts w:hint="eastAsia"/>
          <w:b/>
          <w:color w:val="auto"/>
        </w:rPr>
        <w:t>一、</w:t>
      </w:r>
      <w:r>
        <w:rPr>
          <w:rFonts w:hint="eastAsia"/>
          <w:b/>
          <w:color w:val="auto"/>
          <w:lang w:eastAsia="zh-CN"/>
        </w:rPr>
        <w:t>我</w:t>
      </w:r>
      <w:r>
        <w:rPr>
          <w:rFonts w:hint="eastAsia"/>
          <w:b/>
          <w:color w:val="auto"/>
          <w:lang w:val="en-US" w:eastAsia="zh-CN"/>
        </w:rPr>
        <w:t>单位</w:t>
      </w:r>
      <w:r>
        <w:rPr>
          <w:rFonts w:hint="eastAsia"/>
          <w:b/>
          <w:color w:val="auto"/>
        </w:rPr>
        <w:t>已充分知悉“隐瞒真实情况，提供虚假资料”的法定情形，包括但不限于：</w:t>
      </w:r>
    </w:p>
    <w:p w14:paraId="6300D004">
      <w:pPr>
        <w:spacing w:beforeLines="0" w:line="380" w:lineRule="exact"/>
        <w:ind w:firstLine="420" w:firstLineChars="200"/>
        <w:rPr>
          <w:color w:val="auto"/>
        </w:rPr>
      </w:pPr>
      <w:r>
        <w:rPr>
          <w:rFonts w:hint="eastAsia"/>
          <w:color w:val="auto"/>
        </w:rPr>
        <w:t>（一）通过转让或者租借等方式从其他单位获取资格或者资质证书投标的</w:t>
      </w:r>
      <w:r>
        <w:rPr>
          <w:rFonts w:hint="eastAsia"/>
          <w:color w:val="auto"/>
          <w:highlight w:val="none"/>
        </w:rPr>
        <w:t>。</w:t>
      </w:r>
    </w:p>
    <w:p w14:paraId="4D31C321">
      <w:pPr>
        <w:spacing w:beforeLines="0" w:line="380" w:lineRule="exact"/>
        <w:ind w:firstLine="420" w:firstLineChars="200"/>
        <w:rPr>
          <w:color w:val="auto"/>
        </w:rPr>
      </w:pPr>
      <w:r>
        <w:rPr>
          <w:rFonts w:hint="eastAsia"/>
          <w:color w:val="auto"/>
        </w:rPr>
        <w:t>（二）由其他单位或者其他单位负责人在投标供应商编制的投标文件上加盖印章或者签字的。</w:t>
      </w:r>
    </w:p>
    <w:p w14:paraId="587A2EB6">
      <w:pPr>
        <w:spacing w:beforeLines="0" w:line="380" w:lineRule="exact"/>
        <w:ind w:firstLine="420" w:firstLineChars="200"/>
        <w:rPr>
          <w:color w:val="auto"/>
        </w:rPr>
      </w:pPr>
      <w:r>
        <w:rPr>
          <w:rFonts w:hint="eastAsia"/>
          <w:color w:val="auto"/>
        </w:rPr>
        <w:t>（三）项目负责人或者主要技术人员不是本单位人员的。</w:t>
      </w:r>
    </w:p>
    <w:p w14:paraId="37A537FB">
      <w:pPr>
        <w:spacing w:beforeLines="0" w:line="380" w:lineRule="exact"/>
        <w:ind w:firstLine="420" w:firstLineChars="200"/>
        <w:rPr>
          <w:color w:val="auto"/>
        </w:rPr>
      </w:pPr>
      <w:r>
        <w:rPr>
          <w:rFonts w:hint="eastAsia"/>
          <w:color w:val="auto"/>
        </w:rPr>
        <w:t>（四）投标保证金不是从投标供应商基本账户转出的。</w:t>
      </w:r>
    </w:p>
    <w:p w14:paraId="39AD32DE">
      <w:pPr>
        <w:spacing w:beforeLines="0" w:line="380" w:lineRule="exact"/>
        <w:ind w:firstLine="420" w:firstLineChars="200"/>
        <w:rPr>
          <w:color w:val="auto"/>
        </w:rPr>
      </w:pPr>
      <w:r>
        <w:rPr>
          <w:rFonts w:hint="eastAsia"/>
          <w:color w:val="auto"/>
        </w:rPr>
        <w:t>（五）其他隐瞒真实情况、提供虚假资料的行为。</w:t>
      </w:r>
    </w:p>
    <w:p w14:paraId="6B60D45F">
      <w:pPr>
        <w:spacing w:beforeLines="0" w:line="380" w:lineRule="exact"/>
        <w:ind w:firstLine="422" w:firstLineChars="200"/>
        <w:rPr>
          <w:b/>
          <w:color w:val="auto"/>
        </w:rPr>
      </w:pPr>
      <w:r>
        <w:rPr>
          <w:rFonts w:hint="eastAsia"/>
          <w:b/>
          <w:color w:val="auto"/>
        </w:rPr>
        <w:t>二、</w:t>
      </w:r>
      <w:r>
        <w:rPr>
          <w:rFonts w:hint="eastAsia"/>
          <w:b/>
          <w:color w:val="auto"/>
          <w:lang w:eastAsia="zh-CN"/>
        </w:rPr>
        <w:t>我</w:t>
      </w:r>
      <w:r>
        <w:rPr>
          <w:rFonts w:hint="eastAsia"/>
          <w:b/>
          <w:color w:val="auto"/>
          <w:lang w:val="en-US" w:eastAsia="zh-CN"/>
        </w:rPr>
        <w:t>单位</w:t>
      </w:r>
      <w:r>
        <w:rPr>
          <w:rFonts w:hint="eastAsia"/>
          <w:b/>
          <w:color w:val="auto"/>
        </w:rPr>
        <w:t>已充分知悉“与其他采购参加人串通投标”的法定情形，包括但不限于：</w:t>
      </w:r>
    </w:p>
    <w:p w14:paraId="3BB1AC2B">
      <w:pPr>
        <w:spacing w:beforeLines="0" w:line="380" w:lineRule="exact"/>
        <w:ind w:firstLine="420" w:firstLineChars="200"/>
        <w:rPr>
          <w:color w:val="auto"/>
        </w:rPr>
      </w:pPr>
      <w:r>
        <w:rPr>
          <w:rFonts w:hint="eastAsia"/>
          <w:color w:val="auto"/>
        </w:rPr>
        <w:t>（一）投标供应商之间相互约定给予未中标的供应商利益补偿。</w:t>
      </w:r>
    </w:p>
    <w:p w14:paraId="3AF0C21D">
      <w:pPr>
        <w:spacing w:beforeLines="0" w:line="380" w:lineRule="exact"/>
        <w:ind w:firstLine="420" w:firstLineChars="200"/>
        <w:rPr>
          <w:color w:val="auto"/>
        </w:rPr>
      </w:pPr>
      <w:r>
        <w:rPr>
          <w:rFonts w:hint="eastAsia"/>
          <w:color w:val="auto"/>
        </w:rPr>
        <w:t>（二）不同投标供应商的法定代表人、主要经营负责人、项目投标授权代表人、项目负责人、主要技术人员为同一人、属同一单位或者在同一单位缴纳社会保险。</w:t>
      </w:r>
    </w:p>
    <w:p w14:paraId="5233D4B5">
      <w:pPr>
        <w:spacing w:beforeLines="0" w:line="340" w:lineRule="exact"/>
        <w:ind w:firstLine="420" w:firstLineChars="200"/>
        <w:rPr>
          <w:color w:val="auto"/>
        </w:rPr>
      </w:pPr>
      <w:r>
        <w:rPr>
          <w:rFonts w:hint="eastAsia"/>
          <w:color w:val="auto"/>
        </w:rPr>
        <w:t>（三）不同投标供应商的投标文件由同一单位或者同一人编制，或者由同一人分阶段参与编制的。</w:t>
      </w:r>
    </w:p>
    <w:p w14:paraId="6B7C1FFB">
      <w:pPr>
        <w:spacing w:beforeLines="0" w:line="340" w:lineRule="exact"/>
        <w:ind w:firstLine="420" w:firstLineChars="200"/>
        <w:rPr>
          <w:color w:val="auto"/>
        </w:rPr>
      </w:pPr>
      <w:r>
        <w:rPr>
          <w:rFonts w:hint="eastAsia"/>
          <w:color w:val="auto"/>
        </w:rPr>
        <w:t>（四）不同投标供应商的投标文件或部分投标文件相互混装。</w:t>
      </w:r>
    </w:p>
    <w:p w14:paraId="1E119FB9">
      <w:pPr>
        <w:spacing w:beforeLines="0" w:line="340" w:lineRule="exact"/>
        <w:ind w:firstLine="420" w:firstLineChars="200"/>
        <w:rPr>
          <w:color w:val="auto"/>
        </w:rPr>
      </w:pPr>
      <w:r>
        <w:rPr>
          <w:rFonts w:hint="eastAsia"/>
          <w:color w:val="auto"/>
        </w:rPr>
        <w:t>（五）不同投标供应商的投标文件内容存在非正常一致。</w:t>
      </w:r>
    </w:p>
    <w:p w14:paraId="4FD67863">
      <w:pPr>
        <w:spacing w:beforeLines="0" w:line="340" w:lineRule="exact"/>
        <w:ind w:firstLine="420" w:firstLineChars="200"/>
        <w:rPr>
          <w:color w:val="auto"/>
        </w:rPr>
      </w:pPr>
      <w:r>
        <w:rPr>
          <w:rFonts w:hint="eastAsia"/>
          <w:color w:val="auto"/>
        </w:rPr>
        <w:t>（六）由同一单位工作人员为两家以上（含两家）供应商进行同一项投标活动的。</w:t>
      </w:r>
    </w:p>
    <w:p w14:paraId="2AA643B1">
      <w:pPr>
        <w:spacing w:beforeLines="0" w:line="340" w:lineRule="exact"/>
        <w:ind w:firstLine="420" w:firstLineChars="200"/>
        <w:rPr>
          <w:color w:val="auto"/>
        </w:rPr>
      </w:pPr>
      <w:r>
        <w:rPr>
          <w:rFonts w:hint="eastAsia"/>
          <w:color w:val="auto"/>
        </w:rPr>
        <w:t>（七）不同投标人的投标报价呈规律性差异。</w:t>
      </w:r>
    </w:p>
    <w:p w14:paraId="3C777101">
      <w:pPr>
        <w:spacing w:beforeLines="0" w:line="340" w:lineRule="exact"/>
        <w:ind w:firstLine="420" w:firstLineChars="200"/>
        <w:rPr>
          <w:color w:val="auto"/>
        </w:rPr>
      </w:pPr>
      <w:r>
        <w:rPr>
          <w:rFonts w:hint="eastAsia"/>
          <w:color w:val="auto"/>
        </w:rPr>
        <w:t>（八）不同投标人的投标保证金从同一单位或者个人的账户转出。</w:t>
      </w:r>
    </w:p>
    <w:p w14:paraId="32FDBDAE">
      <w:pPr>
        <w:spacing w:beforeLines="0" w:line="340" w:lineRule="exact"/>
        <w:ind w:firstLine="420" w:firstLineChars="200"/>
        <w:rPr>
          <w:color w:val="auto"/>
        </w:rPr>
      </w:pPr>
      <w:r>
        <w:rPr>
          <w:rFonts w:hint="eastAsia"/>
          <w:color w:val="auto"/>
        </w:rPr>
        <w:t>（九）主管部门依照法律、法规认定的其他情形。</w:t>
      </w:r>
    </w:p>
    <w:p w14:paraId="0A31A0BC">
      <w:pPr>
        <w:spacing w:beforeLines="0" w:line="340" w:lineRule="exact"/>
        <w:ind w:firstLine="422" w:firstLineChars="200"/>
        <w:rPr>
          <w:b/>
          <w:color w:val="auto"/>
        </w:rPr>
      </w:pPr>
      <w:r>
        <w:rPr>
          <w:rFonts w:hint="eastAsia"/>
          <w:b/>
          <w:color w:val="auto"/>
        </w:rPr>
        <w:t>三、</w:t>
      </w:r>
      <w:r>
        <w:rPr>
          <w:rFonts w:hint="eastAsia"/>
          <w:b/>
          <w:color w:val="auto"/>
          <w:lang w:eastAsia="zh-CN"/>
        </w:rPr>
        <w:t>我</w:t>
      </w:r>
      <w:r>
        <w:rPr>
          <w:rFonts w:hint="eastAsia"/>
          <w:b/>
          <w:color w:val="auto"/>
          <w:lang w:val="en-US" w:eastAsia="zh-CN"/>
        </w:rPr>
        <w:t>单位</w:t>
      </w:r>
      <w:r>
        <w:rPr>
          <w:rFonts w:hint="eastAsia"/>
          <w:b/>
          <w:color w:val="auto"/>
        </w:rPr>
        <w:t>已充分知悉下列情形</w:t>
      </w:r>
      <w:r>
        <w:rPr>
          <w:rFonts w:hint="eastAsia"/>
          <w:b/>
          <w:color w:val="auto"/>
          <w:lang w:eastAsia="zh-CN"/>
        </w:rPr>
        <w:t>存在</w:t>
      </w:r>
      <w:r>
        <w:rPr>
          <w:rFonts w:hint="eastAsia"/>
          <w:b/>
          <w:color w:val="auto"/>
        </w:rPr>
        <w:t>法律风险，在投标前已对相关风险事项进行排</w:t>
      </w:r>
      <w:r>
        <w:rPr>
          <w:rFonts w:hint="eastAsia"/>
          <w:b/>
          <w:color w:val="auto"/>
          <w:highlight w:val="none"/>
        </w:rPr>
        <w:t>查。</w:t>
      </w:r>
    </w:p>
    <w:p w14:paraId="148D6C5B">
      <w:pPr>
        <w:spacing w:beforeLines="0" w:line="340" w:lineRule="exact"/>
        <w:ind w:firstLine="420" w:firstLineChars="200"/>
        <w:rPr>
          <w:b/>
          <w:color w:val="auto"/>
        </w:rPr>
      </w:pPr>
      <w:r>
        <w:rPr>
          <w:rFonts w:hint="eastAsia"/>
          <w:color w:val="auto"/>
        </w:rPr>
        <w:t>（一）对于从其他主体获取的投标资料，</w:t>
      </w:r>
      <w:r>
        <w:rPr>
          <w:rFonts w:hint="eastAsia"/>
          <w:color w:val="auto"/>
          <w:lang w:eastAsia="zh-CN"/>
        </w:rPr>
        <w:t>我</w:t>
      </w:r>
      <w:r>
        <w:rPr>
          <w:rFonts w:hint="eastAsia"/>
          <w:color w:val="auto"/>
          <w:lang w:val="en-US" w:eastAsia="zh-CN"/>
        </w:rPr>
        <w:t>单位</w:t>
      </w:r>
      <w:r>
        <w:rPr>
          <w:rFonts w:hint="eastAsia"/>
          <w:color w:val="auto"/>
        </w:rPr>
        <w:t>应审慎核查，确保</w:t>
      </w:r>
      <w:r>
        <w:rPr>
          <w:rFonts w:hint="eastAsia"/>
          <w:color w:val="auto"/>
          <w:lang w:eastAsia="zh-CN"/>
        </w:rPr>
        <w:t>其</w:t>
      </w:r>
      <w:r>
        <w:rPr>
          <w:rFonts w:hint="eastAsia"/>
          <w:color w:val="auto"/>
        </w:rPr>
        <w:t>真实性。</w:t>
      </w:r>
      <w:r>
        <w:rPr>
          <w:rFonts w:hint="eastAsia"/>
          <w:b/>
          <w:color w:val="auto"/>
        </w:rPr>
        <w:t>如主管部门查实投标文件中存在虚假资料的，无论相关资料是否由第三方或本公司员工提供，均不影响主管部门对供应商存在“隐瞒真实情况，提供虚假资料”违法行为的认定。</w:t>
      </w:r>
    </w:p>
    <w:p w14:paraId="0A9912D5">
      <w:pPr>
        <w:spacing w:beforeLines="0" w:line="340" w:lineRule="exact"/>
        <w:ind w:firstLine="420" w:firstLineChars="200"/>
        <w:rPr>
          <w:color w:val="auto"/>
        </w:rPr>
      </w:pPr>
      <w:r>
        <w:rPr>
          <w:rFonts w:hint="eastAsia"/>
          <w:color w:val="auto"/>
        </w:rPr>
        <w:t>（二）对于涉及国家机关出具的公文、证件、证明材料等文件，一旦涉嫌虚假，经查实，主管部门将依法从严处理，并移送有关部门追究法律责任；涉嫌犯罪的，移送司法机关</w:t>
      </w:r>
      <w:r>
        <w:rPr>
          <w:rFonts w:hint="eastAsia"/>
          <w:color w:val="auto"/>
          <w:lang w:eastAsia="zh-CN"/>
        </w:rPr>
        <w:t>处理</w:t>
      </w:r>
      <w:r>
        <w:rPr>
          <w:rFonts w:hint="eastAsia"/>
          <w:color w:val="auto"/>
        </w:rPr>
        <w:t>。</w:t>
      </w:r>
    </w:p>
    <w:p w14:paraId="01395364">
      <w:pPr>
        <w:spacing w:beforeLines="0" w:line="340" w:lineRule="exact"/>
        <w:ind w:firstLine="420" w:firstLineChars="200"/>
        <w:rPr>
          <w:color w:val="auto"/>
        </w:rPr>
      </w:pPr>
      <w:r>
        <w:rPr>
          <w:rFonts w:hint="eastAsia"/>
          <w:color w:val="auto"/>
        </w:rPr>
        <w:t>（</w:t>
      </w:r>
      <w:r>
        <w:rPr>
          <w:rFonts w:hint="eastAsia"/>
          <w:color w:val="auto"/>
          <w:lang w:eastAsia="zh-CN"/>
        </w:rPr>
        <w:t>三</w:t>
      </w:r>
      <w:r>
        <w:rPr>
          <w:rFonts w:hint="eastAsia"/>
          <w:color w:val="auto"/>
        </w:rPr>
        <w:t>）</w:t>
      </w:r>
      <w:r>
        <w:rPr>
          <w:rFonts w:hint="eastAsia"/>
          <w:color w:val="auto"/>
          <w:lang w:eastAsia="zh-CN"/>
        </w:rPr>
        <w:t>我</w:t>
      </w:r>
      <w:r>
        <w:rPr>
          <w:rFonts w:hint="eastAsia"/>
          <w:color w:val="auto"/>
          <w:lang w:val="en-US" w:eastAsia="zh-CN"/>
        </w:rPr>
        <w:t>单位</w:t>
      </w:r>
      <w:r>
        <w:rPr>
          <w:rFonts w:hint="eastAsia"/>
          <w:color w:val="auto"/>
        </w:rPr>
        <w:t>对投标电子密钥</w:t>
      </w:r>
      <w:r>
        <w:rPr>
          <w:rFonts w:hint="eastAsia"/>
          <w:color w:val="auto"/>
          <w:lang w:eastAsia="zh-CN"/>
        </w:rPr>
        <w:t>或</w:t>
      </w:r>
      <w:r>
        <w:rPr>
          <w:rFonts w:hint="eastAsia"/>
          <w:color w:val="auto"/>
          <w:lang w:val="en-US" w:eastAsia="zh-CN"/>
        </w:rPr>
        <w:t>电子营业执照</w:t>
      </w:r>
      <w:r>
        <w:rPr>
          <w:rFonts w:hint="eastAsia"/>
          <w:color w:val="auto"/>
        </w:rPr>
        <w:t>负有妥善保管、及时变更和续期等主体责任</w:t>
      </w:r>
      <w:r>
        <w:rPr>
          <w:rFonts w:hint="eastAsia"/>
          <w:color w:val="auto"/>
          <w:lang w:eastAsia="zh-CN"/>
        </w:rPr>
        <w:t>；</w:t>
      </w:r>
      <w:r>
        <w:rPr>
          <w:rFonts w:hint="eastAsia"/>
          <w:color w:val="auto"/>
        </w:rPr>
        <w:t>使用电子密钥</w:t>
      </w:r>
      <w:r>
        <w:rPr>
          <w:rFonts w:hint="eastAsia"/>
          <w:color w:val="auto"/>
          <w:lang w:eastAsia="zh-CN"/>
        </w:rPr>
        <w:t>或</w:t>
      </w:r>
      <w:r>
        <w:rPr>
          <w:rFonts w:hint="eastAsia"/>
          <w:color w:val="auto"/>
          <w:lang w:val="en-US" w:eastAsia="zh-CN"/>
        </w:rPr>
        <w:t>电子营业执照</w:t>
      </w:r>
      <w:r>
        <w:rPr>
          <w:rFonts w:hint="eastAsia"/>
          <w:color w:val="auto"/>
        </w:rPr>
        <w:t>在深圳政府采购网站进行的活动，均具有法律效力，须承担相应的法律后果。</w:t>
      </w:r>
      <w:r>
        <w:rPr>
          <w:rFonts w:hint="eastAsia"/>
          <w:color w:val="auto"/>
          <w:lang w:eastAsia="zh-CN"/>
        </w:rPr>
        <w:t>若</w:t>
      </w:r>
      <w:r>
        <w:rPr>
          <w:rFonts w:hint="eastAsia"/>
          <w:b/>
          <w:bCs/>
          <w:color w:val="auto"/>
        </w:rPr>
        <w:t>擅自将投标密钥</w:t>
      </w:r>
      <w:r>
        <w:rPr>
          <w:rFonts w:hint="eastAsia"/>
          <w:b/>
          <w:bCs/>
          <w:color w:val="auto"/>
          <w:lang w:eastAsia="zh-CN"/>
        </w:rPr>
        <w:t>或</w:t>
      </w:r>
      <w:r>
        <w:rPr>
          <w:rFonts w:hint="eastAsia"/>
          <w:b/>
          <w:bCs/>
          <w:color w:val="auto"/>
          <w:lang w:val="en-US" w:eastAsia="zh-CN"/>
        </w:rPr>
        <w:t>电子营业执照</w:t>
      </w:r>
      <w:r>
        <w:rPr>
          <w:rFonts w:hint="eastAsia"/>
          <w:b/>
          <w:bCs/>
          <w:color w:val="auto"/>
        </w:rPr>
        <w:t>出借他人使用所造成的法律后果，由</w:t>
      </w:r>
      <w:r>
        <w:rPr>
          <w:rFonts w:hint="eastAsia"/>
          <w:b/>
          <w:bCs/>
          <w:color w:val="auto"/>
          <w:lang w:eastAsia="zh-CN"/>
        </w:rPr>
        <w:t>我</w:t>
      </w:r>
      <w:r>
        <w:rPr>
          <w:rFonts w:hint="eastAsia"/>
          <w:b/>
          <w:bCs/>
          <w:color w:val="auto"/>
          <w:lang w:val="en-US" w:eastAsia="zh-CN"/>
        </w:rPr>
        <w:t>单位</w:t>
      </w:r>
      <w:r>
        <w:rPr>
          <w:rFonts w:hint="eastAsia"/>
          <w:b/>
          <w:bCs/>
          <w:color w:val="auto"/>
        </w:rPr>
        <w:t>自行承担</w:t>
      </w:r>
      <w:r>
        <w:rPr>
          <w:rFonts w:hint="eastAsia"/>
          <w:color w:val="auto"/>
        </w:rPr>
        <w:t>。</w:t>
      </w:r>
    </w:p>
    <w:p w14:paraId="37C09C7A">
      <w:pPr>
        <w:spacing w:beforeLines="0" w:line="340" w:lineRule="exact"/>
        <w:ind w:firstLine="422" w:firstLineChars="200"/>
        <w:rPr>
          <w:b/>
          <w:color w:val="auto"/>
        </w:rPr>
      </w:pPr>
      <w:r>
        <w:rPr>
          <w:rFonts w:hint="eastAsia"/>
          <w:b/>
          <w:color w:val="auto"/>
        </w:rPr>
        <w:t>四、</w:t>
      </w:r>
      <w:r>
        <w:rPr>
          <w:rFonts w:hint="eastAsia"/>
          <w:b/>
          <w:color w:val="auto"/>
          <w:lang w:eastAsia="zh-CN"/>
        </w:rPr>
        <w:t>我</w:t>
      </w:r>
      <w:r>
        <w:rPr>
          <w:rFonts w:hint="eastAsia"/>
          <w:b/>
          <w:color w:val="auto"/>
          <w:lang w:val="en-US" w:eastAsia="zh-CN"/>
        </w:rPr>
        <w:t>单位</w:t>
      </w:r>
      <w:r>
        <w:rPr>
          <w:rFonts w:hint="eastAsia"/>
          <w:b/>
          <w:color w:val="auto"/>
        </w:rPr>
        <w:t>已充分知悉政府采购违法、违规行为的法律</w:t>
      </w:r>
      <w:r>
        <w:rPr>
          <w:rFonts w:hint="eastAsia"/>
          <w:b/>
          <w:color w:val="auto"/>
          <w:highlight w:val="none"/>
        </w:rPr>
        <w:t>后果。</w:t>
      </w:r>
    </w:p>
    <w:p w14:paraId="7F84A095">
      <w:pPr>
        <w:spacing w:beforeLines="0" w:line="340" w:lineRule="exact"/>
        <w:ind w:firstLine="420" w:firstLineChars="200"/>
        <w:rPr>
          <w:color w:val="auto"/>
          <w:highlight w:val="none"/>
        </w:rPr>
      </w:pPr>
      <w:r>
        <w:rPr>
          <w:rFonts w:hint="eastAsia"/>
          <w:color w:val="auto"/>
        </w:rPr>
        <w:t>经查实，若</w:t>
      </w:r>
      <w:r>
        <w:rPr>
          <w:rFonts w:hint="eastAsia"/>
          <w:color w:val="auto"/>
          <w:lang w:eastAsia="zh-CN"/>
        </w:rPr>
        <w:t>我</w:t>
      </w:r>
      <w:r>
        <w:rPr>
          <w:rFonts w:hint="eastAsia"/>
          <w:color w:val="auto"/>
          <w:lang w:val="en-US" w:eastAsia="zh-CN"/>
        </w:rPr>
        <w:t>单位</w:t>
      </w:r>
      <w:r>
        <w:rPr>
          <w:rFonts w:hint="eastAsia"/>
          <w:color w:val="auto"/>
        </w:rPr>
        <w:t>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w:t>
      </w:r>
      <w:r>
        <w:rPr>
          <w:rFonts w:hint="eastAsia"/>
          <w:color w:val="auto"/>
          <w:highlight w:val="none"/>
        </w:rPr>
        <w:t>分之二十以上千分之三十以下罚款，由市场监管部门依法吊销营业执照。</w:t>
      </w:r>
    </w:p>
    <w:p w14:paraId="614A01C1">
      <w:pPr>
        <w:spacing w:beforeLines="0" w:line="340" w:lineRule="exact"/>
        <w:ind w:firstLine="420" w:firstLineChars="200"/>
        <w:rPr>
          <w:color w:val="auto"/>
          <w:highlight w:val="yellow"/>
        </w:rPr>
      </w:pPr>
      <w:r>
        <w:rPr>
          <w:rFonts w:hint="eastAsia"/>
          <w:color w:val="auto"/>
          <w:highlight w:val="yellow"/>
        </w:rPr>
        <w:t>以下文字请投标供应商抄写并确认：“</w:t>
      </w:r>
      <w:r>
        <w:rPr>
          <w:rFonts w:hint="eastAsia"/>
          <w:color w:val="auto"/>
          <w:highlight w:val="yellow"/>
          <w:lang w:eastAsia="zh-CN"/>
        </w:rPr>
        <w:t>我</w:t>
      </w:r>
      <w:r>
        <w:rPr>
          <w:rFonts w:hint="eastAsia"/>
          <w:color w:val="auto"/>
          <w:highlight w:val="yellow"/>
          <w:lang w:val="en-US" w:eastAsia="zh-CN"/>
        </w:rPr>
        <w:t>单位</w:t>
      </w:r>
      <w:r>
        <w:rPr>
          <w:rFonts w:hint="eastAsia"/>
          <w:color w:val="auto"/>
          <w:highlight w:val="yellow"/>
        </w:rPr>
        <w:t>已仔细阅读《政府采购违法行为风险知悉确认书》，充分知悉违法行为的法律后果，并承诺将严谨、诚信、依法依规参与政府采购活动”。</w:t>
      </w:r>
    </w:p>
    <w:tbl>
      <w:tblPr>
        <w:tblStyle w:val="38"/>
        <w:tblW w:w="8529"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9"/>
      </w:tblGrid>
      <w:tr w14:paraId="73BA75DC">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noWrap w:val="0"/>
            <w:vAlign w:val="top"/>
          </w:tcPr>
          <w:p w14:paraId="275E7049">
            <w:pPr>
              <w:autoSpaceDE w:val="0"/>
              <w:autoSpaceDN w:val="0"/>
              <w:spacing w:beforeLines="0" w:line="340" w:lineRule="exact"/>
              <w:ind w:firstLine="1866"/>
              <w:rPr>
                <w:rFonts w:ascii="宋体" w:hAnsi="宋体" w:eastAsia="宋体"/>
                <w:color w:val="auto"/>
                <w:spacing w:val="-4"/>
                <w:kern w:val="0"/>
                <w:szCs w:val="21"/>
                <w:highlight w:val="none"/>
              </w:rPr>
            </w:pPr>
          </w:p>
        </w:tc>
      </w:tr>
      <w:tr w14:paraId="3014B83E">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noWrap w:val="0"/>
            <w:vAlign w:val="top"/>
          </w:tcPr>
          <w:p w14:paraId="1811E560">
            <w:pPr>
              <w:autoSpaceDE w:val="0"/>
              <w:autoSpaceDN w:val="0"/>
              <w:spacing w:beforeLines="0" w:line="340" w:lineRule="exact"/>
              <w:ind w:firstLine="1866"/>
              <w:rPr>
                <w:rFonts w:ascii="宋体" w:hAnsi="宋体" w:eastAsia="宋体"/>
                <w:color w:val="auto"/>
                <w:spacing w:val="-4"/>
                <w:kern w:val="0"/>
                <w:szCs w:val="21"/>
              </w:rPr>
            </w:pPr>
          </w:p>
        </w:tc>
      </w:tr>
      <w:tr w14:paraId="27E21149">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noWrap w:val="0"/>
            <w:vAlign w:val="top"/>
          </w:tcPr>
          <w:p w14:paraId="6217D50D">
            <w:pPr>
              <w:autoSpaceDE w:val="0"/>
              <w:autoSpaceDN w:val="0"/>
              <w:spacing w:beforeLines="0" w:line="340" w:lineRule="exact"/>
              <w:ind w:firstLine="1866"/>
              <w:rPr>
                <w:rFonts w:ascii="宋体" w:hAnsi="宋体" w:eastAsia="宋体"/>
                <w:color w:val="auto"/>
                <w:spacing w:val="-4"/>
                <w:kern w:val="0"/>
                <w:szCs w:val="21"/>
              </w:rPr>
            </w:pPr>
          </w:p>
        </w:tc>
      </w:tr>
      <w:tr w14:paraId="04313596">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noWrap w:val="0"/>
            <w:vAlign w:val="top"/>
          </w:tcPr>
          <w:p w14:paraId="72733351">
            <w:pPr>
              <w:autoSpaceDE w:val="0"/>
              <w:autoSpaceDN w:val="0"/>
              <w:spacing w:beforeLines="0" w:line="340" w:lineRule="exact"/>
              <w:ind w:firstLine="1866"/>
              <w:rPr>
                <w:rFonts w:ascii="宋体" w:hAnsi="宋体" w:eastAsia="宋体"/>
                <w:color w:val="auto"/>
                <w:spacing w:val="-4"/>
                <w:kern w:val="0"/>
                <w:szCs w:val="21"/>
              </w:rPr>
            </w:pPr>
          </w:p>
        </w:tc>
      </w:tr>
    </w:tbl>
    <w:p w14:paraId="013E3C0B">
      <w:pPr>
        <w:widowControl/>
        <w:wordWrap w:val="0"/>
        <w:autoSpaceDE w:val="0"/>
        <w:autoSpaceDN w:val="0"/>
        <w:spacing w:beforeLines="0" w:line="340" w:lineRule="exact"/>
        <w:ind w:right="808" w:firstLine="404" w:firstLineChars="200"/>
        <w:jc w:val="right"/>
        <w:rPr>
          <w:rFonts w:hint="eastAsia" w:ascii="宋体" w:hAnsi="宋体" w:eastAsia="宋体"/>
          <w:color w:val="auto"/>
          <w:spacing w:val="-4"/>
          <w:kern w:val="0"/>
          <w:szCs w:val="21"/>
        </w:rPr>
      </w:pPr>
    </w:p>
    <w:p w14:paraId="0818253C">
      <w:pPr>
        <w:widowControl/>
        <w:wordWrap w:val="0"/>
        <w:autoSpaceDE w:val="0"/>
        <w:autoSpaceDN w:val="0"/>
        <w:spacing w:beforeLines="0" w:line="340" w:lineRule="exact"/>
        <w:ind w:right="808" w:firstLine="404" w:firstLineChars="200"/>
        <w:jc w:val="right"/>
        <w:rPr>
          <w:rFonts w:ascii="宋体" w:hAnsi="宋体" w:eastAsia="宋体"/>
          <w:color w:val="auto"/>
          <w:spacing w:val="-4"/>
          <w:kern w:val="0"/>
          <w:szCs w:val="21"/>
          <w:u w:val="single"/>
        </w:rPr>
      </w:pPr>
      <w:r>
        <w:rPr>
          <w:rFonts w:hint="eastAsia" w:ascii="宋体" w:hAnsi="宋体" w:eastAsia="宋体"/>
          <w:color w:val="auto"/>
          <w:spacing w:val="-4"/>
          <w:kern w:val="0"/>
          <w:szCs w:val="21"/>
          <w:lang w:eastAsia="zh-CN"/>
        </w:rPr>
        <w:t>单位</w:t>
      </w:r>
      <w:r>
        <w:rPr>
          <w:rFonts w:hint="eastAsia" w:ascii="宋体" w:hAnsi="宋体" w:eastAsia="宋体"/>
          <w:color w:val="auto"/>
          <w:spacing w:val="-4"/>
          <w:kern w:val="0"/>
          <w:szCs w:val="21"/>
        </w:rPr>
        <w:t>负责人签名：</w:t>
      </w:r>
      <w:r>
        <w:rPr>
          <w:rFonts w:hint="eastAsia" w:ascii="宋体" w:hAnsi="宋体" w:eastAsia="宋体"/>
          <w:color w:val="auto"/>
          <w:spacing w:val="-4"/>
          <w:kern w:val="0"/>
          <w:szCs w:val="21"/>
          <w:u w:val="single"/>
        </w:rPr>
        <w:t xml:space="preserve">              </w:t>
      </w:r>
    </w:p>
    <w:p w14:paraId="7C01ED11">
      <w:pPr>
        <w:widowControl/>
        <w:wordWrap w:val="0"/>
        <w:autoSpaceDE w:val="0"/>
        <w:autoSpaceDN w:val="0"/>
        <w:spacing w:beforeLines="0" w:line="340" w:lineRule="exact"/>
        <w:ind w:right="808" w:firstLine="404" w:firstLineChars="200"/>
        <w:jc w:val="center"/>
        <w:rPr>
          <w:rFonts w:ascii="宋体" w:hAnsi="宋体" w:eastAsia="宋体"/>
          <w:color w:val="auto"/>
          <w:spacing w:val="-4"/>
          <w:kern w:val="0"/>
          <w:szCs w:val="21"/>
          <w:u w:val="single"/>
        </w:rPr>
      </w:pPr>
      <w:r>
        <w:rPr>
          <w:rFonts w:hint="eastAsia" w:ascii="宋体" w:hAnsi="宋体" w:eastAsia="宋体"/>
          <w:color w:val="auto"/>
          <w:spacing w:val="-4"/>
          <w:kern w:val="0"/>
          <w:szCs w:val="21"/>
          <w:lang w:val="en-US" w:eastAsia="zh-CN"/>
        </w:rPr>
        <w:t xml:space="preserve">                                 </w:t>
      </w:r>
      <w:r>
        <w:rPr>
          <w:rFonts w:hint="eastAsia" w:ascii="宋体" w:hAnsi="宋体" w:eastAsia="宋体"/>
          <w:color w:val="auto"/>
          <w:spacing w:val="-4"/>
          <w:kern w:val="0"/>
          <w:szCs w:val="21"/>
          <w:lang w:eastAsia="zh-CN"/>
        </w:rPr>
        <w:t>（加盖</w:t>
      </w:r>
      <w:r>
        <w:rPr>
          <w:rFonts w:hint="eastAsia" w:ascii="宋体" w:hAnsi="宋体" w:eastAsia="宋体"/>
          <w:color w:val="auto"/>
          <w:spacing w:val="-4"/>
          <w:kern w:val="0"/>
          <w:szCs w:val="21"/>
        </w:rPr>
        <w:t>公章</w:t>
      </w:r>
      <w:r>
        <w:rPr>
          <w:rFonts w:hint="eastAsia" w:ascii="宋体" w:hAnsi="宋体" w:eastAsia="宋体"/>
          <w:color w:val="auto"/>
          <w:spacing w:val="-4"/>
          <w:kern w:val="0"/>
          <w:szCs w:val="21"/>
          <w:lang w:eastAsia="zh-CN"/>
        </w:rPr>
        <w:t>）</w:t>
      </w:r>
    </w:p>
    <w:p w14:paraId="5B73DE98">
      <w:pPr>
        <w:widowControl/>
        <w:wordWrap w:val="0"/>
        <w:autoSpaceDE w:val="0"/>
        <w:autoSpaceDN w:val="0"/>
        <w:spacing w:beforeLines="0" w:line="340" w:lineRule="exact"/>
        <w:ind w:right="808" w:firstLine="404" w:firstLineChars="200"/>
        <w:jc w:val="right"/>
        <w:rPr>
          <w:rFonts w:ascii="宋体" w:hAnsi="宋体" w:eastAsia="宋体"/>
          <w:color w:val="auto"/>
          <w:spacing w:val="-4"/>
          <w:kern w:val="0"/>
          <w:szCs w:val="21"/>
          <w:u w:val="single"/>
        </w:rPr>
      </w:pPr>
      <w:r>
        <w:rPr>
          <w:rFonts w:hint="eastAsia" w:ascii="宋体" w:hAnsi="宋体" w:eastAsia="宋体"/>
          <w:color w:val="auto"/>
          <w:spacing w:val="-4"/>
          <w:kern w:val="0"/>
          <w:szCs w:val="21"/>
        </w:rPr>
        <w:t xml:space="preserve">     日期：</w:t>
      </w:r>
      <w:r>
        <w:rPr>
          <w:rFonts w:hint="eastAsia" w:ascii="宋体" w:hAnsi="宋体" w:eastAsia="宋体"/>
          <w:color w:val="auto"/>
          <w:spacing w:val="-4"/>
          <w:kern w:val="0"/>
          <w:szCs w:val="21"/>
          <w:u w:val="single"/>
        </w:rPr>
        <w:t xml:space="preserve">              </w:t>
      </w:r>
    </w:p>
    <w:p w14:paraId="3A8C5299">
      <w:pPr>
        <w:widowControl/>
        <w:autoSpaceDE w:val="0"/>
        <w:autoSpaceDN w:val="0"/>
        <w:spacing w:beforeLines="0" w:line="340" w:lineRule="exact"/>
        <w:ind w:firstLine="406" w:firstLineChars="200"/>
        <w:jc w:val="left"/>
        <w:rPr>
          <w:rFonts w:hint="eastAsia" w:ascii="宋体" w:hAnsi="宋体" w:eastAsia="宋体"/>
          <w:b/>
          <w:bCs/>
          <w:color w:val="auto"/>
          <w:spacing w:val="-4"/>
          <w:kern w:val="0"/>
          <w:szCs w:val="21"/>
        </w:rPr>
      </w:pPr>
    </w:p>
    <w:p w14:paraId="7359BD9D">
      <w:pPr>
        <w:keepNext w:val="0"/>
        <w:keepLines w:val="0"/>
        <w:pageBreakBefore w:val="0"/>
        <w:widowControl/>
        <w:suppressLineNumbers w:val="0"/>
        <w:kinsoku/>
        <w:wordWrap/>
        <w:overflowPunct/>
        <w:topLinePunct w:val="0"/>
        <w:autoSpaceDE w:val="0"/>
        <w:autoSpaceDN w:val="0"/>
        <w:bidi w:val="0"/>
        <w:adjustRightInd/>
        <w:snapToGrid/>
        <w:spacing w:beforeLines="0" w:line="340" w:lineRule="exact"/>
        <w:ind w:firstLine="406" w:firstLineChars="200"/>
        <w:jc w:val="left"/>
        <w:textAlignment w:val="auto"/>
        <w:rPr>
          <w:rFonts w:hint="eastAsia" w:ascii="宋体" w:hAnsi="宋体" w:eastAsia="宋体"/>
          <w:b/>
          <w:bCs/>
          <w:color w:val="auto"/>
          <w:spacing w:val="-4"/>
          <w:kern w:val="0"/>
          <w:szCs w:val="21"/>
          <w:highlight w:val="none"/>
        </w:rPr>
      </w:pPr>
      <w:r>
        <w:rPr>
          <w:rFonts w:hint="eastAsia" w:ascii="宋体" w:hAnsi="宋体" w:eastAsia="宋体"/>
          <w:b/>
          <w:bCs/>
          <w:color w:val="auto"/>
          <w:spacing w:val="-4"/>
          <w:kern w:val="0"/>
          <w:szCs w:val="21"/>
        </w:rPr>
        <w:t>注：</w:t>
      </w:r>
      <w:r>
        <w:rPr>
          <w:rFonts w:hint="eastAsia" w:ascii="宋体" w:hAnsi="宋体"/>
          <w:b/>
          <w:bCs/>
          <w:color w:val="auto"/>
          <w:spacing w:val="-4"/>
          <w:kern w:val="0"/>
          <w:szCs w:val="21"/>
          <w:lang w:val="en-US" w:eastAsia="zh-CN"/>
        </w:rPr>
        <w:t>1.</w:t>
      </w:r>
      <w:r>
        <w:rPr>
          <w:rFonts w:hint="eastAsia" w:ascii="宋体" w:hAnsi="宋体" w:eastAsia="宋体"/>
          <w:b/>
          <w:bCs/>
          <w:color w:val="auto"/>
          <w:spacing w:val="-4"/>
          <w:kern w:val="0"/>
          <w:szCs w:val="21"/>
          <w:lang w:eastAsia="zh-CN"/>
        </w:rPr>
        <w:t>《</w:t>
      </w:r>
      <w:r>
        <w:rPr>
          <w:rFonts w:hint="eastAsia" w:ascii="宋体" w:hAnsi="宋体" w:eastAsia="宋体"/>
          <w:b/>
          <w:bCs/>
          <w:color w:val="auto"/>
          <w:spacing w:val="-4"/>
          <w:kern w:val="0"/>
          <w:szCs w:val="21"/>
          <w:lang w:val="en-US" w:eastAsia="zh-CN"/>
        </w:rPr>
        <w:t>政府采购违法行为风险知悉确认书</w:t>
      </w:r>
      <w:r>
        <w:rPr>
          <w:rFonts w:hint="eastAsia" w:ascii="宋体" w:hAnsi="宋体" w:eastAsia="宋体"/>
          <w:b/>
          <w:bCs/>
          <w:color w:val="auto"/>
          <w:spacing w:val="-4"/>
          <w:kern w:val="0"/>
          <w:szCs w:val="21"/>
          <w:lang w:eastAsia="zh-CN"/>
        </w:rPr>
        <w:t>》需由</w:t>
      </w:r>
      <w:r>
        <w:rPr>
          <w:rFonts w:hint="eastAsia" w:ascii="宋体" w:hAnsi="宋体" w:eastAsia="宋体"/>
          <w:b/>
          <w:bCs/>
          <w:color w:val="auto"/>
          <w:spacing w:val="-4"/>
          <w:kern w:val="0"/>
          <w:szCs w:val="21"/>
          <w:highlight w:val="none"/>
        </w:rPr>
        <w:t>投标供应商负责人签字并加盖单位公章后，扫描上传至投标文件一并提交。</w:t>
      </w:r>
    </w:p>
    <w:p w14:paraId="4DE540D8">
      <w:pPr>
        <w:pStyle w:val="50"/>
        <w:keepNext w:val="0"/>
        <w:keepLines w:val="0"/>
        <w:pageBreakBefore w:val="0"/>
        <w:kinsoku/>
        <w:wordWrap/>
        <w:overflowPunct/>
        <w:topLinePunct w:val="0"/>
        <w:bidi w:val="0"/>
        <w:adjustRightInd/>
        <w:snapToGrid/>
        <w:ind w:firstLine="422" w:firstLineChars="200"/>
        <w:textAlignment w:val="auto"/>
        <w:rPr>
          <w:b/>
          <w:bCs/>
          <w:color w:val="auto"/>
          <w:lang w:val="en-US" w:eastAsia="zh-CN"/>
        </w:rPr>
      </w:pPr>
      <w:r>
        <w:rPr>
          <w:rFonts w:hint="eastAsia"/>
          <w:b/>
          <w:bCs/>
          <w:color w:val="auto"/>
          <w:lang w:val="en-US" w:eastAsia="zh-CN"/>
        </w:rPr>
        <w:t>2.根据《深圳市财政局关于在采购文件及深圳政府采购智慧平台增设供应商投标特别警示条款等事宜的通知》（深财购〔2025〕7号）的要求，《政府采购违法行为风险知悉确认书》用于对供应商违法行为的提醒，不作为供应商资格性审查及符合性审查条件。</w:t>
      </w:r>
    </w:p>
    <w:p w14:paraId="511615A3">
      <w:pPr>
        <w:widowControl/>
        <w:autoSpaceDE w:val="0"/>
        <w:autoSpaceDN w:val="0"/>
        <w:spacing w:line="400" w:lineRule="exact"/>
        <w:ind w:firstLine="404" w:firstLineChars="200"/>
        <w:jc w:val="left"/>
        <w:rPr>
          <w:rFonts w:ascii="宋体" w:hAnsi="宋体" w:eastAsiaTheme="minorEastAsia"/>
          <w:color w:val="FF0000"/>
          <w:spacing w:val="-4"/>
          <w:kern w:val="0"/>
          <w:szCs w:val="21"/>
        </w:rPr>
      </w:pPr>
    </w:p>
    <w:p w14:paraId="5453269E">
      <w:pPr>
        <w:widowControl/>
        <w:wordWrap/>
        <w:autoSpaceDE w:val="0"/>
        <w:autoSpaceDN w:val="0"/>
        <w:spacing w:line="400" w:lineRule="exact"/>
        <w:ind w:right="1414" w:firstLine="480" w:firstLineChars="200"/>
        <w:jc w:val="right"/>
        <w:rPr>
          <w:rFonts w:eastAsiaTheme="minorEastAsia"/>
          <w:kern w:val="0"/>
          <w:sz w:val="24"/>
        </w:rPr>
      </w:pPr>
    </w:p>
    <w:p w14:paraId="10FF8263">
      <w:pPr>
        <w:widowControl/>
        <w:wordWrap/>
        <w:autoSpaceDE w:val="0"/>
        <w:autoSpaceDN w:val="0"/>
        <w:spacing w:line="400" w:lineRule="exact"/>
        <w:ind w:right="1414" w:firstLine="480" w:firstLineChars="200"/>
        <w:jc w:val="right"/>
        <w:rPr>
          <w:rFonts w:eastAsiaTheme="minorEastAsia"/>
          <w:kern w:val="0"/>
          <w:sz w:val="24"/>
        </w:rPr>
      </w:pPr>
    </w:p>
    <w:p w14:paraId="494E4589">
      <w:pPr>
        <w:widowControl/>
        <w:wordWrap/>
        <w:autoSpaceDE w:val="0"/>
        <w:autoSpaceDN w:val="0"/>
        <w:spacing w:line="400" w:lineRule="exact"/>
        <w:ind w:right="1414" w:firstLine="480" w:firstLineChars="200"/>
        <w:jc w:val="right"/>
        <w:rPr>
          <w:rFonts w:eastAsiaTheme="minorEastAsia"/>
          <w:kern w:val="0"/>
          <w:sz w:val="24"/>
        </w:rPr>
      </w:pPr>
    </w:p>
    <w:p w14:paraId="58840AD3">
      <w:pPr>
        <w:jc w:val="center"/>
        <w:rPr>
          <w:rFonts w:hint="eastAsia" w:ascii="黑体" w:eastAsia="黑体"/>
          <w:b w:val="0"/>
          <w:bCs w:val="0"/>
          <w:sz w:val="24"/>
          <w:szCs w:val="20"/>
          <w:lang w:val="en-US" w:eastAsia="zh-CN"/>
        </w:rPr>
      </w:pPr>
      <w:r>
        <w:rPr>
          <w:rFonts w:hint="eastAsia" w:ascii="黑体" w:eastAsia="黑体"/>
          <w:b w:val="0"/>
          <w:bCs w:val="0"/>
          <w:sz w:val="24"/>
          <w:szCs w:val="20"/>
          <w:lang w:val="en-US" w:eastAsia="zh-CN"/>
        </w:rPr>
        <w:t>（二）订单融资情况</w:t>
      </w:r>
    </w:p>
    <w:p w14:paraId="33620E1D">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ascii="宋体" w:hAnsi="宋体" w:cs="宋体"/>
          <w:b/>
          <w:bCs/>
        </w:rPr>
      </w:pPr>
      <w:r>
        <w:rPr>
          <w:rFonts w:hint="eastAsia" w:ascii="宋体" w:hAnsi="宋体" w:cs="宋体"/>
          <w:b/>
          <w:bCs/>
          <w:lang w:val="en-US" w:eastAsia="zh-CN"/>
        </w:rPr>
        <w:t>1</w:t>
      </w:r>
      <w:r>
        <w:rPr>
          <w:rFonts w:hint="eastAsia" w:ascii="宋体" w:hAnsi="宋体" w:cs="宋体"/>
          <w:b/>
          <w:bCs/>
          <w:lang w:eastAsia="zh-CN"/>
        </w:rPr>
        <w:t>、</w:t>
      </w:r>
      <w:r>
        <w:rPr>
          <w:rFonts w:hint="eastAsia" w:ascii="宋体" w:hAnsi="宋体" w:cs="宋体"/>
          <w:b/>
          <w:bCs/>
        </w:rPr>
        <w:t>关于政府采购订单融资政策</w:t>
      </w:r>
    </w:p>
    <w:p w14:paraId="21C2F348">
      <w:pPr>
        <w:pStyle w:val="9"/>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eastAsia="宋体" w:cs="Times New Roman"/>
          <w:b w:val="0"/>
          <w:bCs/>
          <w:kern w:val="2"/>
          <w:sz w:val="21"/>
          <w:szCs w:val="21"/>
          <w:lang w:val="en-US" w:eastAsia="zh-CN" w:bidi="ar-SA"/>
        </w:rPr>
      </w:pPr>
      <w:r>
        <w:rPr>
          <w:rFonts w:hint="eastAsia" w:ascii="Times New Roman" w:hAnsi="Times New Roman" w:eastAsia="宋体" w:cs="Times New Roman"/>
          <w:b w:val="0"/>
          <w:bCs/>
          <w:kern w:val="2"/>
          <w:sz w:val="21"/>
          <w:szCs w:val="21"/>
          <w:lang w:val="en-US" w:eastAsia="zh-CN" w:bidi="ar-SA"/>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14:paraId="0064CC0E">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cs="宋体"/>
          <w:b/>
          <w:bCs/>
          <w:lang w:val="en-US" w:eastAsia="zh-CN"/>
        </w:rPr>
      </w:pPr>
      <w:r>
        <w:rPr>
          <w:rFonts w:hint="eastAsia" w:ascii="宋体" w:hAnsi="宋体" w:cs="宋体"/>
          <w:b/>
          <w:bCs/>
          <w:lang w:val="en-US" w:eastAsia="zh-CN"/>
        </w:rPr>
        <w:t>2</w:t>
      </w:r>
      <w:r>
        <w:rPr>
          <w:rFonts w:hint="eastAsia" w:ascii="宋体" w:hAnsi="宋体" w:cs="宋体"/>
          <w:b/>
          <w:bCs/>
          <w:lang w:eastAsia="zh-CN"/>
        </w:rPr>
        <w:t>、</w:t>
      </w:r>
      <w:r>
        <w:rPr>
          <w:rFonts w:hint="eastAsia" w:ascii="宋体" w:hAnsi="宋体" w:cs="宋体"/>
          <w:b/>
          <w:bCs/>
          <w:lang w:val="en-US" w:eastAsia="zh-CN"/>
        </w:rPr>
        <w:t>供应商账户信息</w:t>
      </w:r>
    </w:p>
    <w:p w14:paraId="04E9FD3E">
      <w:pPr>
        <w:keepNext w:val="0"/>
        <w:keepLines w:val="0"/>
        <w:pageBreakBefore w:val="0"/>
        <w:widowControl w:val="0"/>
        <w:kinsoku/>
        <w:wordWrap w:val="0"/>
        <w:overflowPunct/>
        <w:topLinePunct w:val="0"/>
        <w:autoSpaceDE/>
        <w:autoSpaceDN/>
        <w:bidi w:val="0"/>
        <w:adjustRightInd/>
        <w:snapToGrid/>
        <w:ind w:left="420" w:leftChars="200" w:firstLine="210" w:firstLineChars="100"/>
        <w:textAlignment w:val="auto"/>
        <w:rPr>
          <w:rFonts w:hint="eastAsia"/>
          <w:szCs w:val="21"/>
        </w:rPr>
      </w:pPr>
      <w:r>
        <w:rPr>
          <w:rFonts w:hint="eastAsia"/>
          <w:szCs w:val="21"/>
        </w:rPr>
        <w:t>投标人</w:t>
      </w:r>
      <w:r>
        <w:rPr>
          <w:rFonts w:hint="eastAsia"/>
          <w:szCs w:val="21"/>
          <w:lang w:eastAsia="zh-CN"/>
        </w:rPr>
        <w:t>（</w:t>
      </w:r>
      <w:r>
        <w:rPr>
          <w:rFonts w:hint="eastAsia"/>
          <w:szCs w:val="21"/>
          <w:lang w:val="en-US" w:eastAsia="zh-CN"/>
        </w:rPr>
        <w:t>单位全称</w:t>
      </w:r>
      <w:r>
        <w:rPr>
          <w:rFonts w:hint="eastAsia"/>
          <w:szCs w:val="21"/>
          <w:lang w:eastAsia="zh-CN"/>
        </w:rPr>
        <w:t>）</w:t>
      </w:r>
      <w:r>
        <w:rPr>
          <w:rFonts w:hint="eastAsia"/>
          <w:szCs w:val="21"/>
        </w:rPr>
        <w:t>：</w:t>
      </w:r>
      <w:r>
        <w:rPr>
          <w:rFonts w:hint="eastAsia"/>
          <w:szCs w:val="21"/>
          <w:u w:val="thick"/>
        </w:rPr>
        <w:t xml:space="preserve">      </w:t>
      </w:r>
      <w:r>
        <w:rPr>
          <w:rFonts w:hint="eastAsia"/>
          <w:szCs w:val="21"/>
          <w:u w:val="thick"/>
          <w:lang w:val="en-US" w:eastAsia="zh-CN"/>
        </w:rPr>
        <w:t xml:space="preserve">                            </w:t>
      </w:r>
      <w:r>
        <w:rPr>
          <w:rFonts w:hint="eastAsia" w:eastAsia="宋体"/>
          <w:szCs w:val="21"/>
          <w:lang w:eastAsia="zh-CN"/>
        </w:rPr>
        <w:t>；</w:t>
      </w:r>
      <w:r>
        <w:rPr>
          <w:rFonts w:hint="eastAsia"/>
          <w:szCs w:val="21"/>
        </w:rPr>
        <w:t xml:space="preserve">  </w:t>
      </w:r>
    </w:p>
    <w:p w14:paraId="08C23D08">
      <w:pPr>
        <w:keepNext w:val="0"/>
        <w:keepLines w:val="0"/>
        <w:pageBreakBefore w:val="0"/>
        <w:widowControl w:val="0"/>
        <w:kinsoku/>
        <w:wordWrap w:val="0"/>
        <w:overflowPunct/>
        <w:topLinePunct w:val="0"/>
        <w:autoSpaceDE/>
        <w:autoSpaceDN/>
        <w:bidi w:val="0"/>
        <w:adjustRightInd/>
        <w:snapToGrid/>
        <w:ind w:left="420" w:leftChars="200" w:firstLine="210" w:firstLineChars="100"/>
        <w:textAlignment w:val="auto"/>
        <w:rPr>
          <w:rFonts w:hint="eastAsia"/>
          <w:szCs w:val="21"/>
          <w:u w:val="none"/>
          <w:lang w:eastAsia="zh-CN"/>
        </w:rPr>
      </w:pPr>
      <w:r>
        <w:rPr>
          <w:rFonts w:hint="eastAsia"/>
          <w:szCs w:val="21"/>
          <w:lang w:val="en-US" w:eastAsia="zh-CN"/>
        </w:rPr>
        <w:t>投标人</w:t>
      </w:r>
      <w:r>
        <w:rPr>
          <w:rFonts w:hint="eastAsia"/>
          <w:szCs w:val="21"/>
        </w:rPr>
        <w:t>单位地址：</w:t>
      </w:r>
      <w:r>
        <w:rPr>
          <w:rFonts w:hint="eastAsia"/>
          <w:szCs w:val="21"/>
          <w:u w:val="thick"/>
        </w:rPr>
        <w:t xml:space="preserve">       </w:t>
      </w:r>
      <w:r>
        <w:rPr>
          <w:rFonts w:hint="eastAsia" w:ascii="Times New Roman" w:eastAsia="宋体"/>
          <w:szCs w:val="21"/>
          <w:u w:val="thick"/>
          <w:lang w:val="en-US" w:eastAsia="zh-CN"/>
        </w:rPr>
        <w:t xml:space="preserve">      </w:t>
      </w:r>
      <w:r>
        <w:rPr>
          <w:rFonts w:hint="eastAsia"/>
          <w:szCs w:val="21"/>
          <w:u w:val="thick"/>
          <w:lang w:val="en-US" w:eastAsia="zh-CN"/>
        </w:rPr>
        <w:t xml:space="preserve">                      </w:t>
      </w:r>
      <w:r>
        <w:rPr>
          <w:rFonts w:hint="eastAsia" w:ascii="Times New Roman" w:eastAsia="宋体"/>
          <w:szCs w:val="21"/>
          <w:u w:val="thick"/>
          <w:lang w:val="en-US" w:eastAsia="zh-CN"/>
        </w:rPr>
        <w:t xml:space="preserve">   </w:t>
      </w:r>
      <w:r>
        <w:rPr>
          <w:rFonts w:hint="eastAsia" w:eastAsia="宋体"/>
          <w:szCs w:val="21"/>
          <w:u w:val="none"/>
          <w:lang w:eastAsia="zh-CN"/>
        </w:rPr>
        <w:t>；</w:t>
      </w:r>
    </w:p>
    <w:p w14:paraId="2F1A53E6">
      <w:pPr>
        <w:keepNext w:val="0"/>
        <w:keepLines w:val="0"/>
        <w:pageBreakBefore w:val="0"/>
        <w:widowControl w:val="0"/>
        <w:kinsoku/>
        <w:wordWrap w:val="0"/>
        <w:overflowPunct/>
        <w:topLinePunct w:val="0"/>
        <w:autoSpaceDE/>
        <w:autoSpaceDN/>
        <w:bidi w:val="0"/>
        <w:adjustRightInd/>
        <w:snapToGrid/>
        <w:ind w:left="420" w:leftChars="200" w:firstLine="210" w:firstLineChars="100"/>
        <w:textAlignment w:val="auto"/>
        <w:rPr>
          <w:rFonts w:hint="eastAsia"/>
          <w:szCs w:val="21"/>
          <w:u w:val="none"/>
          <w:lang w:eastAsia="zh-CN"/>
        </w:rPr>
      </w:pPr>
      <w:r>
        <w:rPr>
          <w:rFonts w:hint="eastAsia"/>
          <w:szCs w:val="21"/>
        </w:rPr>
        <w:t>法定代表人（负责人）或其</w:t>
      </w:r>
      <w:r>
        <w:rPr>
          <w:rFonts w:hint="eastAsia" w:ascii="Times New Roman" w:eastAsia="宋体"/>
          <w:szCs w:val="21"/>
          <w:lang w:val="en-US" w:eastAsia="zh-CN"/>
        </w:rPr>
        <w:t>授权</w:t>
      </w:r>
      <w:r>
        <w:rPr>
          <w:rFonts w:hint="eastAsia"/>
          <w:szCs w:val="21"/>
        </w:rPr>
        <w:t>委托代理人：</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eastAsia="宋体"/>
          <w:szCs w:val="21"/>
          <w:u w:val="none"/>
          <w:lang w:eastAsia="zh-CN"/>
        </w:rPr>
        <w:t>；</w:t>
      </w:r>
    </w:p>
    <w:p w14:paraId="0F4B74B7">
      <w:pPr>
        <w:keepNext w:val="0"/>
        <w:keepLines w:val="0"/>
        <w:pageBreakBefore w:val="0"/>
        <w:widowControl w:val="0"/>
        <w:kinsoku/>
        <w:wordWrap w:val="0"/>
        <w:overflowPunct/>
        <w:topLinePunct w:val="0"/>
        <w:autoSpaceDE/>
        <w:autoSpaceDN/>
        <w:bidi w:val="0"/>
        <w:adjustRightInd/>
        <w:snapToGrid/>
        <w:ind w:left="420" w:leftChars="200" w:firstLine="210" w:firstLineChars="100"/>
        <w:textAlignment w:val="auto"/>
        <w:rPr>
          <w:rFonts w:hint="eastAsia"/>
          <w:szCs w:val="21"/>
          <w:u w:val="thick"/>
        </w:rPr>
      </w:pPr>
      <w:r>
        <w:rPr>
          <w:rFonts w:hint="eastAsia"/>
          <w:szCs w:val="21"/>
          <w:lang w:val="en-US" w:eastAsia="zh-CN"/>
        </w:rPr>
        <w:t>联系</w:t>
      </w:r>
      <w:r>
        <w:rPr>
          <w:rFonts w:hint="eastAsia"/>
          <w:szCs w:val="21"/>
        </w:rPr>
        <w:t>电话</w:t>
      </w:r>
      <w:r>
        <w:rPr>
          <w:rFonts w:hint="eastAsia"/>
          <w:szCs w:val="21"/>
          <w:u w:val="none"/>
        </w:rPr>
        <w:t>：</w:t>
      </w:r>
      <w:r>
        <w:rPr>
          <w:rFonts w:hint="eastAsia"/>
          <w:szCs w:val="21"/>
          <w:u w:val="thick"/>
        </w:rPr>
        <w:t xml:space="preserve">        </w:t>
      </w:r>
      <w:r>
        <w:rPr>
          <w:rFonts w:hint="eastAsia" w:ascii="Times New Roman" w:eastAsia="宋体"/>
          <w:szCs w:val="21"/>
          <w:u w:val="thick"/>
          <w:lang w:val="en-US" w:eastAsia="zh-CN"/>
        </w:rPr>
        <w:t xml:space="preserve">      </w:t>
      </w:r>
      <w:r>
        <w:rPr>
          <w:rFonts w:hint="eastAsia"/>
          <w:szCs w:val="21"/>
          <w:u w:val="thick"/>
          <w:lang w:val="en-US" w:eastAsia="zh-CN"/>
        </w:rPr>
        <w:t xml:space="preserve">           </w:t>
      </w:r>
      <w:r>
        <w:rPr>
          <w:rFonts w:hint="eastAsia" w:eastAsia="宋体"/>
          <w:szCs w:val="21"/>
          <w:u w:val="none"/>
          <w:lang w:eastAsia="zh-CN"/>
        </w:rPr>
        <w:t>；</w:t>
      </w:r>
    </w:p>
    <w:p w14:paraId="5651C49E">
      <w:pPr>
        <w:keepNext w:val="0"/>
        <w:keepLines w:val="0"/>
        <w:pageBreakBefore w:val="0"/>
        <w:widowControl w:val="0"/>
        <w:kinsoku/>
        <w:wordWrap w:val="0"/>
        <w:overflowPunct/>
        <w:topLinePunct w:val="0"/>
        <w:autoSpaceDE/>
        <w:autoSpaceDN/>
        <w:bidi w:val="0"/>
        <w:adjustRightInd/>
        <w:snapToGrid/>
        <w:ind w:left="420" w:leftChars="200" w:firstLine="210" w:firstLineChars="100"/>
        <w:textAlignment w:val="auto"/>
        <w:rPr>
          <w:rFonts w:hint="eastAsia"/>
          <w:szCs w:val="21"/>
          <w:u w:val="none"/>
          <w:lang w:eastAsia="zh-CN"/>
        </w:rPr>
      </w:pPr>
      <w:r>
        <w:rPr>
          <w:rFonts w:hint="eastAsia" w:ascii="Times New Roman" w:eastAsia="宋体"/>
          <w:szCs w:val="21"/>
          <w:lang w:val="en-US" w:eastAsia="zh-CN"/>
        </w:rPr>
        <w:t>开户银行名称：</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eastAsia="宋体"/>
          <w:szCs w:val="21"/>
          <w:u w:val="none"/>
          <w:lang w:eastAsia="zh-CN"/>
        </w:rPr>
        <w:t>；</w:t>
      </w:r>
    </w:p>
    <w:p w14:paraId="58B9BB7D">
      <w:pPr>
        <w:keepNext w:val="0"/>
        <w:keepLines w:val="0"/>
        <w:pageBreakBefore w:val="0"/>
        <w:widowControl w:val="0"/>
        <w:kinsoku/>
        <w:wordWrap w:val="0"/>
        <w:overflowPunct/>
        <w:topLinePunct w:val="0"/>
        <w:autoSpaceDE/>
        <w:autoSpaceDN/>
        <w:bidi w:val="0"/>
        <w:adjustRightInd/>
        <w:snapToGrid/>
        <w:ind w:left="420" w:leftChars="200" w:firstLine="210" w:firstLineChars="100"/>
        <w:textAlignment w:val="auto"/>
        <w:rPr>
          <w:rFonts w:hint="eastAsia"/>
          <w:szCs w:val="21"/>
          <w:u w:val="thick"/>
          <w:lang w:eastAsia="zh-CN"/>
        </w:rPr>
      </w:pPr>
      <w:r>
        <w:rPr>
          <w:rFonts w:hint="eastAsia"/>
          <w:szCs w:val="21"/>
          <w:u w:val="none"/>
          <w:lang w:val="en-US" w:eastAsia="zh-CN"/>
        </w:rPr>
        <w:t>开户银行账号：</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szCs w:val="21"/>
          <w:u w:val="none"/>
          <w:lang w:eastAsia="zh-CN"/>
        </w:rPr>
        <w:t>；</w:t>
      </w:r>
    </w:p>
    <w:p w14:paraId="24198E94">
      <w:pPr>
        <w:keepNext w:val="0"/>
        <w:keepLines w:val="0"/>
        <w:pageBreakBefore w:val="0"/>
        <w:widowControl w:val="0"/>
        <w:kinsoku/>
        <w:wordWrap w:val="0"/>
        <w:overflowPunct/>
        <w:topLinePunct w:val="0"/>
        <w:autoSpaceDE/>
        <w:autoSpaceDN/>
        <w:bidi w:val="0"/>
        <w:adjustRightInd/>
        <w:snapToGrid/>
        <w:ind w:left="420" w:leftChars="200" w:firstLine="210" w:firstLineChars="100"/>
        <w:textAlignment w:val="auto"/>
        <w:rPr>
          <w:rFonts w:hint="eastAsia"/>
          <w:szCs w:val="21"/>
          <w:u w:val="none"/>
          <w:lang w:eastAsia="zh-CN"/>
        </w:rPr>
      </w:pPr>
      <w:r>
        <w:rPr>
          <w:rFonts w:hint="eastAsia"/>
          <w:szCs w:val="21"/>
          <w:u w:val="none"/>
          <w:lang w:val="en-US" w:eastAsia="zh-CN"/>
        </w:rPr>
        <w:t>开户银行地址：</w:t>
      </w:r>
      <w:r>
        <w:rPr>
          <w:rFonts w:hint="eastAsia"/>
          <w:szCs w:val="21"/>
          <w:u w:val="thick"/>
        </w:rPr>
        <w:t xml:space="preserve">    </w:t>
      </w:r>
      <w:r>
        <w:rPr>
          <w:rFonts w:hint="eastAsia"/>
          <w:szCs w:val="21"/>
          <w:u w:val="thick"/>
          <w:lang w:val="en-US" w:eastAsia="zh-CN"/>
        </w:rPr>
        <w:t xml:space="preserve">                 </w:t>
      </w:r>
      <w:r>
        <w:rPr>
          <w:rFonts w:hint="eastAsia"/>
          <w:szCs w:val="21"/>
          <w:u w:val="none"/>
          <w:lang w:eastAsia="zh-CN"/>
        </w:rPr>
        <w:t>。</w:t>
      </w:r>
    </w:p>
    <w:p w14:paraId="0D99587B">
      <w:pPr>
        <w:ind w:left="420" w:leftChars="200" w:firstLine="210" w:firstLineChars="100"/>
        <w:rPr>
          <w:rFonts w:hint="eastAsia"/>
          <w:szCs w:val="21"/>
          <w:u w:val="none"/>
        </w:rPr>
      </w:pPr>
      <w:r>
        <w:rPr>
          <w:rFonts w:hint="eastAsia"/>
          <w:szCs w:val="21"/>
          <w:u w:val="none"/>
        </w:rPr>
        <w:t xml:space="preserve"> </w:t>
      </w:r>
      <w:r>
        <w:rPr>
          <w:rFonts w:hint="eastAsia" w:ascii="宋体" w:hAnsi="宋体" w:eastAsiaTheme="minorEastAsia"/>
          <w:b/>
          <w:bCs/>
          <w:color w:val="FF0000"/>
          <w:spacing w:val="-4"/>
          <w:kern w:val="0"/>
          <w:szCs w:val="21"/>
          <w:lang w:val="en-US" w:eastAsia="zh-CN"/>
        </w:rPr>
        <w:t>注：本项填写内容作为订单融资开展的参考信息，</w:t>
      </w:r>
      <w:r>
        <w:rPr>
          <w:rFonts w:hint="eastAsia" w:ascii="宋体" w:hAnsi="宋体" w:eastAsiaTheme="minorEastAsia"/>
          <w:b/>
          <w:bCs/>
          <w:color w:val="FF0000"/>
          <w:spacing w:val="-4"/>
          <w:kern w:val="0"/>
          <w:szCs w:val="21"/>
        </w:rPr>
        <w:t>不作为供应商资格性审查及符合性审查条件。</w:t>
      </w:r>
    </w:p>
    <w:p w14:paraId="2B5E44AA">
      <w:pPr>
        <w:widowControl/>
        <w:tabs>
          <w:tab w:val="left" w:pos="8200"/>
        </w:tabs>
        <w:wordWrap/>
        <w:autoSpaceDE w:val="0"/>
        <w:autoSpaceDN w:val="0"/>
        <w:spacing w:line="400" w:lineRule="exact"/>
        <w:ind w:right="1414" w:firstLine="406" w:firstLineChars="200"/>
        <w:jc w:val="both"/>
        <w:rPr>
          <w:rFonts w:hint="eastAsia" w:ascii="宋体" w:hAnsi="宋体" w:eastAsiaTheme="minorEastAsia"/>
          <w:b/>
          <w:bCs/>
          <w:color w:val="FF0000"/>
          <w:spacing w:val="-4"/>
          <w:kern w:val="0"/>
          <w:szCs w:val="21"/>
          <w:lang w:val="en-US" w:eastAsia="zh-CN"/>
        </w:rPr>
      </w:pPr>
    </w:p>
    <w:p w14:paraId="7A70A41F">
      <w:pPr>
        <w:widowControl/>
        <w:tabs>
          <w:tab w:val="left" w:pos="6930"/>
          <w:tab w:val="left" w:pos="8200"/>
        </w:tabs>
        <w:wordWrap/>
        <w:autoSpaceDE w:val="0"/>
        <w:autoSpaceDN w:val="0"/>
        <w:spacing w:line="400" w:lineRule="exact"/>
        <w:ind w:right="1414" w:firstLine="480" w:firstLineChars="200"/>
        <w:jc w:val="both"/>
        <w:rPr>
          <w:rFonts w:eastAsiaTheme="minorEastAsia"/>
          <w:kern w:val="0"/>
          <w:sz w:val="24"/>
        </w:rPr>
      </w:pPr>
    </w:p>
    <w:p w14:paraId="11072797">
      <w:pPr>
        <w:widowControl/>
        <w:wordWrap/>
        <w:autoSpaceDE w:val="0"/>
        <w:autoSpaceDN w:val="0"/>
        <w:spacing w:line="400" w:lineRule="exact"/>
        <w:ind w:right="1414" w:firstLine="480" w:firstLineChars="200"/>
        <w:jc w:val="right"/>
        <w:rPr>
          <w:rFonts w:eastAsiaTheme="minorEastAsia"/>
          <w:kern w:val="0"/>
          <w:sz w:val="24"/>
        </w:rPr>
      </w:pPr>
    </w:p>
    <w:p w14:paraId="6D8CE1C4">
      <w:pPr>
        <w:ind w:firstLine="630" w:firstLineChars="300"/>
        <w:rPr>
          <w:rFonts w:ascii="宋体" w:hAnsi="宋体"/>
        </w:rPr>
      </w:pPr>
      <w:r>
        <w:t xml:space="preserve">  </w:t>
      </w:r>
      <w:r>
        <w:rPr>
          <w:rFonts w:hint="eastAsia" w:ascii="宋体" w:hAnsi="宋体"/>
        </w:rPr>
        <w:t>………………（根据项目具体情况增加与综合实力评审相关的节点）</w:t>
      </w:r>
    </w:p>
    <w:p w14:paraId="78292B05">
      <w:pPr>
        <w:ind w:firstLine="720" w:firstLineChars="300"/>
        <w:rPr>
          <w:sz w:val="24"/>
        </w:rPr>
      </w:pPr>
    </w:p>
    <w:p w14:paraId="2EB3E083">
      <w:pPr>
        <w:widowControl/>
        <w:spacing w:line="360" w:lineRule="auto"/>
        <w:jc w:val="left"/>
        <w:rPr>
          <w:rFonts w:eastAsiaTheme="minorEastAsia"/>
          <w:b/>
          <w:bCs/>
          <w:kern w:val="0"/>
          <w:sz w:val="24"/>
        </w:rPr>
      </w:pPr>
    </w:p>
    <w:p w14:paraId="30530CC3">
      <w:pPr>
        <w:widowControl/>
        <w:jc w:val="center"/>
        <w:rPr>
          <w:rFonts w:ascii="黑体" w:hAnsi="宋体" w:eastAsia="黑体"/>
          <w:kern w:val="0"/>
          <w:sz w:val="24"/>
          <w:szCs w:val="20"/>
        </w:rPr>
      </w:pPr>
      <w:r>
        <w:rPr>
          <w:rFonts w:hint="eastAsia" w:ascii="黑体" w:hAnsi="宋体" w:eastAsia="黑体"/>
          <w:kern w:val="0"/>
          <w:sz w:val="24"/>
          <w:szCs w:val="20"/>
        </w:rPr>
        <w:t>（</w:t>
      </w:r>
      <w:r>
        <w:rPr>
          <w:rFonts w:hint="eastAsia" w:ascii="黑体" w:hAnsi="宋体" w:eastAsia="黑体"/>
          <w:kern w:val="0"/>
          <w:sz w:val="24"/>
          <w:szCs w:val="20"/>
          <w:lang w:val="en-US" w:eastAsia="zh-CN"/>
        </w:rPr>
        <w:t>三</w:t>
      </w:r>
      <w:r>
        <w:rPr>
          <w:rFonts w:hint="eastAsia" w:ascii="黑体" w:hAnsi="宋体" w:eastAsia="黑体"/>
          <w:kern w:val="0"/>
          <w:sz w:val="24"/>
          <w:szCs w:val="20"/>
        </w:rPr>
        <w:t>）投标人认为需要加以说明的其他内容（格式自定）</w:t>
      </w:r>
    </w:p>
    <w:p w14:paraId="08F9DD68">
      <w:pPr>
        <w:widowControl/>
        <w:jc w:val="center"/>
        <w:rPr>
          <w:rFonts w:ascii="黑体" w:hAnsi="宋体" w:eastAsia="黑体"/>
          <w:kern w:val="0"/>
          <w:sz w:val="24"/>
          <w:szCs w:val="20"/>
        </w:rPr>
      </w:pPr>
    </w:p>
    <w:p w14:paraId="1D86F464">
      <w:pPr>
        <w:spacing w:after="78" w:afterLines="25" w:line="300" w:lineRule="auto"/>
        <w:rPr>
          <w:rFonts w:ascii="Arial" w:hAnsi="Arial" w:eastAsia="宋体" w:cs="Times New Roman"/>
          <w:sz w:val="24"/>
          <w:szCs w:val="24"/>
        </w:rPr>
      </w:pPr>
    </w:p>
    <w:p w14:paraId="199112F0">
      <w:pPr>
        <w:spacing w:after="78" w:afterLines="25" w:line="300" w:lineRule="auto"/>
        <w:rPr>
          <w:rFonts w:ascii="Arial" w:hAnsi="Arial" w:eastAsia="宋体" w:cs="Times New Roman"/>
          <w:sz w:val="24"/>
          <w:szCs w:val="24"/>
        </w:rPr>
      </w:pPr>
    </w:p>
    <w:p w14:paraId="32F6B2A0">
      <w:pPr>
        <w:keepNext/>
        <w:keepLines/>
        <w:adjustRightInd w:val="0"/>
        <w:spacing w:before="260" w:after="260"/>
        <w:jc w:val="center"/>
        <w:textAlignment w:val="baseline"/>
        <w:outlineLvl w:val="1"/>
        <w:rPr>
          <w:rFonts w:hint="eastAsia" w:ascii="宋体" w:hAnsi="宋体" w:eastAsia="宋体" w:cs="Times New Roman"/>
          <w:b/>
          <w:bCs/>
          <w:kern w:val="0"/>
          <w:sz w:val="28"/>
          <w:szCs w:val="28"/>
        </w:rPr>
      </w:pPr>
      <w:r>
        <w:rPr>
          <w:rFonts w:hint="eastAsia" w:ascii="宋体" w:hAnsi="宋体" w:eastAsia="宋体" w:cs="Times New Roman"/>
          <w:b/>
          <w:bCs/>
          <w:kern w:val="0"/>
          <w:sz w:val="28"/>
          <w:szCs w:val="28"/>
        </w:rPr>
        <w:t>第五章  合同条款及格式</w:t>
      </w:r>
    </w:p>
    <w:p w14:paraId="086FDF1B">
      <w:pPr>
        <w:widowControl/>
        <w:jc w:val="center"/>
        <w:rPr>
          <w:rFonts w:hint="eastAsia" w:ascii="宋体" w:hAnsi="宋体" w:eastAsia="黑体" w:cs="Times New Roman"/>
          <w:bCs/>
          <w:kern w:val="44"/>
          <w:sz w:val="28"/>
          <w:szCs w:val="44"/>
        </w:rPr>
      </w:pPr>
      <w:bookmarkStart w:id="53" w:name="_Hlk72574405"/>
      <w:r>
        <w:rPr>
          <w:rFonts w:hint="eastAsia"/>
          <w:b/>
          <w:sz w:val="24"/>
        </w:rPr>
        <w:t>（仅供参考，具体以项目需求及采购结果为准）</w:t>
      </w:r>
      <w:bookmarkEnd w:id="53"/>
    </w:p>
    <w:p w14:paraId="302BB3F8">
      <w:pPr>
        <w:snapToGrid w:val="0"/>
        <w:spacing w:line="300" w:lineRule="auto"/>
        <w:jc w:val="center"/>
        <w:rPr>
          <w:rFonts w:hint="eastAsia" w:ascii="仿宋" w:hAnsi="仿宋" w:eastAsia="仿宋" w:cs="Times New Roman"/>
          <w:sz w:val="28"/>
          <w:szCs w:val="28"/>
        </w:rPr>
      </w:pPr>
    </w:p>
    <w:p w14:paraId="7B92C594">
      <w:pPr>
        <w:jc w:val="center"/>
        <w:rPr>
          <w:rFonts w:hint="eastAsia" w:ascii="宋体" w:hAnsi="宋体" w:eastAsia="宋体" w:cs="宋体"/>
          <w:b/>
          <w:bCs/>
          <w:spacing w:val="-20"/>
          <w:kern w:val="44"/>
          <w:sz w:val="48"/>
          <w:szCs w:val="48"/>
        </w:rPr>
      </w:pPr>
      <w:r>
        <w:rPr>
          <w:rFonts w:hint="eastAsia" w:ascii="宋体" w:hAnsi="宋体" w:eastAsia="宋体" w:cs="宋体"/>
          <w:b/>
          <w:bCs/>
          <w:spacing w:val="-20"/>
          <w:kern w:val="44"/>
          <w:sz w:val="48"/>
          <w:szCs w:val="48"/>
        </w:rPr>
        <w:t>政府采购货物买卖合同</w:t>
      </w:r>
    </w:p>
    <w:p w14:paraId="470918E1">
      <w:pPr>
        <w:jc w:val="center"/>
        <w:rPr>
          <w:rFonts w:hint="eastAsia" w:ascii="宋体" w:hAnsi="宋体" w:eastAsia="宋体" w:cs="宋体"/>
          <w:b/>
          <w:bCs/>
          <w:spacing w:val="-20"/>
          <w:kern w:val="44"/>
          <w:sz w:val="48"/>
          <w:szCs w:val="48"/>
        </w:rPr>
      </w:pPr>
      <w:r>
        <w:rPr>
          <w:rFonts w:hint="eastAsia" w:ascii="宋体" w:hAnsi="宋体" w:eastAsia="宋体" w:cs="宋体"/>
          <w:b/>
          <w:bCs/>
          <w:spacing w:val="-20"/>
          <w:kern w:val="44"/>
          <w:sz w:val="48"/>
          <w:szCs w:val="48"/>
        </w:rPr>
        <w:t>（试行）</w:t>
      </w:r>
    </w:p>
    <w:p w14:paraId="3295E649">
      <w:pPr>
        <w:rPr>
          <w:rFonts w:hint="eastAsia" w:ascii="宋体" w:hAnsi="宋体" w:eastAsia="宋体" w:cs="宋体"/>
          <w:b/>
          <w:bCs/>
          <w:spacing w:val="-20"/>
          <w:kern w:val="44"/>
          <w:sz w:val="40"/>
          <w:szCs w:val="40"/>
        </w:rPr>
      </w:pPr>
    </w:p>
    <w:p w14:paraId="14AB3A7F">
      <w:pPr>
        <w:rPr>
          <w:rFonts w:hint="eastAsia" w:ascii="宋体" w:hAnsi="宋体" w:eastAsia="宋体" w:cs="宋体"/>
          <w:b/>
          <w:bCs/>
          <w:spacing w:val="-20"/>
          <w:kern w:val="44"/>
          <w:sz w:val="40"/>
          <w:szCs w:val="40"/>
        </w:rPr>
      </w:pPr>
    </w:p>
    <w:p w14:paraId="0FA76F80">
      <w:pPr>
        <w:rPr>
          <w:rFonts w:hint="eastAsia" w:ascii="宋体" w:hAnsi="宋体" w:eastAsia="宋体" w:cs="宋体"/>
          <w:b/>
          <w:bCs/>
          <w:spacing w:val="-20"/>
          <w:kern w:val="44"/>
          <w:sz w:val="40"/>
          <w:szCs w:val="40"/>
        </w:rPr>
      </w:pPr>
    </w:p>
    <w:p w14:paraId="2ADDB324">
      <w:pPr>
        <w:spacing w:line="360" w:lineRule="auto"/>
        <w:ind w:left="420" w:leftChars="200"/>
        <w:rPr>
          <w:rFonts w:eastAsia="宋体"/>
          <w:sz w:val="32"/>
          <w:szCs w:val="32"/>
        </w:rPr>
      </w:pPr>
      <w:r>
        <w:rPr>
          <w:rFonts w:hint="eastAsia" w:ascii="宋体" w:hAnsi="宋体" w:eastAsia="宋体" w:cs="宋体"/>
          <w:kern w:val="0"/>
          <w:sz w:val="32"/>
          <w:szCs w:val="32"/>
        </w:rPr>
        <w:t>项目名称：</w:t>
      </w:r>
      <w:r>
        <w:rPr>
          <w:rFonts w:hint="eastAsia" w:eastAsia="宋体"/>
          <w:sz w:val="32"/>
          <w:szCs w:val="32"/>
          <w:u w:val="single"/>
        </w:rPr>
        <w:t xml:space="preserve">                             </w:t>
      </w:r>
    </w:p>
    <w:p w14:paraId="72D32A30">
      <w:pPr>
        <w:spacing w:line="360" w:lineRule="auto"/>
        <w:ind w:left="420" w:leftChars="200"/>
        <w:rPr>
          <w:rFonts w:eastAsia="宋体"/>
          <w:sz w:val="32"/>
          <w:szCs w:val="32"/>
          <w:u w:val="single"/>
        </w:rPr>
      </w:pPr>
      <w:r>
        <w:rPr>
          <w:rFonts w:hint="eastAsia" w:eastAsia="宋体"/>
          <w:sz w:val="32"/>
          <w:szCs w:val="32"/>
        </w:rPr>
        <w:t>合同编号：</w:t>
      </w:r>
      <w:r>
        <w:rPr>
          <w:rFonts w:hint="eastAsia" w:eastAsia="宋体"/>
          <w:sz w:val="32"/>
          <w:szCs w:val="32"/>
          <w:u w:val="single"/>
        </w:rPr>
        <w:t xml:space="preserve">                             </w:t>
      </w:r>
    </w:p>
    <w:p w14:paraId="1998EE50">
      <w:pPr>
        <w:spacing w:line="360" w:lineRule="auto"/>
        <w:ind w:left="420" w:leftChars="200"/>
        <w:rPr>
          <w:rFonts w:eastAsia="宋体"/>
          <w:sz w:val="32"/>
          <w:szCs w:val="32"/>
        </w:rPr>
      </w:pPr>
      <w:r>
        <w:rPr>
          <w:rFonts w:hint="eastAsia" w:eastAsia="宋体"/>
          <w:sz w:val="32"/>
          <w:szCs w:val="32"/>
        </w:rPr>
        <w:t>甲    方：</w:t>
      </w:r>
      <w:r>
        <w:rPr>
          <w:rFonts w:hint="eastAsia" w:eastAsia="宋体"/>
          <w:sz w:val="32"/>
          <w:szCs w:val="32"/>
          <w:u w:val="single"/>
        </w:rPr>
        <w:t xml:space="preserve">                             </w:t>
      </w:r>
    </w:p>
    <w:p w14:paraId="1624088F">
      <w:pPr>
        <w:spacing w:line="360" w:lineRule="auto"/>
        <w:ind w:left="420" w:leftChars="200"/>
        <w:rPr>
          <w:rFonts w:eastAsia="宋体"/>
          <w:sz w:val="32"/>
          <w:szCs w:val="32"/>
          <w:u w:val="single"/>
        </w:rPr>
      </w:pPr>
      <w:r>
        <w:rPr>
          <w:rFonts w:hint="eastAsia" w:eastAsia="宋体"/>
          <w:sz w:val="32"/>
          <w:szCs w:val="32"/>
        </w:rPr>
        <w:t>乙    方：</w:t>
      </w:r>
      <w:r>
        <w:rPr>
          <w:rFonts w:hint="eastAsia" w:eastAsia="宋体"/>
          <w:sz w:val="32"/>
          <w:szCs w:val="32"/>
          <w:u w:val="single"/>
        </w:rPr>
        <w:t xml:space="preserve">                             </w:t>
      </w:r>
    </w:p>
    <w:p w14:paraId="06C04621">
      <w:pPr>
        <w:spacing w:line="360" w:lineRule="auto"/>
        <w:ind w:left="420" w:leftChars="200"/>
        <w:rPr>
          <w:rFonts w:eastAsia="宋体"/>
          <w:sz w:val="32"/>
          <w:szCs w:val="32"/>
        </w:rPr>
      </w:pPr>
      <w:r>
        <w:rPr>
          <w:rFonts w:hint="eastAsia" w:eastAsia="宋体"/>
          <w:sz w:val="32"/>
          <w:szCs w:val="32"/>
        </w:rPr>
        <w:t>签订时间：</w:t>
      </w:r>
      <w:r>
        <w:rPr>
          <w:rFonts w:hint="eastAsia" w:eastAsia="宋体"/>
          <w:sz w:val="32"/>
          <w:szCs w:val="32"/>
          <w:u w:val="single"/>
        </w:rPr>
        <w:t xml:space="preserve">      </w:t>
      </w:r>
      <w:r>
        <w:rPr>
          <w:rFonts w:eastAsia="宋体"/>
          <w:sz w:val="32"/>
          <w:szCs w:val="32"/>
          <w:u w:val="single"/>
        </w:rPr>
        <w:t xml:space="preserve">           </w:t>
      </w:r>
      <w:r>
        <w:rPr>
          <w:rFonts w:hint="eastAsia" w:eastAsia="宋体"/>
          <w:sz w:val="32"/>
          <w:szCs w:val="32"/>
          <w:u w:val="single"/>
        </w:rPr>
        <w:t xml:space="preserve">            </w:t>
      </w:r>
    </w:p>
    <w:p w14:paraId="1E2D17FD">
      <w:pPr>
        <w:rPr>
          <w:rFonts w:eastAsia="宋体"/>
        </w:rPr>
      </w:pPr>
    </w:p>
    <w:p w14:paraId="042463A3">
      <w:pPr>
        <w:rPr>
          <w:rFonts w:eastAsia="黑体"/>
          <w:sz w:val="44"/>
          <w:szCs w:val="44"/>
        </w:rPr>
      </w:pPr>
      <w:r>
        <w:rPr>
          <w:rFonts w:eastAsia="黑体"/>
          <w:sz w:val="44"/>
          <w:szCs w:val="44"/>
        </w:rPr>
        <w:br w:type="page"/>
      </w:r>
    </w:p>
    <w:p w14:paraId="60B32468">
      <w:pPr>
        <w:rPr>
          <w:rFonts w:eastAsia="黑体"/>
          <w:sz w:val="44"/>
          <w:szCs w:val="44"/>
        </w:rPr>
      </w:pPr>
    </w:p>
    <w:p w14:paraId="1B573EEE">
      <w:pPr>
        <w:rPr>
          <w:rFonts w:eastAsia="黑体"/>
          <w:sz w:val="44"/>
          <w:szCs w:val="44"/>
        </w:rPr>
      </w:pPr>
    </w:p>
    <w:p w14:paraId="7448F6DA">
      <w:pPr>
        <w:jc w:val="center"/>
        <w:rPr>
          <w:rFonts w:eastAsia="黑体"/>
          <w:sz w:val="44"/>
          <w:szCs w:val="44"/>
        </w:rPr>
      </w:pPr>
      <w:r>
        <w:rPr>
          <w:rFonts w:hint="eastAsia" w:eastAsia="黑体"/>
          <w:sz w:val="44"/>
          <w:szCs w:val="44"/>
        </w:rPr>
        <w:t>使 用 说 明</w:t>
      </w:r>
    </w:p>
    <w:p w14:paraId="37ED9CA8">
      <w:pPr>
        <w:ind w:firstLine="640" w:firstLineChars="200"/>
        <w:rPr>
          <w:rFonts w:hint="eastAsia" w:ascii="仿宋_GB2312" w:hAnsi="仿宋_GB2312" w:eastAsia="仿宋_GB2312" w:cs="仿宋_GB2312"/>
          <w:sz w:val="32"/>
          <w:szCs w:val="32"/>
        </w:rPr>
      </w:pPr>
    </w:p>
    <w:p w14:paraId="4A73202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1.本合同标准文本适用于购买现成货物的采购项目，不包括需要供应商定制开发、创新研发的货物采购项目。</w:t>
      </w:r>
    </w:p>
    <w:p w14:paraId="50054717">
      <w:pPr>
        <w:ind w:firstLine="640" w:firstLineChars="200"/>
        <w:rPr>
          <w:rFonts w:eastAsia="黑体"/>
          <w:sz w:val="44"/>
          <w:szCs w:val="44"/>
        </w:rPr>
      </w:pPr>
      <w:r>
        <w:rPr>
          <w:rFonts w:hint="eastAsia" w:ascii="仿宋_GB2312" w:hAnsi="仿宋_GB2312" w:eastAsia="仿宋_GB2312" w:cs="仿宋_GB2312"/>
          <w:sz w:val="32"/>
          <w:szCs w:val="32"/>
        </w:rPr>
        <w:t>2.本合同标准文本为政府采购货物买卖合同编制提供参考，可以结合采购项目具体情况，对文本作必要的调整修订后使用。</w:t>
      </w:r>
    </w:p>
    <w:p w14:paraId="7F0FF51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3.本合同标准文本各条款中，如涉及填写多家供应商、制造商，多种采购标的、分包主要内容等信息的，可根据采购项目具体情况添加信息项。</w:t>
      </w:r>
    </w:p>
    <w:p w14:paraId="331C86E8">
      <w:pPr>
        <w:ind w:firstLine="880" w:firstLineChars="200"/>
        <w:rPr>
          <w:rFonts w:eastAsia="黑体"/>
          <w:sz w:val="44"/>
          <w:szCs w:val="44"/>
        </w:rPr>
        <w:sectPr>
          <w:headerReference r:id="rId6" w:type="default"/>
          <w:footerReference r:id="rId7" w:type="default"/>
          <w:pgSz w:w="11906" w:h="16838"/>
          <w:pgMar w:top="1440" w:right="1800" w:bottom="1440" w:left="1800" w:header="851" w:footer="992" w:gutter="0"/>
          <w:cols w:space="425" w:num="1"/>
          <w:docGrid w:type="lines" w:linePitch="312" w:charSpace="0"/>
        </w:sectPr>
      </w:pPr>
    </w:p>
    <w:p w14:paraId="63CE8DAF">
      <w:pPr>
        <w:keepNext/>
        <w:keepLines/>
        <w:adjustRightInd w:val="0"/>
        <w:snapToGrid w:val="0"/>
        <w:spacing w:line="400" w:lineRule="exact"/>
        <w:jc w:val="center"/>
        <w:outlineLvl w:val="1"/>
        <w:rPr>
          <w:rFonts w:hint="eastAsia" w:ascii="黑体" w:hAnsi="黑体" w:eastAsia="黑体" w:cs="Times New Roman"/>
          <w:b/>
          <w:bCs/>
          <w:sz w:val="28"/>
          <w:szCs w:val="28"/>
        </w:rPr>
      </w:pPr>
      <w:bookmarkStart w:id="54" w:name="_Toc22209"/>
    </w:p>
    <w:p w14:paraId="1A7C8E12">
      <w:pPr>
        <w:keepNext/>
        <w:keepLines/>
        <w:adjustRightInd w:val="0"/>
        <w:snapToGrid w:val="0"/>
        <w:spacing w:line="400" w:lineRule="exact"/>
        <w:jc w:val="center"/>
        <w:outlineLvl w:val="1"/>
        <w:rPr>
          <w:rFonts w:hint="eastAsia" w:ascii="黑体" w:hAnsi="华文中宋" w:eastAsia="黑体" w:cs="Times New Roman"/>
          <w:sz w:val="28"/>
          <w:szCs w:val="28"/>
        </w:rPr>
      </w:pPr>
      <w:r>
        <w:rPr>
          <w:rFonts w:hint="eastAsia" w:ascii="黑体" w:hAnsi="黑体" w:eastAsia="黑体" w:cs="Times New Roman"/>
          <w:sz w:val="28"/>
          <w:szCs w:val="28"/>
        </w:rPr>
        <w:t xml:space="preserve">第一节 </w:t>
      </w:r>
      <w:r>
        <w:rPr>
          <w:rFonts w:hint="eastAsia" w:ascii="黑体" w:hAnsi="华文中宋" w:eastAsia="黑体" w:cs="Times New Roman"/>
          <w:sz w:val="28"/>
          <w:szCs w:val="28"/>
        </w:rPr>
        <w:t>政府采购合同协议书</w:t>
      </w:r>
      <w:bookmarkEnd w:id="54"/>
    </w:p>
    <w:p w14:paraId="1913BD2D">
      <w:pPr>
        <w:keepNext/>
        <w:keepLines/>
        <w:adjustRightInd w:val="0"/>
        <w:snapToGrid w:val="0"/>
        <w:spacing w:line="400" w:lineRule="exact"/>
        <w:jc w:val="center"/>
        <w:outlineLvl w:val="1"/>
        <w:rPr>
          <w:rFonts w:hint="eastAsia" w:ascii="黑体" w:hAnsi="华文中宋" w:eastAsia="黑体" w:cs="Times New Roman"/>
          <w:sz w:val="28"/>
          <w:szCs w:val="28"/>
        </w:rPr>
      </w:pPr>
    </w:p>
    <w:p w14:paraId="2B5FB53D">
      <w:pPr>
        <w:adjustRightInd w:val="0"/>
        <w:snapToGrid w:val="0"/>
        <w:spacing w:line="400" w:lineRule="exact"/>
        <w:rPr>
          <w:rFonts w:hint="eastAsia" w:ascii="宋体" w:hAnsi="宋体" w:eastAsia="宋体"/>
          <w:szCs w:val="21"/>
        </w:rPr>
      </w:pPr>
      <w:r>
        <w:rPr>
          <w:rFonts w:hint="eastAsia" w:ascii="宋体" w:hAnsi="宋体" w:eastAsia="宋体"/>
          <w:szCs w:val="21"/>
        </w:rPr>
        <w:t>甲方（全称）：</w:t>
      </w:r>
      <w:r>
        <w:rPr>
          <w:rFonts w:hint="eastAsia" w:ascii="宋体" w:hAnsi="宋体" w:eastAsia="宋体"/>
          <w:szCs w:val="21"/>
          <w:u w:val="single"/>
        </w:rPr>
        <w:t xml:space="preserve">                       </w:t>
      </w:r>
      <w:r>
        <w:rPr>
          <w:rFonts w:hint="eastAsia" w:ascii="宋体" w:hAnsi="宋体" w:eastAsia="宋体"/>
          <w:szCs w:val="21"/>
        </w:rPr>
        <w:t>（采购人、受采购人委托签订合同的单位或采购</w:t>
      </w:r>
      <w:r>
        <w:rPr>
          <w:rFonts w:hint="eastAsia" w:ascii="宋体" w:hAnsi="宋体" w:eastAsia="宋体"/>
          <w:szCs w:val="21"/>
        </w:rPr>
        <w:tab/>
      </w:r>
      <w:r>
        <w:rPr>
          <w:rFonts w:hint="eastAsia" w:ascii="宋体" w:hAnsi="宋体" w:eastAsia="宋体"/>
          <w:szCs w:val="21"/>
        </w:rPr>
        <w:t xml:space="preserve">                                   文件约定的合同甲方）</w:t>
      </w:r>
    </w:p>
    <w:p w14:paraId="2953A33A">
      <w:pPr>
        <w:adjustRightInd w:val="0"/>
        <w:snapToGrid w:val="0"/>
        <w:spacing w:line="400" w:lineRule="exact"/>
        <w:rPr>
          <w:rFonts w:hint="eastAsia" w:ascii="宋体" w:hAnsi="宋体" w:eastAsia="宋体"/>
          <w:szCs w:val="21"/>
        </w:rPr>
      </w:pPr>
      <w:r>
        <w:rPr>
          <w:rFonts w:hint="eastAsia" w:ascii="宋体" w:hAnsi="宋体" w:eastAsia="宋体"/>
          <w:szCs w:val="21"/>
        </w:rPr>
        <w:t>乙方1（全称）：</w:t>
      </w:r>
      <w:r>
        <w:rPr>
          <w:rFonts w:hint="eastAsia" w:ascii="宋体" w:hAnsi="宋体" w:eastAsia="宋体"/>
          <w:szCs w:val="21"/>
          <w:u w:val="single"/>
        </w:rPr>
        <w:t xml:space="preserve">                       </w:t>
      </w:r>
      <w:r>
        <w:rPr>
          <w:rFonts w:hint="eastAsia" w:ascii="宋体" w:hAnsi="宋体" w:eastAsia="宋体"/>
          <w:szCs w:val="21"/>
        </w:rPr>
        <w:t>（供应商）</w:t>
      </w:r>
    </w:p>
    <w:p w14:paraId="5274A86D">
      <w:pPr>
        <w:adjustRightInd w:val="0"/>
        <w:snapToGrid w:val="0"/>
        <w:spacing w:line="400" w:lineRule="exact"/>
        <w:rPr>
          <w:rFonts w:hint="eastAsia" w:ascii="宋体" w:hAnsi="宋体" w:eastAsia="宋体"/>
          <w:szCs w:val="21"/>
        </w:rPr>
      </w:pPr>
      <w:r>
        <w:rPr>
          <w:rFonts w:hint="eastAsia" w:ascii="宋体" w:hAnsi="宋体" w:eastAsia="宋体"/>
          <w:szCs w:val="21"/>
        </w:rPr>
        <w:t>乙方2（全称）：</w:t>
      </w:r>
      <w:r>
        <w:rPr>
          <w:rFonts w:hint="eastAsia" w:ascii="宋体" w:hAnsi="宋体" w:eastAsia="宋体"/>
          <w:szCs w:val="21"/>
          <w:u w:val="single"/>
        </w:rPr>
        <w:t xml:space="preserve">                        </w:t>
      </w:r>
      <w:r>
        <w:rPr>
          <w:rFonts w:hint="eastAsia" w:ascii="宋体" w:hAnsi="宋体" w:eastAsia="宋体"/>
          <w:szCs w:val="21"/>
        </w:rPr>
        <w:t>（联合体成员供应商或其他合同主体）（如有）</w:t>
      </w:r>
    </w:p>
    <w:p w14:paraId="4180D7D4">
      <w:pPr>
        <w:adjustRightInd w:val="0"/>
        <w:snapToGrid w:val="0"/>
        <w:spacing w:line="400" w:lineRule="exact"/>
        <w:rPr>
          <w:rFonts w:hint="eastAsia" w:ascii="宋体" w:hAnsi="宋体" w:eastAsia="宋体"/>
          <w:szCs w:val="21"/>
        </w:rPr>
      </w:pPr>
      <w:r>
        <w:rPr>
          <w:rFonts w:hint="eastAsia" w:eastAsia="宋体"/>
        </w:rPr>
        <w:t>乙方</w:t>
      </w:r>
      <w:r>
        <w:rPr>
          <w:rFonts w:hint="eastAsia" w:ascii="宋体" w:hAnsi="宋体" w:eastAsia="宋体"/>
          <w:szCs w:val="21"/>
        </w:rPr>
        <w:t>3</w:t>
      </w:r>
      <w:r>
        <w:rPr>
          <w:rFonts w:hint="eastAsia" w:eastAsia="宋体"/>
        </w:rPr>
        <w:t>（全称）</w:t>
      </w:r>
      <w:r>
        <w:rPr>
          <w:rFonts w:hint="eastAsia" w:ascii="宋体" w:hAnsi="宋体" w:eastAsia="宋体"/>
          <w:szCs w:val="21"/>
          <w:u w:val="single"/>
        </w:rPr>
        <w:t xml:space="preserve">                          </w:t>
      </w:r>
      <w:r>
        <w:rPr>
          <w:rFonts w:hint="eastAsia" w:ascii="宋体" w:hAnsi="宋体" w:eastAsia="宋体"/>
          <w:szCs w:val="21"/>
        </w:rPr>
        <w:t>（联合体成员供应商或其他合同主体）（如有）</w:t>
      </w:r>
    </w:p>
    <w:p w14:paraId="7099B3F5">
      <w:pPr>
        <w:spacing w:line="400" w:lineRule="exact"/>
        <w:rPr>
          <w:rFonts w:eastAsia="宋体"/>
        </w:rPr>
      </w:pPr>
    </w:p>
    <w:p w14:paraId="0B55CD23">
      <w:pPr>
        <w:adjustRightInd w:val="0"/>
        <w:snapToGrid w:val="0"/>
        <w:spacing w:line="400" w:lineRule="exact"/>
        <w:ind w:firstLine="420" w:firstLineChars="200"/>
        <w:rPr>
          <w:rFonts w:hint="eastAsia" w:ascii="宋体" w:hAnsi="宋体" w:eastAsia="宋体" w:cs="Times New Roman"/>
          <w:szCs w:val="21"/>
        </w:rPr>
      </w:pPr>
      <w:r>
        <w:rPr>
          <w:rFonts w:hint="eastAsia" w:ascii="宋体" w:hAnsi="宋体" w:eastAsia="宋体" w:cs="Times New Roman"/>
          <w:szCs w:val="21"/>
        </w:rPr>
        <w:t xml:space="preserve">依据《中华人民共和国民法典》《中华人民共和国政府采购法》《深圳经济特区政府采购条例》等有关的法律法规，以及本采购项目的招标文件等采购文件、乙方的《投标（响应）文件》及《中标（成交）通知书》，甲乙双方同意签订本合同。具体情况及要求如下：     </w:t>
      </w:r>
    </w:p>
    <w:p w14:paraId="2AE1DDAE">
      <w:pPr>
        <w:numPr>
          <w:ilvl w:val="0"/>
          <w:numId w:val="7"/>
        </w:numPr>
        <w:adjustRightInd w:val="0"/>
        <w:snapToGrid w:val="0"/>
        <w:spacing w:line="400" w:lineRule="exact"/>
        <w:ind w:firstLine="422" w:firstLineChars="200"/>
        <w:rPr>
          <w:rFonts w:hint="eastAsia" w:ascii="宋体" w:hAnsi="宋体" w:eastAsia="宋体"/>
          <w:b/>
          <w:szCs w:val="21"/>
        </w:rPr>
      </w:pPr>
      <w:r>
        <w:rPr>
          <w:rFonts w:hint="eastAsia" w:ascii="宋体" w:hAnsi="宋体" w:eastAsia="宋体"/>
          <w:b/>
          <w:szCs w:val="21"/>
        </w:rPr>
        <w:t>项目信息</w:t>
      </w:r>
    </w:p>
    <w:p w14:paraId="373B3646">
      <w:pPr>
        <w:numPr>
          <w:ilvl w:val="0"/>
          <w:numId w:val="8"/>
        </w:numPr>
        <w:adjustRightInd w:val="0"/>
        <w:snapToGrid w:val="0"/>
        <w:spacing w:line="400" w:lineRule="exact"/>
        <w:ind w:firstLine="420" w:firstLineChars="200"/>
        <w:rPr>
          <w:rFonts w:hint="eastAsia" w:ascii="宋体" w:hAnsi="宋体" w:eastAsia="宋体" w:cs="Times New Roman"/>
          <w:szCs w:val="21"/>
          <w:u w:val="single"/>
        </w:rPr>
      </w:pPr>
      <w:r>
        <w:rPr>
          <w:rFonts w:hint="eastAsia" w:ascii="宋体" w:hAnsi="宋体" w:eastAsia="宋体" w:cs="Times New Roman"/>
          <w:szCs w:val="21"/>
        </w:rPr>
        <w:t>采购项目名称：</w:t>
      </w:r>
      <w:r>
        <w:rPr>
          <w:rFonts w:hint="eastAsia" w:ascii="宋体" w:hAnsi="宋体" w:eastAsia="宋体"/>
          <w:szCs w:val="21"/>
          <w:u w:val="single"/>
        </w:rPr>
        <w:t xml:space="preserve">                                            </w:t>
      </w:r>
    </w:p>
    <w:p w14:paraId="0133108B">
      <w:pPr>
        <w:numPr>
          <w:ilvl w:val="255"/>
          <w:numId w:val="0"/>
        </w:numPr>
        <w:tabs>
          <w:tab w:val="left" w:pos="999"/>
        </w:tabs>
        <w:adjustRightInd w:val="0"/>
        <w:snapToGrid w:val="0"/>
        <w:spacing w:line="400" w:lineRule="exact"/>
        <w:rPr>
          <w:rFonts w:hint="eastAsia" w:ascii="宋体" w:hAnsi="宋体" w:eastAsia="宋体" w:cs="Times New Roman"/>
          <w:szCs w:val="21"/>
        </w:rPr>
      </w:pPr>
      <w:r>
        <w:rPr>
          <w:rFonts w:hint="eastAsia" w:ascii="宋体" w:hAnsi="宋体" w:eastAsia="宋体" w:cs="Times New Roman"/>
          <w:szCs w:val="21"/>
        </w:rPr>
        <w:t xml:space="preserve">         采购项目编号：</w:t>
      </w:r>
      <w:r>
        <w:rPr>
          <w:rFonts w:ascii="宋体" w:hAnsi="宋体" w:eastAsia="宋体" w:cs="Times New Roman"/>
          <w:szCs w:val="21"/>
          <w:u w:val="single"/>
        </w:rPr>
        <w:t xml:space="preserve">                                          </w:t>
      </w:r>
    </w:p>
    <w:p w14:paraId="2FF38C1B">
      <w:pPr>
        <w:adjustRightInd w:val="0"/>
        <w:snapToGrid w:val="0"/>
        <w:spacing w:line="400" w:lineRule="exact"/>
        <w:ind w:firstLine="420" w:firstLineChars="200"/>
        <w:rPr>
          <w:rFonts w:hint="eastAsia" w:ascii="宋体" w:hAnsi="宋体" w:eastAsia="宋体" w:cs="Times New Roman"/>
          <w:szCs w:val="21"/>
        </w:rPr>
      </w:pPr>
      <w:r>
        <w:rPr>
          <w:rFonts w:hint="eastAsia" w:ascii="宋体" w:hAnsi="宋体" w:eastAsia="宋体" w:cs="Times New Roman"/>
          <w:szCs w:val="21"/>
        </w:rPr>
        <w:t>（2）采购计划编号：</w:t>
      </w:r>
      <w:r>
        <w:rPr>
          <w:rFonts w:ascii="宋体" w:hAnsi="宋体" w:eastAsia="宋体" w:cs="Times New Roman"/>
          <w:szCs w:val="21"/>
          <w:u w:val="single"/>
        </w:rPr>
        <w:t xml:space="preserve">                     </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r>
        <w:rPr>
          <w:rFonts w:ascii="宋体" w:hAnsi="宋体" w:eastAsia="宋体" w:cs="Times New Roman"/>
          <w:szCs w:val="21"/>
        </w:rPr>
        <w:t xml:space="preserve"> </w:t>
      </w:r>
    </w:p>
    <w:p w14:paraId="13AC4417">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szCs w:val="21"/>
        </w:rPr>
        <w:t>（3）项目内容：</w:t>
      </w:r>
    </w:p>
    <w:p w14:paraId="5B5BDD7F">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szCs w:val="21"/>
        </w:rPr>
        <w:t xml:space="preserve">     采购标的及数量（台/套</w:t>
      </w:r>
      <w:r>
        <w:rPr>
          <w:rFonts w:ascii="宋体" w:hAnsi="宋体" w:eastAsia="宋体"/>
          <w:szCs w:val="21"/>
          <w:lang w:val="en"/>
        </w:rPr>
        <w:t>/</w:t>
      </w:r>
      <w:r>
        <w:rPr>
          <w:rFonts w:hint="eastAsia" w:ascii="宋体" w:hAnsi="宋体" w:eastAsia="宋体"/>
          <w:szCs w:val="21"/>
          <w:lang w:val="en"/>
        </w:rPr>
        <w:t>个</w:t>
      </w:r>
      <w:r>
        <w:rPr>
          <w:rFonts w:ascii="宋体" w:hAnsi="宋体" w:eastAsia="宋体"/>
          <w:szCs w:val="21"/>
          <w:lang w:val="en"/>
        </w:rPr>
        <w:t>/</w:t>
      </w:r>
      <w:r>
        <w:rPr>
          <w:rFonts w:hint="eastAsia" w:ascii="宋体" w:hAnsi="宋体" w:eastAsia="宋体"/>
          <w:szCs w:val="21"/>
          <w:lang w:val="en"/>
        </w:rPr>
        <w:t>架</w:t>
      </w:r>
      <w:r>
        <w:rPr>
          <w:rFonts w:ascii="宋体" w:hAnsi="宋体" w:eastAsia="宋体"/>
          <w:szCs w:val="21"/>
          <w:lang w:val="en"/>
        </w:rPr>
        <w:t>/</w:t>
      </w:r>
      <w:r>
        <w:rPr>
          <w:rFonts w:hint="eastAsia" w:ascii="宋体" w:hAnsi="宋体" w:eastAsia="宋体"/>
          <w:szCs w:val="21"/>
          <w:lang w:val="en"/>
        </w:rPr>
        <w:t>组等</w:t>
      </w:r>
      <w:r>
        <w:rPr>
          <w:rFonts w:hint="eastAsia" w:ascii="宋体" w:hAnsi="宋体" w:eastAsia="宋体"/>
          <w:szCs w:val="21"/>
        </w:rPr>
        <w:t>）：</w:t>
      </w:r>
      <w:r>
        <w:rPr>
          <w:rFonts w:hint="eastAsia" w:ascii="宋体" w:hAnsi="宋体" w:eastAsia="宋体"/>
          <w:szCs w:val="21"/>
          <w:u w:val="single"/>
        </w:rPr>
        <w:t xml:space="preserve">                       </w:t>
      </w:r>
      <w:r>
        <w:rPr>
          <w:rFonts w:hint="eastAsia" w:ascii="宋体" w:hAnsi="宋体" w:eastAsia="宋体"/>
          <w:szCs w:val="21"/>
        </w:rPr>
        <w:t xml:space="preserve">            </w:t>
      </w:r>
      <w:r>
        <w:rPr>
          <w:rFonts w:hint="eastAsia" w:ascii="宋体" w:hAnsi="宋体" w:eastAsia="宋体"/>
          <w:szCs w:val="21"/>
          <w:u w:val="single"/>
        </w:rPr>
        <w:t xml:space="preserve">                  </w:t>
      </w:r>
      <w:r>
        <w:rPr>
          <w:rFonts w:hint="eastAsia" w:ascii="宋体" w:hAnsi="宋体" w:eastAsia="宋体"/>
          <w:szCs w:val="21"/>
        </w:rPr>
        <w:t xml:space="preserve"> </w:t>
      </w:r>
    </w:p>
    <w:p w14:paraId="26CA8385">
      <w:pPr>
        <w:numPr>
          <w:ilvl w:val="255"/>
          <w:numId w:val="0"/>
        </w:numPr>
        <w:adjustRightInd w:val="0"/>
        <w:snapToGrid w:val="0"/>
        <w:spacing w:line="400" w:lineRule="exact"/>
        <w:ind w:firstLine="420" w:firstLineChars="200"/>
        <w:rPr>
          <w:rFonts w:hint="eastAsia" w:ascii="宋体" w:hAnsi="宋体" w:eastAsia="宋体" w:cs="宋体"/>
          <w:szCs w:val="21"/>
          <w:lang w:val="en"/>
        </w:rPr>
      </w:pPr>
      <w:r>
        <w:rPr>
          <w:rFonts w:hint="eastAsia" w:ascii="宋体" w:hAnsi="宋体" w:eastAsia="宋体"/>
          <w:szCs w:val="21"/>
        </w:rPr>
        <w:t xml:space="preserve">     </w:t>
      </w:r>
      <w:r>
        <w:rPr>
          <w:rFonts w:hint="eastAsia" w:ascii="宋体" w:hAnsi="宋体" w:eastAsia="宋体" w:cs="宋体"/>
          <w:szCs w:val="21"/>
        </w:rPr>
        <w:t>品牌：</w:t>
      </w:r>
      <w:r>
        <w:rPr>
          <w:rFonts w:hint="eastAsia" w:ascii="宋体" w:hAnsi="宋体" w:eastAsia="宋体" w:cs="宋体"/>
          <w:szCs w:val="21"/>
          <w:u w:val="single"/>
        </w:rPr>
        <w:t xml:space="preserve">      </w:t>
      </w:r>
      <w:r>
        <w:rPr>
          <w:rFonts w:ascii="宋体" w:hAnsi="宋体" w:eastAsia="宋体" w:cs="宋体"/>
          <w:szCs w:val="21"/>
          <w:u w:val="single"/>
          <w:lang w:val="en"/>
        </w:rPr>
        <w:t xml:space="preserve">   </w:t>
      </w:r>
      <w:r>
        <w:rPr>
          <w:rFonts w:hint="eastAsia" w:ascii="宋体" w:hAnsi="宋体" w:eastAsia="宋体" w:cs="宋体"/>
          <w:szCs w:val="21"/>
          <w:u w:val="single"/>
        </w:rPr>
        <w:t xml:space="preserve">    </w:t>
      </w:r>
      <w:r>
        <w:rPr>
          <w:rFonts w:ascii="宋体" w:hAnsi="宋体" w:eastAsia="宋体" w:cs="宋体"/>
          <w:szCs w:val="21"/>
          <w:u w:val="single"/>
          <w:lang w:val="en"/>
        </w:rPr>
        <w:t xml:space="preserve"> </w:t>
      </w:r>
      <w:r>
        <w:rPr>
          <w:rFonts w:hint="eastAsia" w:ascii="宋体" w:hAnsi="宋体" w:eastAsia="宋体" w:cs="宋体"/>
          <w:szCs w:val="21"/>
          <w:u w:val="single"/>
        </w:rPr>
        <w:t xml:space="preserve"> </w:t>
      </w:r>
      <w:r>
        <w:rPr>
          <w:rFonts w:ascii="宋体" w:hAnsi="宋体" w:eastAsia="宋体" w:cs="宋体"/>
          <w:szCs w:val="21"/>
          <w:lang w:val="en"/>
        </w:rPr>
        <w:t xml:space="preserve">     </w:t>
      </w:r>
      <w:r>
        <w:rPr>
          <w:rFonts w:hint="eastAsia" w:ascii="宋体" w:hAnsi="宋体" w:eastAsia="宋体" w:cs="宋体"/>
          <w:szCs w:val="21"/>
        </w:rPr>
        <w:t>规格型号：</w:t>
      </w:r>
      <w:r>
        <w:rPr>
          <w:rFonts w:hint="eastAsia" w:ascii="宋体" w:hAnsi="宋体" w:eastAsia="宋体" w:cs="宋体"/>
          <w:szCs w:val="21"/>
          <w:u w:val="single"/>
        </w:rPr>
        <w:t xml:space="preserve">   </w:t>
      </w:r>
      <w:r>
        <w:rPr>
          <w:rFonts w:ascii="宋体" w:hAnsi="宋体" w:eastAsia="宋体" w:cs="宋体"/>
          <w:szCs w:val="21"/>
          <w:u w:val="single"/>
          <w:lang w:val="en"/>
        </w:rPr>
        <w:t xml:space="preserve">  </w:t>
      </w:r>
      <w:r>
        <w:rPr>
          <w:rFonts w:hint="eastAsia" w:ascii="宋体" w:hAnsi="宋体" w:eastAsia="宋体" w:cs="宋体"/>
          <w:szCs w:val="21"/>
          <w:u w:val="single"/>
        </w:rPr>
        <w:t xml:space="preserve">       </w:t>
      </w:r>
      <w:r>
        <w:rPr>
          <w:rFonts w:ascii="宋体" w:hAnsi="宋体" w:eastAsia="宋体" w:cs="宋体"/>
          <w:szCs w:val="21"/>
          <w:u w:val="single"/>
          <w:lang w:val="en"/>
        </w:rPr>
        <w:t xml:space="preserve">   </w:t>
      </w:r>
    </w:p>
    <w:p w14:paraId="681AC6E7">
      <w:pPr>
        <w:adjustRightInd w:val="0"/>
        <w:snapToGrid w:val="0"/>
        <w:spacing w:line="400" w:lineRule="exact"/>
        <w:ind w:firstLine="945" w:firstLineChars="450"/>
        <w:rPr>
          <w:rFonts w:hint="eastAsia" w:ascii="宋体" w:hAnsi="宋体" w:eastAsia="宋体"/>
          <w:szCs w:val="21"/>
          <w:u w:val="single"/>
        </w:rPr>
      </w:pPr>
      <w:r>
        <w:rPr>
          <w:rFonts w:hint="eastAsia" w:ascii="宋体" w:hAnsi="宋体" w:eastAsia="宋体"/>
          <w:szCs w:val="21"/>
        </w:rPr>
        <w:t>采购标的的技术要求、商务要求具体见附件。</w:t>
      </w:r>
    </w:p>
    <w:p w14:paraId="5D17BD65">
      <w:pPr>
        <w:numPr>
          <w:ilvl w:val="255"/>
          <w:numId w:val="0"/>
        </w:numPr>
        <w:adjustRightInd w:val="0"/>
        <w:snapToGrid w:val="0"/>
        <w:spacing w:line="400" w:lineRule="exact"/>
        <w:ind w:firstLine="945" w:firstLineChars="450"/>
        <w:rPr>
          <w:rFonts w:hint="eastAsia" w:ascii="宋体" w:hAnsi="宋体" w:eastAsia="宋体" w:cs="宋体"/>
          <w:szCs w:val="21"/>
        </w:rPr>
      </w:pPr>
      <w:r>
        <w:rPr>
          <w:rFonts w:hint="eastAsia" w:ascii="汉仪书宋二S" w:hAnsi="汉仪书宋二S" w:eastAsia="汉仪书宋二S" w:cs="汉仪书宋二S"/>
          <w:szCs w:val="21"/>
        </w:rPr>
        <w:t>①</w:t>
      </w:r>
      <w:r>
        <w:rPr>
          <w:rFonts w:hint="eastAsia" w:ascii="宋体" w:hAnsi="宋体" w:eastAsia="宋体" w:cs="宋体"/>
          <w:szCs w:val="21"/>
        </w:rPr>
        <w:t>涉及信息类产品，请填写该产品关键部件的品牌、型号：</w:t>
      </w:r>
    </w:p>
    <w:p w14:paraId="7D86DB13">
      <w:pPr>
        <w:numPr>
          <w:ilvl w:val="255"/>
          <w:numId w:val="0"/>
        </w:numPr>
        <w:adjustRightInd w:val="0"/>
        <w:snapToGrid w:val="0"/>
        <w:spacing w:line="400" w:lineRule="exact"/>
        <w:ind w:firstLine="420" w:firstLineChars="200"/>
        <w:rPr>
          <w:rFonts w:hint="eastAsia" w:ascii="宋体" w:hAnsi="宋体" w:eastAsia="宋体" w:cs="宋体"/>
          <w:kern w:val="0"/>
          <w:szCs w:val="21"/>
          <w:u w:val="single"/>
        </w:rPr>
      </w:pPr>
      <w:r>
        <w:rPr>
          <w:rFonts w:hint="eastAsia" w:ascii="宋体" w:hAnsi="宋体" w:eastAsia="宋体" w:cs="宋体"/>
          <w:szCs w:val="21"/>
        </w:rPr>
        <w:t xml:space="preserve">     标的名称：</w:t>
      </w:r>
      <w:r>
        <w:rPr>
          <w:rFonts w:hint="eastAsia" w:ascii="宋体" w:hAnsi="宋体" w:eastAsia="宋体" w:cs="宋体"/>
          <w:kern w:val="0"/>
          <w:szCs w:val="21"/>
          <w:u w:val="single"/>
        </w:rPr>
        <w:t xml:space="preserve">      </w:t>
      </w:r>
      <w:r>
        <w:rPr>
          <w:rFonts w:ascii="宋体" w:hAnsi="宋体" w:eastAsia="宋体" w:cs="宋体"/>
          <w:kern w:val="0"/>
          <w:szCs w:val="21"/>
          <w:u w:val="single"/>
          <w:lang w:val="en"/>
        </w:rPr>
        <w:t xml:space="preserve">               </w:t>
      </w:r>
      <w:r>
        <w:rPr>
          <w:rFonts w:hint="eastAsia" w:ascii="宋体" w:hAnsi="宋体" w:eastAsia="宋体" w:cs="宋体"/>
          <w:kern w:val="0"/>
          <w:szCs w:val="21"/>
          <w:u w:val="single"/>
        </w:rPr>
        <w:t xml:space="preserve">    </w:t>
      </w:r>
    </w:p>
    <w:p w14:paraId="041A2DF7">
      <w:pPr>
        <w:numPr>
          <w:ilvl w:val="255"/>
          <w:numId w:val="0"/>
        </w:numPr>
        <w:adjustRightInd w:val="0"/>
        <w:snapToGri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 xml:space="preserve">     关键部件：</w:t>
      </w:r>
      <w:r>
        <w:rPr>
          <w:rFonts w:hint="eastAsia" w:ascii="宋体" w:hAnsi="宋体" w:eastAsia="宋体" w:cs="宋体"/>
          <w:kern w:val="0"/>
          <w:szCs w:val="21"/>
          <w:u w:val="single"/>
        </w:rPr>
        <w:t xml:space="preserve">          </w:t>
      </w:r>
      <w:r>
        <w:rPr>
          <w:rFonts w:hint="eastAsia" w:ascii="宋体" w:hAnsi="宋体" w:eastAsia="宋体" w:cs="宋体"/>
          <w:kern w:val="0"/>
          <w:szCs w:val="21"/>
        </w:rPr>
        <w:t xml:space="preserve"> </w:t>
      </w:r>
      <w:r>
        <w:rPr>
          <w:rFonts w:hint="eastAsia" w:ascii="宋体" w:hAnsi="宋体" w:eastAsia="宋体" w:cs="宋体"/>
          <w:szCs w:val="21"/>
        </w:rPr>
        <w:t>品牌：</w:t>
      </w:r>
      <w:r>
        <w:rPr>
          <w:rFonts w:hint="eastAsia" w:ascii="宋体" w:hAnsi="宋体" w:eastAsia="宋体" w:cs="宋体"/>
          <w:szCs w:val="21"/>
          <w:u w:val="single"/>
        </w:rPr>
        <w:t xml:space="preserve">        </w:t>
      </w:r>
      <w:r>
        <w:rPr>
          <w:rFonts w:hint="eastAsia" w:ascii="宋体" w:hAnsi="宋体" w:eastAsia="宋体" w:cs="宋体"/>
          <w:szCs w:val="21"/>
        </w:rPr>
        <w:t xml:space="preserve"> 型号：</w:t>
      </w:r>
      <w:r>
        <w:rPr>
          <w:rFonts w:hint="eastAsia" w:ascii="宋体" w:hAnsi="宋体" w:eastAsia="宋体" w:cs="宋体"/>
          <w:szCs w:val="21"/>
          <w:u w:val="single"/>
        </w:rPr>
        <w:t xml:space="preserve">       </w:t>
      </w:r>
      <w:r>
        <w:rPr>
          <w:rFonts w:hint="eastAsia" w:ascii="宋体" w:hAnsi="宋体" w:eastAsia="宋体" w:cs="宋体"/>
          <w:szCs w:val="21"/>
        </w:rPr>
        <w:t xml:space="preserve"> </w:t>
      </w:r>
    </w:p>
    <w:p w14:paraId="08181484">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 xml:space="preserve">     关键部件：</w:t>
      </w:r>
      <w:r>
        <w:rPr>
          <w:rFonts w:hint="eastAsia" w:ascii="宋体" w:hAnsi="宋体" w:eastAsia="宋体" w:cs="宋体"/>
          <w:szCs w:val="21"/>
          <w:u w:val="single"/>
        </w:rPr>
        <w:t xml:space="preserve">          </w:t>
      </w:r>
      <w:r>
        <w:rPr>
          <w:rFonts w:hint="eastAsia" w:ascii="宋体" w:hAnsi="宋体" w:eastAsia="宋体" w:cs="宋体"/>
          <w:szCs w:val="21"/>
        </w:rPr>
        <w:t xml:space="preserve"> 品牌：</w:t>
      </w:r>
      <w:r>
        <w:rPr>
          <w:rFonts w:hint="eastAsia" w:ascii="宋体" w:hAnsi="宋体" w:eastAsia="宋体" w:cs="宋体"/>
          <w:szCs w:val="21"/>
          <w:u w:val="single"/>
        </w:rPr>
        <w:t xml:space="preserve">        </w:t>
      </w:r>
      <w:r>
        <w:rPr>
          <w:rFonts w:hint="eastAsia" w:ascii="宋体" w:hAnsi="宋体" w:eastAsia="宋体" w:cs="宋体"/>
          <w:szCs w:val="21"/>
        </w:rPr>
        <w:t xml:space="preserve"> 型号：</w:t>
      </w:r>
      <w:r>
        <w:rPr>
          <w:rFonts w:hint="eastAsia" w:ascii="宋体" w:hAnsi="宋体" w:eastAsia="宋体" w:cs="宋体"/>
          <w:szCs w:val="21"/>
          <w:u w:val="single"/>
        </w:rPr>
        <w:t xml:space="preserve">       </w:t>
      </w:r>
      <w:r>
        <w:rPr>
          <w:rFonts w:hint="eastAsia" w:ascii="宋体" w:hAnsi="宋体" w:eastAsia="宋体" w:cs="宋体"/>
          <w:szCs w:val="21"/>
        </w:rPr>
        <w:t xml:space="preserve"> </w:t>
      </w:r>
    </w:p>
    <w:p w14:paraId="156EBDAC">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 xml:space="preserve">     关键部件：</w:t>
      </w:r>
      <w:r>
        <w:rPr>
          <w:rFonts w:hint="eastAsia" w:ascii="宋体" w:hAnsi="宋体" w:eastAsia="宋体" w:cs="宋体"/>
          <w:szCs w:val="21"/>
          <w:u w:val="single"/>
        </w:rPr>
        <w:t xml:space="preserve">          </w:t>
      </w:r>
      <w:r>
        <w:rPr>
          <w:rFonts w:hint="eastAsia" w:ascii="宋体" w:hAnsi="宋体" w:eastAsia="宋体" w:cs="宋体"/>
          <w:szCs w:val="21"/>
        </w:rPr>
        <w:t xml:space="preserve"> 品牌：</w:t>
      </w:r>
      <w:r>
        <w:rPr>
          <w:rFonts w:hint="eastAsia" w:ascii="宋体" w:hAnsi="宋体" w:eastAsia="宋体" w:cs="宋体"/>
          <w:szCs w:val="21"/>
          <w:u w:val="single"/>
        </w:rPr>
        <w:t xml:space="preserve">        </w:t>
      </w:r>
      <w:r>
        <w:rPr>
          <w:rFonts w:hint="eastAsia" w:ascii="宋体" w:hAnsi="宋体" w:eastAsia="宋体" w:cs="宋体"/>
          <w:szCs w:val="21"/>
        </w:rPr>
        <w:t xml:space="preserve"> 型号：</w:t>
      </w:r>
      <w:r>
        <w:rPr>
          <w:rFonts w:hint="eastAsia" w:ascii="宋体" w:hAnsi="宋体" w:eastAsia="宋体" w:cs="宋体"/>
          <w:szCs w:val="21"/>
          <w:u w:val="single"/>
        </w:rPr>
        <w:t xml:space="preserve">       </w:t>
      </w:r>
    </w:p>
    <w:p w14:paraId="122FCB11">
      <w:pPr>
        <w:numPr>
          <w:ilvl w:val="255"/>
          <w:numId w:val="0"/>
        </w:numPr>
        <w:autoSpaceDE w:val="0"/>
        <w:autoSpaceDN w:val="0"/>
        <w:adjustRightInd w:val="0"/>
        <w:snapToGrid w:val="0"/>
        <w:spacing w:line="400" w:lineRule="exact"/>
        <w:rPr>
          <w:rFonts w:hint="eastAsia" w:ascii="宋体" w:hAnsi="宋体" w:eastAsia="宋体" w:cs="宋体"/>
          <w:szCs w:val="21"/>
        </w:rPr>
      </w:pPr>
      <w:r>
        <w:rPr>
          <w:rFonts w:hint="eastAsia" w:ascii="宋体" w:hAnsi="宋体" w:eastAsia="宋体" w:cs="宋体"/>
          <w:szCs w:val="21"/>
        </w:rPr>
        <w:t xml:space="preserve">   （注：关键部件是指财政部会同有关部门发布的政府采购需求标准规定的需要通过国家有关部门指定的测评机构开展的安全可靠测评的软硬件，如CPU芯片、操作系统、数据库等。）</w:t>
      </w:r>
    </w:p>
    <w:p w14:paraId="4D3D1F5B">
      <w:pPr>
        <w:numPr>
          <w:ilvl w:val="255"/>
          <w:numId w:val="0"/>
        </w:numPr>
        <w:autoSpaceDE w:val="0"/>
        <w:autoSpaceDN w:val="0"/>
        <w:adjustRightInd w:val="0"/>
        <w:snapToGrid w:val="0"/>
        <w:spacing w:line="400" w:lineRule="exact"/>
        <w:rPr>
          <w:rFonts w:hint="eastAsia" w:ascii="宋体" w:hAnsi="宋体" w:eastAsia="宋体" w:cs="宋体"/>
          <w:szCs w:val="21"/>
        </w:rPr>
      </w:pPr>
      <w:r>
        <w:rPr>
          <w:rFonts w:hint="eastAsia" w:ascii="宋体" w:hAnsi="宋体" w:eastAsia="宋体" w:cs="宋体"/>
          <w:szCs w:val="21"/>
        </w:rPr>
        <w:t xml:space="preserve">         </w:t>
      </w:r>
      <w:r>
        <w:rPr>
          <w:rFonts w:hint="eastAsia" w:ascii="汉仪书宋二S" w:hAnsi="汉仪书宋二S" w:eastAsia="汉仪书宋二S" w:cs="汉仪书宋二S"/>
          <w:szCs w:val="21"/>
        </w:rPr>
        <w:t>②</w:t>
      </w:r>
      <w:r>
        <w:rPr>
          <w:rFonts w:hint="eastAsia" w:ascii="宋体" w:hAnsi="宋体" w:eastAsia="宋体" w:cs="宋体"/>
          <w:szCs w:val="21"/>
        </w:rPr>
        <w:t>涉及车辆采购，请填写是否属于新能源汽车：</w:t>
      </w:r>
    </w:p>
    <w:p w14:paraId="37951CD4">
      <w:pPr>
        <w:numPr>
          <w:ilvl w:val="255"/>
          <w:numId w:val="0"/>
        </w:numPr>
        <w:autoSpaceDE w:val="0"/>
        <w:autoSpaceDN w:val="0"/>
        <w:adjustRightInd w:val="0"/>
        <w:snapToGrid w:val="0"/>
        <w:spacing w:line="400" w:lineRule="exact"/>
        <w:rPr>
          <w:rFonts w:hint="eastAsia"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szCs w:val="21"/>
        </w:rPr>
        <w:sym w:font="Wingdings" w:char="00A8"/>
      </w:r>
      <w:r>
        <w:rPr>
          <w:rFonts w:hint="eastAsia" w:ascii="宋体" w:hAnsi="宋体" w:eastAsia="宋体" w:cs="宋体"/>
          <w:szCs w:val="21"/>
        </w:rPr>
        <w:t>是，《政府采购品目分类目录》底级品目名称：</w:t>
      </w:r>
      <w:r>
        <w:rPr>
          <w:rFonts w:hint="eastAsia" w:ascii="宋体" w:hAnsi="宋体" w:eastAsia="宋体" w:cs="宋体"/>
          <w:szCs w:val="21"/>
          <w:u w:val="single"/>
        </w:rPr>
        <w:t xml:space="preserve">     </w:t>
      </w:r>
      <w:r>
        <w:rPr>
          <w:rFonts w:hint="eastAsia" w:ascii="宋体" w:hAnsi="宋体" w:eastAsia="宋体" w:cs="宋体"/>
          <w:szCs w:val="21"/>
        </w:rPr>
        <w:t xml:space="preserve"> 数量：</w:t>
      </w:r>
      <w:r>
        <w:rPr>
          <w:rFonts w:hint="eastAsia" w:ascii="宋体" w:hAnsi="宋体" w:eastAsia="宋体" w:cs="宋体"/>
          <w:szCs w:val="21"/>
          <w:u w:val="single"/>
        </w:rPr>
        <w:t xml:space="preserve">    </w:t>
      </w:r>
      <w:r>
        <w:rPr>
          <w:rFonts w:hint="eastAsia" w:ascii="宋体" w:hAnsi="宋体" w:eastAsia="宋体" w:cs="宋体"/>
          <w:szCs w:val="21"/>
        </w:rPr>
        <w:t xml:space="preserve"> 金额：</w:t>
      </w:r>
      <w:r>
        <w:rPr>
          <w:rFonts w:hint="eastAsia" w:ascii="宋体" w:hAnsi="宋体" w:eastAsia="宋体" w:cs="宋体"/>
          <w:szCs w:val="21"/>
          <w:u w:val="single"/>
        </w:rPr>
        <w:t xml:space="preserve">     </w:t>
      </w:r>
      <w:r>
        <w:rPr>
          <w:rFonts w:hint="eastAsia" w:ascii="宋体" w:hAnsi="宋体" w:eastAsia="宋体" w:cs="宋体"/>
          <w:szCs w:val="21"/>
        </w:rPr>
        <w:t xml:space="preserve"> </w:t>
      </w:r>
    </w:p>
    <w:p w14:paraId="26D8B135">
      <w:pPr>
        <w:numPr>
          <w:ilvl w:val="255"/>
          <w:numId w:val="0"/>
        </w:numPr>
        <w:autoSpaceDE w:val="0"/>
        <w:autoSpaceDN w:val="0"/>
        <w:adjustRightInd w:val="0"/>
        <w:snapToGrid w:val="0"/>
        <w:spacing w:line="400" w:lineRule="exact"/>
        <w:rPr>
          <w:rFonts w:hint="eastAsia"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szCs w:val="21"/>
        </w:rPr>
        <w:sym w:font="Wingdings" w:char="00A8"/>
      </w:r>
      <w:r>
        <w:rPr>
          <w:rFonts w:hint="eastAsia" w:ascii="宋体" w:hAnsi="宋体" w:eastAsia="宋体" w:cs="宋体"/>
          <w:szCs w:val="21"/>
        </w:rPr>
        <w:t>否</w:t>
      </w:r>
    </w:p>
    <w:p w14:paraId="3F3B88B8">
      <w:pPr>
        <w:numPr>
          <w:ilvl w:val="255"/>
          <w:numId w:val="0"/>
        </w:numPr>
        <w:autoSpaceDE w:val="0"/>
        <w:autoSpaceDN w:val="0"/>
        <w:adjustRightInd w:val="0"/>
        <w:snapToGrid w:val="0"/>
        <w:spacing w:line="400" w:lineRule="exact"/>
        <w:rPr>
          <w:rFonts w:hint="eastAsia" w:ascii="宋体" w:hAnsi="宋体" w:eastAsia="宋体" w:cs="宋体"/>
          <w:szCs w:val="21"/>
        </w:rPr>
      </w:pPr>
      <w:r>
        <w:rPr>
          <w:rFonts w:hint="eastAsia" w:ascii="宋体" w:hAnsi="宋体" w:eastAsia="宋体" w:cs="宋体"/>
          <w:szCs w:val="21"/>
        </w:rPr>
        <w:t xml:space="preserve">    （</w:t>
      </w:r>
      <w:r>
        <w:rPr>
          <w:rFonts w:ascii="宋体" w:hAnsi="宋体" w:eastAsia="宋体" w:cs="宋体"/>
          <w:szCs w:val="21"/>
          <w:lang w:val="en"/>
        </w:rPr>
        <w:t>4</w:t>
      </w:r>
      <w:r>
        <w:rPr>
          <w:rFonts w:hint="eastAsia" w:ascii="宋体" w:hAnsi="宋体" w:eastAsia="宋体" w:cs="宋体"/>
          <w:szCs w:val="21"/>
        </w:rPr>
        <w:t>）政府采购组织形式：</w:t>
      </w:r>
      <w:r>
        <w:rPr>
          <w:rFonts w:hint="eastAsia" w:ascii="宋体" w:hAnsi="宋体" w:eastAsia="宋体" w:cs="宋体"/>
          <w:szCs w:val="21"/>
        </w:rPr>
        <w:sym w:font="Wingdings" w:char="00A8"/>
      </w:r>
      <w:r>
        <w:rPr>
          <w:rFonts w:hint="eastAsia" w:ascii="宋体" w:hAnsi="宋体" w:eastAsia="宋体" w:cs="宋体"/>
          <w:szCs w:val="21"/>
        </w:rPr>
        <w:t xml:space="preserve">集中采购    </w:t>
      </w:r>
      <w:r>
        <w:rPr>
          <w:rFonts w:hint="eastAsia" w:ascii="宋体" w:hAnsi="宋体" w:eastAsia="宋体" w:cs="宋体"/>
          <w:szCs w:val="21"/>
        </w:rPr>
        <w:sym w:font="Wingdings" w:char="00A8"/>
      </w:r>
      <w:r>
        <w:rPr>
          <w:rFonts w:hint="eastAsia" w:ascii="宋体" w:hAnsi="宋体" w:eastAsia="宋体" w:cs="宋体"/>
          <w:szCs w:val="21"/>
        </w:rPr>
        <w:t>自行采购</w:t>
      </w:r>
    </w:p>
    <w:p w14:paraId="13EC2286">
      <w:pPr>
        <w:numPr>
          <w:ilvl w:val="255"/>
          <w:numId w:val="0"/>
        </w:numPr>
        <w:autoSpaceDE w:val="0"/>
        <w:autoSpaceDN w:val="0"/>
        <w:adjustRightInd w:val="0"/>
        <w:snapToGrid w:val="0"/>
        <w:spacing w:line="400" w:lineRule="exact"/>
        <w:ind w:left="210" w:leftChars="100" w:firstLine="210" w:firstLineChars="100"/>
        <w:rPr>
          <w:rFonts w:hint="eastAsia" w:ascii="宋体" w:hAnsi="宋体" w:eastAsia="宋体" w:cs="宋体"/>
          <w:szCs w:val="21"/>
          <w:u w:val="single"/>
        </w:rPr>
      </w:pPr>
      <w:r>
        <w:rPr>
          <w:rFonts w:hint="eastAsia" w:ascii="宋体" w:hAnsi="宋体" w:eastAsia="宋体" w:cs="宋体"/>
          <w:szCs w:val="21"/>
        </w:rPr>
        <w:t>（</w:t>
      </w:r>
      <w:r>
        <w:rPr>
          <w:rFonts w:ascii="宋体" w:hAnsi="宋体" w:eastAsia="宋体" w:cs="宋体"/>
          <w:szCs w:val="21"/>
          <w:lang w:val="en"/>
        </w:rPr>
        <w:t>5</w:t>
      </w:r>
      <w:r>
        <w:rPr>
          <w:rFonts w:hint="eastAsia" w:ascii="宋体" w:hAnsi="宋体" w:eastAsia="宋体" w:cs="宋体"/>
          <w:szCs w:val="21"/>
        </w:rPr>
        <w:t>）政府采购方式：</w:t>
      </w:r>
      <w:r>
        <w:rPr>
          <w:rFonts w:hint="eastAsia" w:ascii="宋体" w:hAnsi="宋体" w:eastAsia="宋体" w:cs="宋体"/>
          <w:szCs w:val="21"/>
        </w:rPr>
        <w:sym w:font="Wingdings" w:char="00A8"/>
      </w:r>
      <w:r>
        <w:rPr>
          <w:rFonts w:hint="eastAsia" w:ascii="宋体" w:hAnsi="宋体" w:eastAsia="宋体" w:cs="宋体"/>
          <w:szCs w:val="21"/>
        </w:rPr>
        <w:t xml:space="preserve">公开招标  </w:t>
      </w:r>
      <w:r>
        <w:rPr>
          <w:rFonts w:hint="eastAsia" w:ascii="宋体" w:hAnsi="宋体" w:eastAsia="宋体" w:cs="宋体"/>
          <w:szCs w:val="21"/>
        </w:rPr>
        <w:sym w:font="Wingdings" w:char="00A8"/>
      </w:r>
      <w:r>
        <w:rPr>
          <w:rFonts w:hint="eastAsia" w:ascii="宋体" w:hAnsi="宋体" w:eastAsia="宋体" w:cs="宋体"/>
          <w:szCs w:val="21"/>
        </w:rPr>
        <w:t>竞争性谈判</w:t>
      </w:r>
      <w:r>
        <w:rPr>
          <w:rFonts w:hint="eastAsia" w:ascii="宋体" w:hAnsi="宋体" w:eastAsia="华文楷体" w:cs="宋体"/>
          <w:sz w:val="22"/>
          <w:szCs w:val="21"/>
        </w:rPr>
        <w:t xml:space="preserve">  </w:t>
      </w:r>
      <w:r>
        <w:rPr>
          <w:rFonts w:hint="eastAsia" w:ascii="宋体" w:hAnsi="宋体" w:eastAsia="宋体" w:cs="宋体"/>
          <w:szCs w:val="21"/>
        </w:rPr>
        <w:sym w:font="Wingdings" w:char="00A8"/>
      </w:r>
      <w:r>
        <w:rPr>
          <w:rFonts w:hint="eastAsia" w:ascii="宋体" w:hAnsi="宋体" w:eastAsia="宋体" w:cs="宋体"/>
          <w:szCs w:val="21"/>
        </w:rPr>
        <w:t xml:space="preserve">单一来源  </w:t>
      </w:r>
      <w:r>
        <w:rPr>
          <w:rFonts w:hint="eastAsia" w:ascii="宋体" w:hAnsi="宋体" w:eastAsia="宋体" w:cs="宋体"/>
          <w:szCs w:val="21"/>
        </w:rPr>
        <w:sym w:font="Wingdings" w:char="00A8"/>
      </w:r>
      <w:r>
        <w:rPr>
          <w:rFonts w:hint="eastAsia" w:ascii="宋体" w:hAnsi="宋体" w:eastAsia="宋体" w:cs="宋体"/>
          <w:szCs w:val="21"/>
        </w:rPr>
        <w:t xml:space="preserve">竞价  </w:t>
      </w:r>
      <w:r>
        <w:rPr>
          <w:rFonts w:hint="eastAsia" w:ascii="宋体" w:hAnsi="宋体" w:eastAsia="宋体" w:cs="宋体"/>
          <w:szCs w:val="21"/>
        </w:rPr>
        <w:sym w:font="Wingdings" w:char="00A8"/>
      </w:r>
      <w:r>
        <w:rPr>
          <w:rFonts w:hint="eastAsia" w:ascii="宋体" w:hAnsi="宋体" w:eastAsia="宋体" w:cs="宋体"/>
          <w:szCs w:val="21"/>
        </w:rPr>
        <w:t xml:space="preserve">框架协议 </w:t>
      </w:r>
      <w:r>
        <w:rPr>
          <w:rFonts w:hint="eastAsia" w:ascii="宋体" w:hAnsi="宋体" w:eastAsia="宋体" w:cs="宋体"/>
          <w:szCs w:val="21"/>
        </w:rPr>
        <w:sym w:font="Wingdings" w:char="00A8"/>
      </w:r>
      <w:r>
        <w:rPr>
          <w:rFonts w:hint="eastAsia" w:ascii="宋体" w:hAnsi="宋体" w:eastAsia="宋体" w:cs="宋体"/>
          <w:szCs w:val="21"/>
        </w:rPr>
        <w:t>其他：</w:t>
      </w:r>
      <w:r>
        <w:rPr>
          <w:rFonts w:hint="eastAsia" w:ascii="宋体" w:hAnsi="宋体" w:eastAsia="宋体" w:cs="宋体"/>
          <w:szCs w:val="21"/>
          <w:u w:val="single"/>
        </w:rPr>
        <w:t xml:space="preserve">          </w:t>
      </w:r>
    </w:p>
    <w:p w14:paraId="7DC2A001">
      <w:pPr>
        <w:numPr>
          <w:ilvl w:val="255"/>
          <w:numId w:val="0"/>
        </w:numPr>
        <w:autoSpaceDE w:val="0"/>
        <w:autoSpaceDN w:val="0"/>
        <w:adjustRightInd w:val="0"/>
        <w:snapToGrid w:val="0"/>
        <w:spacing w:line="400" w:lineRule="exact"/>
        <w:ind w:firstLine="420"/>
        <w:rPr>
          <w:rFonts w:hint="eastAsia" w:ascii="宋体" w:hAnsi="宋体" w:eastAsia="宋体" w:cs="宋体"/>
          <w:szCs w:val="21"/>
        </w:rPr>
      </w:pPr>
      <w:r>
        <w:rPr>
          <w:rFonts w:hint="eastAsia" w:ascii="宋体" w:hAnsi="宋体" w:eastAsia="宋体" w:cs="宋体"/>
          <w:szCs w:val="21"/>
        </w:rPr>
        <w:t>（注：在框架协议采购的第二阶段，可选择使用该合同文本）</w:t>
      </w:r>
    </w:p>
    <w:p w14:paraId="273E62E9">
      <w:pPr>
        <w:numPr>
          <w:ilvl w:val="255"/>
          <w:numId w:val="0"/>
        </w:numPr>
        <w:autoSpaceDE w:val="0"/>
        <w:autoSpaceDN w:val="0"/>
        <w:adjustRightInd w:val="0"/>
        <w:snapToGrid w:val="0"/>
        <w:spacing w:line="400" w:lineRule="exact"/>
        <w:ind w:firstLine="220" w:firstLineChars="100"/>
        <w:rPr>
          <w:rFonts w:hint="eastAsia" w:ascii="宋体" w:hAnsi="宋体" w:eastAsia="宋体" w:cs="Times New Roman"/>
          <w:szCs w:val="21"/>
        </w:rPr>
      </w:pPr>
      <w:r>
        <w:rPr>
          <w:rFonts w:hint="eastAsia" w:ascii="宋体" w:hAnsi="宋体" w:eastAsia="华文楷体" w:cs="华文楷体"/>
          <w:sz w:val="22"/>
          <w:szCs w:val="21"/>
        </w:rPr>
        <w:t xml:space="preserve"> （</w:t>
      </w:r>
      <w:r>
        <w:rPr>
          <w:rFonts w:ascii="宋体" w:hAnsi="宋体" w:eastAsia="华文楷体" w:cs="华文楷体"/>
          <w:sz w:val="22"/>
          <w:szCs w:val="21"/>
          <w:lang w:val="en"/>
        </w:rPr>
        <w:t>6</w:t>
      </w:r>
      <w:r>
        <w:rPr>
          <w:rFonts w:hint="eastAsia" w:ascii="宋体" w:hAnsi="宋体" w:eastAsia="华文楷体" w:cs="华文楷体"/>
          <w:sz w:val="22"/>
          <w:szCs w:val="21"/>
        </w:rPr>
        <w:t>）</w:t>
      </w:r>
      <w:r>
        <w:rPr>
          <w:rFonts w:hint="eastAsia" w:ascii="宋体" w:hAnsi="宋体" w:eastAsia="宋体" w:cs="Times New Roman"/>
          <w:szCs w:val="21"/>
        </w:rPr>
        <w:t>中标（成交）采购标的制造商是否为中小企业：</w:t>
      </w:r>
      <w:r>
        <w:rPr>
          <w:rFonts w:hint="eastAsia" w:ascii="宋体" w:hAnsi="宋体" w:eastAsia="宋体" w:cs="Times New Roman"/>
          <w:szCs w:val="21"/>
        </w:rPr>
        <w:sym w:font="Wingdings" w:char="00A8"/>
      </w:r>
      <w:r>
        <w:rPr>
          <w:rFonts w:hint="eastAsia" w:ascii="宋体" w:hAnsi="宋体" w:eastAsia="宋体" w:cs="Times New Roman"/>
          <w:szCs w:val="21"/>
        </w:rPr>
        <w:t xml:space="preserve">是      </w:t>
      </w:r>
      <w:r>
        <w:rPr>
          <w:rFonts w:hint="eastAsia" w:ascii="宋体" w:hAnsi="宋体" w:eastAsia="宋体" w:cs="Times New Roman"/>
          <w:szCs w:val="21"/>
        </w:rPr>
        <w:sym w:font="Wingdings" w:char="00A8"/>
      </w:r>
      <w:r>
        <w:rPr>
          <w:rFonts w:hint="eastAsia" w:ascii="宋体" w:hAnsi="宋体" w:eastAsia="宋体" w:cs="Times New Roman"/>
          <w:szCs w:val="21"/>
        </w:rPr>
        <w:t>否</w:t>
      </w:r>
    </w:p>
    <w:p w14:paraId="648FC141">
      <w:pPr>
        <w:numPr>
          <w:ilvl w:val="255"/>
          <w:numId w:val="0"/>
        </w:numPr>
        <w:adjustRightInd w:val="0"/>
        <w:snapToGrid w:val="0"/>
        <w:spacing w:line="400" w:lineRule="exact"/>
        <w:rPr>
          <w:rFonts w:hint="eastAsia" w:ascii="宋体" w:hAnsi="宋体" w:eastAsia="宋体"/>
          <w:iCs/>
          <w:szCs w:val="21"/>
        </w:rPr>
      </w:pPr>
      <w:r>
        <w:rPr>
          <w:rFonts w:hint="eastAsia" w:ascii="宋体" w:hAnsi="宋体" w:eastAsia="宋体"/>
          <w:szCs w:val="21"/>
        </w:rPr>
        <w:t xml:space="preserve">         本合同是否为专门面向中小企业的采购合同（中小企业预留合同）：</w:t>
      </w:r>
      <w:r>
        <w:rPr>
          <w:rFonts w:hint="eastAsia" w:ascii="宋体" w:hAnsi="宋体" w:eastAsia="宋体"/>
          <w:iCs/>
          <w:szCs w:val="21"/>
        </w:rPr>
        <w:sym w:font="Wingdings" w:char="00A8"/>
      </w:r>
      <w:r>
        <w:rPr>
          <w:rFonts w:hint="eastAsia" w:ascii="宋体" w:hAnsi="宋体" w:eastAsia="宋体"/>
          <w:iCs/>
          <w:szCs w:val="21"/>
        </w:rPr>
        <w:t xml:space="preserve">是    </w:t>
      </w:r>
      <w:r>
        <w:rPr>
          <w:rFonts w:hint="eastAsia" w:ascii="宋体" w:hAnsi="宋体" w:eastAsia="宋体"/>
          <w:iCs/>
          <w:szCs w:val="21"/>
        </w:rPr>
        <w:sym w:font="Wingdings" w:char="00A8"/>
      </w:r>
      <w:r>
        <w:rPr>
          <w:rFonts w:hint="eastAsia" w:ascii="宋体" w:hAnsi="宋体" w:eastAsia="宋体"/>
          <w:iCs/>
          <w:szCs w:val="21"/>
        </w:rPr>
        <w:t>否</w:t>
      </w:r>
    </w:p>
    <w:p w14:paraId="79BEF07E">
      <w:pPr>
        <w:numPr>
          <w:ilvl w:val="255"/>
          <w:numId w:val="0"/>
        </w:numPr>
        <w:adjustRightInd w:val="0"/>
        <w:snapToGrid w:val="0"/>
        <w:spacing w:line="400" w:lineRule="exact"/>
        <w:rPr>
          <w:rFonts w:hint="eastAsia" w:ascii="宋体" w:hAnsi="宋体" w:eastAsia="宋体"/>
          <w:iCs/>
          <w:szCs w:val="21"/>
        </w:rPr>
      </w:pPr>
      <w:r>
        <w:rPr>
          <w:rFonts w:hint="eastAsia" w:eastAsia="宋体"/>
        </w:rPr>
        <w:t xml:space="preserve">         若本项目不专门面向中小企业采购，是否给予小微企业评审优惠：</w:t>
      </w:r>
      <w:r>
        <w:rPr>
          <w:rFonts w:hint="eastAsia" w:ascii="宋体" w:hAnsi="宋体" w:eastAsia="宋体"/>
          <w:iCs/>
          <w:szCs w:val="21"/>
        </w:rPr>
        <w:sym w:font="Wingdings" w:char="00A8"/>
      </w:r>
      <w:r>
        <w:rPr>
          <w:rFonts w:hint="eastAsia" w:ascii="宋体" w:hAnsi="宋体" w:eastAsia="宋体"/>
          <w:iCs/>
          <w:szCs w:val="21"/>
        </w:rPr>
        <w:t xml:space="preserve">是   </w:t>
      </w:r>
      <w:r>
        <w:rPr>
          <w:rFonts w:hint="eastAsia" w:ascii="宋体" w:hAnsi="宋体" w:eastAsia="宋体"/>
          <w:iCs/>
          <w:szCs w:val="21"/>
        </w:rPr>
        <w:sym w:font="Wingdings" w:char="00A8"/>
      </w:r>
      <w:r>
        <w:rPr>
          <w:rFonts w:hint="eastAsia" w:ascii="宋体" w:hAnsi="宋体" w:eastAsia="宋体"/>
          <w:iCs/>
          <w:szCs w:val="21"/>
        </w:rPr>
        <w:t>否</w:t>
      </w:r>
    </w:p>
    <w:p w14:paraId="7C6FB8AF">
      <w:pPr>
        <w:numPr>
          <w:ilvl w:val="255"/>
          <w:numId w:val="0"/>
        </w:numPr>
        <w:adjustRightInd w:val="0"/>
        <w:snapToGrid w:val="0"/>
        <w:spacing w:line="400" w:lineRule="exact"/>
        <w:rPr>
          <w:rFonts w:hint="eastAsia" w:ascii="宋体" w:hAnsi="宋体" w:eastAsia="宋体"/>
          <w:iCs/>
          <w:szCs w:val="21"/>
        </w:rPr>
      </w:pPr>
      <w:r>
        <w:rPr>
          <w:rFonts w:hint="eastAsia" w:eastAsia="宋体"/>
        </w:rPr>
        <w:t xml:space="preserve">         中标（成交）采购标的制造商是否为残疾人福利性单位：</w:t>
      </w:r>
      <w:r>
        <w:rPr>
          <w:rFonts w:hint="eastAsia" w:ascii="宋体" w:hAnsi="宋体" w:eastAsia="宋体"/>
          <w:iCs/>
          <w:szCs w:val="21"/>
        </w:rPr>
        <w:sym w:font="Wingdings" w:char="00A8"/>
      </w:r>
      <w:r>
        <w:rPr>
          <w:rFonts w:hint="eastAsia" w:ascii="宋体" w:hAnsi="宋体" w:eastAsia="宋体"/>
          <w:iCs/>
          <w:szCs w:val="21"/>
        </w:rPr>
        <w:t xml:space="preserve">是   </w:t>
      </w:r>
      <w:r>
        <w:rPr>
          <w:rFonts w:hint="eastAsia" w:ascii="宋体" w:hAnsi="宋体" w:eastAsia="宋体"/>
          <w:iCs/>
          <w:szCs w:val="21"/>
        </w:rPr>
        <w:sym w:font="Wingdings" w:char="00A8"/>
      </w:r>
      <w:r>
        <w:rPr>
          <w:rFonts w:hint="eastAsia" w:ascii="宋体" w:hAnsi="宋体" w:eastAsia="宋体"/>
          <w:iCs/>
          <w:szCs w:val="21"/>
        </w:rPr>
        <w:t>否</w:t>
      </w:r>
    </w:p>
    <w:p w14:paraId="513A4195">
      <w:pPr>
        <w:snapToGrid w:val="0"/>
        <w:spacing w:line="400" w:lineRule="exact"/>
        <w:rPr>
          <w:rFonts w:eastAsia="宋体"/>
        </w:rPr>
      </w:pPr>
      <w:r>
        <w:rPr>
          <w:rFonts w:hint="eastAsia" w:eastAsia="宋体"/>
        </w:rPr>
        <w:t xml:space="preserve">         中标（成交）采购标的制造商是否为监狱企业：</w:t>
      </w:r>
      <w:r>
        <w:rPr>
          <w:rFonts w:hint="eastAsia" w:ascii="宋体" w:hAnsi="宋体" w:eastAsia="宋体"/>
          <w:iCs/>
          <w:szCs w:val="21"/>
        </w:rPr>
        <w:sym w:font="Wingdings" w:char="00A8"/>
      </w:r>
      <w:r>
        <w:rPr>
          <w:rFonts w:hint="eastAsia" w:ascii="宋体" w:hAnsi="宋体" w:eastAsia="宋体"/>
          <w:iCs/>
          <w:szCs w:val="21"/>
        </w:rPr>
        <w:t xml:space="preserve">是       </w:t>
      </w:r>
      <w:r>
        <w:rPr>
          <w:rFonts w:hint="eastAsia" w:ascii="宋体" w:hAnsi="宋体" w:eastAsia="宋体"/>
          <w:iCs/>
          <w:szCs w:val="21"/>
        </w:rPr>
        <w:sym w:font="Wingdings" w:char="00A8"/>
      </w:r>
      <w:r>
        <w:rPr>
          <w:rFonts w:hint="eastAsia" w:ascii="宋体" w:hAnsi="宋体" w:eastAsia="宋体"/>
          <w:iCs/>
          <w:szCs w:val="21"/>
        </w:rPr>
        <w:t>否</w:t>
      </w:r>
    </w:p>
    <w:p w14:paraId="494D8F86">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szCs w:val="21"/>
        </w:rPr>
        <w:t>（</w:t>
      </w:r>
      <w:r>
        <w:rPr>
          <w:rFonts w:ascii="宋体" w:hAnsi="宋体" w:eastAsia="宋体"/>
          <w:szCs w:val="21"/>
          <w:lang w:val="en"/>
        </w:rPr>
        <w:t>7</w:t>
      </w:r>
      <w:r>
        <w:rPr>
          <w:rFonts w:hint="eastAsia" w:ascii="宋体" w:hAnsi="宋体" w:eastAsia="宋体"/>
          <w:szCs w:val="21"/>
        </w:rPr>
        <w:t>）合同是否分包：</w:t>
      </w:r>
      <w:r>
        <w:rPr>
          <w:rFonts w:hint="eastAsia" w:ascii="宋体" w:hAnsi="宋体" w:eastAsia="宋体"/>
          <w:iCs/>
          <w:szCs w:val="21"/>
        </w:rPr>
        <w:sym w:font="Wingdings" w:char="00A8"/>
      </w:r>
      <w:r>
        <w:rPr>
          <w:rFonts w:hint="eastAsia" w:ascii="宋体" w:hAnsi="宋体" w:eastAsia="宋体"/>
          <w:iCs/>
          <w:szCs w:val="21"/>
        </w:rPr>
        <w:t xml:space="preserve">是       </w:t>
      </w:r>
      <w:r>
        <w:rPr>
          <w:rFonts w:hint="eastAsia" w:ascii="宋体" w:hAnsi="宋体" w:eastAsia="宋体"/>
          <w:iCs/>
          <w:szCs w:val="21"/>
        </w:rPr>
        <w:sym w:font="Wingdings" w:char="00A8"/>
      </w:r>
      <w:r>
        <w:rPr>
          <w:rFonts w:hint="eastAsia" w:ascii="宋体" w:hAnsi="宋体" w:eastAsia="宋体"/>
          <w:iCs/>
          <w:szCs w:val="21"/>
        </w:rPr>
        <w:t>否</w:t>
      </w:r>
    </w:p>
    <w:p w14:paraId="0674A627">
      <w:pPr>
        <w:adjustRightInd w:val="0"/>
        <w:snapToGrid w:val="0"/>
        <w:spacing w:line="400" w:lineRule="exact"/>
        <w:ind w:firstLine="840" w:firstLineChars="400"/>
        <w:rPr>
          <w:rFonts w:hint="eastAsia" w:ascii="宋体" w:hAnsi="宋体" w:eastAsia="宋体"/>
          <w:szCs w:val="21"/>
          <w:u w:val="single"/>
        </w:rPr>
      </w:pPr>
      <w:r>
        <w:rPr>
          <w:rFonts w:hint="eastAsia" w:ascii="宋体" w:hAnsi="宋体" w:eastAsia="宋体"/>
          <w:szCs w:val="21"/>
        </w:rPr>
        <w:t xml:space="preserve"> 分包主要内容：</w:t>
      </w:r>
      <w:r>
        <w:rPr>
          <w:rFonts w:hint="eastAsia" w:ascii="宋体" w:hAnsi="宋体" w:eastAsia="宋体"/>
          <w:szCs w:val="21"/>
          <w:u w:val="single"/>
        </w:rPr>
        <w:t xml:space="preserve">                                            </w:t>
      </w:r>
    </w:p>
    <w:p w14:paraId="11409BEF">
      <w:pPr>
        <w:adjustRightInd w:val="0"/>
        <w:snapToGrid w:val="0"/>
        <w:spacing w:line="400" w:lineRule="exact"/>
        <w:ind w:firstLine="840" w:firstLineChars="400"/>
        <w:rPr>
          <w:rFonts w:hint="eastAsia" w:ascii="宋体" w:hAnsi="宋体" w:eastAsia="宋体"/>
          <w:szCs w:val="21"/>
        </w:rPr>
      </w:pPr>
      <w:r>
        <w:rPr>
          <w:rFonts w:hint="eastAsia" w:ascii="宋体" w:hAnsi="宋体" w:eastAsia="宋体"/>
          <w:szCs w:val="21"/>
        </w:rPr>
        <w:t xml:space="preserve"> 分包供应商/制造商名称（如供应商和制造商不同，请分别填写）：</w:t>
      </w:r>
    </w:p>
    <w:p w14:paraId="23AB88A5">
      <w:pPr>
        <w:adjustRightInd w:val="0"/>
        <w:snapToGrid w:val="0"/>
        <w:spacing w:line="400" w:lineRule="exact"/>
        <w:ind w:firstLine="840" w:firstLineChars="400"/>
        <w:rPr>
          <w:rFonts w:hint="eastAsia" w:ascii="宋体" w:hAnsi="宋体" w:eastAsia="宋体"/>
          <w:szCs w:val="21"/>
          <w:u w:val="single"/>
        </w:rPr>
      </w:pPr>
      <w:r>
        <w:rPr>
          <w:rFonts w:hint="eastAsia" w:ascii="宋体" w:hAnsi="宋体" w:eastAsia="宋体"/>
          <w:szCs w:val="21"/>
        </w:rPr>
        <w:t xml:space="preserve"> </w:t>
      </w:r>
      <w:r>
        <w:rPr>
          <w:rFonts w:hint="eastAsia" w:ascii="宋体" w:hAnsi="宋体" w:eastAsia="宋体"/>
          <w:szCs w:val="21"/>
          <w:u w:val="single"/>
        </w:rPr>
        <w:t xml:space="preserve">                                                          </w:t>
      </w:r>
    </w:p>
    <w:p w14:paraId="08DD5A3D">
      <w:pPr>
        <w:adjustRightInd w:val="0"/>
        <w:snapToGrid w:val="0"/>
        <w:spacing w:line="400" w:lineRule="exact"/>
        <w:ind w:firstLine="840" w:firstLineChars="400"/>
        <w:rPr>
          <w:rFonts w:hint="eastAsia" w:ascii="宋体" w:hAnsi="宋体" w:eastAsia="宋体"/>
          <w:szCs w:val="21"/>
        </w:rPr>
      </w:pPr>
      <w:r>
        <w:rPr>
          <w:rFonts w:hint="eastAsia" w:ascii="宋体" w:hAnsi="宋体" w:eastAsia="宋体"/>
          <w:szCs w:val="21"/>
        </w:rPr>
        <w:t xml:space="preserve"> 分包供应商/制造商类型（如果供应商和制造商不同，只填写制造商类型）：</w:t>
      </w:r>
    </w:p>
    <w:p w14:paraId="1B9EBC28">
      <w:pPr>
        <w:adjustRightInd w:val="0"/>
        <w:snapToGrid w:val="0"/>
        <w:spacing w:line="400" w:lineRule="exact"/>
        <w:ind w:firstLine="840" w:firstLineChars="400"/>
        <w:rPr>
          <w:rFonts w:hint="eastAsia" w:ascii="宋体" w:hAnsi="宋体" w:eastAsia="宋体"/>
          <w:iCs/>
          <w:szCs w:val="21"/>
        </w:rPr>
      </w:pPr>
      <w:r>
        <w:rPr>
          <w:rFonts w:hint="eastAsia" w:ascii="宋体" w:hAnsi="宋体" w:eastAsia="宋体"/>
          <w:iCs/>
          <w:szCs w:val="21"/>
        </w:rPr>
        <w:t xml:space="preserve"> </w:t>
      </w:r>
      <w:r>
        <w:rPr>
          <w:rFonts w:hint="eastAsia" w:ascii="宋体" w:hAnsi="宋体" w:eastAsia="宋体"/>
          <w:iCs/>
          <w:szCs w:val="21"/>
        </w:rPr>
        <w:sym w:font="Wingdings" w:char="00A8"/>
      </w:r>
      <w:r>
        <w:rPr>
          <w:rFonts w:hint="eastAsia" w:ascii="宋体" w:hAnsi="宋体" w:eastAsia="宋体"/>
          <w:iCs/>
          <w:szCs w:val="21"/>
        </w:rPr>
        <w:t xml:space="preserve">大型企业  </w:t>
      </w:r>
      <w:r>
        <w:rPr>
          <w:rFonts w:hint="eastAsia" w:ascii="宋体" w:hAnsi="宋体" w:eastAsia="宋体"/>
          <w:iCs/>
          <w:szCs w:val="21"/>
        </w:rPr>
        <w:sym w:font="Wingdings" w:char="00A8"/>
      </w:r>
      <w:r>
        <w:rPr>
          <w:rFonts w:hint="eastAsia" w:ascii="宋体" w:hAnsi="宋体" w:eastAsia="宋体"/>
          <w:iCs/>
          <w:szCs w:val="21"/>
        </w:rPr>
        <w:t xml:space="preserve">中型企业  </w:t>
      </w:r>
      <w:r>
        <w:rPr>
          <w:rFonts w:hint="eastAsia" w:ascii="宋体" w:hAnsi="宋体" w:eastAsia="宋体"/>
          <w:iCs/>
          <w:szCs w:val="21"/>
        </w:rPr>
        <w:sym w:font="Wingdings" w:char="00A8"/>
      </w:r>
      <w:r>
        <w:rPr>
          <w:rFonts w:hint="eastAsia" w:ascii="宋体" w:hAnsi="宋体" w:eastAsia="宋体"/>
          <w:iCs/>
          <w:szCs w:val="21"/>
        </w:rPr>
        <w:t xml:space="preserve">小微型企业  </w:t>
      </w:r>
    </w:p>
    <w:p w14:paraId="15BDAB4C">
      <w:pPr>
        <w:adjustRightInd w:val="0"/>
        <w:snapToGrid w:val="0"/>
        <w:spacing w:line="400" w:lineRule="exact"/>
        <w:ind w:firstLine="840" w:firstLineChars="400"/>
        <w:rPr>
          <w:rFonts w:eastAsia="华文楷体"/>
        </w:rPr>
      </w:pPr>
      <w:r>
        <w:rPr>
          <w:rFonts w:hint="eastAsia" w:ascii="宋体" w:hAnsi="宋体" w:eastAsia="宋体"/>
          <w:iCs/>
          <w:szCs w:val="21"/>
        </w:rPr>
        <w:t xml:space="preserve"> </w:t>
      </w:r>
      <w:r>
        <w:rPr>
          <w:rFonts w:hint="eastAsia" w:ascii="宋体" w:hAnsi="宋体" w:eastAsia="宋体"/>
          <w:iCs/>
          <w:szCs w:val="21"/>
        </w:rPr>
        <w:sym w:font="Wingdings" w:char="00A8"/>
      </w:r>
      <w:r>
        <w:rPr>
          <w:rFonts w:hint="eastAsia" w:ascii="宋体" w:hAnsi="宋体" w:eastAsia="宋体"/>
          <w:iCs/>
          <w:szCs w:val="21"/>
        </w:rPr>
        <w:t xml:space="preserve">残疾人福利性单位 </w:t>
      </w:r>
      <w:r>
        <w:rPr>
          <w:rFonts w:hint="eastAsia" w:ascii="宋体" w:hAnsi="宋体" w:eastAsia="宋体"/>
          <w:iCs/>
          <w:szCs w:val="21"/>
        </w:rPr>
        <w:sym w:font="Wingdings" w:char="00A8"/>
      </w:r>
      <w:r>
        <w:rPr>
          <w:rFonts w:hint="eastAsia" w:ascii="宋体" w:hAnsi="宋体" w:eastAsia="宋体"/>
          <w:iCs/>
          <w:szCs w:val="21"/>
        </w:rPr>
        <w:t xml:space="preserve">监狱企业 </w:t>
      </w:r>
      <w:r>
        <w:rPr>
          <w:rFonts w:hint="eastAsia" w:ascii="宋体" w:hAnsi="宋体" w:eastAsia="宋体"/>
          <w:iCs/>
          <w:szCs w:val="21"/>
        </w:rPr>
        <w:sym w:font="Wingdings" w:char="00A8"/>
      </w:r>
      <w:r>
        <w:rPr>
          <w:rFonts w:hint="eastAsia" w:ascii="宋体" w:hAnsi="宋体" w:eastAsia="宋体"/>
          <w:iCs/>
          <w:szCs w:val="21"/>
        </w:rPr>
        <w:t>其他</w:t>
      </w:r>
    </w:p>
    <w:p w14:paraId="1A229A6B">
      <w:pPr>
        <w:numPr>
          <w:ilvl w:val="255"/>
          <w:numId w:val="0"/>
        </w:numPr>
        <w:adjustRightInd w:val="0"/>
        <w:snapToGrid w:val="0"/>
        <w:spacing w:line="400" w:lineRule="exact"/>
        <w:rPr>
          <w:rFonts w:hint="eastAsia" w:ascii="宋体" w:hAnsi="宋体" w:eastAsia="宋体" w:cs="宋体"/>
          <w:iCs/>
          <w:szCs w:val="21"/>
        </w:rPr>
      </w:pPr>
      <w:r>
        <w:rPr>
          <w:rFonts w:hint="eastAsia" w:ascii="宋体" w:hAnsi="宋体" w:eastAsia="宋体"/>
          <w:szCs w:val="21"/>
        </w:rPr>
        <w:t xml:space="preserve">    </w:t>
      </w:r>
      <w:r>
        <w:rPr>
          <w:rFonts w:hint="eastAsia" w:ascii="宋体" w:hAnsi="宋体" w:eastAsia="宋体" w:cs="宋体"/>
          <w:szCs w:val="21"/>
        </w:rPr>
        <w:t>（</w:t>
      </w:r>
      <w:r>
        <w:rPr>
          <w:rFonts w:ascii="宋体" w:hAnsi="宋体" w:eastAsia="宋体" w:cs="宋体"/>
          <w:szCs w:val="21"/>
          <w:lang w:val="en"/>
        </w:rPr>
        <w:t>8</w:t>
      </w:r>
      <w:r>
        <w:rPr>
          <w:rFonts w:hint="eastAsia" w:ascii="宋体" w:hAnsi="宋体" w:eastAsia="宋体" w:cs="宋体"/>
          <w:szCs w:val="21"/>
        </w:rPr>
        <w:t>）中标（成交）供应商是否为外商投资企业：</w:t>
      </w:r>
      <w:r>
        <w:rPr>
          <w:rFonts w:hint="eastAsia" w:ascii="宋体" w:hAnsi="宋体" w:eastAsia="宋体" w:cs="宋体"/>
          <w:iCs/>
          <w:szCs w:val="21"/>
        </w:rPr>
        <w:sym w:font="Wingdings" w:char="00A8"/>
      </w:r>
      <w:r>
        <w:rPr>
          <w:rFonts w:hint="eastAsia" w:ascii="宋体" w:hAnsi="宋体" w:eastAsia="宋体" w:cs="宋体"/>
          <w:iCs/>
          <w:szCs w:val="21"/>
        </w:rPr>
        <w:t xml:space="preserve">是       </w:t>
      </w:r>
      <w:r>
        <w:rPr>
          <w:rFonts w:hint="eastAsia" w:ascii="宋体" w:hAnsi="宋体" w:eastAsia="宋体" w:cs="宋体"/>
          <w:iCs/>
          <w:szCs w:val="21"/>
        </w:rPr>
        <w:sym w:font="Wingdings" w:char="00A8"/>
      </w:r>
      <w:r>
        <w:rPr>
          <w:rFonts w:hint="eastAsia" w:ascii="宋体" w:hAnsi="宋体" w:eastAsia="宋体" w:cs="宋体"/>
          <w:iCs/>
          <w:szCs w:val="21"/>
        </w:rPr>
        <w:t>否</w:t>
      </w:r>
    </w:p>
    <w:p w14:paraId="03827510">
      <w:pPr>
        <w:tabs>
          <w:tab w:val="left" w:pos="1340"/>
        </w:tabs>
        <w:autoSpaceDE w:val="0"/>
        <w:autoSpaceDN w:val="0"/>
        <w:adjustRightInd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 xml:space="preserve">     外商投资企业类型：</w:t>
      </w:r>
      <w:r>
        <w:rPr>
          <w:rFonts w:hint="eastAsia" w:ascii="宋体" w:hAnsi="宋体" w:eastAsia="宋体" w:cs="宋体"/>
          <w:iCs/>
          <w:szCs w:val="21"/>
        </w:rPr>
        <w:sym w:font="Wingdings" w:char="00A8"/>
      </w:r>
      <w:r>
        <w:rPr>
          <w:rFonts w:hint="eastAsia" w:ascii="宋体" w:hAnsi="宋体" w:eastAsia="宋体" w:cs="宋体"/>
          <w:szCs w:val="21"/>
        </w:rPr>
        <w:t xml:space="preserve">全部由外国投资者投资  </w:t>
      </w:r>
      <w:r>
        <w:rPr>
          <w:rFonts w:hint="eastAsia" w:ascii="宋体" w:hAnsi="宋体" w:eastAsia="宋体" w:cs="宋体"/>
          <w:iCs/>
          <w:szCs w:val="21"/>
        </w:rPr>
        <w:sym w:font="Wingdings" w:char="00A8"/>
      </w:r>
      <w:r>
        <w:rPr>
          <w:rFonts w:hint="eastAsia" w:ascii="宋体" w:hAnsi="宋体" w:eastAsia="宋体" w:cs="宋体"/>
          <w:iCs/>
          <w:szCs w:val="21"/>
        </w:rPr>
        <w:t>部分由外国投资者投资</w:t>
      </w:r>
    </w:p>
    <w:p w14:paraId="75D89ECB">
      <w:pPr>
        <w:numPr>
          <w:ilvl w:val="255"/>
          <w:numId w:val="0"/>
        </w:numPr>
        <w:adjustRightInd w:val="0"/>
        <w:snapToGri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w:t>
      </w:r>
      <w:r>
        <w:rPr>
          <w:rFonts w:ascii="宋体" w:hAnsi="宋体" w:eastAsia="宋体" w:cs="宋体"/>
          <w:szCs w:val="21"/>
          <w:lang w:val="en"/>
        </w:rPr>
        <w:t>9</w:t>
      </w:r>
      <w:r>
        <w:rPr>
          <w:rFonts w:hint="eastAsia" w:ascii="宋体" w:hAnsi="宋体" w:eastAsia="宋体" w:cs="宋体"/>
          <w:szCs w:val="21"/>
        </w:rPr>
        <w:t>）是否涉及进口产品：</w:t>
      </w:r>
    </w:p>
    <w:p w14:paraId="322D73A3">
      <w:pPr>
        <w:numPr>
          <w:ilvl w:val="255"/>
          <w:numId w:val="0"/>
        </w:numPr>
        <w:adjustRightInd w:val="0"/>
        <w:snapToGrid w:val="0"/>
        <w:spacing w:line="400" w:lineRule="exact"/>
        <w:ind w:firstLine="840" w:firstLineChars="400"/>
        <w:rPr>
          <w:rFonts w:hint="eastAsia" w:ascii="宋体" w:hAnsi="宋体" w:eastAsia="宋体" w:cs="宋体"/>
          <w:szCs w:val="21"/>
          <w:u w:val="single"/>
        </w:rPr>
      </w:pPr>
      <w:r>
        <w:rPr>
          <w:rFonts w:hint="eastAsia" w:ascii="宋体" w:hAnsi="宋体" w:eastAsia="宋体" w:cs="宋体"/>
          <w:szCs w:val="21"/>
        </w:rPr>
        <w:t xml:space="preserve"> </w:t>
      </w:r>
      <w:r>
        <w:rPr>
          <w:rFonts w:hint="eastAsia" w:ascii="宋体" w:hAnsi="宋体" w:eastAsia="宋体" w:cs="宋体"/>
          <w:szCs w:val="21"/>
        </w:rPr>
        <w:sym w:font="Wingdings" w:char="00A8"/>
      </w:r>
      <w:r>
        <w:rPr>
          <w:rFonts w:hint="eastAsia" w:ascii="宋体" w:hAnsi="宋体" w:eastAsia="宋体" w:cs="宋体"/>
          <w:szCs w:val="21"/>
        </w:rPr>
        <w:t>是，《政府采购品目分类目录》底级品目名称：</w:t>
      </w:r>
      <w:r>
        <w:rPr>
          <w:rFonts w:hint="eastAsia" w:ascii="宋体" w:hAnsi="宋体" w:eastAsia="宋体" w:cs="宋体"/>
          <w:szCs w:val="21"/>
          <w:u w:val="single"/>
        </w:rPr>
        <w:t xml:space="preserve">         </w:t>
      </w:r>
      <w:r>
        <w:rPr>
          <w:rFonts w:hint="eastAsia" w:ascii="宋体" w:hAnsi="宋体" w:eastAsia="宋体" w:cs="宋体"/>
          <w:szCs w:val="21"/>
        </w:rPr>
        <w:t xml:space="preserve"> 金额：</w:t>
      </w:r>
      <w:r>
        <w:rPr>
          <w:rFonts w:hint="eastAsia" w:ascii="宋体" w:hAnsi="宋体" w:eastAsia="宋体" w:cs="宋体"/>
          <w:szCs w:val="21"/>
          <w:u w:val="single"/>
        </w:rPr>
        <w:t xml:space="preserve">        </w:t>
      </w:r>
    </w:p>
    <w:p w14:paraId="21AFAC4A">
      <w:pPr>
        <w:numPr>
          <w:ilvl w:val="255"/>
          <w:numId w:val="0"/>
        </w:numPr>
        <w:adjustRightInd w:val="0"/>
        <w:snapToGrid w:val="0"/>
        <w:spacing w:line="400" w:lineRule="exact"/>
        <w:ind w:firstLine="840" w:firstLineChars="400"/>
        <w:rPr>
          <w:rFonts w:hint="eastAsia" w:ascii="宋体" w:hAnsi="宋体" w:eastAsia="宋体"/>
          <w:szCs w:val="21"/>
        </w:rPr>
      </w:pPr>
      <w:r>
        <w:rPr>
          <w:rFonts w:hint="eastAsia" w:ascii="宋体" w:hAnsi="宋体" w:eastAsia="宋体" w:cs="宋体"/>
          <w:szCs w:val="21"/>
        </w:rPr>
        <w:t xml:space="preserve">        国别：</w:t>
      </w:r>
      <w:r>
        <w:rPr>
          <w:rFonts w:hint="eastAsia" w:ascii="宋体" w:hAnsi="宋体" w:eastAsia="宋体" w:cs="宋体"/>
          <w:szCs w:val="21"/>
          <w:u w:val="single"/>
        </w:rPr>
        <w:t xml:space="preserve">        </w:t>
      </w:r>
      <w:r>
        <w:rPr>
          <w:rFonts w:hint="eastAsia" w:ascii="宋体" w:hAnsi="宋体" w:eastAsia="宋体" w:cs="宋体"/>
          <w:szCs w:val="21"/>
        </w:rPr>
        <w:t xml:space="preserve"> 品牌：</w:t>
      </w:r>
      <w:r>
        <w:rPr>
          <w:rFonts w:hint="eastAsia" w:ascii="宋体" w:hAnsi="宋体" w:eastAsia="宋体" w:cs="宋体"/>
          <w:szCs w:val="21"/>
          <w:u w:val="single"/>
        </w:rPr>
        <w:t xml:space="preserve">        </w:t>
      </w:r>
      <w:r>
        <w:rPr>
          <w:rFonts w:hint="eastAsia" w:ascii="宋体" w:hAnsi="宋体" w:eastAsia="宋体" w:cs="宋体"/>
          <w:szCs w:val="21"/>
        </w:rPr>
        <w:t xml:space="preserve"> 规格型号：</w:t>
      </w:r>
      <w:r>
        <w:rPr>
          <w:rFonts w:hint="eastAsia" w:ascii="宋体" w:hAnsi="宋体" w:eastAsia="宋体" w:cs="宋体"/>
          <w:szCs w:val="21"/>
          <w:u w:val="single"/>
        </w:rPr>
        <w:t xml:space="preserve">        </w:t>
      </w:r>
      <w:r>
        <w:rPr>
          <w:rFonts w:hint="eastAsia" w:ascii="宋体" w:hAnsi="宋体" w:eastAsia="宋体"/>
          <w:szCs w:val="21"/>
        </w:rPr>
        <w:t xml:space="preserve">      </w:t>
      </w:r>
    </w:p>
    <w:p w14:paraId="46239B1B">
      <w:pPr>
        <w:adjustRightInd w:val="0"/>
        <w:snapToGrid w:val="0"/>
        <w:spacing w:line="400" w:lineRule="exact"/>
        <w:ind w:firstLine="840" w:firstLineChars="400"/>
        <w:rPr>
          <w:rFonts w:hint="eastAsia" w:ascii="宋体" w:hAnsi="宋体" w:eastAsia="宋体"/>
          <w:szCs w:val="21"/>
        </w:rPr>
      </w:pPr>
      <w:r>
        <w:rPr>
          <w:rFonts w:hint="eastAsia" w:ascii="宋体" w:hAnsi="宋体" w:eastAsia="宋体"/>
          <w:szCs w:val="21"/>
        </w:rPr>
        <w:t xml:space="preserve"> </w:t>
      </w:r>
      <w:r>
        <w:rPr>
          <w:rFonts w:hint="eastAsia" w:ascii="宋体" w:hAnsi="宋体" w:eastAsia="宋体"/>
          <w:szCs w:val="21"/>
        </w:rPr>
        <w:sym w:font="Wingdings" w:char="00A8"/>
      </w:r>
      <w:r>
        <w:rPr>
          <w:rFonts w:hint="eastAsia" w:ascii="宋体" w:hAnsi="宋体" w:eastAsia="宋体"/>
          <w:szCs w:val="21"/>
        </w:rPr>
        <w:t>否</w:t>
      </w:r>
    </w:p>
    <w:p w14:paraId="43DF6B1B">
      <w:pPr>
        <w:numPr>
          <w:ilvl w:val="255"/>
          <w:numId w:val="0"/>
        </w:numPr>
        <w:tabs>
          <w:tab w:val="left" w:pos="740"/>
        </w:tabs>
        <w:adjustRightInd w:val="0"/>
        <w:snapToGrid w:val="0"/>
        <w:spacing w:line="400" w:lineRule="exact"/>
        <w:rPr>
          <w:rFonts w:hint="eastAsia" w:ascii="宋体" w:hAnsi="宋体" w:eastAsia="宋体"/>
          <w:szCs w:val="21"/>
        </w:rPr>
      </w:pPr>
      <w:r>
        <w:rPr>
          <w:rFonts w:hint="eastAsia" w:ascii="宋体" w:hAnsi="宋体" w:eastAsia="宋体"/>
          <w:szCs w:val="21"/>
        </w:rPr>
        <w:t xml:space="preserve">    （1</w:t>
      </w:r>
      <w:r>
        <w:rPr>
          <w:rFonts w:ascii="宋体" w:hAnsi="宋体" w:eastAsia="宋体"/>
          <w:szCs w:val="21"/>
          <w:lang w:val="en"/>
        </w:rPr>
        <w:t>0</w:t>
      </w:r>
      <w:r>
        <w:rPr>
          <w:rFonts w:hint="eastAsia" w:ascii="宋体" w:hAnsi="宋体" w:eastAsia="宋体"/>
          <w:szCs w:val="21"/>
        </w:rPr>
        <w:t>）是否涉及节能产品：</w:t>
      </w:r>
    </w:p>
    <w:p w14:paraId="1F491E6A">
      <w:pPr>
        <w:numPr>
          <w:ilvl w:val="255"/>
          <w:numId w:val="0"/>
        </w:numPr>
        <w:tabs>
          <w:tab w:val="left" w:pos="740"/>
        </w:tabs>
        <w:adjustRightInd w:val="0"/>
        <w:snapToGrid w:val="0"/>
        <w:spacing w:line="400" w:lineRule="exact"/>
        <w:rPr>
          <w:rFonts w:hint="eastAsia" w:ascii="宋体" w:hAnsi="宋体" w:eastAsia="宋体"/>
          <w:iCs/>
          <w:szCs w:val="21"/>
        </w:rPr>
      </w:pPr>
      <w:r>
        <w:rPr>
          <w:rFonts w:hint="eastAsia" w:ascii="宋体" w:hAnsi="宋体" w:eastAsia="宋体"/>
          <w:szCs w:val="21"/>
        </w:rPr>
        <w:t xml:space="preserve">         </w:t>
      </w:r>
      <w:r>
        <w:rPr>
          <w:rFonts w:hint="eastAsia" w:ascii="宋体" w:hAnsi="宋体" w:eastAsia="宋体"/>
          <w:szCs w:val="21"/>
        </w:rPr>
        <w:sym w:font="Wingdings" w:char="00A8"/>
      </w:r>
      <w:r>
        <w:rPr>
          <w:rFonts w:hint="eastAsia" w:ascii="宋体" w:hAnsi="宋体" w:eastAsia="宋体"/>
          <w:szCs w:val="21"/>
        </w:rPr>
        <w:t>是，《节能产品政府采购品目清单》的底级品目名称：</w:t>
      </w:r>
      <w:r>
        <w:rPr>
          <w:rFonts w:hint="eastAsia" w:ascii="宋体" w:hAnsi="宋体" w:eastAsia="宋体"/>
          <w:szCs w:val="21"/>
          <w:u w:val="single"/>
        </w:rPr>
        <w:t xml:space="preserve">         </w:t>
      </w:r>
      <w:r>
        <w:rPr>
          <w:rFonts w:hint="eastAsia" w:ascii="宋体" w:hAnsi="宋体" w:eastAsia="宋体"/>
          <w:iCs/>
          <w:szCs w:val="21"/>
        </w:rPr>
        <w:t xml:space="preserve">     </w:t>
      </w:r>
    </w:p>
    <w:p w14:paraId="0E80D1BB">
      <w:pPr>
        <w:numPr>
          <w:ilvl w:val="255"/>
          <w:numId w:val="0"/>
        </w:numPr>
        <w:tabs>
          <w:tab w:val="left" w:pos="740"/>
        </w:tabs>
        <w:adjustRightInd w:val="0"/>
        <w:snapToGrid w:val="0"/>
        <w:spacing w:line="400" w:lineRule="exact"/>
        <w:rPr>
          <w:rFonts w:hint="eastAsia" w:ascii="宋体" w:hAnsi="宋体" w:eastAsia="宋体"/>
          <w:iCs/>
          <w:szCs w:val="21"/>
        </w:rPr>
      </w:pPr>
      <w:r>
        <w:rPr>
          <w:rFonts w:hint="eastAsia" w:ascii="宋体" w:hAnsi="宋体" w:eastAsia="宋体"/>
          <w:iCs/>
          <w:szCs w:val="21"/>
        </w:rPr>
        <w:t xml:space="preserve">                </w:t>
      </w:r>
      <w:r>
        <w:rPr>
          <w:rFonts w:hint="eastAsia" w:ascii="宋体" w:hAnsi="宋体" w:eastAsia="宋体"/>
          <w:iCs/>
          <w:szCs w:val="21"/>
        </w:rPr>
        <w:sym w:font="Wingdings" w:char="00A8"/>
      </w:r>
      <w:r>
        <w:rPr>
          <w:rFonts w:hint="eastAsia" w:ascii="宋体" w:hAnsi="宋体" w:eastAsia="宋体"/>
          <w:iCs/>
          <w:szCs w:val="21"/>
        </w:rPr>
        <w:t xml:space="preserve">强制采购       </w:t>
      </w:r>
      <w:r>
        <w:rPr>
          <w:rFonts w:hint="eastAsia" w:ascii="宋体" w:hAnsi="宋体" w:eastAsia="宋体"/>
          <w:iCs/>
          <w:szCs w:val="21"/>
        </w:rPr>
        <w:sym w:font="Wingdings" w:char="00A8"/>
      </w:r>
      <w:r>
        <w:rPr>
          <w:rFonts w:hint="eastAsia" w:ascii="宋体" w:hAnsi="宋体" w:eastAsia="宋体"/>
          <w:iCs/>
          <w:szCs w:val="21"/>
        </w:rPr>
        <w:t xml:space="preserve">优先采购    </w:t>
      </w:r>
    </w:p>
    <w:p w14:paraId="72F100C6">
      <w:pPr>
        <w:numPr>
          <w:ilvl w:val="255"/>
          <w:numId w:val="0"/>
        </w:numPr>
        <w:tabs>
          <w:tab w:val="left" w:pos="740"/>
        </w:tabs>
        <w:adjustRightInd w:val="0"/>
        <w:snapToGrid w:val="0"/>
        <w:spacing w:line="400" w:lineRule="exact"/>
        <w:rPr>
          <w:rFonts w:hint="eastAsia" w:ascii="宋体" w:hAnsi="宋体" w:eastAsia="宋体"/>
          <w:szCs w:val="21"/>
        </w:rPr>
      </w:pPr>
      <w:r>
        <w:rPr>
          <w:rFonts w:hint="eastAsia" w:ascii="宋体" w:hAnsi="宋体" w:eastAsia="宋体"/>
          <w:iCs/>
          <w:szCs w:val="21"/>
        </w:rPr>
        <w:t xml:space="preserve">         </w:t>
      </w:r>
      <w:r>
        <w:rPr>
          <w:rFonts w:hint="eastAsia" w:ascii="宋体" w:hAnsi="宋体" w:eastAsia="宋体"/>
          <w:szCs w:val="21"/>
        </w:rPr>
        <w:sym w:font="Wingdings" w:char="00A8"/>
      </w:r>
      <w:r>
        <w:rPr>
          <w:rFonts w:hint="eastAsia" w:ascii="宋体" w:hAnsi="宋体" w:eastAsia="宋体"/>
          <w:szCs w:val="21"/>
        </w:rPr>
        <w:t>否</w:t>
      </w:r>
    </w:p>
    <w:p w14:paraId="10D5E862">
      <w:pPr>
        <w:numPr>
          <w:ilvl w:val="255"/>
          <w:numId w:val="0"/>
        </w:numPr>
        <w:tabs>
          <w:tab w:val="left" w:pos="740"/>
        </w:tabs>
        <w:adjustRightInd w:val="0"/>
        <w:snapToGrid w:val="0"/>
        <w:spacing w:line="400" w:lineRule="exact"/>
        <w:rPr>
          <w:rFonts w:hint="eastAsia" w:ascii="宋体" w:hAnsi="宋体" w:eastAsia="宋体"/>
          <w:szCs w:val="21"/>
        </w:rPr>
      </w:pPr>
      <w:r>
        <w:rPr>
          <w:rFonts w:hint="eastAsia" w:ascii="宋体" w:hAnsi="宋体" w:eastAsia="宋体"/>
          <w:szCs w:val="21"/>
        </w:rPr>
        <w:t xml:space="preserve">          是否涉及环境标志产品：</w:t>
      </w:r>
    </w:p>
    <w:p w14:paraId="18748101">
      <w:pPr>
        <w:numPr>
          <w:ilvl w:val="255"/>
          <w:numId w:val="0"/>
        </w:numPr>
        <w:tabs>
          <w:tab w:val="left" w:pos="740"/>
        </w:tabs>
        <w:adjustRightInd w:val="0"/>
        <w:snapToGrid w:val="0"/>
        <w:spacing w:line="400" w:lineRule="exact"/>
        <w:rPr>
          <w:rFonts w:hint="eastAsia" w:ascii="宋体" w:hAnsi="宋体" w:eastAsia="宋体"/>
          <w:szCs w:val="21"/>
        </w:rPr>
      </w:pPr>
      <w:r>
        <w:rPr>
          <w:rFonts w:hint="eastAsia" w:ascii="宋体" w:hAnsi="宋体" w:eastAsia="宋体"/>
          <w:szCs w:val="21"/>
        </w:rPr>
        <w:t xml:space="preserve">         </w:t>
      </w:r>
      <w:r>
        <w:rPr>
          <w:rFonts w:hint="eastAsia" w:ascii="宋体" w:hAnsi="宋体" w:eastAsia="宋体"/>
          <w:szCs w:val="21"/>
        </w:rPr>
        <w:sym w:font="Wingdings" w:char="00A8"/>
      </w:r>
      <w:r>
        <w:rPr>
          <w:rFonts w:hint="eastAsia" w:ascii="宋体" w:hAnsi="宋体" w:eastAsia="宋体"/>
          <w:szCs w:val="21"/>
        </w:rPr>
        <w:t>是，《环境标志产品政府采购品目清单》的底级品目名称：</w:t>
      </w:r>
      <w:r>
        <w:rPr>
          <w:rFonts w:hint="eastAsia" w:ascii="宋体" w:hAnsi="宋体" w:eastAsia="宋体"/>
          <w:szCs w:val="21"/>
          <w:u w:val="single"/>
        </w:rPr>
        <w:t xml:space="preserve">         </w:t>
      </w:r>
      <w:r>
        <w:rPr>
          <w:rFonts w:hint="eastAsia" w:ascii="宋体" w:hAnsi="宋体" w:eastAsia="宋体"/>
          <w:iCs/>
          <w:szCs w:val="21"/>
        </w:rPr>
        <w:t xml:space="preserve"> </w:t>
      </w:r>
    </w:p>
    <w:p w14:paraId="742C94AA">
      <w:pPr>
        <w:numPr>
          <w:ilvl w:val="255"/>
          <w:numId w:val="0"/>
        </w:numPr>
        <w:tabs>
          <w:tab w:val="left" w:pos="740"/>
        </w:tabs>
        <w:adjustRightInd w:val="0"/>
        <w:snapToGrid w:val="0"/>
        <w:spacing w:line="400" w:lineRule="exact"/>
        <w:rPr>
          <w:rFonts w:hint="eastAsia" w:ascii="宋体" w:hAnsi="宋体" w:eastAsia="宋体"/>
          <w:iCs/>
          <w:szCs w:val="21"/>
        </w:rPr>
      </w:pPr>
      <w:r>
        <w:rPr>
          <w:rFonts w:hint="eastAsia" w:ascii="宋体" w:hAnsi="宋体" w:eastAsia="宋体"/>
          <w:iCs/>
          <w:szCs w:val="21"/>
        </w:rPr>
        <w:t xml:space="preserve">                </w:t>
      </w:r>
      <w:r>
        <w:rPr>
          <w:rFonts w:hint="eastAsia" w:ascii="宋体" w:hAnsi="宋体" w:eastAsia="宋体"/>
          <w:iCs/>
          <w:szCs w:val="21"/>
        </w:rPr>
        <w:sym w:font="Wingdings" w:char="00A8"/>
      </w:r>
      <w:r>
        <w:rPr>
          <w:rFonts w:hint="eastAsia" w:ascii="宋体" w:hAnsi="宋体" w:eastAsia="宋体"/>
          <w:iCs/>
          <w:szCs w:val="21"/>
        </w:rPr>
        <w:t xml:space="preserve">强制采购       </w:t>
      </w:r>
      <w:r>
        <w:rPr>
          <w:rFonts w:hint="eastAsia" w:ascii="宋体" w:hAnsi="宋体" w:eastAsia="宋体"/>
          <w:iCs/>
          <w:szCs w:val="21"/>
        </w:rPr>
        <w:sym w:font="Wingdings" w:char="00A8"/>
      </w:r>
      <w:r>
        <w:rPr>
          <w:rFonts w:hint="eastAsia" w:ascii="宋体" w:hAnsi="宋体" w:eastAsia="宋体"/>
          <w:iCs/>
          <w:szCs w:val="21"/>
        </w:rPr>
        <w:t xml:space="preserve">优先采购    </w:t>
      </w:r>
    </w:p>
    <w:p w14:paraId="4E60DEBB">
      <w:pPr>
        <w:numPr>
          <w:ilvl w:val="255"/>
          <w:numId w:val="0"/>
        </w:numPr>
        <w:tabs>
          <w:tab w:val="left" w:pos="740"/>
        </w:tabs>
        <w:adjustRightInd w:val="0"/>
        <w:snapToGrid w:val="0"/>
        <w:spacing w:line="400" w:lineRule="exact"/>
        <w:rPr>
          <w:rFonts w:hint="eastAsia" w:ascii="宋体" w:hAnsi="宋体" w:eastAsia="宋体"/>
          <w:szCs w:val="21"/>
        </w:rPr>
      </w:pPr>
      <w:r>
        <w:rPr>
          <w:rFonts w:hint="eastAsia" w:ascii="宋体" w:hAnsi="宋体" w:eastAsia="宋体"/>
          <w:iCs/>
          <w:szCs w:val="21"/>
        </w:rPr>
        <w:t xml:space="preserve">         </w:t>
      </w:r>
      <w:r>
        <w:rPr>
          <w:rFonts w:hint="eastAsia" w:ascii="宋体" w:hAnsi="宋体" w:eastAsia="宋体"/>
          <w:szCs w:val="21"/>
        </w:rPr>
        <w:sym w:font="Wingdings" w:char="00A8"/>
      </w:r>
      <w:r>
        <w:rPr>
          <w:rFonts w:hint="eastAsia" w:ascii="宋体" w:hAnsi="宋体" w:eastAsia="宋体"/>
          <w:szCs w:val="21"/>
        </w:rPr>
        <w:t>否</w:t>
      </w:r>
    </w:p>
    <w:p w14:paraId="0942C867">
      <w:pPr>
        <w:numPr>
          <w:ilvl w:val="255"/>
          <w:numId w:val="0"/>
        </w:numPr>
        <w:autoSpaceDE w:val="0"/>
        <w:autoSpaceDN w:val="0"/>
        <w:adjustRightInd w:val="0"/>
        <w:snapToGrid w:val="0"/>
        <w:spacing w:line="400" w:lineRule="exact"/>
        <w:rPr>
          <w:rFonts w:hint="eastAsia" w:ascii="宋体" w:hAnsi="宋体" w:eastAsia="宋体" w:cs="Times New Roman"/>
          <w:szCs w:val="21"/>
        </w:rPr>
      </w:pPr>
      <w:r>
        <w:rPr>
          <w:rFonts w:hint="eastAsia" w:ascii="宋体" w:hAnsi="宋体" w:eastAsia="华文楷体" w:cs="华文楷体"/>
          <w:szCs w:val="21"/>
        </w:rPr>
        <w:t xml:space="preserve">          </w:t>
      </w:r>
      <w:r>
        <w:rPr>
          <w:rFonts w:hint="eastAsia" w:ascii="宋体" w:hAnsi="宋体" w:eastAsia="宋体" w:cs="Times New Roman"/>
          <w:szCs w:val="21"/>
        </w:rPr>
        <w:t xml:space="preserve">是否涉及绿色产品： </w:t>
      </w:r>
    </w:p>
    <w:p w14:paraId="0BBC699B">
      <w:pPr>
        <w:autoSpaceDE w:val="0"/>
        <w:autoSpaceDN w:val="0"/>
        <w:adjustRightInd w:val="0"/>
        <w:spacing w:line="400" w:lineRule="exact"/>
        <w:ind w:firstLine="420"/>
        <w:rPr>
          <w:rFonts w:hint="eastAsia" w:ascii="宋体" w:hAnsi="宋体" w:eastAsia="宋体" w:cs="华文楷体"/>
          <w:sz w:val="22"/>
          <w:szCs w:val="21"/>
          <w:u w:val="single"/>
        </w:rPr>
      </w:pPr>
      <w:r>
        <w:rPr>
          <w:rFonts w:hint="eastAsia" w:ascii="宋体" w:hAnsi="宋体" w:eastAsia="宋体" w:cs="Times New Roman"/>
          <w:szCs w:val="21"/>
        </w:rPr>
        <w:t xml:space="preserve">     </w:t>
      </w:r>
      <w:r>
        <w:rPr>
          <w:rFonts w:hint="eastAsia" w:ascii="宋体" w:hAnsi="宋体" w:eastAsia="宋体" w:cs="Times New Roman"/>
          <w:szCs w:val="21"/>
        </w:rPr>
        <w:sym w:font="Wingdings" w:char="00A8"/>
      </w:r>
      <w:r>
        <w:rPr>
          <w:rFonts w:hint="eastAsia" w:ascii="宋体" w:hAnsi="宋体" w:eastAsia="宋体" w:cs="Times New Roman"/>
          <w:szCs w:val="21"/>
        </w:rPr>
        <w:t>是，绿色产品政府采购相关政策确定的底级品目名称：</w:t>
      </w:r>
      <w:r>
        <w:rPr>
          <w:rFonts w:hint="eastAsia" w:ascii="宋体" w:hAnsi="宋体" w:eastAsia="宋体" w:cs="华文楷体"/>
          <w:sz w:val="22"/>
          <w:szCs w:val="21"/>
          <w:u w:val="single"/>
        </w:rPr>
        <w:t xml:space="preserve">         </w:t>
      </w:r>
    </w:p>
    <w:p w14:paraId="44113B32">
      <w:pPr>
        <w:numPr>
          <w:ilvl w:val="255"/>
          <w:numId w:val="0"/>
        </w:numPr>
        <w:tabs>
          <w:tab w:val="left" w:pos="740"/>
        </w:tabs>
        <w:adjustRightInd w:val="0"/>
        <w:snapToGrid w:val="0"/>
        <w:spacing w:line="400" w:lineRule="exact"/>
        <w:rPr>
          <w:rFonts w:hint="eastAsia" w:ascii="宋体" w:hAnsi="宋体" w:eastAsia="宋体"/>
          <w:iCs/>
          <w:szCs w:val="21"/>
        </w:rPr>
      </w:pPr>
      <w:r>
        <w:rPr>
          <w:rFonts w:hint="eastAsia" w:ascii="宋体" w:hAnsi="宋体" w:eastAsia="宋体"/>
          <w:iCs/>
          <w:szCs w:val="21"/>
        </w:rPr>
        <w:t xml:space="preserve">                </w:t>
      </w:r>
      <w:r>
        <w:rPr>
          <w:rFonts w:hint="eastAsia" w:ascii="宋体" w:hAnsi="宋体" w:eastAsia="宋体"/>
          <w:iCs/>
          <w:szCs w:val="21"/>
        </w:rPr>
        <w:sym w:font="Wingdings" w:char="00A8"/>
      </w:r>
      <w:r>
        <w:rPr>
          <w:rFonts w:hint="eastAsia" w:ascii="宋体" w:hAnsi="宋体" w:eastAsia="宋体"/>
          <w:iCs/>
          <w:szCs w:val="21"/>
        </w:rPr>
        <w:t xml:space="preserve">强制采购       </w:t>
      </w:r>
      <w:r>
        <w:rPr>
          <w:rFonts w:hint="eastAsia" w:ascii="宋体" w:hAnsi="宋体" w:eastAsia="宋体"/>
          <w:iCs/>
          <w:szCs w:val="21"/>
        </w:rPr>
        <w:sym w:font="Wingdings" w:char="00A8"/>
      </w:r>
      <w:r>
        <w:rPr>
          <w:rFonts w:hint="eastAsia" w:ascii="宋体" w:hAnsi="宋体" w:eastAsia="宋体"/>
          <w:iCs/>
          <w:szCs w:val="21"/>
        </w:rPr>
        <w:t xml:space="preserve">优先采购    </w:t>
      </w:r>
    </w:p>
    <w:p w14:paraId="433B07B2">
      <w:pPr>
        <w:autoSpaceDE w:val="0"/>
        <w:autoSpaceDN w:val="0"/>
        <w:adjustRightInd w:val="0"/>
        <w:spacing w:line="400" w:lineRule="exact"/>
        <w:ind w:firstLine="420"/>
        <w:rPr>
          <w:rFonts w:hint="eastAsia" w:ascii="宋体" w:hAnsi="宋体" w:eastAsia="华文楷体" w:cs="华文楷体"/>
          <w:szCs w:val="21"/>
        </w:rPr>
      </w:pPr>
      <w:r>
        <w:rPr>
          <w:rFonts w:hint="eastAsia" w:ascii="宋体" w:hAnsi="宋体" w:eastAsia="宋体" w:cs="Times New Roman"/>
          <w:szCs w:val="21"/>
        </w:rPr>
        <w:t xml:space="preserve">     </w:t>
      </w:r>
      <w:r>
        <w:rPr>
          <w:rFonts w:hint="eastAsia" w:ascii="宋体" w:hAnsi="宋体" w:eastAsia="宋体" w:cs="Times New Roman"/>
          <w:szCs w:val="21"/>
        </w:rPr>
        <w:sym w:font="Wingdings" w:char="00A8"/>
      </w:r>
      <w:r>
        <w:rPr>
          <w:rFonts w:hint="eastAsia" w:ascii="宋体" w:hAnsi="宋体" w:eastAsia="宋体" w:cs="Times New Roman"/>
          <w:szCs w:val="21"/>
        </w:rPr>
        <w:t>否</w:t>
      </w:r>
    </w:p>
    <w:p w14:paraId="4C432617">
      <w:pPr>
        <w:numPr>
          <w:ilvl w:val="255"/>
          <w:numId w:val="0"/>
        </w:numPr>
        <w:adjustRightInd w:val="0"/>
        <w:snapToGrid w:val="0"/>
        <w:spacing w:line="400" w:lineRule="exact"/>
        <w:rPr>
          <w:rFonts w:hint="eastAsia" w:ascii="宋体" w:hAnsi="宋体" w:eastAsia="宋体"/>
          <w:szCs w:val="21"/>
        </w:rPr>
      </w:pPr>
      <w:r>
        <w:rPr>
          <w:rFonts w:hint="eastAsia" w:ascii="宋体" w:hAnsi="宋体" w:eastAsia="宋体"/>
          <w:szCs w:val="21"/>
        </w:rPr>
        <w:t xml:space="preserve">    （1</w:t>
      </w:r>
      <w:r>
        <w:rPr>
          <w:rFonts w:ascii="宋体" w:hAnsi="宋体" w:eastAsia="宋体"/>
          <w:szCs w:val="21"/>
          <w:lang w:val="en"/>
        </w:rPr>
        <w:t>1</w:t>
      </w:r>
      <w:r>
        <w:rPr>
          <w:rFonts w:hint="eastAsia" w:ascii="宋体" w:hAnsi="宋体" w:eastAsia="宋体"/>
          <w:szCs w:val="21"/>
        </w:rPr>
        <w:t>）涉及商品包装和快递包装的，是否参考《商品包装政府采购需求标准（试行）》、《快递包装政府采购需求标准（试行）》明确产品及相关快递服务的具体包装要求：</w:t>
      </w:r>
    </w:p>
    <w:p w14:paraId="15963654">
      <w:pPr>
        <w:numPr>
          <w:ilvl w:val="255"/>
          <w:numId w:val="0"/>
        </w:numPr>
        <w:adjustRightInd w:val="0"/>
        <w:snapToGrid w:val="0"/>
        <w:spacing w:line="400" w:lineRule="exact"/>
        <w:ind w:firstLine="840" w:firstLineChars="400"/>
        <w:rPr>
          <w:rFonts w:hint="eastAsia" w:ascii="宋体" w:hAnsi="宋体" w:eastAsia="宋体"/>
          <w:szCs w:val="21"/>
        </w:rPr>
      </w:pPr>
      <w:r>
        <w:rPr>
          <w:rFonts w:hint="eastAsia" w:ascii="宋体" w:hAnsi="宋体" w:eastAsia="宋体"/>
          <w:szCs w:val="21"/>
        </w:rPr>
        <w:sym w:font="Wingdings" w:char="00A8"/>
      </w:r>
      <w:r>
        <w:rPr>
          <w:rFonts w:hint="eastAsia" w:ascii="宋体" w:hAnsi="宋体" w:eastAsia="宋体"/>
          <w:szCs w:val="21"/>
        </w:rPr>
        <w:t xml:space="preserve">是       </w:t>
      </w:r>
      <w:r>
        <w:rPr>
          <w:rFonts w:hint="eastAsia" w:ascii="宋体" w:hAnsi="宋体" w:eastAsia="宋体"/>
          <w:szCs w:val="21"/>
        </w:rPr>
        <w:sym w:font="Wingdings" w:char="00A8"/>
      </w:r>
      <w:r>
        <w:rPr>
          <w:rFonts w:hint="eastAsia" w:ascii="宋体" w:hAnsi="宋体" w:eastAsia="宋体"/>
          <w:szCs w:val="21"/>
        </w:rPr>
        <w:t xml:space="preserve">否      </w:t>
      </w:r>
      <w:r>
        <w:rPr>
          <w:rFonts w:hint="eastAsia" w:ascii="宋体" w:hAnsi="宋体" w:eastAsia="宋体"/>
          <w:szCs w:val="21"/>
        </w:rPr>
        <w:sym w:font="Wingdings" w:char="00A8"/>
      </w:r>
      <w:r>
        <w:rPr>
          <w:rFonts w:hint="eastAsia" w:ascii="宋体" w:hAnsi="宋体" w:eastAsia="宋体"/>
          <w:szCs w:val="21"/>
        </w:rPr>
        <w:t>不涉及</w:t>
      </w:r>
    </w:p>
    <w:p w14:paraId="1F940193">
      <w:pPr>
        <w:numPr>
          <w:ilvl w:val="0"/>
          <w:numId w:val="7"/>
        </w:numPr>
        <w:adjustRightInd w:val="0"/>
        <w:snapToGrid w:val="0"/>
        <w:spacing w:line="400" w:lineRule="exact"/>
        <w:ind w:firstLine="422" w:firstLineChars="200"/>
        <w:rPr>
          <w:rFonts w:hint="eastAsia" w:ascii="宋体" w:hAnsi="宋体" w:eastAsia="宋体"/>
          <w:b/>
          <w:szCs w:val="21"/>
        </w:rPr>
      </w:pPr>
      <w:r>
        <w:rPr>
          <w:rFonts w:hint="eastAsia" w:ascii="宋体" w:hAnsi="宋体" w:eastAsia="宋体"/>
          <w:b/>
          <w:szCs w:val="21"/>
        </w:rPr>
        <w:t>合同金额</w:t>
      </w:r>
    </w:p>
    <w:p w14:paraId="58AFA489">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szCs w:val="21"/>
        </w:rPr>
        <w:t>（1）合同金额小写：</w:t>
      </w:r>
      <w:r>
        <w:rPr>
          <w:rFonts w:hint="eastAsia" w:ascii="宋体" w:hAnsi="宋体" w:eastAsia="宋体"/>
          <w:szCs w:val="21"/>
          <w:u w:val="single"/>
        </w:rPr>
        <w:t xml:space="preserve">                           </w:t>
      </w:r>
    </w:p>
    <w:p w14:paraId="7D2AF89B">
      <w:pPr>
        <w:adjustRightInd w:val="0"/>
        <w:snapToGrid w:val="0"/>
        <w:spacing w:line="400" w:lineRule="exact"/>
        <w:rPr>
          <w:rFonts w:hint="eastAsia" w:ascii="宋体" w:hAnsi="宋体" w:eastAsia="宋体"/>
          <w:szCs w:val="21"/>
          <w:u w:val="single"/>
        </w:rPr>
      </w:pPr>
      <w:r>
        <w:rPr>
          <w:rFonts w:hint="eastAsia" w:ascii="宋体" w:hAnsi="宋体" w:eastAsia="宋体"/>
          <w:szCs w:val="21"/>
        </w:rPr>
        <w:t xml:space="preserve">                 大写：</w:t>
      </w:r>
      <w:r>
        <w:rPr>
          <w:rFonts w:hint="eastAsia" w:ascii="宋体" w:hAnsi="宋体" w:eastAsia="宋体"/>
          <w:szCs w:val="21"/>
          <w:u w:val="single"/>
        </w:rPr>
        <w:t xml:space="preserve">                           </w:t>
      </w:r>
    </w:p>
    <w:p w14:paraId="4F92D609">
      <w:pPr>
        <w:adjustRightInd w:val="0"/>
        <w:snapToGrid w:val="0"/>
        <w:spacing w:line="400" w:lineRule="exact"/>
        <w:rPr>
          <w:rFonts w:hint="eastAsia" w:ascii="宋体" w:hAnsi="宋体" w:eastAsia="宋体"/>
          <w:szCs w:val="21"/>
        </w:rPr>
      </w:pPr>
      <w:r>
        <w:rPr>
          <w:rFonts w:hint="eastAsia" w:ascii="宋体" w:hAnsi="宋体" w:eastAsia="宋体"/>
          <w:szCs w:val="21"/>
        </w:rPr>
        <w:t xml:space="preserve">         分包金额（如有）小写：</w:t>
      </w:r>
      <w:r>
        <w:rPr>
          <w:rFonts w:hint="eastAsia" w:ascii="宋体" w:hAnsi="宋体" w:eastAsia="宋体"/>
          <w:szCs w:val="21"/>
          <w:u w:val="single"/>
        </w:rPr>
        <w:t xml:space="preserve">                   </w:t>
      </w:r>
    </w:p>
    <w:p w14:paraId="604DD443">
      <w:pPr>
        <w:adjustRightInd w:val="0"/>
        <w:snapToGrid w:val="0"/>
        <w:spacing w:line="400" w:lineRule="exact"/>
        <w:rPr>
          <w:rFonts w:hint="eastAsia" w:ascii="宋体" w:hAnsi="宋体" w:eastAsia="宋体"/>
          <w:szCs w:val="21"/>
          <w:u w:val="single"/>
        </w:rPr>
      </w:pPr>
      <w:r>
        <w:rPr>
          <w:rFonts w:hint="eastAsia" w:ascii="宋体" w:hAnsi="宋体" w:eastAsia="宋体"/>
          <w:szCs w:val="21"/>
        </w:rPr>
        <w:t xml:space="preserve">                     大写：</w:t>
      </w:r>
      <w:r>
        <w:rPr>
          <w:rFonts w:hint="eastAsia" w:ascii="宋体" w:hAnsi="宋体" w:eastAsia="宋体"/>
          <w:szCs w:val="21"/>
          <w:u w:val="single"/>
        </w:rPr>
        <w:t xml:space="preserve">                       </w:t>
      </w:r>
    </w:p>
    <w:p w14:paraId="5BCEDFFA">
      <w:pPr>
        <w:adjustRightInd w:val="0"/>
        <w:snapToGrid w:val="0"/>
        <w:spacing w:line="400" w:lineRule="exact"/>
        <w:rPr>
          <w:rFonts w:hint="eastAsia" w:ascii="宋体" w:hAnsi="宋体" w:eastAsia="宋体"/>
          <w:szCs w:val="21"/>
        </w:rPr>
      </w:pPr>
      <w:r>
        <w:rPr>
          <w:rFonts w:hint="eastAsia" w:ascii="宋体" w:hAnsi="宋体" w:eastAsia="宋体"/>
          <w:szCs w:val="21"/>
        </w:rPr>
        <w:t xml:space="preserve">    （注：固定单价合同应填写单价和最高限价）</w:t>
      </w:r>
    </w:p>
    <w:p w14:paraId="1C1BD432">
      <w:pPr>
        <w:numPr>
          <w:ilvl w:val="255"/>
          <w:numId w:val="0"/>
        </w:numPr>
        <w:adjustRightInd w:val="0"/>
        <w:snapToGrid w:val="0"/>
        <w:spacing w:line="400" w:lineRule="exact"/>
        <w:rPr>
          <w:rFonts w:hint="eastAsia" w:ascii="宋体" w:hAnsi="宋体" w:eastAsia="宋体"/>
          <w:szCs w:val="21"/>
        </w:rPr>
      </w:pPr>
      <w:r>
        <w:rPr>
          <w:rFonts w:hint="eastAsia" w:ascii="宋体" w:hAnsi="宋体" w:eastAsia="宋体"/>
          <w:szCs w:val="21"/>
        </w:rPr>
        <w:t xml:space="preserve">    （2）合同定价方式（采用组合定价方式的，可以勾选多项）：</w:t>
      </w:r>
    </w:p>
    <w:p w14:paraId="513D6B0D">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iCs/>
          <w:szCs w:val="21"/>
        </w:rPr>
        <w:t xml:space="preserve">  </w:t>
      </w:r>
      <w:r>
        <w:rPr>
          <w:rFonts w:hint="eastAsia" w:ascii="宋体" w:hAnsi="宋体" w:eastAsia="宋体"/>
          <w:iCs/>
          <w:szCs w:val="21"/>
        </w:rPr>
        <w:sym w:font="Wingdings" w:char="00A8"/>
      </w:r>
      <w:r>
        <w:rPr>
          <w:rFonts w:hint="eastAsia" w:ascii="宋体" w:hAnsi="宋体" w:eastAsia="宋体"/>
          <w:iCs/>
          <w:szCs w:val="21"/>
        </w:rPr>
        <w:t xml:space="preserve">固定总价 </w:t>
      </w:r>
      <w:r>
        <w:rPr>
          <w:rFonts w:hint="eastAsia" w:ascii="宋体" w:hAnsi="宋体" w:eastAsia="宋体"/>
          <w:iCs/>
          <w:szCs w:val="21"/>
        </w:rPr>
        <w:sym w:font="Wingdings" w:char="00A8"/>
      </w:r>
      <w:r>
        <w:rPr>
          <w:rFonts w:hint="eastAsia" w:ascii="宋体" w:hAnsi="宋体" w:eastAsia="宋体"/>
          <w:iCs/>
          <w:szCs w:val="21"/>
        </w:rPr>
        <w:t xml:space="preserve">固定单价 </w:t>
      </w:r>
      <w:r>
        <w:rPr>
          <w:rFonts w:hint="eastAsia" w:ascii="宋体" w:hAnsi="宋体" w:eastAsia="宋体"/>
          <w:iCs/>
          <w:szCs w:val="21"/>
        </w:rPr>
        <w:sym w:font="Wingdings" w:char="00A8"/>
      </w:r>
      <w:r>
        <w:rPr>
          <w:rFonts w:hint="eastAsia" w:ascii="宋体" w:hAnsi="宋体" w:eastAsia="宋体"/>
          <w:iCs/>
          <w:szCs w:val="21"/>
        </w:rPr>
        <w:t xml:space="preserve">固定费率 </w:t>
      </w:r>
      <w:r>
        <w:rPr>
          <w:rFonts w:hint="eastAsia" w:ascii="宋体" w:hAnsi="宋体" w:eastAsia="宋体"/>
          <w:iCs/>
          <w:szCs w:val="21"/>
        </w:rPr>
        <w:sym w:font="Wingdings" w:char="00A8"/>
      </w:r>
      <w:r>
        <w:rPr>
          <w:rFonts w:hint="eastAsia" w:ascii="宋体" w:hAnsi="宋体" w:eastAsia="宋体"/>
          <w:iCs/>
          <w:szCs w:val="21"/>
        </w:rPr>
        <w:t xml:space="preserve">成本补偿 </w:t>
      </w:r>
      <w:r>
        <w:rPr>
          <w:rFonts w:hint="eastAsia" w:ascii="宋体" w:hAnsi="宋体" w:eastAsia="宋体"/>
          <w:iCs/>
          <w:szCs w:val="21"/>
        </w:rPr>
        <w:sym w:font="Wingdings" w:char="00A8"/>
      </w:r>
      <w:r>
        <w:rPr>
          <w:rFonts w:hint="eastAsia" w:ascii="宋体" w:hAnsi="宋体" w:eastAsia="宋体"/>
          <w:iCs/>
          <w:szCs w:val="21"/>
        </w:rPr>
        <w:t xml:space="preserve">绩效激励 </w:t>
      </w:r>
      <w:r>
        <w:rPr>
          <w:rFonts w:hint="eastAsia" w:ascii="宋体" w:hAnsi="宋体" w:eastAsia="宋体"/>
          <w:iCs/>
          <w:szCs w:val="21"/>
        </w:rPr>
        <w:sym w:font="Wingdings" w:char="00A8"/>
      </w:r>
      <w:r>
        <w:rPr>
          <w:rFonts w:hint="eastAsia" w:ascii="宋体" w:hAnsi="宋体" w:eastAsia="宋体"/>
          <w:iCs/>
          <w:szCs w:val="21"/>
        </w:rPr>
        <w:t>其他</w:t>
      </w:r>
      <w:r>
        <w:rPr>
          <w:rFonts w:hint="eastAsia" w:ascii="宋体" w:hAnsi="宋体" w:eastAsia="宋体"/>
          <w:szCs w:val="21"/>
          <w:u w:val="single"/>
        </w:rPr>
        <w:t xml:space="preserve">       </w:t>
      </w:r>
    </w:p>
    <w:p w14:paraId="020E6489">
      <w:pPr>
        <w:spacing w:line="400" w:lineRule="exact"/>
        <w:ind w:firstLine="420" w:firstLineChars="200"/>
        <w:rPr>
          <w:rFonts w:ascii="Times New Roman" w:hAnsi="Times New Roman" w:eastAsia="宋体" w:cs="Times New Roman"/>
          <w:szCs w:val="21"/>
        </w:rPr>
      </w:pPr>
      <w:r>
        <w:rPr>
          <w:rFonts w:hint="eastAsia" w:ascii="宋体" w:hAnsi="宋体" w:eastAsia="宋体" w:cs="Times New Roman"/>
          <w:szCs w:val="21"/>
        </w:rPr>
        <w:t>（3）付款方式（按项目实际勾选填写）：</w:t>
      </w:r>
    </w:p>
    <w:p w14:paraId="48F7B363">
      <w:pPr>
        <w:adjustRightInd w:val="0"/>
        <w:snapToGrid w:val="0"/>
        <w:spacing w:line="400" w:lineRule="exact"/>
        <w:ind w:firstLine="630" w:firstLineChars="300"/>
        <w:rPr>
          <w:rFonts w:hint="eastAsia" w:ascii="宋体" w:hAnsi="宋体" w:eastAsia="宋体"/>
          <w:szCs w:val="21"/>
          <w:u w:val="single"/>
        </w:rPr>
      </w:pPr>
      <w:r>
        <w:rPr>
          <w:rFonts w:hint="eastAsia" w:ascii="宋体" w:hAnsi="宋体" w:eastAsia="宋体"/>
          <w:szCs w:val="21"/>
        </w:rPr>
        <w:sym w:font="Wingdings" w:char="00A8"/>
      </w:r>
      <w:r>
        <w:rPr>
          <w:rFonts w:hint="eastAsia" w:ascii="宋体" w:hAnsi="宋体" w:eastAsia="宋体"/>
          <w:szCs w:val="21"/>
        </w:rPr>
        <w:t>全额付款：</w:t>
      </w:r>
      <w:r>
        <w:rPr>
          <w:rFonts w:hint="eastAsia" w:ascii="宋体" w:hAnsi="宋体" w:eastAsia="宋体"/>
          <w:szCs w:val="21"/>
          <w:u w:val="single"/>
        </w:rPr>
        <w:t xml:space="preserve">     （应明确一次性支付合同款项的条件）                    </w:t>
      </w:r>
    </w:p>
    <w:p w14:paraId="59D0F5BF">
      <w:pPr>
        <w:snapToGrid w:val="0"/>
        <w:spacing w:line="400" w:lineRule="exact"/>
        <w:ind w:firstLine="630" w:firstLineChars="300"/>
        <w:rPr>
          <w:rFonts w:eastAsia="宋体"/>
        </w:rPr>
      </w:pPr>
      <w:r>
        <w:rPr>
          <w:rFonts w:hint="eastAsia" w:ascii="宋体" w:hAnsi="宋体" w:eastAsia="宋体"/>
          <w:szCs w:val="21"/>
        </w:rPr>
        <w:sym w:font="Wingdings" w:char="00A8"/>
      </w:r>
      <w:r>
        <w:rPr>
          <w:rFonts w:hint="eastAsia" w:ascii="宋体" w:hAnsi="宋体" w:eastAsia="宋体"/>
          <w:szCs w:val="21"/>
        </w:rPr>
        <w:t>分期付款：</w:t>
      </w:r>
      <w:r>
        <w:rPr>
          <w:rFonts w:hint="eastAsia" w:ascii="宋体" w:hAnsi="宋体" w:eastAsia="宋体"/>
          <w:szCs w:val="21"/>
          <w:u w:val="single"/>
        </w:rPr>
        <w:t xml:space="preserve">  （应明确分期支付合同款项的各期比例和支付条件，各期支付条件应与分期履约验收情况挂钩） </w:t>
      </w:r>
      <w:r>
        <w:rPr>
          <w:rFonts w:hint="eastAsia" w:ascii="宋体" w:hAnsi="宋体" w:eastAsia="宋体"/>
          <w:szCs w:val="21"/>
        </w:rPr>
        <w:t>，其中涉及预付款的：</w:t>
      </w:r>
      <w:r>
        <w:rPr>
          <w:rFonts w:hint="eastAsia" w:ascii="宋体" w:hAnsi="宋体" w:eastAsia="宋体"/>
          <w:szCs w:val="21"/>
          <w:u w:val="single"/>
        </w:rPr>
        <w:t xml:space="preserve"> （应明确预付款的支付比例和支付条件） </w:t>
      </w:r>
    </w:p>
    <w:p w14:paraId="70866D52">
      <w:pPr>
        <w:adjustRightInd w:val="0"/>
        <w:snapToGrid w:val="0"/>
        <w:spacing w:line="400" w:lineRule="exact"/>
        <w:ind w:firstLine="630" w:firstLineChars="300"/>
        <w:rPr>
          <w:rFonts w:hint="eastAsia" w:ascii="宋体" w:hAnsi="宋体" w:eastAsia="宋体"/>
          <w:szCs w:val="21"/>
          <w:u w:val="single"/>
        </w:rPr>
      </w:pPr>
      <w:r>
        <w:rPr>
          <w:rFonts w:hint="eastAsia" w:ascii="宋体" w:hAnsi="宋体" w:eastAsia="宋体"/>
          <w:szCs w:val="21"/>
        </w:rPr>
        <w:sym w:font="Wingdings" w:char="00A8"/>
      </w:r>
      <w:r>
        <w:rPr>
          <w:rFonts w:hint="eastAsia" w:ascii="宋体" w:hAnsi="宋体" w:eastAsia="宋体"/>
          <w:szCs w:val="21"/>
        </w:rPr>
        <w:t>成本补偿：</w:t>
      </w:r>
      <w:r>
        <w:rPr>
          <w:rFonts w:hint="eastAsia" w:ascii="宋体" w:hAnsi="宋体" w:eastAsia="宋体"/>
          <w:szCs w:val="21"/>
          <w:u w:val="single"/>
        </w:rPr>
        <w:t xml:space="preserve">      （应明确按照成本补偿方式的支付方式和支付条件）   </w:t>
      </w:r>
    </w:p>
    <w:p w14:paraId="29A0BA7B">
      <w:pPr>
        <w:adjustRightInd w:val="0"/>
        <w:snapToGrid w:val="0"/>
        <w:spacing w:line="400" w:lineRule="exact"/>
        <w:ind w:firstLine="630" w:firstLineChars="300"/>
        <w:rPr>
          <w:rFonts w:hint="eastAsia" w:ascii="宋体" w:hAnsi="宋体" w:eastAsia="宋体"/>
          <w:szCs w:val="21"/>
        </w:rPr>
      </w:pPr>
      <w:r>
        <w:rPr>
          <w:rFonts w:hint="eastAsia" w:ascii="宋体" w:hAnsi="宋体" w:eastAsia="宋体"/>
          <w:szCs w:val="21"/>
        </w:rPr>
        <w:sym w:font="Wingdings" w:char="00A8"/>
      </w:r>
      <w:r>
        <w:rPr>
          <w:rFonts w:hint="eastAsia" w:ascii="宋体" w:hAnsi="宋体" w:eastAsia="宋体"/>
          <w:szCs w:val="21"/>
        </w:rPr>
        <w:t>绩效激励：</w:t>
      </w:r>
      <w:r>
        <w:rPr>
          <w:rFonts w:hint="eastAsia" w:ascii="宋体" w:hAnsi="宋体" w:eastAsia="宋体"/>
          <w:szCs w:val="21"/>
          <w:u w:val="single"/>
        </w:rPr>
        <w:t xml:space="preserve">      （应明确按照绩效激励方式的支付方式和支付条件）   </w:t>
      </w:r>
    </w:p>
    <w:p w14:paraId="3DEA00B1">
      <w:pPr>
        <w:numPr>
          <w:ilvl w:val="0"/>
          <w:numId w:val="7"/>
        </w:numPr>
        <w:adjustRightInd w:val="0"/>
        <w:snapToGrid w:val="0"/>
        <w:spacing w:line="400" w:lineRule="exact"/>
        <w:ind w:firstLine="422" w:firstLineChars="200"/>
        <w:rPr>
          <w:rFonts w:hint="eastAsia" w:ascii="宋体" w:hAnsi="宋体" w:eastAsia="宋体"/>
          <w:b/>
          <w:szCs w:val="21"/>
          <w:u w:val="single"/>
        </w:rPr>
      </w:pPr>
      <w:r>
        <w:rPr>
          <w:rFonts w:hint="eastAsia" w:ascii="宋体" w:hAnsi="宋体" w:eastAsia="宋体"/>
          <w:b/>
          <w:szCs w:val="21"/>
        </w:rPr>
        <w:t>合同履行</w:t>
      </w:r>
    </w:p>
    <w:p w14:paraId="78459CA6">
      <w:pPr>
        <w:adjustRightInd w:val="0"/>
        <w:snapToGri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（1）起始日期：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日，完成日期：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14:paraId="210C6874">
      <w:pPr>
        <w:adjustRightInd w:val="0"/>
        <w:snapToGrid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（2）履约地点</w:t>
      </w:r>
      <w:r>
        <w:rPr>
          <w:rFonts w:hint="eastAsia" w:ascii="宋体" w:hAnsi="宋体" w:eastAsia="宋体" w:cs="宋体"/>
          <w:bCs/>
          <w:szCs w:val="21"/>
        </w:rPr>
        <w:t>：</w:t>
      </w:r>
      <w:r>
        <w:rPr>
          <w:rFonts w:hint="eastAsia" w:ascii="宋体" w:hAnsi="宋体" w:eastAsia="宋体" w:cs="宋体"/>
          <w:szCs w:val="21"/>
          <w:u w:val="single"/>
        </w:rPr>
        <w:t xml:space="preserve">                             </w:t>
      </w:r>
    </w:p>
    <w:p w14:paraId="75F38237">
      <w:pPr>
        <w:adjustRightInd w:val="0"/>
        <w:snapToGrid w:val="0"/>
        <w:spacing w:line="400" w:lineRule="exact"/>
        <w:ind w:firstLine="420" w:firstLineChars="200"/>
        <w:rPr>
          <w:rFonts w:hint="eastAsia" w:ascii="宋体" w:hAnsi="宋体" w:eastAsia="宋体" w:cs="宋体"/>
          <w:szCs w:val="21"/>
        </w:rPr>
      </w:pPr>
      <w:r>
        <w:rPr>
          <w:rFonts w:hint="eastAsia" w:ascii="宋体" w:hAnsi="宋体" w:eastAsia="宋体" w:cs="宋体"/>
          <w:bCs/>
          <w:szCs w:val="21"/>
        </w:rPr>
        <w:t>（3）履约担保：</w:t>
      </w:r>
      <w:r>
        <w:rPr>
          <w:rFonts w:hint="eastAsia" w:ascii="宋体" w:hAnsi="宋体" w:eastAsia="宋体" w:cs="宋体"/>
        </w:rPr>
        <w:t>是否收取履约保证金：</w:t>
      </w:r>
      <w:r>
        <w:rPr>
          <w:rFonts w:hint="eastAsia" w:ascii="宋体" w:hAnsi="宋体" w:eastAsia="宋体" w:cs="宋体"/>
          <w:szCs w:val="21"/>
        </w:rPr>
        <w:sym w:font="Wingdings" w:char="00A8"/>
      </w:r>
      <w:r>
        <w:rPr>
          <w:rFonts w:hint="eastAsia" w:ascii="宋体" w:hAnsi="宋体" w:eastAsia="宋体" w:cs="宋体"/>
          <w:szCs w:val="21"/>
        </w:rPr>
        <w:t xml:space="preserve">是    </w:t>
      </w:r>
      <w:r>
        <w:rPr>
          <w:rFonts w:hint="eastAsia" w:ascii="宋体" w:hAnsi="宋体" w:eastAsia="宋体" w:cs="宋体"/>
          <w:szCs w:val="21"/>
        </w:rPr>
        <w:sym w:font="Wingdings" w:char="00A8"/>
      </w:r>
      <w:r>
        <w:rPr>
          <w:rFonts w:hint="eastAsia" w:ascii="宋体" w:hAnsi="宋体" w:eastAsia="宋体" w:cs="宋体"/>
          <w:szCs w:val="21"/>
        </w:rPr>
        <w:t>否</w:t>
      </w:r>
    </w:p>
    <w:p w14:paraId="05A422B6">
      <w:pPr>
        <w:autoSpaceDE w:val="0"/>
        <w:autoSpaceDN w:val="0"/>
        <w:adjustRightInd w:val="0"/>
        <w:spacing w:line="400" w:lineRule="exact"/>
        <w:ind w:firstLine="440" w:firstLineChars="200"/>
        <w:rPr>
          <w:rFonts w:hint="eastAsia" w:ascii="宋体" w:hAnsi="宋体" w:eastAsia="宋体" w:cs="宋体"/>
          <w:szCs w:val="21"/>
        </w:rPr>
      </w:pPr>
      <w:r>
        <w:rPr>
          <w:rFonts w:hint="eastAsia" w:ascii="宋体" w:hAnsi="宋体" w:eastAsia="华文楷体" w:cs="宋体"/>
          <w:bCs/>
          <w:sz w:val="22"/>
          <w:szCs w:val="21"/>
        </w:rPr>
        <w:t xml:space="preserve">  </w:t>
      </w:r>
      <w:r>
        <w:rPr>
          <w:rFonts w:hint="eastAsia" w:ascii="宋体" w:hAnsi="宋体" w:eastAsia="宋体" w:cs="宋体"/>
          <w:szCs w:val="21"/>
        </w:rPr>
        <w:t xml:space="preserve">  收取履约保证金形式：</w:t>
      </w:r>
      <w:r>
        <w:rPr>
          <w:rFonts w:hint="eastAsia" w:ascii="宋体" w:hAnsi="宋体" w:eastAsia="宋体" w:cs="宋体"/>
          <w:bCs/>
          <w:szCs w:val="21"/>
          <w:u w:val="single"/>
        </w:rPr>
        <w:t xml:space="preserve">                            </w:t>
      </w:r>
    </w:p>
    <w:p w14:paraId="3B802F2B">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 xml:space="preserve">    收取履约保证金金额：</w:t>
      </w:r>
      <w:r>
        <w:rPr>
          <w:rFonts w:hint="eastAsia" w:ascii="宋体" w:hAnsi="宋体" w:eastAsia="宋体" w:cs="宋体"/>
          <w:bCs/>
          <w:szCs w:val="21"/>
          <w:u w:val="single"/>
        </w:rPr>
        <w:t xml:space="preserve">                            </w:t>
      </w:r>
    </w:p>
    <w:p w14:paraId="065E8576">
      <w:pPr>
        <w:snapToGrid w:val="0"/>
        <w:spacing w:line="400" w:lineRule="exact"/>
        <w:ind w:firstLine="420" w:firstLineChars="200"/>
        <w:rPr>
          <w:rFonts w:hint="eastAsia" w:ascii="宋体" w:hAnsi="宋体" w:eastAsia="宋体" w:cs="宋体"/>
        </w:rPr>
      </w:pPr>
      <w:r>
        <w:rPr>
          <w:rFonts w:hint="eastAsia" w:ascii="宋体" w:hAnsi="宋体" w:eastAsia="宋体" w:cs="宋体"/>
          <w:bCs/>
          <w:szCs w:val="21"/>
        </w:rPr>
        <w:t xml:space="preserve">    履约担保期限：</w:t>
      </w:r>
      <w:r>
        <w:rPr>
          <w:rFonts w:hint="eastAsia" w:ascii="宋体" w:hAnsi="宋体" w:eastAsia="宋体" w:cs="宋体"/>
          <w:bCs/>
          <w:szCs w:val="21"/>
          <w:u w:val="single"/>
        </w:rPr>
        <w:t xml:space="preserve">                                  </w:t>
      </w:r>
    </w:p>
    <w:p w14:paraId="36798033">
      <w:pPr>
        <w:adjustRightInd w:val="0"/>
        <w:snapToGrid w:val="0"/>
        <w:spacing w:line="400" w:lineRule="exact"/>
        <w:ind w:firstLine="420" w:firstLineChars="200"/>
        <w:rPr>
          <w:rFonts w:hint="eastAsia" w:ascii="宋体" w:hAnsi="宋体" w:eastAsia="宋体" w:cs="宋体"/>
          <w:bCs/>
          <w:szCs w:val="21"/>
        </w:rPr>
      </w:pPr>
      <w:r>
        <w:rPr>
          <w:rFonts w:hint="eastAsia" w:ascii="宋体" w:hAnsi="宋体" w:eastAsia="宋体" w:cs="宋体"/>
          <w:bCs/>
          <w:szCs w:val="21"/>
        </w:rPr>
        <w:t>（4）分期履行要求：</w:t>
      </w:r>
      <w:r>
        <w:rPr>
          <w:rFonts w:hint="eastAsia" w:ascii="宋体" w:hAnsi="宋体" w:eastAsia="宋体" w:cs="宋体"/>
          <w:bCs/>
          <w:szCs w:val="21"/>
          <w:u w:val="single"/>
        </w:rPr>
        <w:t xml:space="preserve">                                                        </w:t>
      </w:r>
    </w:p>
    <w:p w14:paraId="3B7851C4">
      <w:pPr>
        <w:adjustRightInd w:val="0"/>
        <w:snapToGrid w:val="0"/>
        <w:spacing w:line="400" w:lineRule="exact"/>
        <w:ind w:firstLine="420" w:firstLineChars="200"/>
        <w:rPr>
          <w:rFonts w:hint="eastAsia" w:ascii="宋体" w:hAnsi="宋体" w:eastAsia="宋体" w:cs="宋体"/>
          <w:szCs w:val="21"/>
          <w:u w:val="single"/>
        </w:rPr>
      </w:pPr>
      <w:r>
        <w:rPr>
          <w:rFonts w:hint="eastAsia" w:ascii="宋体" w:hAnsi="宋体" w:eastAsia="宋体" w:cs="宋体"/>
          <w:bCs/>
          <w:szCs w:val="21"/>
        </w:rPr>
        <w:t>（5）风险处置措施和替代方案：</w:t>
      </w:r>
      <w:r>
        <w:rPr>
          <w:rFonts w:hint="eastAsia" w:ascii="宋体" w:hAnsi="宋体" w:eastAsia="宋体" w:cs="宋体"/>
          <w:color w:val="0000FF"/>
          <w:szCs w:val="21"/>
          <w:u w:val="single"/>
        </w:rPr>
        <w:t xml:space="preserve"> </w:t>
      </w:r>
      <w:r>
        <w:rPr>
          <w:rFonts w:hint="eastAsia" w:ascii="宋体" w:hAnsi="宋体" w:eastAsia="宋体" w:cs="宋体"/>
          <w:color w:val="000000"/>
          <w:szCs w:val="21"/>
          <w:u w:val="single"/>
        </w:rPr>
        <w:t xml:space="preserve">              </w:t>
      </w:r>
      <w:r>
        <w:rPr>
          <w:rFonts w:hint="eastAsia" w:ascii="宋体" w:hAnsi="宋体" w:eastAsia="宋体" w:cs="宋体"/>
          <w:szCs w:val="21"/>
          <w:u w:val="single"/>
        </w:rPr>
        <w:t xml:space="preserve">                                                </w:t>
      </w:r>
    </w:p>
    <w:p w14:paraId="6F7A798F">
      <w:pPr>
        <w:numPr>
          <w:ilvl w:val="0"/>
          <w:numId w:val="7"/>
        </w:numPr>
        <w:adjustRightInd w:val="0"/>
        <w:snapToGrid w:val="0"/>
        <w:spacing w:line="400" w:lineRule="exact"/>
        <w:ind w:firstLine="422" w:firstLineChars="200"/>
        <w:rPr>
          <w:rFonts w:hint="eastAsia" w:ascii="宋体" w:hAnsi="宋体" w:eastAsia="宋体"/>
          <w:b/>
          <w:szCs w:val="21"/>
        </w:rPr>
      </w:pPr>
      <w:r>
        <w:rPr>
          <w:rFonts w:hint="eastAsia" w:ascii="宋体" w:hAnsi="宋体" w:eastAsia="宋体"/>
          <w:b/>
          <w:szCs w:val="21"/>
        </w:rPr>
        <w:t>合同验收</w:t>
      </w:r>
    </w:p>
    <w:p w14:paraId="461564BE">
      <w:pPr>
        <w:numPr>
          <w:ilvl w:val="0"/>
          <w:numId w:val="9"/>
        </w:numPr>
        <w:adjustRightInd w:val="0"/>
        <w:snapToGrid w:val="0"/>
        <w:spacing w:line="400" w:lineRule="exact"/>
        <w:ind w:firstLine="420" w:firstLineChars="200"/>
        <w:rPr>
          <w:rFonts w:hint="eastAsia" w:ascii="宋体" w:hAnsi="宋体" w:eastAsia="宋体"/>
          <w:bCs/>
          <w:szCs w:val="21"/>
        </w:rPr>
      </w:pPr>
      <w:r>
        <w:rPr>
          <w:rFonts w:hint="eastAsia" w:ascii="宋体" w:hAnsi="宋体" w:eastAsia="宋体"/>
          <w:bCs/>
          <w:szCs w:val="21"/>
        </w:rPr>
        <w:t>验收组织方式：</w:t>
      </w:r>
      <w:r>
        <w:rPr>
          <w:rFonts w:hint="eastAsia" w:ascii="宋体" w:hAnsi="宋体" w:eastAsia="宋体" w:cs="宋体"/>
          <w:szCs w:val="21"/>
        </w:rPr>
        <w:sym w:font="Wingdings" w:char="00A8"/>
      </w:r>
      <w:r>
        <w:rPr>
          <w:rFonts w:hint="eastAsia" w:ascii="宋体" w:hAnsi="宋体" w:eastAsia="宋体"/>
          <w:bCs/>
          <w:szCs w:val="21"/>
        </w:rPr>
        <w:t xml:space="preserve">自行组织 </w:t>
      </w:r>
      <w:r>
        <w:rPr>
          <w:rFonts w:hint="eastAsia" w:ascii="宋体" w:hAnsi="宋体" w:eastAsia="宋体" w:cs="宋体"/>
          <w:szCs w:val="21"/>
        </w:rPr>
        <w:sym w:font="Wingdings" w:char="00A8"/>
      </w:r>
      <w:r>
        <w:rPr>
          <w:rFonts w:hint="eastAsia" w:ascii="宋体" w:hAnsi="宋体" w:eastAsia="宋体"/>
          <w:bCs/>
          <w:szCs w:val="21"/>
        </w:rPr>
        <w:t>委托第三方组织</w:t>
      </w:r>
    </w:p>
    <w:p w14:paraId="4CDA36EC">
      <w:pPr>
        <w:adjustRightInd w:val="0"/>
        <w:snapToGrid w:val="0"/>
        <w:spacing w:line="400" w:lineRule="exact"/>
        <w:rPr>
          <w:rFonts w:hint="eastAsia" w:ascii="宋体" w:hAnsi="宋体" w:eastAsia="宋体"/>
          <w:bCs/>
          <w:szCs w:val="21"/>
        </w:rPr>
      </w:pPr>
      <w:r>
        <w:rPr>
          <w:rFonts w:hint="eastAsia" w:ascii="宋体" w:hAnsi="宋体" w:eastAsia="宋体"/>
          <w:bCs/>
          <w:szCs w:val="21"/>
        </w:rPr>
        <w:t xml:space="preserve">         验收主体：</w:t>
      </w:r>
      <w:r>
        <w:rPr>
          <w:rFonts w:hint="eastAsia" w:ascii="宋体" w:hAnsi="宋体" w:eastAsia="宋体"/>
          <w:bCs/>
          <w:szCs w:val="21"/>
          <w:u w:val="single"/>
        </w:rPr>
        <w:t xml:space="preserve">                  </w:t>
      </w:r>
    </w:p>
    <w:p w14:paraId="1866BA4C">
      <w:pPr>
        <w:adjustRightInd w:val="0"/>
        <w:snapToGrid w:val="0"/>
        <w:spacing w:line="400" w:lineRule="exact"/>
        <w:rPr>
          <w:rFonts w:hint="eastAsia" w:ascii="宋体" w:hAnsi="宋体" w:eastAsia="宋体"/>
          <w:bCs/>
          <w:szCs w:val="21"/>
        </w:rPr>
      </w:pPr>
      <w:r>
        <w:rPr>
          <w:rFonts w:hint="eastAsia" w:ascii="宋体" w:hAnsi="宋体" w:eastAsia="宋体"/>
          <w:bCs/>
          <w:szCs w:val="21"/>
        </w:rPr>
        <w:t xml:space="preserve">        是否邀请本项目的其他供应商参加验收：</w:t>
      </w:r>
      <w:r>
        <w:rPr>
          <w:rFonts w:hint="eastAsia" w:ascii="宋体" w:hAnsi="宋体" w:eastAsia="宋体" w:cs="宋体"/>
          <w:szCs w:val="21"/>
        </w:rPr>
        <w:sym w:font="Wingdings" w:char="00A8"/>
      </w:r>
      <w:r>
        <w:rPr>
          <w:rFonts w:hint="eastAsia" w:ascii="宋体" w:hAnsi="宋体" w:eastAsia="宋体"/>
          <w:bCs/>
          <w:szCs w:val="21"/>
        </w:rPr>
        <w:t xml:space="preserve">是  </w:t>
      </w:r>
      <w:r>
        <w:rPr>
          <w:rFonts w:hint="eastAsia" w:ascii="宋体" w:hAnsi="宋体" w:eastAsia="宋体" w:cs="宋体"/>
          <w:szCs w:val="21"/>
        </w:rPr>
        <w:sym w:font="Wingdings" w:char="00A8"/>
      </w:r>
      <w:r>
        <w:rPr>
          <w:rFonts w:hint="eastAsia" w:ascii="宋体" w:hAnsi="宋体" w:eastAsia="宋体"/>
          <w:bCs/>
          <w:szCs w:val="21"/>
        </w:rPr>
        <w:t>否</w:t>
      </w:r>
    </w:p>
    <w:p w14:paraId="3BFA59A6">
      <w:pPr>
        <w:adjustRightInd w:val="0"/>
        <w:snapToGrid w:val="0"/>
        <w:spacing w:line="400" w:lineRule="exact"/>
        <w:ind w:firstLine="840" w:firstLineChars="400"/>
        <w:rPr>
          <w:rFonts w:hint="eastAsia" w:ascii="宋体" w:hAnsi="宋体" w:eastAsia="宋体"/>
          <w:bCs/>
          <w:szCs w:val="21"/>
        </w:rPr>
      </w:pPr>
      <w:r>
        <w:rPr>
          <w:rFonts w:hint="eastAsia" w:ascii="宋体" w:hAnsi="宋体" w:eastAsia="宋体"/>
          <w:bCs/>
          <w:szCs w:val="21"/>
        </w:rPr>
        <w:t>是否邀请专家参加验收：</w:t>
      </w:r>
      <w:r>
        <w:rPr>
          <w:rFonts w:hint="eastAsia" w:ascii="宋体" w:hAnsi="宋体" w:eastAsia="宋体" w:cs="宋体"/>
          <w:szCs w:val="21"/>
        </w:rPr>
        <w:sym w:font="Wingdings" w:char="00A8"/>
      </w:r>
      <w:r>
        <w:rPr>
          <w:rFonts w:hint="eastAsia" w:ascii="宋体" w:hAnsi="宋体" w:eastAsia="宋体"/>
          <w:bCs/>
          <w:szCs w:val="21"/>
        </w:rPr>
        <w:t xml:space="preserve">是  </w:t>
      </w:r>
      <w:r>
        <w:rPr>
          <w:rFonts w:hint="eastAsia" w:ascii="宋体" w:hAnsi="宋体" w:eastAsia="宋体" w:cs="宋体"/>
          <w:szCs w:val="21"/>
        </w:rPr>
        <w:sym w:font="Wingdings" w:char="00A8"/>
      </w:r>
      <w:r>
        <w:rPr>
          <w:rFonts w:hint="eastAsia" w:ascii="宋体" w:hAnsi="宋体" w:eastAsia="宋体"/>
          <w:bCs/>
          <w:szCs w:val="21"/>
        </w:rPr>
        <w:t>否</w:t>
      </w:r>
    </w:p>
    <w:p w14:paraId="68597A4C">
      <w:pPr>
        <w:adjustRightInd w:val="0"/>
        <w:snapToGrid w:val="0"/>
        <w:spacing w:line="400" w:lineRule="exact"/>
        <w:ind w:firstLine="840" w:firstLineChars="400"/>
        <w:rPr>
          <w:rFonts w:hint="eastAsia" w:ascii="宋体" w:hAnsi="宋体" w:eastAsia="宋体"/>
          <w:bCs/>
          <w:szCs w:val="21"/>
        </w:rPr>
      </w:pPr>
      <w:r>
        <w:rPr>
          <w:rFonts w:hint="eastAsia" w:ascii="宋体" w:hAnsi="宋体" w:eastAsia="宋体"/>
          <w:bCs/>
          <w:szCs w:val="21"/>
        </w:rPr>
        <w:t>是否邀请服务对象参加验收：</w:t>
      </w:r>
      <w:r>
        <w:rPr>
          <w:rFonts w:hint="eastAsia" w:ascii="宋体" w:hAnsi="宋体" w:eastAsia="宋体" w:cs="宋体"/>
          <w:szCs w:val="21"/>
        </w:rPr>
        <w:sym w:font="Wingdings" w:char="00A8"/>
      </w:r>
      <w:r>
        <w:rPr>
          <w:rFonts w:hint="eastAsia" w:ascii="宋体" w:hAnsi="宋体" w:eastAsia="宋体"/>
          <w:bCs/>
          <w:szCs w:val="21"/>
        </w:rPr>
        <w:t xml:space="preserve">是  </w:t>
      </w:r>
      <w:r>
        <w:rPr>
          <w:rFonts w:hint="eastAsia" w:ascii="宋体" w:hAnsi="宋体" w:eastAsia="宋体" w:cs="宋体"/>
          <w:szCs w:val="21"/>
        </w:rPr>
        <w:sym w:font="Wingdings" w:char="00A8"/>
      </w:r>
      <w:r>
        <w:rPr>
          <w:rFonts w:hint="eastAsia" w:ascii="宋体" w:hAnsi="宋体" w:eastAsia="宋体"/>
          <w:bCs/>
          <w:szCs w:val="21"/>
        </w:rPr>
        <w:t>否</w:t>
      </w:r>
    </w:p>
    <w:p w14:paraId="54A98FB4">
      <w:pPr>
        <w:adjustRightInd w:val="0"/>
        <w:snapToGrid w:val="0"/>
        <w:spacing w:line="400" w:lineRule="exact"/>
        <w:ind w:firstLine="840" w:firstLineChars="400"/>
        <w:rPr>
          <w:rFonts w:hint="eastAsia" w:ascii="宋体" w:hAnsi="宋体" w:eastAsia="宋体"/>
          <w:bCs/>
          <w:szCs w:val="21"/>
        </w:rPr>
      </w:pPr>
      <w:r>
        <w:rPr>
          <w:rFonts w:hint="eastAsia" w:ascii="宋体" w:hAnsi="宋体" w:eastAsia="宋体"/>
          <w:bCs/>
          <w:szCs w:val="21"/>
        </w:rPr>
        <w:t>是否邀请第三方检测机构参加验收：</w:t>
      </w:r>
      <w:r>
        <w:rPr>
          <w:rFonts w:hint="eastAsia" w:ascii="宋体" w:hAnsi="宋体" w:eastAsia="宋体" w:cs="宋体"/>
          <w:szCs w:val="21"/>
        </w:rPr>
        <w:sym w:font="Wingdings" w:char="00A8"/>
      </w:r>
      <w:r>
        <w:rPr>
          <w:rFonts w:hint="eastAsia" w:ascii="宋体" w:hAnsi="宋体" w:eastAsia="宋体"/>
          <w:bCs/>
          <w:szCs w:val="21"/>
        </w:rPr>
        <w:t xml:space="preserve">是  </w:t>
      </w:r>
      <w:r>
        <w:rPr>
          <w:rFonts w:hint="eastAsia" w:ascii="宋体" w:hAnsi="宋体" w:eastAsia="宋体" w:cs="宋体"/>
          <w:szCs w:val="21"/>
        </w:rPr>
        <w:sym w:font="Wingdings" w:char="00A8"/>
      </w:r>
      <w:r>
        <w:rPr>
          <w:rFonts w:hint="eastAsia" w:ascii="宋体" w:hAnsi="宋体" w:eastAsia="宋体"/>
          <w:bCs/>
          <w:szCs w:val="21"/>
        </w:rPr>
        <w:t>否</w:t>
      </w:r>
    </w:p>
    <w:p w14:paraId="72B250FA">
      <w:pPr>
        <w:adjustRightInd w:val="0"/>
        <w:snapToGrid w:val="0"/>
        <w:spacing w:line="400" w:lineRule="exact"/>
        <w:ind w:firstLine="840" w:firstLineChars="400"/>
        <w:rPr>
          <w:rFonts w:hint="eastAsia" w:ascii="宋体" w:hAnsi="宋体" w:eastAsia="宋体"/>
          <w:bCs/>
          <w:szCs w:val="21"/>
        </w:rPr>
      </w:pPr>
      <w:r>
        <w:rPr>
          <w:rFonts w:hint="eastAsia" w:ascii="宋体" w:hAnsi="宋体" w:eastAsia="宋体"/>
          <w:bCs/>
          <w:szCs w:val="21"/>
        </w:rPr>
        <w:t>是否进行抽查检测：</w:t>
      </w:r>
      <w:r>
        <w:rPr>
          <w:rFonts w:hint="eastAsia" w:ascii="宋体" w:hAnsi="宋体" w:eastAsia="宋体" w:cs="宋体"/>
          <w:szCs w:val="21"/>
        </w:rPr>
        <w:sym w:font="Wingdings" w:char="00A8"/>
      </w:r>
      <w:r>
        <w:rPr>
          <w:rFonts w:hint="eastAsia" w:ascii="宋体" w:hAnsi="宋体" w:eastAsia="宋体"/>
          <w:bCs/>
          <w:szCs w:val="21"/>
        </w:rPr>
        <w:t>是，抽查比例：</w:t>
      </w:r>
      <w:r>
        <w:rPr>
          <w:rFonts w:hint="eastAsia" w:ascii="宋体" w:hAnsi="宋体" w:eastAsia="宋体"/>
          <w:bCs/>
          <w:szCs w:val="21"/>
          <w:u w:val="single"/>
        </w:rPr>
        <w:t xml:space="preserve">        </w:t>
      </w:r>
      <w:r>
        <w:rPr>
          <w:rFonts w:hint="eastAsia" w:ascii="宋体" w:hAnsi="宋体" w:eastAsia="宋体"/>
          <w:bCs/>
          <w:szCs w:val="21"/>
        </w:rPr>
        <w:t xml:space="preserve"> </w:t>
      </w:r>
      <w:r>
        <w:rPr>
          <w:rFonts w:hint="eastAsia" w:ascii="宋体" w:hAnsi="宋体" w:eastAsia="宋体" w:cs="宋体"/>
          <w:szCs w:val="21"/>
        </w:rPr>
        <w:sym w:font="Wingdings" w:char="00A8"/>
      </w:r>
      <w:r>
        <w:rPr>
          <w:rFonts w:hint="eastAsia" w:ascii="宋体" w:hAnsi="宋体" w:eastAsia="宋体"/>
          <w:bCs/>
          <w:szCs w:val="21"/>
        </w:rPr>
        <w:t>否</w:t>
      </w:r>
    </w:p>
    <w:p w14:paraId="3C7E1120">
      <w:pPr>
        <w:adjustRightInd w:val="0"/>
        <w:snapToGrid w:val="0"/>
        <w:spacing w:line="400" w:lineRule="exact"/>
        <w:ind w:firstLine="840" w:firstLineChars="400"/>
        <w:rPr>
          <w:rFonts w:hint="eastAsia" w:ascii="宋体" w:hAnsi="宋体" w:eastAsia="宋体"/>
          <w:bCs/>
          <w:szCs w:val="21"/>
          <w:u w:val="single"/>
        </w:rPr>
      </w:pPr>
      <w:r>
        <w:rPr>
          <w:rFonts w:hint="eastAsia" w:ascii="宋体" w:hAnsi="宋体" w:eastAsia="宋体"/>
          <w:bCs/>
          <w:szCs w:val="21"/>
        </w:rPr>
        <w:t>是否存在破坏性检测：</w:t>
      </w:r>
      <w:r>
        <w:rPr>
          <w:rFonts w:hint="eastAsia" w:ascii="宋体" w:hAnsi="宋体" w:eastAsia="宋体" w:cs="宋体"/>
          <w:szCs w:val="21"/>
        </w:rPr>
        <w:sym w:font="Wingdings" w:char="00A8"/>
      </w:r>
      <w:r>
        <w:rPr>
          <w:rFonts w:hint="eastAsia" w:ascii="宋体" w:hAnsi="宋体" w:eastAsia="宋体"/>
          <w:bCs/>
          <w:szCs w:val="21"/>
        </w:rPr>
        <w:t>是，</w:t>
      </w:r>
      <w:r>
        <w:rPr>
          <w:rFonts w:hint="eastAsia" w:ascii="宋体" w:hAnsi="宋体" w:eastAsia="宋体"/>
          <w:bCs/>
          <w:szCs w:val="21"/>
          <w:u w:val="single"/>
        </w:rPr>
        <w:t>（应明确对被破坏的检测产品的处理方式）</w:t>
      </w:r>
    </w:p>
    <w:p w14:paraId="5B7F03CB">
      <w:pPr>
        <w:adjustRightInd w:val="0"/>
        <w:snapToGrid w:val="0"/>
        <w:spacing w:line="400" w:lineRule="exact"/>
        <w:ind w:firstLine="840" w:firstLineChars="400"/>
        <w:rPr>
          <w:rFonts w:hint="eastAsia" w:ascii="宋体" w:hAnsi="宋体" w:eastAsia="宋体"/>
          <w:bCs/>
          <w:szCs w:val="21"/>
        </w:rPr>
      </w:pPr>
      <w:r>
        <w:rPr>
          <w:rFonts w:hint="eastAsia" w:ascii="宋体" w:hAnsi="宋体" w:eastAsia="宋体"/>
          <w:bCs/>
          <w:szCs w:val="21"/>
        </w:rPr>
        <w:t xml:space="preserve">                    </w:t>
      </w:r>
      <w:r>
        <w:rPr>
          <w:rFonts w:hint="eastAsia" w:ascii="宋体" w:hAnsi="宋体" w:eastAsia="宋体" w:cs="宋体"/>
          <w:szCs w:val="21"/>
        </w:rPr>
        <w:sym w:font="Wingdings" w:char="00A8"/>
      </w:r>
      <w:r>
        <w:rPr>
          <w:rFonts w:hint="eastAsia" w:ascii="宋体" w:hAnsi="宋体" w:eastAsia="宋体"/>
          <w:bCs/>
          <w:szCs w:val="21"/>
        </w:rPr>
        <w:t>否</w:t>
      </w:r>
    </w:p>
    <w:p w14:paraId="22FBD444">
      <w:pPr>
        <w:adjustRightInd w:val="0"/>
        <w:snapToGrid w:val="0"/>
        <w:spacing w:line="400" w:lineRule="exact"/>
        <w:ind w:firstLine="840" w:firstLineChars="400"/>
        <w:rPr>
          <w:rFonts w:hint="eastAsia" w:ascii="宋体" w:hAnsi="宋体" w:eastAsia="宋体"/>
          <w:bCs/>
          <w:szCs w:val="21"/>
          <w:u w:val="single"/>
        </w:rPr>
      </w:pPr>
      <w:r>
        <w:rPr>
          <w:rFonts w:hint="eastAsia" w:ascii="宋体" w:hAnsi="宋体" w:eastAsia="宋体"/>
          <w:bCs/>
          <w:szCs w:val="21"/>
        </w:rPr>
        <w:t>验收组织的其他事项：</w:t>
      </w:r>
      <w:r>
        <w:rPr>
          <w:rFonts w:hint="eastAsia" w:ascii="宋体" w:hAnsi="宋体" w:eastAsia="宋体"/>
          <w:bCs/>
          <w:szCs w:val="21"/>
          <w:u w:val="single"/>
        </w:rPr>
        <w:t xml:space="preserve">                </w:t>
      </w:r>
    </w:p>
    <w:p w14:paraId="1E413AFB">
      <w:pPr>
        <w:adjustRightInd w:val="0"/>
        <w:snapToGrid w:val="0"/>
        <w:spacing w:line="400" w:lineRule="exact"/>
        <w:ind w:firstLine="420" w:firstLineChars="200"/>
        <w:rPr>
          <w:rFonts w:hint="eastAsia" w:ascii="宋体" w:hAnsi="宋体" w:eastAsia="宋体"/>
          <w:bCs/>
          <w:szCs w:val="21"/>
          <w:u w:val="single"/>
        </w:rPr>
      </w:pPr>
      <w:r>
        <w:rPr>
          <w:rFonts w:hint="eastAsia" w:ascii="宋体" w:hAnsi="宋体" w:eastAsia="宋体"/>
          <w:bCs/>
          <w:szCs w:val="21"/>
        </w:rPr>
        <w:t>（2）履约验收时间：</w:t>
      </w:r>
      <w:r>
        <w:rPr>
          <w:rFonts w:hint="eastAsia" w:ascii="宋体" w:hAnsi="宋体" w:eastAsia="宋体"/>
          <w:bCs/>
          <w:szCs w:val="21"/>
          <w:u w:val="single"/>
        </w:rPr>
        <w:t xml:space="preserve">（计划于何时验收/供应商提出验收申请之日起   日内组织验收） </w:t>
      </w:r>
    </w:p>
    <w:p w14:paraId="39BC7C36">
      <w:pPr>
        <w:adjustRightInd w:val="0"/>
        <w:snapToGrid w:val="0"/>
        <w:spacing w:line="400" w:lineRule="exact"/>
        <w:ind w:firstLine="420" w:firstLineChars="200"/>
        <w:rPr>
          <w:rFonts w:hint="eastAsia" w:ascii="宋体" w:hAnsi="宋体" w:eastAsia="宋体"/>
          <w:bCs/>
          <w:szCs w:val="21"/>
        </w:rPr>
      </w:pPr>
      <w:r>
        <w:rPr>
          <w:rFonts w:hint="eastAsia" w:ascii="宋体" w:hAnsi="宋体" w:eastAsia="宋体"/>
          <w:bCs/>
          <w:szCs w:val="21"/>
        </w:rPr>
        <w:t>（3）履约验收方式：</w:t>
      </w:r>
      <w:r>
        <w:rPr>
          <w:rFonts w:hint="eastAsia" w:ascii="宋体" w:hAnsi="宋体" w:eastAsia="宋体" w:cs="宋体"/>
          <w:szCs w:val="21"/>
        </w:rPr>
        <w:sym w:font="Wingdings" w:char="00A8"/>
      </w:r>
      <w:r>
        <w:rPr>
          <w:rFonts w:hint="eastAsia" w:ascii="宋体" w:hAnsi="宋体" w:eastAsia="宋体"/>
          <w:bCs/>
          <w:szCs w:val="21"/>
        </w:rPr>
        <w:t xml:space="preserve">一次性验收         </w:t>
      </w:r>
    </w:p>
    <w:p w14:paraId="65D8A03E">
      <w:pPr>
        <w:adjustRightInd w:val="0"/>
        <w:snapToGrid w:val="0"/>
        <w:spacing w:line="400" w:lineRule="exact"/>
        <w:rPr>
          <w:rFonts w:hint="eastAsia" w:ascii="宋体" w:hAnsi="宋体" w:eastAsia="宋体"/>
          <w:bCs/>
          <w:szCs w:val="21"/>
        </w:rPr>
      </w:pPr>
      <w:r>
        <w:rPr>
          <w:rFonts w:hint="eastAsia" w:ascii="宋体" w:hAnsi="宋体" w:eastAsia="宋体"/>
          <w:bCs/>
          <w:szCs w:val="21"/>
        </w:rPr>
        <w:t xml:space="preserve">                       </w:t>
      </w:r>
      <w:r>
        <w:rPr>
          <w:rFonts w:hint="eastAsia" w:ascii="宋体" w:hAnsi="宋体" w:eastAsia="宋体" w:cs="宋体"/>
          <w:szCs w:val="21"/>
        </w:rPr>
        <w:sym w:font="Wingdings" w:char="00A8"/>
      </w:r>
      <w:r>
        <w:rPr>
          <w:rFonts w:hint="eastAsia" w:ascii="宋体" w:hAnsi="宋体" w:eastAsia="宋体"/>
          <w:bCs/>
          <w:szCs w:val="21"/>
        </w:rPr>
        <w:t>分期/分项验收：</w:t>
      </w:r>
      <w:r>
        <w:rPr>
          <w:rFonts w:hint="eastAsia" w:ascii="宋体" w:hAnsi="宋体" w:eastAsia="宋体"/>
          <w:bCs/>
          <w:szCs w:val="21"/>
          <w:u w:val="single"/>
        </w:rPr>
        <w:t xml:space="preserve"> （应明确分期</w:t>
      </w:r>
      <w:r>
        <w:rPr>
          <w:rFonts w:ascii="宋体" w:hAnsi="宋体" w:eastAsia="宋体"/>
          <w:bCs/>
          <w:szCs w:val="21"/>
          <w:u w:val="single"/>
          <w:lang w:val="en"/>
        </w:rPr>
        <w:t>/</w:t>
      </w:r>
      <w:r>
        <w:rPr>
          <w:rFonts w:hint="eastAsia" w:ascii="宋体" w:hAnsi="宋体" w:eastAsia="宋体"/>
          <w:bCs/>
          <w:szCs w:val="21"/>
          <w:u w:val="single"/>
          <w:lang w:val="en"/>
        </w:rPr>
        <w:t>分项验收的工作安排</w:t>
      </w:r>
      <w:r>
        <w:rPr>
          <w:rFonts w:hint="eastAsia" w:ascii="宋体" w:hAnsi="宋体" w:eastAsia="宋体"/>
          <w:bCs/>
          <w:szCs w:val="21"/>
          <w:u w:val="single"/>
        </w:rPr>
        <w:t xml:space="preserve">）  </w:t>
      </w:r>
    </w:p>
    <w:p w14:paraId="51060CBB">
      <w:pPr>
        <w:adjustRightInd w:val="0"/>
        <w:snapToGrid w:val="0"/>
        <w:spacing w:line="400" w:lineRule="exact"/>
        <w:ind w:firstLine="420" w:firstLineChars="200"/>
        <w:rPr>
          <w:rFonts w:hint="eastAsia" w:ascii="宋体" w:hAnsi="宋体" w:eastAsia="宋体"/>
          <w:bCs/>
          <w:szCs w:val="21"/>
        </w:rPr>
      </w:pPr>
      <w:r>
        <w:rPr>
          <w:rFonts w:hint="eastAsia" w:ascii="宋体" w:hAnsi="宋体" w:eastAsia="宋体"/>
          <w:bCs/>
          <w:szCs w:val="21"/>
        </w:rPr>
        <w:t>（4）履约验收程序：</w:t>
      </w:r>
      <w:r>
        <w:rPr>
          <w:rFonts w:hint="eastAsia" w:ascii="宋体" w:hAnsi="宋体" w:eastAsia="宋体"/>
          <w:bCs/>
          <w:szCs w:val="21"/>
          <w:u w:val="single"/>
        </w:rPr>
        <w:t xml:space="preserve">                                         </w:t>
      </w:r>
    </w:p>
    <w:p w14:paraId="1FDB4757">
      <w:pPr>
        <w:adjustRightInd w:val="0"/>
        <w:snapToGrid w:val="0"/>
        <w:spacing w:line="400" w:lineRule="exact"/>
        <w:ind w:firstLine="420" w:firstLineChars="200"/>
        <w:rPr>
          <w:rFonts w:hint="eastAsia" w:ascii="宋体" w:hAnsi="宋体" w:eastAsia="宋体"/>
          <w:bCs/>
          <w:szCs w:val="21"/>
          <w:u w:val="single"/>
        </w:rPr>
      </w:pPr>
      <w:r>
        <w:rPr>
          <w:rFonts w:hint="eastAsia" w:ascii="宋体" w:hAnsi="宋体" w:eastAsia="宋体"/>
          <w:bCs/>
          <w:szCs w:val="21"/>
        </w:rPr>
        <w:t>（5）履约验收的内容：</w:t>
      </w:r>
      <w:r>
        <w:rPr>
          <w:rFonts w:hint="eastAsia" w:ascii="宋体" w:hAnsi="宋体" w:eastAsia="宋体"/>
          <w:bCs/>
          <w:szCs w:val="21"/>
          <w:u w:val="single"/>
        </w:rPr>
        <w:t xml:space="preserve"> （应当包括每一项技术和商务要求的履约情况，特别是落实政府采购扶持中小企业，支持绿色发展和乡村振兴等政策情况）                                      </w:t>
      </w:r>
    </w:p>
    <w:p w14:paraId="673363B7">
      <w:pPr>
        <w:adjustRightInd w:val="0"/>
        <w:snapToGrid w:val="0"/>
        <w:spacing w:line="400" w:lineRule="exact"/>
        <w:ind w:firstLine="420" w:firstLineChars="200"/>
        <w:rPr>
          <w:rFonts w:hint="eastAsia" w:ascii="宋体" w:hAnsi="宋体" w:eastAsia="宋体"/>
          <w:bCs/>
          <w:szCs w:val="21"/>
          <w:u w:val="single"/>
        </w:rPr>
      </w:pPr>
      <w:r>
        <w:rPr>
          <w:rFonts w:hint="eastAsia" w:ascii="宋体" w:hAnsi="宋体" w:eastAsia="宋体"/>
          <w:bCs/>
          <w:szCs w:val="21"/>
        </w:rPr>
        <w:t>（6）履约验收标准：</w:t>
      </w:r>
      <w:r>
        <w:rPr>
          <w:rFonts w:hint="eastAsia" w:ascii="宋体" w:hAnsi="宋体" w:eastAsia="宋体"/>
          <w:bCs/>
          <w:szCs w:val="21"/>
          <w:u w:val="single"/>
        </w:rPr>
        <w:t xml:space="preserve">                                         </w:t>
      </w:r>
    </w:p>
    <w:p w14:paraId="7F838489">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bCs/>
          <w:szCs w:val="21"/>
        </w:rPr>
        <w:t>（7）是否以采购活动中供应商提供的样品作为参考：</w:t>
      </w:r>
      <w:r>
        <w:rPr>
          <w:rFonts w:hint="eastAsia" w:ascii="宋体" w:hAnsi="宋体" w:eastAsia="宋体" w:cs="宋体"/>
          <w:szCs w:val="21"/>
        </w:rPr>
        <w:sym w:font="Wingdings" w:char="00A8"/>
      </w:r>
      <w:r>
        <w:rPr>
          <w:rFonts w:hint="eastAsia" w:ascii="宋体" w:hAnsi="宋体" w:eastAsia="宋体" w:cs="宋体"/>
          <w:bCs/>
          <w:szCs w:val="21"/>
        </w:rPr>
        <w:t xml:space="preserve">是  </w:t>
      </w:r>
      <w:r>
        <w:rPr>
          <w:rFonts w:hint="eastAsia" w:ascii="宋体" w:hAnsi="宋体" w:eastAsia="宋体" w:cs="宋体"/>
          <w:szCs w:val="21"/>
        </w:rPr>
        <w:sym w:font="Wingdings" w:char="00A8"/>
      </w:r>
      <w:r>
        <w:rPr>
          <w:rFonts w:hint="eastAsia" w:ascii="宋体" w:hAnsi="宋体" w:eastAsia="宋体" w:cs="宋体"/>
          <w:bCs/>
          <w:szCs w:val="21"/>
        </w:rPr>
        <w:t>否</w:t>
      </w:r>
    </w:p>
    <w:p w14:paraId="75D7BB89">
      <w:pPr>
        <w:adjustRightInd w:val="0"/>
        <w:snapToGrid w:val="0"/>
        <w:spacing w:line="400" w:lineRule="exact"/>
        <w:ind w:firstLine="420" w:firstLineChars="200"/>
        <w:rPr>
          <w:rFonts w:hint="eastAsia" w:ascii="宋体" w:hAnsi="宋体" w:eastAsia="宋体" w:cs="宋体"/>
          <w:bCs/>
          <w:szCs w:val="21"/>
          <w:u w:val="single"/>
        </w:rPr>
      </w:pPr>
      <w:r>
        <w:rPr>
          <w:rFonts w:hint="eastAsia" w:ascii="宋体" w:hAnsi="宋体" w:eastAsia="宋体" w:cs="宋体"/>
          <w:bCs/>
          <w:szCs w:val="21"/>
        </w:rPr>
        <w:t>（8）履约验收其他事项：</w:t>
      </w:r>
      <w:r>
        <w:rPr>
          <w:rFonts w:hint="eastAsia" w:ascii="宋体" w:hAnsi="宋体" w:eastAsia="宋体" w:cs="宋体"/>
          <w:bCs/>
          <w:szCs w:val="21"/>
          <w:u w:val="single"/>
        </w:rPr>
        <w:t xml:space="preserve">      （产权过户登记等）          </w:t>
      </w:r>
    </w:p>
    <w:p w14:paraId="2845BCD3">
      <w:pPr>
        <w:numPr>
          <w:ilvl w:val="0"/>
          <w:numId w:val="7"/>
        </w:numPr>
        <w:adjustRightInd w:val="0"/>
        <w:snapToGrid w:val="0"/>
        <w:spacing w:line="400" w:lineRule="exact"/>
        <w:ind w:firstLine="422" w:firstLineChars="200"/>
        <w:rPr>
          <w:rFonts w:hint="eastAsia" w:ascii="宋体" w:hAnsi="宋体" w:eastAsia="宋体"/>
          <w:b/>
          <w:szCs w:val="21"/>
        </w:rPr>
      </w:pPr>
      <w:r>
        <w:rPr>
          <w:rFonts w:hint="eastAsia" w:ascii="宋体" w:hAnsi="宋体" w:eastAsia="宋体"/>
          <w:b/>
          <w:szCs w:val="21"/>
        </w:rPr>
        <w:t>组成合同的文件</w:t>
      </w:r>
    </w:p>
    <w:p w14:paraId="2AC4C990">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szCs w:val="21"/>
        </w:rPr>
        <w:t>本协议书与下列文件一起构成合同文件，如下述文件之间有任何抵触、矛盾或歧义，应按以下顺序解释：</w:t>
      </w:r>
    </w:p>
    <w:p w14:paraId="23E9FE2C">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szCs w:val="21"/>
        </w:rPr>
        <w:t>（1）政府采购合同协议书及其变更、补充协议</w:t>
      </w:r>
    </w:p>
    <w:p w14:paraId="708158B8">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szCs w:val="21"/>
        </w:rPr>
        <w:t>（2）政府采购合同专用条款</w:t>
      </w:r>
    </w:p>
    <w:p w14:paraId="68AA8D3D">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szCs w:val="21"/>
        </w:rPr>
        <w:t>（3）政府采购合同通用条款</w:t>
      </w:r>
    </w:p>
    <w:p w14:paraId="68E26457">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szCs w:val="21"/>
        </w:rPr>
        <w:t>（4）中标（成交）通知书</w:t>
      </w:r>
    </w:p>
    <w:p w14:paraId="459E7979">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szCs w:val="21"/>
        </w:rPr>
        <w:t>（5）投标（响应）文件</w:t>
      </w:r>
    </w:p>
    <w:p w14:paraId="451F3173">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szCs w:val="21"/>
        </w:rPr>
        <w:t>（6）采购文件</w:t>
      </w:r>
    </w:p>
    <w:p w14:paraId="5F216CE3">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szCs w:val="21"/>
        </w:rPr>
        <w:t>（7）有关技术文件，图纸</w:t>
      </w:r>
    </w:p>
    <w:p w14:paraId="30B744DE">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（8）</w:t>
      </w:r>
      <w:r>
        <w:rPr>
          <w:rFonts w:hint="eastAsia" w:ascii="宋体" w:hAnsi="宋体" w:eastAsia="宋体" w:cs="宋体"/>
          <w:color w:val="000000"/>
          <w:szCs w:val="21"/>
        </w:rPr>
        <w:t>国家法律、行政法规和规章制度规定或合同约定的作为合同组成部分的其他文件</w:t>
      </w:r>
    </w:p>
    <w:p w14:paraId="7A1DC2D8">
      <w:pPr>
        <w:numPr>
          <w:ilvl w:val="0"/>
          <w:numId w:val="7"/>
        </w:numPr>
        <w:adjustRightInd w:val="0"/>
        <w:snapToGrid w:val="0"/>
        <w:spacing w:line="400" w:lineRule="exact"/>
        <w:ind w:firstLine="422" w:firstLineChars="200"/>
        <w:rPr>
          <w:rFonts w:hint="eastAsia" w:ascii="宋体" w:hAnsi="宋体" w:eastAsia="宋体"/>
          <w:b/>
          <w:szCs w:val="21"/>
        </w:rPr>
      </w:pPr>
      <w:r>
        <w:rPr>
          <w:rFonts w:hint="eastAsia" w:ascii="宋体" w:hAnsi="宋体" w:eastAsia="宋体"/>
          <w:b/>
          <w:szCs w:val="21"/>
        </w:rPr>
        <w:t>合同生效</w:t>
      </w:r>
    </w:p>
    <w:p w14:paraId="74EEE61E">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szCs w:val="21"/>
        </w:rPr>
        <w:t>本合同自</w:t>
      </w:r>
      <w:r>
        <w:rPr>
          <w:rFonts w:hint="eastAsia" w:ascii="宋体" w:hAnsi="宋体" w:eastAsia="宋体"/>
          <w:szCs w:val="21"/>
          <w:u w:val="single"/>
        </w:rPr>
        <w:t xml:space="preserve">                             </w:t>
      </w:r>
      <w:r>
        <w:rPr>
          <w:rFonts w:hint="eastAsia" w:ascii="宋体" w:hAnsi="宋体" w:eastAsia="宋体"/>
          <w:szCs w:val="21"/>
        </w:rPr>
        <w:t>生效。</w:t>
      </w:r>
    </w:p>
    <w:p w14:paraId="04828BA2">
      <w:pPr>
        <w:numPr>
          <w:ilvl w:val="0"/>
          <w:numId w:val="7"/>
        </w:numPr>
        <w:adjustRightInd w:val="0"/>
        <w:snapToGrid w:val="0"/>
        <w:spacing w:line="400" w:lineRule="exact"/>
        <w:ind w:firstLine="422" w:firstLineChars="200"/>
        <w:rPr>
          <w:rFonts w:hint="eastAsia" w:ascii="宋体" w:hAnsi="宋体" w:eastAsia="宋体"/>
          <w:b/>
          <w:szCs w:val="21"/>
        </w:rPr>
      </w:pPr>
      <w:r>
        <w:rPr>
          <w:rFonts w:hint="eastAsia" w:ascii="宋体" w:hAnsi="宋体" w:eastAsia="宋体"/>
          <w:b/>
          <w:szCs w:val="21"/>
        </w:rPr>
        <w:t>合同份数</w:t>
      </w:r>
    </w:p>
    <w:p w14:paraId="6C36B5E7">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szCs w:val="21"/>
        </w:rPr>
        <w:t>本合同一式</w:t>
      </w:r>
      <w:r>
        <w:rPr>
          <w:rFonts w:hint="eastAsia" w:ascii="宋体" w:hAnsi="宋体" w:eastAsia="宋体"/>
          <w:szCs w:val="21"/>
          <w:u w:val="single"/>
        </w:rPr>
        <w:t xml:space="preserve">    </w:t>
      </w:r>
      <w:r>
        <w:rPr>
          <w:rFonts w:hint="eastAsia" w:ascii="宋体" w:hAnsi="宋体" w:eastAsia="宋体"/>
          <w:szCs w:val="21"/>
        </w:rPr>
        <w:t>份，甲方执</w:t>
      </w:r>
      <w:r>
        <w:rPr>
          <w:rFonts w:hint="eastAsia" w:ascii="宋体" w:hAnsi="宋体" w:eastAsia="宋体"/>
          <w:szCs w:val="21"/>
          <w:u w:val="single"/>
        </w:rPr>
        <w:t xml:space="preserve">    </w:t>
      </w:r>
      <w:r>
        <w:rPr>
          <w:rFonts w:hint="eastAsia" w:ascii="宋体" w:hAnsi="宋体" w:eastAsia="宋体"/>
          <w:szCs w:val="21"/>
        </w:rPr>
        <w:t>份，乙方执</w:t>
      </w:r>
      <w:r>
        <w:rPr>
          <w:rFonts w:hint="eastAsia" w:ascii="宋体" w:hAnsi="宋体" w:eastAsia="宋体"/>
          <w:szCs w:val="21"/>
          <w:u w:val="single"/>
        </w:rPr>
        <w:t xml:space="preserve">    </w:t>
      </w:r>
      <w:r>
        <w:rPr>
          <w:rFonts w:hint="eastAsia" w:ascii="宋体" w:hAnsi="宋体" w:eastAsia="宋体"/>
          <w:szCs w:val="21"/>
        </w:rPr>
        <w:t>份，均具有同等法律效力。</w:t>
      </w:r>
    </w:p>
    <w:p w14:paraId="43421030">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szCs w:val="21"/>
        </w:rPr>
        <w:t>合同订立时间：</w:t>
      </w:r>
      <w:r>
        <w:rPr>
          <w:rFonts w:hint="eastAsia" w:ascii="宋体" w:hAnsi="宋体" w:eastAsia="宋体"/>
          <w:szCs w:val="21"/>
          <w:u w:val="single"/>
        </w:rPr>
        <w:t xml:space="preserve">         </w:t>
      </w:r>
      <w:r>
        <w:rPr>
          <w:rFonts w:hint="eastAsia" w:ascii="宋体" w:hAnsi="宋体" w:eastAsia="宋体"/>
          <w:szCs w:val="21"/>
        </w:rPr>
        <w:t>年</w:t>
      </w:r>
      <w:r>
        <w:rPr>
          <w:rFonts w:hint="eastAsia" w:ascii="宋体" w:hAnsi="宋体" w:eastAsia="宋体"/>
          <w:szCs w:val="21"/>
          <w:u w:val="single"/>
        </w:rPr>
        <w:t xml:space="preserve">      </w:t>
      </w:r>
      <w:r>
        <w:rPr>
          <w:rFonts w:hint="eastAsia" w:ascii="宋体" w:hAnsi="宋体" w:eastAsia="宋体"/>
          <w:szCs w:val="21"/>
        </w:rPr>
        <w:t>月</w:t>
      </w:r>
      <w:r>
        <w:rPr>
          <w:rFonts w:hint="eastAsia" w:ascii="宋体" w:hAnsi="宋体" w:eastAsia="宋体"/>
          <w:szCs w:val="21"/>
          <w:u w:val="single"/>
        </w:rPr>
        <w:t xml:space="preserve">      </w:t>
      </w:r>
      <w:r>
        <w:rPr>
          <w:rFonts w:hint="eastAsia" w:ascii="宋体" w:hAnsi="宋体" w:eastAsia="宋体"/>
          <w:szCs w:val="21"/>
        </w:rPr>
        <w:t>日</w:t>
      </w:r>
    </w:p>
    <w:p w14:paraId="6FA09784">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szCs w:val="21"/>
        </w:rPr>
        <w:t>合同订立地点：</w:t>
      </w:r>
      <w:r>
        <w:rPr>
          <w:rFonts w:hint="eastAsia" w:ascii="宋体" w:hAnsi="宋体" w:eastAsia="宋体"/>
          <w:szCs w:val="21"/>
          <w:u w:val="single"/>
        </w:rPr>
        <w:t xml:space="preserve">                           </w:t>
      </w:r>
    </w:p>
    <w:p w14:paraId="503E6DDC">
      <w:pPr>
        <w:adjustRightInd w:val="0"/>
        <w:snapToGrid w:val="0"/>
        <w:spacing w:line="400" w:lineRule="exact"/>
        <w:ind w:firstLine="420" w:firstLineChars="200"/>
        <w:rPr>
          <w:rFonts w:eastAsia="宋体"/>
        </w:rPr>
      </w:pPr>
      <w:r>
        <w:rPr>
          <w:rFonts w:hint="eastAsia" w:ascii="宋体" w:hAnsi="宋体" w:eastAsia="宋体"/>
          <w:szCs w:val="21"/>
        </w:rPr>
        <w:t>附件：具体标的及其技术要求和商务要求、联合协议、分包意向协议等。</w:t>
      </w:r>
    </w:p>
    <w:p w14:paraId="4CFA44B9">
      <w:pPr>
        <w:rPr>
          <w:rFonts w:eastAsia="宋体"/>
        </w:rPr>
      </w:pPr>
      <w:r>
        <w:rPr>
          <w:rFonts w:hint="eastAsia" w:eastAsia="宋体"/>
        </w:rPr>
        <w:br w:type="page"/>
      </w:r>
    </w:p>
    <w:p w14:paraId="533AB92F">
      <w:pPr>
        <w:ind w:firstLine="420" w:firstLineChars="200"/>
        <w:rPr>
          <w:rFonts w:ascii="Times New Roman" w:hAnsi="Times New Roman" w:eastAsia="宋体" w:cs="Times New Roman"/>
          <w:szCs w:val="21"/>
        </w:rPr>
      </w:pPr>
    </w:p>
    <w:tbl>
      <w:tblPr>
        <w:tblStyle w:val="17"/>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14:paraId="0F1CD72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vAlign w:val="center"/>
          </w:tcPr>
          <w:p w14:paraId="2D1D4611">
            <w:pPr>
              <w:adjustRightInd w:val="0"/>
              <w:snapToGrid w:val="0"/>
              <w:spacing w:line="300" w:lineRule="exact"/>
              <w:jc w:val="center"/>
              <w:rPr>
                <w:rFonts w:eastAsia="宋体"/>
              </w:rPr>
            </w:pPr>
            <w:r>
              <w:rPr>
                <w:rFonts w:eastAsia="宋体"/>
                <w:szCs w:val="21"/>
              </w:rPr>
              <w:t>甲方</w:t>
            </w:r>
            <w:r>
              <w:rPr>
                <w:rFonts w:hint="eastAsia" w:eastAsia="宋体"/>
                <w:szCs w:val="21"/>
              </w:rPr>
              <w:t>（采购人</w:t>
            </w:r>
            <w:r>
              <w:rPr>
                <w:rFonts w:hint="eastAsia" w:ascii="宋体" w:hAnsi="宋体" w:eastAsia="宋体"/>
                <w:szCs w:val="21"/>
              </w:rPr>
              <w:t>、受采购人委托签订合同的单位或</w:t>
            </w:r>
            <w:r>
              <w:rPr>
                <w:rFonts w:hint="eastAsia" w:eastAsia="宋体"/>
                <w:szCs w:val="21"/>
              </w:rPr>
              <w:t>采购文件约定的合同甲方）</w:t>
            </w:r>
          </w:p>
        </w:tc>
        <w:tc>
          <w:tcPr>
            <w:tcW w:w="4095" w:type="dxa"/>
            <w:gridSpan w:val="2"/>
            <w:tcBorders>
              <w:left w:val="single" w:color="auto" w:sz="2" w:space="0"/>
              <w:bottom w:val="single" w:color="auto" w:sz="2" w:space="0"/>
            </w:tcBorders>
            <w:vAlign w:val="center"/>
          </w:tcPr>
          <w:p w14:paraId="0B8929AF">
            <w:pPr>
              <w:adjustRightInd w:val="0"/>
              <w:snapToGrid w:val="0"/>
              <w:spacing w:line="300" w:lineRule="exact"/>
              <w:jc w:val="center"/>
              <w:rPr>
                <w:rFonts w:eastAsia="宋体"/>
              </w:rPr>
            </w:pPr>
            <w:r>
              <w:rPr>
                <w:rFonts w:eastAsia="宋体"/>
                <w:szCs w:val="21"/>
              </w:rPr>
              <w:t>乙方</w:t>
            </w:r>
            <w:r>
              <w:rPr>
                <w:rFonts w:hint="eastAsia" w:eastAsia="宋体"/>
                <w:szCs w:val="21"/>
              </w:rPr>
              <w:t>（供应商）</w:t>
            </w:r>
          </w:p>
        </w:tc>
      </w:tr>
      <w:tr w14:paraId="7271E25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vAlign w:val="center"/>
          </w:tcPr>
          <w:p w14:paraId="010FFD3E">
            <w:pPr>
              <w:adjustRightInd w:val="0"/>
              <w:snapToGrid w:val="0"/>
              <w:spacing w:line="300" w:lineRule="exact"/>
              <w:jc w:val="center"/>
              <w:rPr>
                <w:rFonts w:eastAsia="宋体"/>
                <w:szCs w:val="21"/>
              </w:rPr>
            </w:pPr>
            <w:r>
              <w:rPr>
                <w:rFonts w:eastAsia="宋体"/>
                <w:szCs w:val="21"/>
              </w:rPr>
              <w:t>单位名称</w:t>
            </w:r>
            <w:r>
              <w:rPr>
                <w:rFonts w:hint="eastAsia" w:eastAsia="宋体"/>
                <w:szCs w:val="21"/>
              </w:rPr>
              <w:t>（公章或合同章）</w:t>
            </w:r>
          </w:p>
        </w:tc>
        <w:tc>
          <w:tcPr>
            <w:tcW w:w="2412" w:type="dxa"/>
            <w:tcBorders>
              <w:top w:val="single" w:color="auto" w:sz="2" w:space="0"/>
              <w:left w:val="single" w:color="auto" w:sz="2" w:space="0"/>
              <w:bottom w:val="single" w:color="auto" w:sz="2" w:space="0"/>
              <w:right w:val="single" w:color="auto" w:sz="2" w:space="0"/>
            </w:tcBorders>
            <w:vAlign w:val="center"/>
          </w:tcPr>
          <w:p w14:paraId="31FE87F8">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214A8DE2">
            <w:pPr>
              <w:adjustRightInd w:val="0"/>
              <w:snapToGrid w:val="0"/>
              <w:spacing w:line="300" w:lineRule="exact"/>
              <w:jc w:val="center"/>
              <w:rPr>
                <w:rFonts w:eastAsia="宋体"/>
                <w:szCs w:val="21"/>
              </w:rPr>
            </w:pPr>
            <w:r>
              <w:rPr>
                <w:rFonts w:eastAsia="宋体"/>
                <w:szCs w:val="21"/>
              </w:rPr>
              <w:t>单位名称</w:t>
            </w:r>
            <w:r>
              <w:rPr>
                <w:rFonts w:hint="eastAsia" w:eastAsia="宋体"/>
                <w:szCs w:val="21"/>
              </w:rPr>
              <w:t>（公章或合同章）</w:t>
            </w:r>
          </w:p>
        </w:tc>
        <w:tc>
          <w:tcPr>
            <w:tcW w:w="2116" w:type="dxa"/>
            <w:tcBorders>
              <w:top w:val="single" w:color="auto" w:sz="2" w:space="0"/>
              <w:left w:val="single" w:color="auto" w:sz="2" w:space="0"/>
              <w:bottom w:val="single" w:color="auto" w:sz="2" w:space="0"/>
            </w:tcBorders>
            <w:vAlign w:val="center"/>
          </w:tcPr>
          <w:p w14:paraId="6E72972B">
            <w:pPr>
              <w:adjustRightInd w:val="0"/>
              <w:snapToGrid w:val="0"/>
              <w:spacing w:line="300" w:lineRule="exact"/>
              <w:jc w:val="center"/>
              <w:rPr>
                <w:rFonts w:eastAsia="宋体"/>
                <w:spacing w:val="20"/>
                <w:szCs w:val="21"/>
              </w:rPr>
            </w:pPr>
          </w:p>
        </w:tc>
      </w:tr>
      <w:tr w14:paraId="0B803F7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vAlign w:val="center"/>
          </w:tcPr>
          <w:p w14:paraId="1A072F2B">
            <w:pPr>
              <w:adjustRightInd w:val="0"/>
              <w:snapToGrid w:val="0"/>
              <w:spacing w:line="300" w:lineRule="exact"/>
              <w:jc w:val="center"/>
              <w:rPr>
                <w:rFonts w:eastAsia="宋体"/>
                <w:szCs w:val="21"/>
              </w:rPr>
            </w:pPr>
            <w:r>
              <w:rPr>
                <w:rFonts w:eastAsia="宋体"/>
                <w:szCs w:val="21"/>
              </w:rPr>
              <w:t>法定代表人</w:t>
            </w:r>
          </w:p>
          <w:p w14:paraId="1B67CDFC">
            <w:pPr>
              <w:adjustRightInd w:val="0"/>
              <w:snapToGrid w:val="0"/>
              <w:spacing w:line="300" w:lineRule="exact"/>
              <w:ind w:firstLine="100" w:firstLineChars="48"/>
              <w:jc w:val="center"/>
              <w:rPr>
                <w:rFonts w:eastAsia="宋体"/>
                <w:szCs w:val="21"/>
              </w:rPr>
            </w:pPr>
            <w:r>
              <w:rPr>
                <w:rFonts w:hint="eastAsia" w:eastAsia="宋体"/>
                <w:szCs w:val="21"/>
              </w:rPr>
              <w:t>或其</w:t>
            </w:r>
            <w:r>
              <w:rPr>
                <w:rFonts w:eastAsia="宋体"/>
                <w:szCs w:val="21"/>
              </w:rPr>
              <w:t>委托代理人</w:t>
            </w:r>
            <w:r>
              <w:rPr>
                <w:rFonts w:hint="eastAsia" w:eastAsia="宋体"/>
                <w:szCs w:val="21"/>
              </w:rPr>
              <w:t>（签章）</w:t>
            </w:r>
          </w:p>
        </w:tc>
        <w:tc>
          <w:tcPr>
            <w:tcW w:w="2412" w:type="dxa"/>
            <w:vMerge w:val="restart"/>
            <w:tcBorders>
              <w:top w:val="single" w:color="auto" w:sz="2" w:space="0"/>
              <w:left w:val="single" w:color="auto" w:sz="2" w:space="0"/>
              <w:right w:val="single" w:color="auto" w:sz="2" w:space="0"/>
            </w:tcBorders>
            <w:vAlign w:val="center"/>
          </w:tcPr>
          <w:p w14:paraId="680B82AD">
            <w:pPr>
              <w:adjustRightInd w:val="0"/>
              <w:snapToGrid w:val="0"/>
              <w:spacing w:line="300" w:lineRule="exact"/>
              <w:jc w:val="center"/>
              <w:rPr>
                <w:rFonts w:eastAsia="宋体"/>
                <w:szCs w:val="21"/>
              </w:rPr>
            </w:pPr>
          </w:p>
        </w:tc>
        <w:tc>
          <w:tcPr>
            <w:tcW w:w="1979" w:type="dxa"/>
            <w:tcBorders>
              <w:top w:val="single" w:color="auto" w:sz="2" w:space="0"/>
              <w:left w:val="single" w:color="auto" w:sz="2" w:space="0"/>
              <w:right w:val="single" w:color="auto" w:sz="2" w:space="0"/>
            </w:tcBorders>
            <w:vAlign w:val="center"/>
          </w:tcPr>
          <w:p w14:paraId="554FCE0E">
            <w:pPr>
              <w:adjustRightInd w:val="0"/>
              <w:snapToGrid w:val="0"/>
              <w:spacing w:line="300" w:lineRule="exact"/>
              <w:jc w:val="center"/>
              <w:rPr>
                <w:rFonts w:eastAsia="宋体"/>
                <w:szCs w:val="21"/>
              </w:rPr>
            </w:pPr>
            <w:r>
              <w:rPr>
                <w:rFonts w:eastAsia="宋体"/>
                <w:szCs w:val="21"/>
              </w:rPr>
              <w:t>法定代表人</w:t>
            </w:r>
          </w:p>
          <w:p w14:paraId="00E5856A">
            <w:pPr>
              <w:adjustRightInd w:val="0"/>
              <w:snapToGrid w:val="0"/>
              <w:spacing w:line="300" w:lineRule="exact"/>
              <w:jc w:val="center"/>
              <w:rPr>
                <w:rFonts w:eastAsia="宋体"/>
                <w:szCs w:val="21"/>
              </w:rPr>
            </w:pPr>
            <w:r>
              <w:rPr>
                <w:rFonts w:hint="eastAsia" w:eastAsia="宋体"/>
                <w:szCs w:val="21"/>
              </w:rPr>
              <w:t>或其</w:t>
            </w:r>
            <w:r>
              <w:rPr>
                <w:rFonts w:eastAsia="宋体"/>
                <w:szCs w:val="21"/>
              </w:rPr>
              <w:t>委托代理人</w:t>
            </w:r>
            <w:r>
              <w:rPr>
                <w:rFonts w:hint="eastAsia" w:eastAsia="宋体"/>
                <w:szCs w:val="21"/>
              </w:rPr>
              <w:t>（签章）</w:t>
            </w:r>
          </w:p>
        </w:tc>
        <w:tc>
          <w:tcPr>
            <w:tcW w:w="2116" w:type="dxa"/>
            <w:tcBorders>
              <w:top w:val="single" w:color="auto" w:sz="2" w:space="0"/>
              <w:left w:val="single" w:color="auto" w:sz="2" w:space="0"/>
              <w:bottom w:val="single" w:color="auto" w:sz="2" w:space="0"/>
            </w:tcBorders>
            <w:vAlign w:val="center"/>
          </w:tcPr>
          <w:p w14:paraId="26FDB2DE">
            <w:pPr>
              <w:adjustRightInd w:val="0"/>
              <w:snapToGrid w:val="0"/>
              <w:spacing w:line="300" w:lineRule="exact"/>
              <w:jc w:val="center"/>
              <w:rPr>
                <w:rFonts w:eastAsia="宋体"/>
                <w:szCs w:val="21"/>
              </w:rPr>
            </w:pPr>
          </w:p>
        </w:tc>
      </w:tr>
      <w:tr w14:paraId="1AEAB22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vAlign w:val="center"/>
          </w:tcPr>
          <w:p w14:paraId="0D2A1CF9">
            <w:pPr>
              <w:adjustRightInd w:val="0"/>
              <w:snapToGrid w:val="0"/>
              <w:spacing w:line="300" w:lineRule="exact"/>
              <w:jc w:val="center"/>
              <w:rPr>
                <w:rFonts w:eastAsia="宋体"/>
                <w:szCs w:val="21"/>
              </w:rPr>
            </w:pPr>
          </w:p>
        </w:tc>
        <w:tc>
          <w:tcPr>
            <w:tcW w:w="2412" w:type="dxa"/>
            <w:vMerge w:val="continue"/>
            <w:tcBorders>
              <w:left w:val="single" w:color="auto" w:sz="2" w:space="0"/>
              <w:bottom w:val="single" w:color="auto" w:sz="2" w:space="0"/>
              <w:right w:val="single" w:color="auto" w:sz="2" w:space="0"/>
            </w:tcBorders>
            <w:vAlign w:val="center"/>
          </w:tcPr>
          <w:p w14:paraId="459E0865">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7F20F47D">
            <w:pPr>
              <w:adjustRightInd w:val="0"/>
              <w:snapToGrid w:val="0"/>
              <w:spacing w:line="300" w:lineRule="exact"/>
              <w:jc w:val="center"/>
              <w:rPr>
                <w:rFonts w:eastAsia="宋体"/>
                <w:szCs w:val="21"/>
              </w:rPr>
            </w:pPr>
            <w:r>
              <w:rPr>
                <w:rFonts w:hint="eastAsia" w:eastAsia="宋体"/>
                <w:szCs w:val="21"/>
              </w:rPr>
              <w:t>拥有者性别</w:t>
            </w:r>
          </w:p>
        </w:tc>
        <w:tc>
          <w:tcPr>
            <w:tcW w:w="2116" w:type="dxa"/>
            <w:tcBorders>
              <w:top w:val="single" w:color="auto" w:sz="2" w:space="0"/>
              <w:left w:val="single" w:color="auto" w:sz="2" w:space="0"/>
              <w:bottom w:val="single" w:color="auto" w:sz="2" w:space="0"/>
            </w:tcBorders>
            <w:vAlign w:val="center"/>
          </w:tcPr>
          <w:p w14:paraId="48AB6B05">
            <w:pPr>
              <w:adjustRightInd w:val="0"/>
              <w:snapToGrid w:val="0"/>
              <w:spacing w:line="300" w:lineRule="exact"/>
              <w:jc w:val="center"/>
              <w:rPr>
                <w:rFonts w:eastAsia="宋体"/>
                <w:spacing w:val="20"/>
                <w:szCs w:val="21"/>
              </w:rPr>
            </w:pPr>
          </w:p>
        </w:tc>
      </w:tr>
      <w:tr w14:paraId="36D9517A">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105E6B7C">
            <w:pPr>
              <w:adjustRightInd w:val="0"/>
              <w:snapToGrid w:val="0"/>
              <w:spacing w:line="300" w:lineRule="exact"/>
              <w:jc w:val="center"/>
              <w:rPr>
                <w:rFonts w:eastAsia="宋体"/>
                <w:szCs w:val="21"/>
              </w:rPr>
            </w:pPr>
            <w:r>
              <w:rPr>
                <w:rFonts w:hint="eastAsia" w:eastAsia="宋体"/>
                <w:szCs w:val="21"/>
              </w:rPr>
              <w:t>住  所</w:t>
            </w:r>
          </w:p>
        </w:tc>
        <w:tc>
          <w:tcPr>
            <w:tcW w:w="2412" w:type="dxa"/>
            <w:tcBorders>
              <w:top w:val="single" w:color="auto" w:sz="2" w:space="0"/>
              <w:left w:val="single" w:color="auto" w:sz="2" w:space="0"/>
              <w:bottom w:val="single" w:color="auto" w:sz="2" w:space="0"/>
              <w:right w:val="single" w:color="auto" w:sz="2" w:space="0"/>
            </w:tcBorders>
            <w:vAlign w:val="center"/>
          </w:tcPr>
          <w:p w14:paraId="23D7709B">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3A1E6040">
            <w:pPr>
              <w:adjustRightInd w:val="0"/>
              <w:snapToGrid w:val="0"/>
              <w:spacing w:line="300" w:lineRule="exact"/>
              <w:jc w:val="center"/>
              <w:rPr>
                <w:rFonts w:eastAsia="宋体"/>
                <w:szCs w:val="21"/>
              </w:rPr>
            </w:pPr>
            <w:r>
              <w:rPr>
                <w:rFonts w:hint="eastAsia" w:eastAsia="宋体"/>
                <w:szCs w:val="21"/>
              </w:rPr>
              <w:t>住  所</w:t>
            </w:r>
          </w:p>
        </w:tc>
        <w:tc>
          <w:tcPr>
            <w:tcW w:w="2116" w:type="dxa"/>
            <w:tcBorders>
              <w:top w:val="single" w:color="auto" w:sz="2" w:space="0"/>
              <w:left w:val="single" w:color="auto" w:sz="2" w:space="0"/>
              <w:bottom w:val="single" w:color="auto" w:sz="2" w:space="0"/>
            </w:tcBorders>
            <w:vAlign w:val="center"/>
          </w:tcPr>
          <w:p w14:paraId="4C0E3AF1">
            <w:pPr>
              <w:adjustRightInd w:val="0"/>
              <w:snapToGrid w:val="0"/>
              <w:spacing w:line="300" w:lineRule="exact"/>
              <w:jc w:val="center"/>
              <w:rPr>
                <w:rFonts w:eastAsia="宋体"/>
                <w:spacing w:val="20"/>
                <w:szCs w:val="21"/>
              </w:rPr>
            </w:pPr>
          </w:p>
        </w:tc>
      </w:tr>
      <w:tr w14:paraId="592E836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BB25F16">
            <w:pPr>
              <w:adjustRightInd w:val="0"/>
              <w:snapToGrid w:val="0"/>
              <w:spacing w:line="300" w:lineRule="exact"/>
              <w:jc w:val="center"/>
              <w:rPr>
                <w:rFonts w:eastAsia="宋体"/>
                <w:szCs w:val="21"/>
              </w:rPr>
            </w:pPr>
            <w:r>
              <w:rPr>
                <w:rFonts w:eastAsia="宋体"/>
                <w:szCs w:val="21"/>
              </w:rPr>
              <w:t>联 系 人</w:t>
            </w:r>
          </w:p>
        </w:tc>
        <w:tc>
          <w:tcPr>
            <w:tcW w:w="2412" w:type="dxa"/>
            <w:tcBorders>
              <w:top w:val="single" w:color="auto" w:sz="2" w:space="0"/>
              <w:left w:val="single" w:color="auto" w:sz="2" w:space="0"/>
              <w:bottom w:val="single" w:color="auto" w:sz="2" w:space="0"/>
              <w:right w:val="single" w:color="auto" w:sz="2" w:space="0"/>
            </w:tcBorders>
            <w:vAlign w:val="center"/>
          </w:tcPr>
          <w:p w14:paraId="10BD5F0B">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1440AB30">
            <w:pPr>
              <w:adjustRightInd w:val="0"/>
              <w:snapToGrid w:val="0"/>
              <w:spacing w:line="300" w:lineRule="exact"/>
              <w:jc w:val="center"/>
              <w:rPr>
                <w:rFonts w:eastAsia="宋体"/>
                <w:szCs w:val="21"/>
              </w:rPr>
            </w:pPr>
            <w:r>
              <w:rPr>
                <w:rFonts w:eastAsia="宋体"/>
                <w:szCs w:val="21"/>
              </w:rPr>
              <w:t>联 系 人</w:t>
            </w:r>
          </w:p>
        </w:tc>
        <w:tc>
          <w:tcPr>
            <w:tcW w:w="2116" w:type="dxa"/>
            <w:tcBorders>
              <w:top w:val="single" w:color="auto" w:sz="2" w:space="0"/>
              <w:left w:val="single" w:color="auto" w:sz="2" w:space="0"/>
              <w:bottom w:val="single" w:color="auto" w:sz="2" w:space="0"/>
            </w:tcBorders>
            <w:vAlign w:val="center"/>
          </w:tcPr>
          <w:p w14:paraId="1D3211A2">
            <w:pPr>
              <w:adjustRightInd w:val="0"/>
              <w:snapToGrid w:val="0"/>
              <w:spacing w:line="300" w:lineRule="exact"/>
              <w:jc w:val="center"/>
              <w:rPr>
                <w:rFonts w:eastAsia="宋体"/>
                <w:spacing w:val="20"/>
                <w:szCs w:val="21"/>
              </w:rPr>
            </w:pPr>
          </w:p>
        </w:tc>
      </w:tr>
      <w:tr w14:paraId="12245DA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6D1ECEF4">
            <w:pPr>
              <w:adjustRightInd w:val="0"/>
              <w:snapToGrid w:val="0"/>
              <w:spacing w:line="300" w:lineRule="exact"/>
              <w:jc w:val="center"/>
              <w:rPr>
                <w:rFonts w:eastAsia="宋体"/>
                <w:szCs w:val="21"/>
              </w:rPr>
            </w:pPr>
            <w:r>
              <w:rPr>
                <w:rFonts w:eastAsia="宋体"/>
                <w:szCs w:val="21"/>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14:paraId="1B2F9032">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189BF84F">
            <w:pPr>
              <w:adjustRightInd w:val="0"/>
              <w:snapToGrid w:val="0"/>
              <w:spacing w:line="300" w:lineRule="exact"/>
              <w:jc w:val="center"/>
              <w:rPr>
                <w:rFonts w:eastAsia="宋体"/>
                <w:szCs w:val="21"/>
              </w:rPr>
            </w:pPr>
            <w:r>
              <w:rPr>
                <w:rFonts w:eastAsia="宋体"/>
                <w:szCs w:val="21"/>
              </w:rPr>
              <w:t>联系电话</w:t>
            </w:r>
          </w:p>
        </w:tc>
        <w:tc>
          <w:tcPr>
            <w:tcW w:w="2116" w:type="dxa"/>
            <w:tcBorders>
              <w:top w:val="single" w:color="auto" w:sz="2" w:space="0"/>
              <w:left w:val="single" w:color="auto" w:sz="2" w:space="0"/>
              <w:bottom w:val="single" w:color="auto" w:sz="2" w:space="0"/>
            </w:tcBorders>
            <w:vAlign w:val="center"/>
          </w:tcPr>
          <w:p w14:paraId="7E1A8C01">
            <w:pPr>
              <w:adjustRightInd w:val="0"/>
              <w:snapToGrid w:val="0"/>
              <w:spacing w:line="300" w:lineRule="exact"/>
              <w:jc w:val="center"/>
              <w:rPr>
                <w:rFonts w:eastAsia="宋体"/>
                <w:spacing w:val="20"/>
                <w:szCs w:val="21"/>
              </w:rPr>
            </w:pPr>
          </w:p>
        </w:tc>
      </w:tr>
      <w:tr w14:paraId="2C49A8B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4B6E6BA7">
            <w:pPr>
              <w:adjustRightInd w:val="0"/>
              <w:snapToGrid w:val="0"/>
              <w:spacing w:line="300" w:lineRule="exact"/>
              <w:jc w:val="center"/>
              <w:rPr>
                <w:rFonts w:eastAsia="宋体"/>
                <w:szCs w:val="21"/>
              </w:rPr>
            </w:pPr>
            <w:r>
              <w:rPr>
                <w:rFonts w:hint="eastAsia" w:eastAsia="宋体"/>
                <w:szCs w:val="21"/>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14:paraId="137A00C5">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6E667CB9">
            <w:pPr>
              <w:adjustRightInd w:val="0"/>
              <w:snapToGrid w:val="0"/>
              <w:spacing w:line="300" w:lineRule="exact"/>
              <w:jc w:val="center"/>
              <w:rPr>
                <w:rFonts w:eastAsia="宋体"/>
                <w:szCs w:val="21"/>
              </w:rPr>
            </w:pPr>
            <w:r>
              <w:rPr>
                <w:rFonts w:hint="eastAsia" w:eastAsia="宋体"/>
                <w:szCs w:val="21"/>
              </w:rPr>
              <w:t>通信地址</w:t>
            </w:r>
          </w:p>
        </w:tc>
        <w:tc>
          <w:tcPr>
            <w:tcW w:w="2116" w:type="dxa"/>
            <w:tcBorders>
              <w:top w:val="single" w:color="auto" w:sz="2" w:space="0"/>
              <w:left w:val="single" w:color="auto" w:sz="2" w:space="0"/>
              <w:bottom w:val="single" w:color="auto" w:sz="2" w:space="0"/>
            </w:tcBorders>
            <w:vAlign w:val="center"/>
          </w:tcPr>
          <w:p w14:paraId="5CCF82AA">
            <w:pPr>
              <w:adjustRightInd w:val="0"/>
              <w:snapToGrid w:val="0"/>
              <w:spacing w:line="300" w:lineRule="exact"/>
              <w:jc w:val="center"/>
              <w:rPr>
                <w:rFonts w:eastAsia="宋体"/>
                <w:spacing w:val="20"/>
                <w:szCs w:val="21"/>
              </w:rPr>
            </w:pPr>
          </w:p>
        </w:tc>
      </w:tr>
      <w:tr w14:paraId="61BCC53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3DA22427">
            <w:pPr>
              <w:adjustRightInd w:val="0"/>
              <w:snapToGrid w:val="0"/>
              <w:spacing w:line="300" w:lineRule="exact"/>
              <w:jc w:val="center"/>
              <w:rPr>
                <w:rFonts w:eastAsia="宋体"/>
                <w:szCs w:val="21"/>
              </w:rPr>
            </w:pPr>
            <w:r>
              <w:rPr>
                <w:rFonts w:eastAsia="宋体"/>
                <w:szCs w:val="21"/>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14:paraId="661AF33C">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23EDE742">
            <w:pPr>
              <w:adjustRightInd w:val="0"/>
              <w:snapToGrid w:val="0"/>
              <w:spacing w:line="300" w:lineRule="exact"/>
              <w:jc w:val="center"/>
              <w:rPr>
                <w:rFonts w:eastAsia="宋体"/>
                <w:szCs w:val="21"/>
              </w:rPr>
            </w:pPr>
            <w:r>
              <w:rPr>
                <w:rFonts w:eastAsia="宋体"/>
                <w:szCs w:val="21"/>
              </w:rPr>
              <w:t>邮政编码</w:t>
            </w:r>
          </w:p>
        </w:tc>
        <w:tc>
          <w:tcPr>
            <w:tcW w:w="2116" w:type="dxa"/>
            <w:tcBorders>
              <w:top w:val="single" w:color="auto" w:sz="2" w:space="0"/>
              <w:left w:val="single" w:color="auto" w:sz="2" w:space="0"/>
              <w:bottom w:val="single" w:color="auto" w:sz="2" w:space="0"/>
            </w:tcBorders>
            <w:vAlign w:val="center"/>
          </w:tcPr>
          <w:p w14:paraId="395849C2">
            <w:pPr>
              <w:adjustRightInd w:val="0"/>
              <w:snapToGrid w:val="0"/>
              <w:spacing w:line="300" w:lineRule="exact"/>
              <w:jc w:val="center"/>
              <w:rPr>
                <w:rFonts w:eastAsia="宋体"/>
                <w:spacing w:val="20"/>
                <w:szCs w:val="21"/>
              </w:rPr>
            </w:pPr>
          </w:p>
        </w:tc>
      </w:tr>
      <w:tr w14:paraId="227690C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ECA2E16">
            <w:pPr>
              <w:adjustRightInd w:val="0"/>
              <w:snapToGrid w:val="0"/>
              <w:spacing w:line="300" w:lineRule="exact"/>
              <w:jc w:val="center"/>
              <w:rPr>
                <w:rFonts w:eastAsia="宋体"/>
                <w:szCs w:val="21"/>
              </w:rPr>
            </w:pPr>
            <w:r>
              <w:rPr>
                <w:rFonts w:hint="eastAsia" w:eastAsia="宋体"/>
                <w:szCs w:val="21"/>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14:paraId="3866BFE8">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30C506CD">
            <w:pPr>
              <w:adjustRightInd w:val="0"/>
              <w:snapToGrid w:val="0"/>
              <w:spacing w:line="300" w:lineRule="exact"/>
              <w:jc w:val="center"/>
              <w:rPr>
                <w:rFonts w:eastAsia="宋体"/>
                <w:szCs w:val="21"/>
              </w:rPr>
            </w:pPr>
            <w:r>
              <w:rPr>
                <w:rFonts w:hint="eastAsia" w:eastAsia="宋体"/>
                <w:szCs w:val="21"/>
              </w:rPr>
              <w:t>电子邮箱</w:t>
            </w:r>
          </w:p>
        </w:tc>
        <w:tc>
          <w:tcPr>
            <w:tcW w:w="2116" w:type="dxa"/>
            <w:tcBorders>
              <w:top w:val="single" w:color="auto" w:sz="2" w:space="0"/>
              <w:left w:val="single" w:color="auto" w:sz="2" w:space="0"/>
              <w:bottom w:val="single" w:color="auto" w:sz="2" w:space="0"/>
            </w:tcBorders>
            <w:vAlign w:val="center"/>
          </w:tcPr>
          <w:p w14:paraId="3A2EB17B">
            <w:pPr>
              <w:adjustRightInd w:val="0"/>
              <w:snapToGrid w:val="0"/>
              <w:spacing w:line="300" w:lineRule="exact"/>
              <w:jc w:val="center"/>
              <w:rPr>
                <w:rFonts w:eastAsia="宋体"/>
                <w:spacing w:val="20"/>
                <w:szCs w:val="21"/>
              </w:rPr>
            </w:pPr>
          </w:p>
        </w:tc>
      </w:tr>
      <w:tr w14:paraId="5B8FC21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302E7EAE">
            <w:pPr>
              <w:adjustRightInd w:val="0"/>
              <w:snapToGrid w:val="0"/>
              <w:spacing w:line="300" w:lineRule="exact"/>
              <w:jc w:val="center"/>
              <w:rPr>
                <w:rFonts w:eastAsia="宋体"/>
                <w:szCs w:val="21"/>
              </w:rPr>
            </w:pPr>
            <w:r>
              <w:rPr>
                <w:rFonts w:hint="eastAsia" w:eastAsia="宋体"/>
                <w:szCs w:val="21"/>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14:paraId="1F423A08">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51F3E7E1">
            <w:pPr>
              <w:adjustRightInd w:val="0"/>
              <w:snapToGrid w:val="0"/>
              <w:spacing w:line="300" w:lineRule="exact"/>
              <w:jc w:val="center"/>
              <w:rPr>
                <w:rFonts w:eastAsia="宋体"/>
                <w:szCs w:val="21"/>
              </w:rPr>
            </w:pPr>
            <w:r>
              <w:rPr>
                <w:rFonts w:hint="eastAsia" w:eastAsia="宋体"/>
                <w:szCs w:val="21"/>
              </w:rPr>
              <w:t>统一社会信用代码</w:t>
            </w:r>
          </w:p>
        </w:tc>
        <w:tc>
          <w:tcPr>
            <w:tcW w:w="2116" w:type="dxa"/>
            <w:tcBorders>
              <w:top w:val="single" w:color="auto" w:sz="2" w:space="0"/>
              <w:left w:val="single" w:color="auto" w:sz="2" w:space="0"/>
              <w:bottom w:val="single" w:color="auto" w:sz="2" w:space="0"/>
            </w:tcBorders>
            <w:vAlign w:val="center"/>
          </w:tcPr>
          <w:p w14:paraId="3C77DB4B">
            <w:pPr>
              <w:adjustRightInd w:val="0"/>
              <w:snapToGrid w:val="0"/>
              <w:spacing w:line="300" w:lineRule="exact"/>
              <w:jc w:val="center"/>
              <w:rPr>
                <w:rFonts w:eastAsia="宋体"/>
                <w:spacing w:val="20"/>
                <w:szCs w:val="21"/>
              </w:rPr>
            </w:pPr>
          </w:p>
        </w:tc>
      </w:tr>
      <w:tr w14:paraId="58A70EA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C4D928A">
            <w:pPr>
              <w:adjustRightInd w:val="0"/>
              <w:snapToGrid w:val="0"/>
              <w:spacing w:line="300" w:lineRule="exact"/>
              <w:jc w:val="center"/>
              <w:rPr>
                <w:rFonts w:eastAsia="宋体"/>
                <w:szCs w:val="21"/>
              </w:rPr>
            </w:pPr>
          </w:p>
        </w:tc>
        <w:tc>
          <w:tcPr>
            <w:tcW w:w="2412" w:type="dxa"/>
            <w:tcBorders>
              <w:top w:val="single" w:color="auto" w:sz="2" w:space="0"/>
              <w:left w:val="single" w:color="auto" w:sz="2" w:space="0"/>
              <w:bottom w:val="single" w:color="auto" w:sz="2" w:space="0"/>
              <w:right w:val="single" w:color="auto" w:sz="2" w:space="0"/>
            </w:tcBorders>
            <w:vAlign w:val="center"/>
          </w:tcPr>
          <w:p w14:paraId="4E7AB316">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122DF4A0">
            <w:pPr>
              <w:adjustRightInd w:val="0"/>
              <w:snapToGrid w:val="0"/>
              <w:spacing w:line="300" w:lineRule="exact"/>
              <w:jc w:val="center"/>
              <w:rPr>
                <w:rFonts w:eastAsia="宋体"/>
                <w:szCs w:val="21"/>
              </w:rPr>
            </w:pPr>
            <w:r>
              <w:rPr>
                <w:rFonts w:eastAsia="宋体"/>
                <w:szCs w:val="21"/>
              </w:rPr>
              <w:t>开户名称</w:t>
            </w:r>
          </w:p>
        </w:tc>
        <w:tc>
          <w:tcPr>
            <w:tcW w:w="2116" w:type="dxa"/>
            <w:tcBorders>
              <w:top w:val="single" w:color="auto" w:sz="2" w:space="0"/>
              <w:left w:val="single" w:color="auto" w:sz="2" w:space="0"/>
              <w:bottom w:val="single" w:color="auto" w:sz="2" w:space="0"/>
            </w:tcBorders>
            <w:vAlign w:val="center"/>
          </w:tcPr>
          <w:p w14:paraId="714F76FF">
            <w:pPr>
              <w:adjustRightInd w:val="0"/>
              <w:snapToGrid w:val="0"/>
              <w:spacing w:line="300" w:lineRule="exact"/>
              <w:jc w:val="center"/>
              <w:rPr>
                <w:rFonts w:eastAsia="宋体"/>
                <w:spacing w:val="20"/>
                <w:szCs w:val="21"/>
              </w:rPr>
            </w:pPr>
          </w:p>
        </w:tc>
      </w:tr>
      <w:tr w14:paraId="70FAE164">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628CD95">
            <w:pPr>
              <w:adjustRightInd w:val="0"/>
              <w:snapToGrid w:val="0"/>
              <w:spacing w:line="300" w:lineRule="exact"/>
              <w:jc w:val="center"/>
              <w:rPr>
                <w:rFonts w:eastAsia="宋体"/>
                <w:szCs w:val="21"/>
              </w:rPr>
            </w:pPr>
          </w:p>
        </w:tc>
        <w:tc>
          <w:tcPr>
            <w:tcW w:w="2412" w:type="dxa"/>
            <w:tcBorders>
              <w:top w:val="single" w:color="auto" w:sz="2" w:space="0"/>
              <w:left w:val="single" w:color="auto" w:sz="2" w:space="0"/>
              <w:bottom w:val="single" w:color="auto" w:sz="2" w:space="0"/>
              <w:right w:val="single" w:color="auto" w:sz="2" w:space="0"/>
            </w:tcBorders>
            <w:vAlign w:val="center"/>
          </w:tcPr>
          <w:p w14:paraId="30C568CC">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1D28A1D7">
            <w:pPr>
              <w:adjustRightInd w:val="0"/>
              <w:snapToGrid w:val="0"/>
              <w:spacing w:line="300" w:lineRule="exact"/>
              <w:jc w:val="center"/>
              <w:rPr>
                <w:rFonts w:eastAsia="宋体"/>
                <w:szCs w:val="21"/>
              </w:rPr>
            </w:pPr>
            <w:r>
              <w:rPr>
                <w:rFonts w:eastAsia="宋体"/>
                <w:szCs w:val="21"/>
              </w:rPr>
              <w:t>开户银行</w:t>
            </w:r>
          </w:p>
        </w:tc>
        <w:tc>
          <w:tcPr>
            <w:tcW w:w="2116" w:type="dxa"/>
            <w:tcBorders>
              <w:top w:val="single" w:color="auto" w:sz="2" w:space="0"/>
              <w:left w:val="single" w:color="auto" w:sz="2" w:space="0"/>
              <w:bottom w:val="single" w:color="auto" w:sz="2" w:space="0"/>
            </w:tcBorders>
            <w:vAlign w:val="center"/>
          </w:tcPr>
          <w:p w14:paraId="16726D23">
            <w:pPr>
              <w:adjustRightInd w:val="0"/>
              <w:snapToGrid w:val="0"/>
              <w:spacing w:line="300" w:lineRule="exact"/>
              <w:jc w:val="center"/>
              <w:rPr>
                <w:rFonts w:eastAsia="宋体"/>
                <w:spacing w:val="20"/>
                <w:szCs w:val="21"/>
              </w:rPr>
            </w:pPr>
          </w:p>
        </w:tc>
      </w:tr>
      <w:tr w14:paraId="2AE4038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4528B025">
            <w:pPr>
              <w:adjustRightInd w:val="0"/>
              <w:snapToGrid w:val="0"/>
              <w:spacing w:line="300" w:lineRule="exact"/>
              <w:jc w:val="center"/>
              <w:rPr>
                <w:rFonts w:eastAsia="宋体"/>
                <w:szCs w:val="21"/>
              </w:rPr>
            </w:pPr>
          </w:p>
        </w:tc>
        <w:tc>
          <w:tcPr>
            <w:tcW w:w="2412" w:type="dxa"/>
            <w:tcBorders>
              <w:top w:val="single" w:color="auto" w:sz="2" w:space="0"/>
              <w:left w:val="single" w:color="auto" w:sz="2" w:space="0"/>
              <w:bottom w:val="single" w:color="auto" w:sz="2" w:space="0"/>
              <w:right w:val="single" w:color="auto" w:sz="2" w:space="0"/>
            </w:tcBorders>
            <w:vAlign w:val="center"/>
          </w:tcPr>
          <w:p w14:paraId="2E992CAE">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04569076">
            <w:pPr>
              <w:adjustRightInd w:val="0"/>
              <w:snapToGrid w:val="0"/>
              <w:spacing w:line="300" w:lineRule="exact"/>
              <w:jc w:val="center"/>
              <w:rPr>
                <w:rFonts w:eastAsia="宋体"/>
                <w:szCs w:val="21"/>
              </w:rPr>
            </w:pPr>
            <w:r>
              <w:rPr>
                <w:rFonts w:eastAsia="宋体"/>
                <w:szCs w:val="21"/>
              </w:rPr>
              <w:t>银行账号</w:t>
            </w:r>
          </w:p>
        </w:tc>
        <w:tc>
          <w:tcPr>
            <w:tcW w:w="2116" w:type="dxa"/>
            <w:tcBorders>
              <w:top w:val="single" w:color="auto" w:sz="2" w:space="0"/>
              <w:left w:val="single" w:color="auto" w:sz="2" w:space="0"/>
              <w:bottom w:val="single" w:color="auto" w:sz="2" w:space="0"/>
            </w:tcBorders>
            <w:vAlign w:val="center"/>
          </w:tcPr>
          <w:p w14:paraId="2482F347">
            <w:pPr>
              <w:adjustRightInd w:val="0"/>
              <w:snapToGrid w:val="0"/>
              <w:spacing w:line="300" w:lineRule="exact"/>
              <w:jc w:val="center"/>
              <w:rPr>
                <w:rFonts w:eastAsia="宋体"/>
                <w:spacing w:val="20"/>
                <w:szCs w:val="21"/>
              </w:rPr>
            </w:pPr>
          </w:p>
        </w:tc>
      </w:tr>
      <w:tr w14:paraId="04323DD1">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8" w:type="dxa"/>
            <w:gridSpan w:val="4"/>
            <w:tcBorders>
              <w:top w:val="single" w:color="auto" w:sz="2" w:space="0"/>
            </w:tcBorders>
            <w:vAlign w:val="center"/>
          </w:tcPr>
          <w:p w14:paraId="114D617E">
            <w:pPr>
              <w:adjustRightInd w:val="0"/>
              <w:snapToGrid w:val="0"/>
              <w:spacing w:before="156" w:beforeLines="50" w:line="360" w:lineRule="auto"/>
              <w:jc w:val="left"/>
              <w:rPr>
                <w:rFonts w:ascii="Times New Roman" w:hAnsi="Times New Roman" w:eastAsia="宋体" w:cs="Times New Roman"/>
                <w:spacing w:val="20"/>
                <w:szCs w:val="21"/>
              </w:rPr>
            </w:pPr>
            <w:r>
              <w:rPr>
                <w:rFonts w:hint="eastAsia" w:ascii="宋体" w:hAnsi="宋体" w:eastAsia="宋体" w:cs="Times New Roman"/>
                <w:szCs w:val="21"/>
              </w:rPr>
              <w:t>注：涉及联合体或其他合同主体的信息应按上表格式加列。</w:t>
            </w:r>
          </w:p>
        </w:tc>
      </w:tr>
    </w:tbl>
    <w:p w14:paraId="14D7FC48">
      <w:pPr>
        <w:ind w:firstLine="527" w:firstLineChars="250"/>
        <w:rPr>
          <w:rFonts w:hint="eastAsia" w:ascii="宋体" w:hAnsi="宋体"/>
          <w:b/>
          <w:szCs w:val="21"/>
        </w:rPr>
      </w:pPr>
    </w:p>
    <w:p w14:paraId="415147E6">
      <w:pPr>
        <w:keepNext/>
        <w:keepLines/>
        <w:adjustRightInd w:val="0"/>
        <w:snapToGrid w:val="0"/>
        <w:spacing w:before="156" w:beforeLines="50" w:line="360" w:lineRule="auto"/>
        <w:jc w:val="center"/>
        <w:outlineLvl w:val="1"/>
        <w:rPr>
          <w:rFonts w:hint="eastAsia" w:ascii="黑体" w:hAnsi="黑体" w:eastAsia="黑体" w:cs="Times New Roman"/>
          <w:b/>
          <w:bCs/>
          <w:sz w:val="28"/>
          <w:szCs w:val="28"/>
        </w:rPr>
      </w:pPr>
      <w:bookmarkStart w:id="55" w:name="_Toc27624"/>
      <w:r>
        <w:rPr>
          <w:rFonts w:hint="eastAsia" w:ascii="黑体" w:hAnsi="黑体" w:eastAsia="黑体" w:cs="Times New Roman"/>
          <w:sz w:val="28"/>
          <w:szCs w:val="28"/>
        </w:rPr>
        <w:t>第二节 政府采购合同通用条款</w:t>
      </w:r>
      <w:bookmarkEnd w:id="55"/>
    </w:p>
    <w:p w14:paraId="1B68E936">
      <w:pPr>
        <w:tabs>
          <w:tab w:val="left" w:pos="8820"/>
          <w:tab w:val="left" w:pos="9345"/>
          <w:tab w:val="left" w:pos="9765"/>
        </w:tabs>
        <w:adjustRightInd w:val="0"/>
        <w:snapToGrid w:val="0"/>
        <w:spacing w:line="400" w:lineRule="exact"/>
        <w:jc w:val="left"/>
        <w:rPr>
          <w:rFonts w:hint="eastAsia" w:ascii="宋体" w:hAnsi="宋体" w:eastAsia="宋体"/>
          <w:b/>
          <w:bCs/>
          <w:sz w:val="24"/>
        </w:rPr>
      </w:pPr>
      <w:r>
        <w:rPr>
          <w:rFonts w:hint="eastAsia" w:ascii="宋体" w:hAnsi="宋体" w:eastAsia="宋体"/>
          <w:b/>
          <w:sz w:val="24"/>
        </w:rPr>
        <w:t xml:space="preserve">1. </w:t>
      </w:r>
      <w:r>
        <w:rPr>
          <w:rFonts w:hint="eastAsia" w:ascii="宋体" w:hAnsi="宋体" w:eastAsia="宋体"/>
          <w:b/>
          <w:bCs/>
          <w:sz w:val="24"/>
        </w:rPr>
        <w:t>定义</w:t>
      </w:r>
    </w:p>
    <w:p w14:paraId="04DA7DDE">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1.1合同当事人</w:t>
      </w:r>
    </w:p>
    <w:p w14:paraId="41E83B47">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（1）采购人（以下称甲方）是指使用财政性资金，通过政府采购方式向供应商购买货物及其相关服务的国家机关、事业单位、团体组织。</w:t>
      </w:r>
    </w:p>
    <w:p w14:paraId="4DE87DAC">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（2）供应商（以下称乙方）是指参加政府采购活动并且中标（成交），向采购人提供合同约定的货物及其相关服务的法人、非法人组织或者自然人。</w:t>
      </w:r>
    </w:p>
    <w:p w14:paraId="45281B65">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（3）其他合同主体是指除采购人和供应商以外，</w:t>
      </w:r>
      <w:r>
        <w:rPr>
          <w:rFonts w:hint="eastAsia" w:ascii="宋体" w:hAnsi="宋体" w:eastAsia="宋体" w:cs="宋体"/>
          <w:bCs/>
          <w:color w:val="000000"/>
          <w:szCs w:val="21"/>
        </w:rPr>
        <w:t>依法参与合同缔结或履行，享有权利、承担义务的合同当事人</w:t>
      </w:r>
      <w:r>
        <w:rPr>
          <w:rFonts w:hint="eastAsia" w:ascii="宋体" w:hAnsi="宋体" w:eastAsia="宋体"/>
          <w:szCs w:val="21"/>
        </w:rPr>
        <w:t>。</w:t>
      </w:r>
    </w:p>
    <w:p w14:paraId="77D0AFAA">
      <w:pPr>
        <w:tabs>
          <w:tab w:val="left" w:pos="570"/>
          <w:tab w:val="left" w:pos="9240"/>
          <w:tab w:val="left" w:pos="9555"/>
        </w:tabs>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1.2本合同下列术语应解释为：</w:t>
      </w:r>
    </w:p>
    <w:p w14:paraId="428B8619">
      <w:pPr>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（1）“合同”系指</w:t>
      </w:r>
      <w:r>
        <w:rPr>
          <w:rFonts w:hint="eastAsia" w:ascii="宋体" w:hAnsi="宋体" w:eastAsia="宋体" w:cs="宋体"/>
          <w:bCs/>
          <w:color w:val="000000"/>
          <w:szCs w:val="21"/>
        </w:rPr>
        <w:t>合同当事人意思表示达成一致的任何协议，包括签署的</w:t>
      </w:r>
      <w:r>
        <w:rPr>
          <w:rFonts w:hint="eastAsia" w:ascii="宋体" w:hAnsi="宋体" w:eastAsia="宋体"/>
          <w:szCs w:val="21"/>
        </w:rPr>
        <w:t>政府采购合同协议书及其变更、补充协议，政府采购合同专用条款，政府采购合同通用条款，中标（成交）通知书，投标（响应）文件，采购文件，有关技术文件和图纸，以及</w:t>
      </w:r>
      <w:r>
        <w:rPr>
          <w:rFonts w:hint="eastAsia" w:ascii="宋体" w:hAnsi="宋体" w:eastAsia="宋体" w:cs="宋体"/>
          <w:color w:val="000000"/>
          <w:szCs w:val="21"/>
        </w:rPr>
        <w:t>国家法律、行政法规和规章制度规定或合同约定的作为合同组成部分的其他文件</w:t>
      </w:r>
      <w:r>
        <w:rPr>
          <w:rFonts w:hint="eastAsia" w:ascii="宋体" w:hAnsi="宋体" w:eastAsia="宋体"/>
          <w:szCs w:val="21"/>
        </w:rPr>
        <w:t>。</w:t>
      </w:r>
    </w:p>
    <w:p w14:paraId="27B2E4F7">
      <w:pPr>
        <w:tabs>
          <w:tab w:val="left" w:pos="570"/>
          <w:tab w:val="left" w:pos="9240"/>
          <w:tab w:val="left" w:pos="9555"/>
        </w:tabs>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（2）“合同价款”系指根据本合同规定乙方在全面履行合同义务后甲方应支付给乙方的价款。</w:t>
      </w:r>
    </w:p>
    <w:p w14:paraId="54B73A9C">
      <w:pPr>
        <w:tabs>
          <w:tab w:val="left" w:pos="570"/>
          <w:tab w:val="left" w:pos="9240"/>
          <w:tab w:val="left" w:pos="9555"/>
        </w:tabs>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szCs w:val="21"/>
        </w:rPr>
        <w:t>（3）“货物”系指乙方根据本合同规定须向甲方提供的各种形态和种类的物品，包括原材料、设备、产品（</w:t>
      </w:r>
      <w:r>
        <w:rPr>
          <w:rFonts w:hint="eastAsia" w:ascii="宋体" w:hAnsi="宋体" w:eastAsia="宋体"/>
          <w:color w:val="000000"/>
          <w:szCs w:val="21"/>
        </w:rPr>
        <w:t>包括软件）及相关的其备品备件、工具、手册及</w:t>
      </w:r>
      <w:r>
        <w:rPr>
          <w:rFonts w:ascii="宋体" w:hAnsi="宋体" w:eastAsia="宋体"/>
          <w:color w:val="000000"/>
          <w:szCs w:val="21"/>
          <w:lang w:val="en"/>
        </w:rPr>
        <w:t>其他</w:t>
      </w:r>
      <w:r>
        <w:rPr>
          <w:rFonts w:hint="eastAsia" w:ascii="宋体" w:hAnsi="宋体" w:eastAsia="宋体"/>
          <w:color w:val="000000"/>
          <w:szCs w:val="21"/>
        </w:rPr>
        <w:t>技术资料和材料等。</w:t>
      </w:r>
    </w:p>
    <w:p w14:paraId="519A452F">
      <w:pPr>
        <w:adjustRightInd w:val="0"/>
        <w:snapToGrid w:val="0"/>
        <w:spacing w:line="400" w:lineRule="exact"/>
        <w:ind w:firstLine="420" w:firstLineChars="200"/>
        <w:jc w:val="left"/>
        <w:rPr>
          <w:rFonts w:hint="eastAsia" w:ascii="宋体" w:hAnsi="宋体" w:eastAsia="宋体"/>
          <w:color w:val="000000"/>
          <w:szCs w:val="21"/>
          <w:highlight w:val="yellow"/>
        </w:rPr>
      </w:pPr>
      <w:r>
        <w:rPr>
          <w:rFonts w:hint="eastAsia" w:ascii="宋体" w:hAnsi="宋体" w:eastAsia="宋体"/>
          <w:color w:val="000000"/>
          <w:szCs w:val="21"/>
        </w:rPr>
        <w:t>（4）“</w:t>
      </w:r>
      <w:r>
        <w:rPr>
          <w:rFonts w:hint="eastAsia" w:ascii="宋体" w:hAnsi="宋体" w:eastAsia="宋体"/>
          <w:szCs w:val="21"/>
        </w:rPr>
        <w:t>相关</w:t>
      </w:r>
      <w:r>
        <w:rPr>
          <w:rFonts w:hint="eastAsia" w:ascii="宋体" w:hAnsi="宋体" w:eastAsia="宋体"/>
          <w:color w:val="000000"/>
          <w:szCs w:val="21"/>
        </w:rPr>
        <w:t>服务”系指根据合同规定，乙方应提供的与货物有关的技术、管理和</w:t>
      </w:r>
      <w:r>
        <w:rPr>
          <w:rFonts w:ascii="宋体" w:hAnsi="宋体" w:eastAsia="宋体"/>
          <w:color w:val="000000"/>
          <w:szCs w:val="21"/>
          <w:lang w:val="en"/>
        </w:rPr>
        <w:t>其他</w:t>
      </w:r>
      <w:r>
        <w:rPr>
          <w:rFonts w:hint="eastAsia" w:ascii="宋体" w:hAnsi="宋体" w:eastAsia="宋体"/>
          <w:color w:val="000000"/>
          <w:szCs w:val="21"/>
        </w:rPr>
        <w:t>服务，包括但不限于：管理和质量保证、运输、保险、检验、现场准备、安装、集成、调试、培训、维修、废弃处置、技术支持等以及合同中规定乙方应承担的</w:t>
      </w:r>
      <w:r>
        <w:rPr>
          <w:rFonts w:ascii="宋体" w:hAnsi="宋体" w:eastAsia="宋体"/>
          <w:color w:val="000000"/>
          <w:szCs w:val="21"/>
          <w:lang w:val="en"/>
        </w:rPr>
        <w:t>其他</w:t>
      </w:r>
      <w:r>
        <w:rPr>
          <w:rFonts w:hint="eastAsia" w:ascii="宋体" w:hAnsi="宋体" w:eastAsia="宋体"/>
          <w:color w:val="000000"/>
          <w:szCs w:val="21"/>
        </w:rPr>
        <w:t>义务。</w:t>
      </w:r>
    </w:p>
    <w:p w14:paraId="7957EE65">
      <w:pPr>
        <w:adjustRightInd w:val="0"/>
        <w:snapToGrid w:val="0"/>
        <w:spacing w:line="400" w:lineRule="exact"/>
        <w:ind w:firstLine="420" w:firstLineChars="200"/>
        <w:jc w:val="left"/>
        <w:rPr>
          <w:rFonts w:hint="eastAsia" w:ascii="宋体" w:hAnsi="宋体" w:eastAsia="宋体"/>
          <w:color w:val="000000"/>
          <w:szCs w:val="21"/>
          <w:highlight w:val="yellow"/>
        </w:rPr>
      </w:pPr>
      <w:r>
        <w:rPr>
          <w:rFonts w:hint="eastAsia" w:ascii="宋体" w:hAnsi="宋体" w:eastAsia="宋体"/>
          <w:color w:val="000000"/>
          <w:szCs w:val="21"/>
        </w:rPr>
        <w:t>（5）“分包”系指中标（成交）供应商按采购文件、投标（响应）文件的规定，根据分包意向协议，将中标（成交）项目中的部分履约内容，分给具有相应资质条件的供应商履行合同的行为。</w:t>
      </w:r>
    </w:p>
    <w:p w14:paraId="2A5B9DAC">
      <w:pPr>
        <w:tabs>
          <w:tab w:val="left" w:pos="570"/>
          <w:tab w:val="left" w:pos="9240"/>
          <w:tab w:val="left" w:pos="9555"/>
        </w:tabs>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（6）</w:t>
      </w:r>
      <w:r>
        <w:rPr>
          <w:rFonts w:hint="eastAsia" w:ascii="宋体" w:hAnsi="宋体" w:eastAsia="宋体"/>
          <w:szCs w:val="21"/>
        </w:rPr>
        <w:t>“联合体”系指由两个以上的自然人、法人或者非法人组织组成，以一个供应商的身份共同参加政府采购的主体</w:t>
      </w:r>
      <w:r>
        <w:rPr>
          <w:rFonts w:hint="eastAsia" w:ascii="宋体" w:hAnsi="宋体" w:eastAsia="宋体"/>
          <w:color w:val="000000"/>
          <w:szCs w:val="21"/>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eastAsia="宋体"/>
          <w:b/>
          <w:bCs/>
          <w:color w:val="000000"/>
          <w:szCs w:val="21"/>
        </w:rPr>
        <w:t>政府采购合同专用条款</w:t>
      </w:r>
      <w:r>
        <w:rPr>
          <w:rFonts w:hint="eastAsia" w:ascii="宋体" w:hAnsi="宋体" w:eastAsia="宋体"/>
          <w:color w:val="000000"/>
          <w:szCs w:val="21"/>
        </w:rPr>
        <w:t>】。</w:t>
      </w:r>
    </w:p>
    <w:p w14:paraId="4280FA13">
      <w:pPr>
        <w:tabs>
          <w:tab w:val="left" w:pos="570"/>
          <w:tab w:val="left" w:pos="9240"/>
          <w:tab w:val="left" w:pos="9555"/>
        </w:tabs>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（7）其他术语解释，见【</w:t>
      </w:r>
      <w:r>
        <w:rPr>
          <w:rFonts w:hint="eastAsia" w:ascii="宋体" w:hAnsi="宋体" w:eastAsia="宋体"/>
          <w:b/>
          <w:bCs/>
          <w:color w:val="000000"/>
          <w:szCs w:val="21"/>
        </w:rPr>
        <w:t>政府采购合同专用条款</w:t>
      </w:r>
      <w:r>
        <w:rPr>
          <w:rFonts w:hint="eastAsia" w:ascii="宋体" w:hAnsi="宋体" w:eastAsia="宋体"/>
          <w:color w:val="000000"/>
          <w:szCs w:val="21"/>
        </w:rPr>
        <w:t>】。</w:t>
      </w:r>
    </w:p>
    <w:p w14:paraId="1FA158AB">
      <w:pPr>
        <w:numPr>
          <w:ilvl w:val="0"/>
          <w:numId w:val="10"/>
        </w:numPr>
        <w:autoSpaceDE w:val="0"/>
        <w:autoSpaceDN w:val="0"/>
        <w:adjustRightInd w:val="0"/>
        <w:snapToGrid w:val="0"/>
        <w:spacing w:line="400" w:lineRule="exact"/>
        <w:jc w:val="left"/>
        <w:rPr>
          <w:rFonts w:hint="eastAsia" w:ascii="宋体" w:hAnsi="宋体" w:eastAsia="宋体"/>
          <w:b/>
          <w:bCs/>
          <w:color w:val="000000"/>
          <w:sz w:val="24"/>
        </w:rPr>
      </w:pPr>
      <w:r>
        <w:rPr>
          <w:rFonts w:hint="eastAsia" w:ascii="宋体" w:hAnsi="宋体" w:eastAsia="宋体"/>
          <w:b/>
          <w:color w:val="000000"/>
          <w:sz w:val="24"/>
        </w:rPr>
        <w:t>合同标的及金额</w:t>
      </w:r>
    </w:p>
    <w:p w14:paraId="5C55063B">
      <w:pPr>
        <w:autoSpaceDE w:val="0"/>
        <w:autoSpaceDN w:val="0"/>
        <w:adjustRightInd w:val="0"/>
        <w:snapToGrid w:val="0"/>
        <w:spacing w:line="400" w:lineRule="exact"/>
        <w:ind w:firstLine="420" w:firstLineChars="200"/>
        <w:jc w:val="left"/>
        <w:rPr>
          <w:rFonts w:hint="eastAsia" w:ascii="宋体" w:hAnsi="宋体" w:eastAsia="宋体"/>
          <w:b/>
          <w:bCs/>
          <w:i/>
          <w:iCs/>
          <w:color w:val="000000"/>
          <w:szCs w:val="21"/>
        </w:rPr>
      </w:pPr>
      <w:r>
        <w:rPr>
          <w:rFonts w:hint="eastAsia" w:ascii="宋体" w:hAnsi="宋体" w:eastAsia="宋体"/>
          <w:color w:val="000000"/>
          <w:szCs w:val="21"/>
        </w:rPr>
        <w:t>2.1 合同标的及金额应与中标（成交）结果一致。乙方为履行本合同而发生的所有费用均应包含在合同价款中，甲方不再另行支付</w:t>
      </w:r>
      <w:r>
        <w:rPr>
          <w:rFonts w:ascii="宋体" w:hAnsi="宋体" w:eastAsia="宋体"/>
          <w:color w:val="000000"/>
          <w:szCs w:val="21"/>
          <w:lang w:val="en"/>
        </w:rPr>
        <w:t>其他</w:t>
      </w:r>
      <w:r>
        <w:rPr>
          <w:rFonts w:hint="eastAsia" w:ascii="宋体" w:hAnsi="宋体" w:eastAsia="宋体"/>
          <w:color w:val="000000"/>
          <w:szCs w:val="21"/>
        </w:rPr>
        <w:t>任何费用。</w:t>
      </w:r>
    </w:p>
    <w:p w14:paraId="77083E30">
      <w:pPr>
        <w:adjustRightInd w:val="0"/>
        <w:snapToGrid w:val="0"/>
        <w:spacing w:line="400" w:lineRule="exact"/>
        <w:jc w:val="left"/>
        <w:rPr>
          <w:rFonts w:hint="eastAsia" w:ascii="宋体" w:hAnsi="宋体" w:eastAsia="宋体"/>
          <w:b/>
          <w:color w:val="000000"/>
          <w:sz w:val="24"/>
        </w:rPr>
      </w:pPr>
      <w:r>
        <w:rPr>
          <w:rFonts w:hint="eastAsia" w:ascii="宋体" w:hAnsi="宋体" w:eastAsia="宋体"/>
          <w:b/>
          <w:color w:val="000000"/>
          <w:sz w:val="24"/>
        </w:rPr>
        <w:t>3. 履行合同的时间、地点和方式</w:t>
      </w:r>
    </w:p>
    <w:p w14:paraId="0B01A7F1">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 xml:space="preserve">3.1 </w:t>
      </w:r>
      <w:r>
        <w:rPr>
          <w:rFonts w:hint="eastAsia" w:ascii="宋体" w:hAnsi="宋体" w:eastAsia="宋体" w:cs="宋体"/>
          <w:szCs w:val="21"/>
        </w:rPr>
        <w:t>乙方应当在约定的时间、地点，按照约定方式履行合同。</w:t>
      </w:r>
    </w:p>
    <w:p w14:paraId="1147C62C">
      <w:pPr>
        <w:autoSpaceDE w:val="0"/>
        <w:autoSpaceDN w:val="0"/>
        <w:adjustRightInd w:val="0"/>
        <w:snapToGrid w:val="0"/>
        <w:spacing w:line="400" w:lineRule="exact"/>
        <w:jc w:val="left"/>
        <w:rPr>
          <w:rFonts w:hint="eastAsia" w:ascii="宋体" w:hAnsi="宋体" w:eastAsia="宋体"/>
          <w:b/>
          <w:bCs/>
          <w:color w:val="000000"/>
          <w:sz w:val="24"/>
        </w:rPr>
      </w:pPr>
      <w:r>
        <w:rPr>
          <w:rFonts w:hint="eastAsia" w:ascii="宋体" w:hAnsi="宋体" w:eastAsia="宋体"/>
          <w:b/>
          <w:bCs/>
          <w:color w:val="000000"/>
          <w:sz w:val="24"/>
        </w:rPr>
        <w:t>4. 甲方的权利和义务</w:t>
      </w:r>
    </w:p>
    <w:p w14:paraId="5E4D9AED">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4.1</w:t>
      </w:r>
      <w:r>
        <w:rPr>
          <w:rFonts w:ascii="宋体" w:hAnsi="宋体" w:eastAsia="宋体"/>
          <w:color w:val="000000"/>
          <w:szCs w:val="21"/>
        </w:rPr>
        <w:t xml:space="preserve"> 签署合同后，甲方</w:t>
      </w:r>
      <w:r>
        <w:rPr>
          <w:rFonts w:hint="eastAsia" w:ascii="宋体" w:hAnsi="宋体" w:eastAsia="宋体"/>
          <w:color w:val="000000"/>
          <w:szCs w:val="21"/>
        </w:rPr>
        <w:t>应</w:t>
      </w:r>
      <w:r>
        <w:rPr>
          <w:rFonts w:ascii="宋体" w:hAnsi="宋体" w:eastAsia="宋体"/>
          <w:color w:val="000000"/>
          <w:szCs w:val="21"/>
        </w:rPr>
        <w:t>确定</w:t>
      </w:r>
      <w:r>
        <w:rPr>
          <w:rFonts w:hint="eastAsia" w:ascii="宋体" w:hAnsi="宋体" w:eastAsia="宋体"/>
          <w:color w:val="000000"/>
          <w:szCs w:val="21"/>
        </w:rPr>
        <w:t>项目负责人（或项目联系人）</w:t>
      </w:r>
      <w:r>
        <w:rPr>
          <w:rFonts w:ascii="宋体" w:hAnsi="宋体" w:eastAsia="宋体"/>
          <w:color w:val="000000"/>
          <w:szCs w:val="21"/>
        </w:rPr>
        <w:t>，负责与本合同有关的事务。</w:t>
      </w:r>
      <w:r>
        <w:rPr>
          <w:rFonts w:hint="eastAsia" w:ascii="宋体" w:hAnsi="宋体" w:eastAsia="宋体"/>
          <w:color w:val="000000"/>
          <w:szCs w:val="21"/>
        </w:rPr>
        <w:t>甲方有权对乙方的履约行为进行检查，并</w:t>
      </w:r>
      <w:r>
        <w:rPr>
          <w:rFonts w:ascii="宋体" w:hAnsi="宋体" w:eastAsia="宋体"/>
          <w:color w:val="000000"/>
          <w:szCs w:val="21"/>
        </w:rPr>
        <w:t>及时确认乙方提交的事项</w:t>
      </w:r>
      <w:r>
        <w:rPr>
          <w:rFonts w:hint="eastAsia" w:ascii="宋体" w:hAnsi="宋体" w:eastAsia="宋体"/>
          <w:color w:val="000000"/>
          <w:szCs w:val="21"/>
        </w:rPr>
        <w:t>。甲方应当</w:t>
      </w:r>
      <w:r>
        <w:rPr>
          <w:rFonts w:ascii="宋体" w:hAnsi="宋体" w:eastAsia="宋体"/>
          <w:color w:val="000000"/>
          <w:szCs w:val="21"/>
        </w:rPr>
        <w:t>配合乙方完成</w:t>
      </w:r>
      <w:r>
        <w:rPr>
          <w:rFonts w:hint="eastAsia" w:ascii="宋体" w:hAnsi="宋体" w:eastAsia="宋体"/>
          <w:color w:val="000000"/>
          <w:szCs w:val="21"/>
        </w:rPr>
        <w:t>相关项目</w:t>
      </w:r>
      <w:r>
        <w:rPr>
          <w:rFonts w:ascii="宋体" w:hAnsi="宋体" w:eastAsia="宋体"/>
          <w:color w:val="000000"/>
          <w:szCs w:val="21"/>
        </w:rPr>
        <w:t>实施工作。</w:t>
      </w:r>
    </w:p>
    <w:p w14:paraId="0BB3D763">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 xml:space="preserve">4.2 </w:t>
      </w:r>
      <w:r>
        <w:rPr>
          <w:rFonts w:ascii="宋体" w:hAnsi="宋体" w:eastAsia="宋体"/>
          <w:color w:val="000000"/>
          <w:szCs w:val="21"/>
        </w:rPr>
        <w:t>甲方有权要求乙方按时提交各阶段有关</w:t>
      </w:r>
      <w:r>
        <w:rPr>
          <w:rFonts w:hint="eastAsia" w:ascii="宋体" w:hAnsi="宋体" w:eastAsia="宋体"/>
          <w:color w:val="000000"/>
          <w:szCs w:val="21"/>
        </w:rPr>
        <w:t>安排计划</w:t>
      </w:r>
      <w:r>
        <w:rPr>
          <w:rFonts w:ascii="宋体" w:hAnsi="宋体" w:eastAsia="宋体"/>
          <w:color w:val="000000"/>
          <w:szCs w:val="21"/>
        </w:rPr>
        <w:t>，并有权</w:t>
      </w:r>
      <w:r>
        <w:rPr>
          <w:rFonts w:hint="eastAsia" w:ascii="宋体" w:hAnsi="宋体" w:eastAsia="宋体"/>
          <w:color w:val="000000"/>
          <w:szCs w:val="21"/>
        </w:rPr>
        <w:t>定期核对乙方提供货物数量、规格、质量等内容。甲方</w:t>
      </w:r>
      <w:r>
        <w:rPr>
          <w:rFonts w:ascii="宋体" w:hAnsi="宋体" w:eastAsia="宋体"/>
          <w:color w:val="000000"/>
          <w:szCs w:val="21"/>
        </w:rPr>
        <w:t>有权督促乙方工作并要求乙方</w:t>
      </w:r>
      <w:r>
        <w:rPr>
          <w:rFonts w:hint="eastAsia" w:ascii="宋体" w:hAnsi="宋体" w:eastAsia="宋体"/>
          <w:color w:val="000000"/>
          <w:szCs w:val="21"/>
        </w:rPr>
        <w:t>更</w:t>
      </w:r>
      <w:r>
        <w:rPr>
          <w:rFonts w:ascii="宋体" w:hAnsi="宋体" w:eastAsia="宋体"/>
          <w:color w:val="000000"/>
          <w:szCs w:val="21"/>
        </w:rPr>
        <w:t>换不符合要求的</w:t>
      </w:r>
      <w:r>
        <w:rPr>
          <w:rFonts w:hint="eastAsia" w:ascii="宋体" w:hAnsi="宋体" w:eastAsia="宋体"/>
          <w:color w:val="000000"/>
          <w:szCs w:val="21"/>
        </w:rPr>
        <w:t>货物</w:t>
      </w:r>
      <w:r>
        <w:rPr>
          <w:rFonts w:ascii="宋体" w:hAnsi="宋体" w:eastAsia="宋体"/>
          <w:color w:val="000000"/>
          <w:szCs w:val="21"/>
        </w:rPr>
        <w:t>。</w:t>
      </w:r>
    </w:p>
    <w:p w14:paraId="48F28ABC">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4.</w:t>
      </w:r>
      <w:r>
        <w:rPr>
          <w:rFonts w:ascii="宋体" w:hAnsi="宋体" w:eastAsia="宋体"/>
          <w:color w:val="000000"/>
          <w:szCs w:val="21"/>
        </w:rPr>
        <w:t>3</w:t>
      </w:r>
      <w:r>
        <w:rPr>
          <w:rFonts w:hint="eastAsia" w:ascii="宋体" w:hAnsi="宋体" w:eastAsia="宋体"/>
          <w:color w:val="000000"/>
          <w:szCs w:val="21"/>
        </w:rPr>
        <w:t xml:space="preserve"> </w:t>
      </w:r>
      <w:r>
        <w:rPr>
          <w:rFonts w:ascii="宋体" w:hAnsi="宋体" w:eastAsia="宋体"/>
          <w:color w:val="000000"/>
          <w:szCs w:val="21"/>
        </w:rPr>
        <w:t>甲方</w:t>
      </w:r>
      <w:r>
        <w:rPr>
          <w:rFonts w:hint="eastAsia" w:ascii="宋体" w:hAnsi="宋体" w:eastAsia="宋体"/>
          <w:color w:val="000000"/>
          <w:szCs w:val="21"/>
        </w:rPr>
        <w:t>有权要求乙方对缺陷部分予以修复，并按合同约定享有货物保修及其他合同约定的权利。</w:t>
      </w:r>
    </w:p>
    <w:p w14:paraId="33CD7FB0">
      <w:pPr>
        <w:snapToGrid w:val="0"/>
        <w:spacing w:line="400" w:lineRule="exact"/>
        <w:ind w:firstLine="420" w:firstLineChars="200"/>
        <w:rPr>
          <w:rFonts w:eastAsia="华文楷体"/>
        </w:rPr>
      </w:pPr>
      <w:r>
        <w:rPr>
          <w:rFonts w:ascii="宋体" w:hAnsi="宋体" w:eastAsia="宋体"/>
          <w:color w:val="000000"/>
          <w:szCs w:val="21"/>
        </w:rPr>
        <w:t>4.4 甲方应当按照合同约定及时对交付的货物进行验收</w:t>
      </w:r>
      <w:r>
        <w:rPr>
          <w:rFonts w:hint="eastAsia" w:ascii="宋体" w:hAnsi="宋体" w:eastAsia="宋体"/>
          <w:color w:val="000000"/>
          <w:szCs w:val="21"/>
        </w:rPr>
        <w:t>，</w:t>
      </w:r>
      <w:r>
        <w:rPr>
          <w:rFonts w:hint="eastAsia" w:ascii="宋体" w:hAnsi="宋体" w:eastAsia="宋体" w:cs="宋体"/>
          <w:szCs w:val="21"/>
        </w:rPr>
        <w:t>未</w:t>
      </w:r>
      <w:r>
        <w:rPr>
          <w:rFonts w:hint="eastAsia" w:ascii="宋体" w:hAnsi="宋体" w:eastAsia="宋体"/>
          <w:color w:val="000000"/>
          <w:szCs w:val="21"/>
        </w:rPr>
        <w:t>在</w:t>
      </w:r>
      <w:r>
        <w:rPr>
          <w:rFonts w:hint="eastAsia" w:ascii="宋体" w:hAnsi="宋体" w:eastAsia="宋体" w:cs="宋体"/>
          <w:b/>
          <w:bCs/>
          <w:szCs w:val="21"/>
        </w:rPr>
        <w:t>【政府采购合同专用条款】</w:t>
      </w:r>
      <w:r>
        <w:rPr>
          <w:rFonts w:hint="eastAsia" w:ascii="宋体" w:hAnsi="宋体" w:eastAsia="宋体" w:cs="宋体"/>
          <w:szCs w:val="21"/>
        </w:rPr>
        <w:t>约定的期限内对乙方履约提出任何异议或者向乙方作出任何说明的，</w:t>
      </w:r>
      <w:r>
        <w:rPr>
          <w:rFonts w:hint="eastAsia" w:ascii="宋体" w:hAnsi="宋体" w:eastAsia="宋体"/>
          <w:color w:val="000000"/>
          <w:szCs w:val="21"/>
        </w:rPr>
        <w:t>视为验收通过。</w:t>
      </w:r>
    </w:p>
    <w:p w14:paraId="7AFE4AB1">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ascii="宋体" w:hAnsi="宋体" w:eastAsia="宋体"/>
          <w:color w:val="000000"/>
          <w:szCs w:val="21"/>
        </w:rPr>
        <w:t>4</w:t>
      </w:r>
      <w:r>
        <w:rPr>
          <w:rFonts w:hint="eastAsia" w:ascii="宋体" w:hAnsi="宋体" w:eastAsia="宋体"/>
          <w:color w:val="000000"/>
          <w:szCs w:val="21"/>
        </w:rPr>
        <w:t>.</w:t>
      </w:r>
      <w:r>
        <w:rPr>
          <w:rFonts w:ascii="宋体" w:hAnsi="宋体" w:eastAsia="宋体"/>
          <w:color w:val="000000"/>
          <w:szCs w:val="21"/>
        </w:rPr>
        <w:t xml:space="preserve">5 </w:t>
      </w:r>
      <w:r>
        <w:rPr>
          <w:rFonts w:hint="eastAsia" w:ascii="宋体" w:hAnsi="宋体" w:eastAsia="宋体"/>
          <w:color w:val="000000"/>
          <w:szCs w:val="21"/>
        </w:rPr>
        <w:t>甲方应当根据合同约定及时向乙方支付合同价款</w:t>
      </w:r>
      <w:r>
        <w:rPr>
          <w:rFonts w:ascii="宋体" w:hAnsi="宋体" w:eastAsia="宋体"/>
          <w:color w:val="000000"/>
          <w:szCs w:val="21"/>
        </w:rPr>
        <w:t>，不得以内部人员变更、履行内部付款流程等为由，拒绝或迟延支付。</w:t>
      </w:r>
    </w:p>
    <w:p w14:paraId="6F97CDEB">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4.6</w:t>
      </w:r>
      <w:r>
        <w:rPr>
          <w:rFonts w:ascii="宋体" w:hAnsi="宋体" w:eastAsia="宋体"/>
          <w:color w:val="000000"/>
          <w:szCs w:val="21"/>
        </w:rPr>
        <w:t xml:space="preserve"> </w:t>
      </w:r>
      <w:r>
        <w:rPr>
          <w:rFonts w:hint="eastAsia" w:ascii="宋体" w:hAnsi="宋体" w:eastAsia="宋体"/>
          <w:color w:val="000000"/>
          <w:szCs w:val="21"/>
        </w:rPr>
        <w:t>国家法律法规规定及</w:t>
      </w:r>
      <w:r>
        <w:rPr>
          <w:rFonts w:hint="eastAsia" w:ascii="宋体" w:hAnsi="宋体" w:eastAsia="宋体" w:cs="宋体"/>
          <w:b/>
          <w:bCs/>
          <w:szCs w:val="21"/>
        </w:rPr>
        <w:t>【政府采购合同专用条款】</w:t>
      </w:r>
      <w:r>
        <w:rPr>
          <w:rFonts w:hint="eastAsia" w:ascii="宋体" w:hAnsi="宋体" w:eastAsia="宋体"/>
          <w:color w:val="000000"/>
          <w:szCs w:val="21"/>
        </w:rPr>
        <w:t>约定应由甲方承担的其他义务和责任。</w:t>
      </w:r>
    </w:p>
    <w:p w14:paraId="27ACE441">
      <w:pPr>
        <w:autoSpaceDE w:val="0"/>
        <w:autoSpaceDN w:val="0"/>
        <w:adjustRightInd w:val="0"/>
        <w:snapToGrid w:val="0"/>
        <w:spacing w:line="400" w:lineRule="exact"/>
        <w:jc w:val="left"/>
        <w:rPr>
          <w:rFonts w:hint="eastAsia" w:ascii="宋体" w:hAnsi="宋体" w:eastAsia="宋体"/>
          <w:b/>
          <w:bCs/>
          <w:color w:val="000000"/>
          <w:sz w:val="24"/>
        </w:rPr>
      </w:pPr>
      <w:r>
        <w:rPr>
          <w:rFonts w:hint="eastAsia" w:ascii="宋体" w:hAnsi="宋体" w:eastAsia="宋体"/>
          <w:b/>
          <w:bCs/>
          <w:color w:val="000000"/>
          <w:sz w:val="24"/>
        </w:rPr>
        <w:t>5. 乙方的权利和义务</w:t>
      </w:r>
    </w:p>
    <w:p w14:paraId="7245DE73">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 xml:space="preserve">5.1 </w:t>
      </w:r>
      <w:r>
        <w:rPr>
          <w:rFonts w:ascii="宋体" w:hAnsi="宋体" w:eastAsia="宋体"/>
          <w:color w:val="000000"/>
          <w:szCs w:val="21"/>
        </w:rPr>
        <w:t>签署合同后，乙方</w:t>
      </w:r>
      <w:r>
        <w:rPr>
          <w:rFonts w:hint="eastAsia" w:ascii="宋体" w:hAnsi="宋体" w:eastAsia="宋体"/>
          <w:color w:val="000000"/>
          <w:szCs w:val="21"/>
        </w:rPr>
        <w:t>应</w:t>
      </w:r>
      <w:r>
        <w:rPr>
          <w:rFonts w:ascii="宋体" w:hAnsi="宋体" w:eastAsia="宋体"/>
          <w:color w:val="000000"/>
          <w:szCs w:val="21"/>
        </w:rPr>
        <w:t>确定</w:t>
      </w:r>
      <w:r>
        <w:rPr>
          <w:rFonts w:hint="eastAsia" w:ascii="宋体" w:hAnsi="宋体" w:eastAsia="宋体"/>
          <w:color w:val="000000"/>
          <w:szCs w:val="21"/>
        </w:rPr>
        <w:t>项目负责人（或项目联系人）</w:t>
      </w:r>
      <w:r>
        <w:rPr>
          <w:rFonts w:ascii="宋体" w:hAnsi="宋体" w:eastAsia="宋体"/>
          <w:color w:val="000000"/>
          <w:szCs w:val="21"/>
        </w:rPr>
        <w:t>，负责与本合同有关的事务。</w:t>
      </w:r>
    </w:p>
    <w:p w14:paraId="4E76E173">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5.</w:t>
      </w:r>
      <w:r>
        <w:rPr>
          <w:rFonts w:ascii="宋体" w:hAnsi="宋体" w:eastAsia="宋体"/>
          <w:color w:val="000000"/>
          <w:szCs w:val="21"/>
        </w:rPr>
        <w:t>2 乙方应按照合同要求</w:t>
      </w:r>
      <w:r>
        <w:rPr>
          <w:rFonts w:hint="eastAsia" w:ascii="宋体" w:hAnsi="宋体" w:eastAsia="宋体"/>
          <w:color w:val="000000"/>
          <w:szCs w:val="21"/>
        </w:rPr>
        <w:t>履约</w:t>
      </w:r>
      <w:r>
        <w:rPr>
          <w:rFonts w:ascii="宋体" w:hAnsi="宋体" w:eastAsia="宋体"/>
          <w:color w:val="000000"/>
          <w:szCs w:val="21"/>
        </w:rPr>
        <w:t>，充分合理安排，确保</w:t>
      </w:r>
      <w:r>
        <w:rPr>
          <w:rFonts w:hint="eastAsia" w:ascii="宋体" w:hAnsi="宋体" w:eastAsia="宋体"/>
          <w:color w:val="000000"/>
          <w:szCs w:val="21"/>
        </w:rPr>
        <w:t>提供的货物及相关服务符合合同有关</w:t>
      </w:r>
      <w:r>
        <w:rPr>
          <w:rFonts w:ascii="宋体" w:hAnsi="宋体" w:eastAsia="宋体"/>
          <w:color w:val="000000"/>
          <w:szCs w:val="21"/>
        </w:rPr>
        <w:t>要求</w:t>
      </w:r>
      <w:r>
        <w:rPr>
          <w:rFonts w:hint="eastAsia" w:ascii="宋体" w:hAnsi="宋体" w:eastAsia="宋体"/>
          <w:color w:val="000000"/>
          <w:szCs w:val="21"/>
        </w:rPr>
        <w:t>。接受项目行业管理部门及政府有关部门的指导，配合甲方的履约检查及验收，并</w:t>
      </w:r>
      <w:r>
        <w:rPr>
          <w:rFonts w:ascii="宋体" w:hAnsi="宋体" w:eastAsia="宋体"/>
          <w:color w:val="000000"/>
          <w:szCs w:val="21"/>
        </w:rPr>
        <w:t>负责项目实施过程中的所有协调工作。</w:t>
      </w:r>
    </w:p>
    <w:p w14:paraId="195DFF68">
      <w:pPr>
        <w:spacing w:line="400" w:lineRule="exact"/>
        <w:ind w:firstLine="369" w:firstLineChars="176"/>
        <w:rPr>
          <w:rFonts w:hint="eastAsia" w:ascii="宋体" w:hAnsi="宋体" w:eastAsia="宋体" w:cs="宋体"/>
          <w:color w:val="000000"/>
          <w:szCs w:val="21"/>
        </w:rPr>
      </w:pPr>
      <w:r>
        <w:rPr>
          <w:rFonts w:hint="eastAsia" w:ascii="宋体" w:hAnsi="宋体" w:eastAsia="宋体" w:cs="Times New Roman"/>
          <w:color w:val="000000"/>
          <w:szCs w:val="21"/>
        </w:rPr>
        <w:t>5.</w:t>
      </w:r>
      <w:r>
        <w:rPr>
          <w:rFonts w:ascii="宋体" w:hAnsi="宋体" w:eastAsia="宋体" w:cs="Times New Roman"/>
          <w:color w:val="000000"/>
          <w:szCs w:val="21"/>
        </w:rPr>
        <w:t>3</w:t>
      </w:r>
      <w:r>
        <w:rPr>
          <w:rFonts w:hint="eastAsia" w:ascii="宋体" w:hAnsi="宋体" w:eastAsia="宋体" w:cs="Times New Roman"/>
          <w:color w:val="000000"/>
          <w:szCs w:val="21"/>
        </w:rPr>
        <w:t>乙方有权</w:t>
      </w:r>
      <w:r>
        <w:rPr>
          <w:rFonts w:hint="eastAsia" w:ascii="宋体" w:hAnsi="宋体" w:eastAsia="宋体" w:cs="宋体"/>
          <w:color w:val="000000"/>
          <w:szCs w:val="21"/>
        </w:rPr>
        <w:t>根据合同约定向甲方收取合同价款。</w:t>
      </w:r>
    </w:p>
    <w:p w14:paraId="7C1FF589">
      <w:pPr>
        <w:spacing w:line="400" w:lineRule="exact"/>
        <w:ind w:firstLine="369" w:firstLineChars="176"/>
        <w:rPr>
          <w:rFonts w:hint="eastAsia" w:ascii="宋体" w:hAnsi="宋体" w:eastAsia="宋体" w:cs="宋体"/>
          <w:color w:val="000000"/>
          <w:szCs w:val="21"/>
        </w:rPr>
      </w:pPr>
      <w:r>
        <w:rPr>
          <w:rFonts w:hint="eastAsia" w:ascii="宋体" w:hAnsi="宋体" w:eastAsia="宋体" w:cs="Times New Roman"/>
          <w:color w:val="000000"/>
          <w:szCs w:val="21"/>
        </w:rPr>
        <w:t>5.</w:t>
      </w:r>
      <w:r>
        <w:rPr>
          <w:rFonts w:ascii="宋体" w:hAnsi="宋体" w:eastAsia="宋体" w:cs="Times New Roman"/>
          <w:color w:val="000000"/>
          <w:szCs w:val="21"/>
        </w:rPr>
        <w:t>4</w:t>
      </w:r>
      <w:r>
        <w:rPr>
          <w:rFonts w:hint="eastAsia" w:ascii="宋体" w:hAnsi="宋体" w:eastAsia="宋体" w:cs="宋体"/>
          <w:color w:val="000000"/>
          <w:szCs w:val="21"/>
        </w:rPr>
        <w:t>国家法律法规规定</w:t>
      </w:r>
      <w:r>
        <w:rPr>
          <w:rFonts w:hint="eastAsia" w:ascii="宋体" w:hAnsi="宋体" w:eastAsia="宋体" w:cs="Times New Roman"/>
          <w:color w:val="000000"/>
          <w:szCs w:val="21"/>
        </w:rPr>
        <w:t>及</w:t>
      </w:r>
      <w:r>
        <w:rPr>
          <w:rFonts w:hint="eastAsia" w:ascii="宋体" w:hAnsi="宋体" w:eastAsia="宋体" w:cs="宋体"/>
          <w:b/>
          <w:bCs/>
          <w:szCs w:val="21"/>
        </w:rPr>
        <w:t>【政府采购合同专用条款】</w:t>
      </w:r>
      <w:r>
        <w:rPr>
          <w:rFonts w:hint="eastAsia" w:ascii="宋体" w:hAnsi="宋体" w:eastAsia="宋体" w:cs="宋体"/>
          <w:szCs w:val="21"/>
        </w:rPr>
        <w:t>约定应</w:t>
      </w:r>
      <w:r>
        <w:rPr>
          <w:rFonts w:hint="eastAsia" w:ascii="宋体" w:hAnsi="宋体" w:eastAsia="宋体" w:cs="宋体"/>
          <w:color w:val="000000"/>
          <w:szCs w:val="21"/>
        </w:rPr>
        <w:t>由乙方承担的其他义务和责任。</w:t>
      </w:r>
    </w:p>
    <w:p w14:paraId="7280D370">
      <w:pPr>
        <w:numPr>
          <w:ilvl w:val="0"/>
          <w:numId w:val="11"/>
        </w:numPr>
        <w:autoSpaceDE w:val="0"/>
        <w:autoSpaceDN w:val="0"/>
        <w:adjustRightInd w:val="0"/>
        <w:snapToGrid w:val="0"/>
        <w:spacing w:line="400" w:lineRule="exact"/>
        <w:jc w:val="left"/>
        <w:rPr>
          <w:rFonts w:hint="eastAsia" w:ascii="宋体" w:hAnsi="宋体" w:eastAsia="宋体"/>
          <w:b/>
          <w:bCs/>
          <w:color w:val="000000"/>
          <w:sz w:val="24"/>
        </w:rPr>
      </w:pPr>
      <w:r>
        <w:rPr>
          <w:rFonts w:hint="eastAsia" w:ascii="宋体" w:hAnsi="宋体" w:eastAsia="宋体"/>
          <w:b/>
          <w:bCs/>
          <w:color w:val="000000"/>
          <w:sz w:val="24"/>
        </w:rPr>
        <w:t>合同履行</w:t>
      </w:r>
    </w:p>
    <w:p w14:paraId="6E679200">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6.1 甲乙双方应当按照</w:t>
      </w:r>
      <w:r>
        <w:rPr>
          <w:rFonts w:hint="eastAsia" w:ascii="宋体" w:hAnsi="宋体" w:eastAsia="宋体" w:cs="宋体"/>
          <w:b/>
          <w:bCs/>
          <w:szCs w:val="21"/>
        </w:rPr>
        <w:t>【政府采购合同专用条款】</w:t>
      </w:r>
      <w:r>
        <w:rPr>
          <w:rFonts w:hint="eastAsia" w:ascii="宋体" w:hAnsi="宋体" w:eastAsia="宋体"/>
          <w:color w:val="000000"/>
          <w:szCs w:val="21"/>
        </w:rPr>
        <w:t>约定顺序履行合同义务；如果没有先后顺序的，应当同时履行。</w:t>
      </w:r>
    </w:p>
    <w:p w14:paraId="0C67FCD2">
      <w:pPr>
        <w:autoSpaceDE w:val="0"/>
        <w:autoSpaceDN w:val="0"/>
        <w:adjustRightInd w:val="0"/>
        <w:snapToGrid w:val="0"/>
        <w:spacing w:line="400" w:lineRule="exact"/>
        <w:ind w:firstLine="420" w:firstLineChars="200"/>
        <w:jc w:val="left"/>
        <w:rPr>
          <w:rFonts w:eastAsia="宋体"/>
        </w:rPr>
      </w:pPr>
      <w:r>
        <w:rPr>
          <w:rFonts w:hint="eastAsia" w:ascii="宋体" w:hAnsi="宋体" w:eastAsia="宋体"/>
          <w:color w:val="000000"/>
          <w:szCs w:val="21"/>
        </w:rPr>
        <w:t>6.2 甲乙双方按照合同约定顺序履行合同义务时，应当先履行一方未履行的，后履行一方有权拒绝其履行请求。先履行一方履行不符合约定的，后履行一方有权拒绝其相应的履行请求。</w:t>
      </w:r>
    </w:p>
    <w:p w14:paraId="35C2E090">
      <w:pPr>
        <w:adjustRightInd w:val="0"/>
        <w:snapToGrid w:val="0"/>
        <w:spacing w:line="400" w:lineRule="exact"/>
        <w:jc w:val="left"/>
        <w:rPr>
          <w:rFonts w:hint="eastAsia" w:ascii="宋体" w:hAnsi="宋体" w:eastAsia="宋体"/>
          <w:b/>
          <w:bCs/>
          <w:color w:val="000000"/>
          <w:sz w:val="24"/>
        </w:rPr>
      </w:pPr>
      <w:r>
        <w:rPr>
          <w:rFonts w:hint="eastAsia" w:ascii="宋体" w:hAnsi="宋体" w:eastAsia="宋体"/>
          <w:b/>
          <w:bCs/>
          <w:color w:val="000000"/>
          <w:sz w:val="24"/>
        </w:rPr>
        <w:t>7. 货物包装、运输、保险和交付要求</w:t>
      </w:r>
    </w:p>
    <w:p w14:paraId="28CEFD50">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7.1 本合同</w:t>
      </w:r>
      <w:r>
        <w:rPr>
          <w:rFonts w:hint="eastAsia" w:ascii="宋体" w:hAnsi="宋体" w:eastAsia="宋体"/>
          <w:bCs/>
          <w:color w:val="000000"/>
          <w:szCs w:val="21"/>
        </w:rPr>
        <w:t>涉及商品包装、快递包装的，</w:t>
      </w:r>
      <w:r>
        <w:rPr>
          <w:rFonts w:hint="eastAsia" w:ascii="宋体" w:hAnsi="宋体" w:eastAsia="宋体"/>
          <w:color w:val="000000"/>
          <w:szCs w:val="21"/>
        </w:rPr>
        <w:t>除</w:t>
      </w:r>
      <w:r>
        <w:rPr>
          <w:rFonts w:hint="eastAsia" w:ascii="宋体" w:hAnsi="宋体" w:eastAsia="宋体"/>
          <w:b/>
          <w:color w:val="000000"/>
          <w:szCs w:val="21"/>
        </w:rPr>
        <w:t>【政府采购合同专用条款】</w:t>
      </w:r>
      <w:r>
        <w:rPr>
          <w:rFonts w:hint="eastAsia" w:ascii="宋体" w:hAnsi="宋体" w:eastAsia="宋体"/>
          <w:bCs/>
          <w:color w:val="000000"/>
          <w:szCs w:val="21"/>
        </w:rPr>
        <w:t>另有约定外，</w:t>
      </w:r>
      <w:r>
        <w:rPr>
          <w:rFonts w:hint="eastAsia" w:ascii="宋体" w:hAnsi="宋体" w:eastAsia="宋体"/>
          <w:color w:val="000000"/>
          <w:szCs w:val="21"/>
        </w:rPr>
        <w:t>包装应适应远距离运输、防潮、防震、防锈和防野蛮装卸等要求，确保货物安全无损地运抵</w:t>
      </w:r>
      <w:r>
        <w:rPr>
          <w:rFonts w:hint="eastAsia" w:ascii="宋体" w:hAnsi="宋体" w:eastAsia="宋体"/>
          <w:b/>
          <w:color w:val="000000"/>
          <w:szCs w:val="21"/>
        </w:rPr>
        <w:t>【政府采购合同专用条款】</w:t>
      </w:r>
      <w:r>
        <w:rPr>
          <w:rFonts w:hint="eastAsia" w:ascii="宋体" w:hAnsi="宋体" w:eastAsia="宋体"/>
          <w:bCs/>
          <w:color w:val="000000"/>
          <w:szCs w:val="21"/>
        </w:rPr>
        <w:t>约定的</w:t>
      </w:r>
      <w:r>
        <w:rPr>
          <w:rFonts w:hint="eastAsia" w:ascii="宋体" w:hAnsi="宋体" w:eastAsia="宋体"/>
          <w:color w:val="000000"/>
          <w:szCs w:val="21"/>
        </w:rPr>
        <w:t>指定现场。</w:t>
      </w:r>
    </w:p>
    <w:p w14:paraId="4D05331F">
      <w:pPr>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7.2 除</w:t>
      </w:r>
      <w:r>
        <w:rPr>
          <w:rFonts w:hint="eastAsia" w:ascii="宋体" w:hAnsi="宋体" w:eastAsia="宋体"/>
          <w:b/>
          <w:color w:val="000000"/>
          <w:szCs w:val="21"/>
        </w:rPr>
        <w:t>【政府采购合同专用条款】</w:t>
      </w:r>
      <w:r>
        <w:rPr>
          <w:rFonts w:hint="eastAsia" w:ascii="宋体" w:hAnsi="宋体" w:eastAsia="宋体"/>
          <w:bCs/>
          <w:color w:val="000000"/>
          <w:szCs w:val="21"/>
        </w:rPr>
        <w:t>另有约定外，</w:t>
      </w:r>
      <w:r>
        <w:rPr>
          <w:rFonts w:hint="eastAsia" w:ascii="宋体" w:hAnsi="宋体" w:eastAsia="宋体"/>
          <w:color w:val="000000"/>
          <w:szCs w:val="21"/>
        </w:rPr>
        <w:t>乙方负责办理将货物运抵本合同规定的交货地点，并装卸、交付至甲方的一切运输事项，相关费用应包含在合同价款中。</w:t>
      </w:r>
    </w:p>
    <w:p w14:paraId="28297174">
      <w:pPr>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7.3 货物保险要求按</w:t>
      </w:r>
      <w:r>
        <w:rPr>
          <w:rFonts w:hint="eastAsia" w:ascii="宋体" w:hAnsi="宋体" w:eastAsia="宋体"/>
          <w:b/>
          <w:color w:val="000000"/>
          <w:szCs w:val="21"/>
        </w:rPr>
        <w:t>【政府采购合同专用条款】</w:t>
      </w:r>
      <w:r>
        <w:rPr>
          <w:rFonts w:hint="eastAsia" w:ascii="宋体" w:hAnsi="宋体" w:eastAsia="宋体"/>
          <w:bCs/>
          <w:color w:val="000000"/>
          <w:szCs w:val="21"/>
        </w:rPr>
        <w:t>规定执行</w:t>
      </w:r>
      <w:r>
        <w:rPr>
          <w:rFonts w:hint="eastAsia" w:ascii="宋体" w:hAnsi="宋体" w:eastAsia="宋体"/>
          <w:color w:val="000000"/>
          <w:szCs w:val="21"/>
        </w:rPr>
        <w:t>。</w:t>
      </w:r>
    </w:p>
    <w:p w14:paraId="24035ABD">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35CF3933">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 xml:space="preserve">7.5 </w:t>
      </w:r>
      <w:r>
        <w:rPr>
          <w:rFonts w:hint="eastAsia" w:ascii="宋体" w:hAnsi="宋体" w:eastAsia="宋体" w:cs="宋体"/>
          <w:color w:val="000000"/>
          <w:szCs w:val="21"/>
        </w:rPr>
        <w:t>乙方在运输到达之前应提前通知甲方，并提示货物运输装卸的注意事项，甲方配合乙方做好货物的接收工作。</w:t>
      </w:r>
    </w:p>
    <w:p w14:paraId="2C2669ED">
      <w:pPr>
        <w:autoSpaceDE w:val="0"/>
        <w:autoSpaceDN w:val="0"/>
        <w:adjustRightInd w:val="0"/>
        <w:spacing w:line="400" w:lineRule="exact"/>
        <w:ind w:firstLine="420" w:firstLineChars="200"/>
        <w:rPr>
          <w:rFonts w:hint="eastAsia" w:ascii="华文楷体" w:hAnsi="华文楷体" w:eastAsia="华文楷体" w:cs="华文楷体"/>
          <w:szCs w:val="21"/>
        </w:rPr>
      </w:pPr>
      <w:r>
        <w:rPr>
          <w:rFonts w:hint="eastAsia" w:ascii="宋体" w:hAnsi="宋体" w:eastAsia="宋体" w:cs="Times New Roman"/>
          <w:color w:val="000000"/>
          <w:szCs w:val="21"/>
        </w:rPr>
        <w:t>7.6 如因包装、运输问题导致货物损毁、丢失或者品质下降，甲方有权要求降价、换货、拒收部分或整批货物，由此产生的费用和损失，均由乙方承担。</w:t>
      </w:r>
    </w:p>
    <w:p w14:paraId="60371C30">
      <w:pPr>
        <w:adjustRightInd w:val="0"/>
        <w:snapToGrid w:val="0"/>
        <w:spacing w:line="400" w:lineRule="exact"/>
        <w:jc w:val="left"/>
        <w:rPr>
          <w:rFonts w:hint="eastAsia" w:ascii="宋体" w:hAnsi="宋体" w:eastAsia="宋体"/>
          <w:b/>
          <w:sz w:val="24"/>
        </w:rPr>
      </w:pPr>
      <w:r>
        <w:rPr>
          <w:rFonts w:hint="eastAsia" w:ascii="宋体" w:hAnsi="宋体" w:eastAsia="宋体"/>
          <w:b/>
          <w:color w:val="000000"/>
          <w:sz w:val="24"/>
        </w:rPr>
        <w:t xml:space="preserve">8. </w:t>
      </w:r>
      <w:r>
        <w:rPr>
          <w:rFonts w:hint="eastAsia" w:ascii="宋体" w:hAnsi="宋体" w:eastAsia="宋体"/>
          <w:b/>
          <w:sz w:val="24"/>
        </w:rPr>
        <w:t>质量标准和保证</w:t>
      </w:r>
    </w:p>
    <w:p w14:paraId="4C05CD34">
      <w:pPr>
        <w:adjustRightInd w:val="0"/>
        <w:snapToGrid w:val="0"/>
        <w:spacing w:line="400" w:lineRule="exact"/>
        <w:ind w:firstLine="420" w:firstLineChars="200"/>
        <w:jc w:val="left"/>
        <w:rPr>
          <w:rFonts w:hint="eastAsia" w:ascii="宋体" w:hAnsi="宋体" w:eastAsia="宋体" w:cs="Courier New"/>
          <w:b/>
          <w:szCs w:val="21"/>
        </w:rPr>
      </w:pPr>
      <w:r>
        <w:rPr>
          <w:rFonts w:hint="eastAsia" w:ascii="宋体" w:hAnsi="宋体" w:eastAsia="宋体" w:cs="Courier New"/>
          <w:szCs w:val="21"/>
        </w:rPr>
        <w:t>8.1 质量标准</w:t>
      </w:r>
    </w:p>
    <w:p w14:paraId="31439AE7">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（1）本合同下提供的货物应符合合同</w:t>
      </w:r>
      <w:r>
        <w:rPr>
          <w:rFonts w:hint="eastAsia" w:ascii="宋体" w:hAnsi="宋体" w:eastAsia="宋体" w:cs="宋体"/>
          <w:color w:val="000000"/>
          <w:szCs w:val="21"/>
        </w:rPr>
        <w:t>约定的</w:t>
      </w:r>
      <w:r>
        <w:rPr>
          <w:rFonts w:hint="eastAsia" w:ascii="宋体" w:hAnsi="宋体" w:eastAsia="宋体" w:cs="宋体"/>
          <w:szCs w:val="21"/>
        </w:rPr>
        <w:t>品牌、规格型号、技术性能、配置、质量、数量等要求。</w:t>
      </w:r>
      <w:r>
        <w:rPr>
          <w:rFonts w:hint="eastAsia" w:ascii="宋体" w:hAnsi="宋体" w:eastAsia="宋体"/>
          <w:szCs w:val="21"/>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20211C22">
      <w:pPr>
        <w:adjustRightInd w:val="0"/>
        <w:snapToGrid w:val="0"/>
        <w:spacing w:line="400" w:lineRule="exact"/>
        <w:ind w:firstLine="420" w:firstLineChars="200"/>
        <w:jc w:val="left"/>
        <w:rPr>
          <w:rFonts w:hint="eastAsia" w:ascii="宋体" w:hAnsi="宋体" w:eastAsia="宋体" w:cs="Courier New"/>
          <w:szCs w:val="21"/>
        </w:rPr>
      </w:pPr>
      <w:r>
        <w:rPr>
          <w:rFonts w:hint="eastAsia" w:ascii="宋体" w:hAnsi="宋体" w:eastAsia="宋体" w:cs="Courier New"/>
          <w:szCs w:val="21"/>
        </w:rPr>
        <w:t>（2）采用中华人民共和国法定计量单位。</w:t>
      </w:r>
    </w:p>
    <w:p w14:paraId="72218D8A">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（3）乙方所提供的货物应符合国家有关安全、环保、卫生的规定。</w:t>
      </w:r>
    </w:p>
    <w:p w14:paraId="29397193">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（4）乙方应向甲方提交所提供货物的技术文件，包括相应的中文技术文件，如：产品目录、图纸、操作手册、使用说明、维护手册或服务指南等。上述文件应包装好随货物一同发运。</w:t>
      </w:r>
    </w:p>
    <w:p w14:paraId="28C97A53">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8.2 保证</w:t>
      </w:r>
    </w:p>
    <w:p w14:paraId="0D007A85">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（1）乙方应保证提供的货物完全符合合同规定的质量、规格和性能要求。乙方应保证货物在正确安装、正常使用和保养条件下，</w:t>
      </w:r>
      <w:r>
        <w:rPr>
          <w:rFonts w:hint="eastAsia" w:ascii="宋体" w:hAnsi="宋体" w:eastAsia="宋体" w:cs="宋体"/>
          <w:szCs w:val="21"/>
        </w:rPr>
        <w:t>在其使用寿命期内具备合同约定的性能</w:t>
      </w:r>
      <w:r>
        <w:rPr>
          <w:rFonts w:hint="eastAsia" w:ascii="宋体" w:hAnsi="宋体" w:eastAsia="宋体"/>
          <w:szCs w:val="21"/>
        </w:rPr>
        <w:t>。存在质量保证期的，货物最终交付验收合格后在</w:t>
      </w:r>
      <w:r>
        <w:rPr>
          <w:rFonts w:hint="eastAsia" w:ascii="宋体" w:hAnsi="宋体" w:eastAsia="宋体"/>
          <w:b/>
          <w:szCs w:val="21"/>
        </w:rPr>
        <w:t>【政府采购合同专用条款】</w:t>
      </w:r>
      <w:r>
        <w:rPr>
          <w:rFonts w:hint="eastAsia" w:ascii="宋体" w:hAnsi="宋体" w:eastAsia="宋体"/>
          <w:szCs w:val="21"/>
        </w:rPr>
        <w:t>规定或乙方书面承诺（两者以较长的为准）的质量保证期内，本保证保持有效。</w:t>
      </w:r>
    </w:p>
    <w:p w14:paraId="18C9660A">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（2）在质量保证期内所发现的缺陷，甲方应尽快以书面形式通知乙方。</w:t>
      </w:r>
    </w:p>
    <w:p w14:paraId="07C4473E">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（3）乙方收到通知后，应在</w:t>
      </w:r>
      <w:r>
        <w:rPr>
          <w:rFonts w:hint="eastAsia" w:ascii="宋体" w:hAnsi="宋体" w:eastAsia="宋体"/>
          <w:b/>
          <w:szCs w:val="21"/>
        </w:rPr>
        <w:t>【政府采购合同专用条款】</w:t>
      </w:r>
      <w:r>
        <w:rPr>
          <w:rFonts w:hint="eastAsia" w:ascii="宋体" w:hAnsi="宋体" w:eastAsia="宋体"/>
          <w:szCs w:val="21"/>
        </w:rPr>
        <w:t>规定的响应时间内以合理的速度免费维修或更换有缺陷的货物或部件。</w:t>
      </w:r>
    </w:p>
    <w:p w14:paraId="1F0F5308">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（4）在质量保证期内，如果货物的质量或规格与合同不符，或证实货物是有缺陷的，包括潜在的缺陷或使用不符合要求的材料等，甲方可以根据本合同第1</w:t>
      </w:r>
      <w:r>
        <w:rPr>
          <w:rFonts w:hint="eastAsia" w:ascii="宋体" w:hAnsi="宋体" w:eastAsia="宋体"/>
          <w:color w:val="000000"/>
          <w:szCs w:val="21"/>
        </w:rPr>
        <w:t>5</w:t>
      </w:r>
      <w:r>
        <w:rPr>
          <w:rFonts w:hint="eastAsia" w:ascii="宋体" w:hAnsi="宋体" w:eastAsia="宋体"/>
          <w:szCs w:val="21"/>
        </w:rPr>
        <w:t>.1条规定以书面形式</w:t>
      </w:r>
      <w:r>
        <w:rPr>
          <w:rFonts w:hint="eastAsia" w:ascii="宋体" w:hAnsi="宋体" w:eastAsia="宋体"/>
          <w:color w:val="000000"/>
          <w:szCs w:val="21"/>
        </w:rPr>
        <w:t>追究</w:t>
      </w:r>
      <w:r>
        <w:rPr>
          <w:rFonts w:hint="eastAsia" w:ascii="宋体" w:hAnsi="宋体" w:eastAsia="宋体"/>
          <w:szCs w:val="21"/>
        </w:rPr>
        <w:t>乙方</w:t>
      </w:r>
      <w:r>
        <w:rPr>
          <w:rFonts w:hint="eastAsia" w:ascii="宋体" w:hAnsi="宋体" w:eastAsia="宋体"/>
          <w:color w:val="000000"/>
          <w:szCs w:val="21"/>
        </w:rPr>
        <w:t>的违约责任</w:t>
      </w:r>
      <w:r>
        <w:rPr>
          <w:rFonts w:hint="eastAsia" w:ascii="宋体" w:hAnsi="宋体" w:eastAsia="宋体"/>
          <w:szCs w:val="21"/>
        </w:rPr>
        <w:t>。</w:t>
      </w:r>
    </w:p>
    <w:p w14:paraId="59CDAB07">
      <w:pPr>
        <w:adjustRightInd w:val="0"/>
        <w:snapToGrid w:val="0"/>
        <w:spacing w:line="400" w:lineRule="exact"/>
        <w:ind w:firstLine="420" w:firstLineChars="200"/>
        <w:jc w:val="left"/>
        <w:rPr>
          <w:rFonts w:eastAsia="宋体"/>
        </w:rPr>
      </w:pPr>
      <w:r>
        <w:rPr>
          <w:rFonts w:hint="eastAsia" w:ascii="宋体" w:hAnsi="宋体" w:eastAsia="宋体"/>
          <w:szCs w:val="21"/>
        </w:rPr>
        <w:t>（5）乙方在约定的时间内未能弥补缺陷，甲方可采取必要的补救措施，但其风险和费用将由乙方承担，甲方根据合同约定对乙方行使的其他权利不受影响。</w:t>
      </w:r>
    </w:p>
    <w:p w14:paraId="6C94C1CC">
      <w:pPr>
        <w:adjustRightInd w:val="0"/>
        <w:snapToGrid w:val="0"/>
        <w:spacing w:line="400" w:lineRule="exact"/>
        <w:jc w:val="left"/>
        <w:rPr>
          <w:rFonts w:hint="eastAsia" w:ascii="宋体" w:hAnsi="宋体" w:eastAsia="宋体"/>
          <w:b/>
          <w:bCs/>
          <w:sz w:val="24"/>
        </w:rPr>
      </w:pPr>
      <w:r>
        <w:rPr>
          <w:rFonts w:hint="eastAsia" w:ascii="宋体" w:hAnsi="宋体" w:eastAsia="宋体"/>
          <w:b/>
          <w:bCs/>
          <w:color w:val="000000"/>
          <w:sz w:val="24"/>
        </w:rPr>
        <w:t>9</w:t>
      </w:r>
      <w:r>
        <w:rPr>
          <w:rFonts w:hint="eastAsia" w:ascii="宋体" w:hAnsi="宋体" w:eastAsia="宋体"/>
          <w:b/>
          <w:bCs/>
          <w:sz w:val="24"/>
        </w:rPr>
        <w:t>.</w:t>
      </w:r>
      <w:r>
        <w:rPr>
          <w:rFonts w:hint="eastAsia" w:ascii="宋体" w:hAnsi="宋体" w:eastAsia="宋体"/>
          <w:b/>
          <w:bCs/>
          <w:color w:val="000000"/>
          <w:sz w:val="24"/>
        </w:rPr>
        <w:t xml:space="preserve"> </w:t>
      </w:r>
      <w:r>
        <w:rPr>
          <w:rFonts w:hint="eastAsia" w:ascii="宋体" w:hAnsi="宋体" w:eastAsia="宋体"/>
          <w:b/>
          <w:bCs/>
          <w:sz w:val="24"/>
        </w:rPr>
        <w:t>权利瑕疵担保</w:t>
      </w:r>
    </w:p>
    <w:p w14:paraId="267A2D02">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9.1 乙方保证对其出售的货物享有合法的权利。</w:t>
      </w:r>
    </w:p>
    <w:p w14:paraId="6B004BD9">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 xml:space="preserve">9.2 </w:t>
      </w:r>
      <w:r>
        <w:rPr>
          <w:rFonts w:hint="eastAsia" w:ascii="宋体" w:hAnsi="宋体" w:eastAsia="宋体" w:cs="宋体"/>
          <w:szCs w:val="15"/>
        </w:rPr>
        <w:t>乙方保证在交付的货物上不存在抵押权等担保物权。</w:t>
      </w:r>
    </w:p>
    <w:p w14:paraId="4A7E2A56">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9.3 如甲方使用上述货物构成对第三人侵权的，则由乙方承担全部责任。</w:t>
      </w:r>
    </w:p>
    <w:p w14:paraId="3F577C5C">
      <w:pPr>
        <w:autoSpaceDE w:val="0"/>
        <w:autoSpaceDN w:val="0"/>
        <w:adjustRightInd w:val="0"/>
        <w:snapToGrid w:val="0"/>
        <w:spacing w:line="400" w:lineRule="exact"/>
        <w:jc w:val="left"/>
        <w:rPr>
          <w:rFonts w:hint="eastAsia" w:ascii="宋体" w:hAnsi="宋体" w:eastAsia="宋体"/>
          <w:b/>
          <w:bCs/>
          <w:color w:val="000000"/>
          <w:sz w:val="24"/>
        </w:rPr>
      </w:pPr>
      <w:r>
        <w:rPr>
          <w:rFonts w:hint="eastAsia" w:ascii="宋体" w:hAnsi="宋体" w:eastAsia="宋体"/>
          <w:b/>
          <w:bCs/>
          <w:color w:val="000000"/>
          <w:sz w:val="24"/>
        </w:rPr>
        <w:t>10. 知识产权保护</w:t>
      </w:r>
    </w:p>
    <w:p w14:paraId="6DD26238">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color w:val="000000"/>
          <w:szCs w:val="21"/>
        </w:rPr>
        <w:t>10.1 乙方对其所销售的货物应当享有知识产权或经权利人合法授权，保证没有侵犯任</w:t>
      </w:r>
      <w:r>
        <w:rPr>
          <w:rFonts w:hint="eastAsia" w:ascii="宋体" w:hAnsi="宋体" w:eastAsia="宋体"/>
          <w:szCs w:val="21"/>
        </w:rPr>
        <w:t>何第三人的知识产权等权利。</w:t>
      </w:r>
      <w:bookmarkStart w:id="56"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56"/>
      <w:r>
        <w:rPr>
          <w:rFonts w:hint="eastAsia" w:ascii="宋体" w:hAnsi="宋体" w:eastAsia="宋体"/>
          <w:szCs w:val="21"/>
        </w:rPr>
        <w:t>。</w:t>
      </w:r>
    </w:p>
    <w:p w14:paraId="3D38B3A8">
      <w:pPr>
        <w:autoSpaceDE w:val="0"/>
        <w:autoSpaceDN w:val="0"/>
        <w:adjustRightInd w:val="0"/>
        <w:snapToGrid w:val="0"/>
        <w:spacing w:line="400" w:lineRule="exact"/>
        <w:jc w:val="left"/>
        <w:rPr>
          <w:rFonts w:hint="eastAsia" w:ascii="宋体" w:hAnsi="宋体" w:eastAsia="宋体"/>
          <w:b/>
          <w:bCs/>
          <w:sz w:val="24"/>
        </w:rPr>
      </w:pPr>
      <w:r>
        <w:rPr>
          <w:rFonts w:hint="eastAsia" w:ascii="宋体" w:hAnsi="宋体" w:eastAsia="宋体"/>
          <w:b/>
          <w:bCs/>
          <w:sz w:val="24"/>
        </w:rPr>
        <w:t>11. 保密义务</w:t>
      </w:r>
    </w:p>
    <w:p w14:paraId="108FF82A">
      <w:pPr>
        <w:autoSpaceDE w:val="0"/>
        <w:autoSpaceDN w:val="0"/>
        <w:adjustRightInd w:val="0"/>
        <w:snapToGrid w:val="0"/>
        <w:spacing w:line="400" w:lineRule="exact"/>
        <w:ind w:firstLine="420" w:firstLineChars="200"/>
        <w:jc w:val="left"/>
        <w:rPr>
          <w:rFonts w:hint="eastAsia" w:ascii="宋体" w:hAnsi="宋体" w:eastAsia="宋体" w:cs="宋体"/>
          <w:szCs w:val="15"/>
        </w:rPr>
      </w:pPr>
      <w:r>
        <w:rPr>
          <w:rFonts w:hint="eastAsia" w:ascii="宋体" w:hAnsi="宋体" w:eastAsia="宋体" w:cs="宋体"/>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14:paraId="38B4F0A3">
      <w:pPr>
        <w:autoSpaceDE w:val="0"/>
        <w:autoSpaceDN w:val="0"/>
        <w:adjustRightInd w:val="0"/>
        <w:snapToGrid w:val="0"/>
        <w:spacing w:line="400" w:lineRule="exact"/>
        <w:jc w:val="left"/>
        <w:rPr>
          <w:rFonts w:hint="eastAsia" w:ascii="宋体" w:hAnsi="宋体" w:eastAsia="宋体"/>
          <w:b/>
          <w:bCs/>
          <w:sz w:val="24"/>
        </w:rPr>
      </w:pPr>
      <w:r>
        <w:rPr>
          <w:rFonts w:hint="eastAsia" w:ascii="宋体" w:hAnsi="宋体" w:eastAsia="宋体"/>
          <w:b/>
          <w:bCs/>
          <w:sz w:val="24"/>
        </w:rPr>
        <w:t>12. 合同价款支付</w:t>
      </w:r>
    </w:p>
    <w:p w14:paraId="5B5DB6C7">
      <w:pPr>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12.1 合同价款支付按照国库集中支付制度及财政管理相关规定执行。</w:t>
      </w:r>
    </w:p>
    <w:p w14:paraId="41F1E8A1">
      <w:pPr>
        <w:keepNext/>
        <w:keepLines/>
        <w:spacing w:line="400" w:lineRule="exact"/>
        <w:ind w:firstLine="420" w:firstLineChars="200"/>
        <w:outlineLvl w:val="1"/>
        <w:rPr>
          <w:rFonts w:ascii="Arial" w:hAnsi="Arial" w:eastAsia="宋体" w:cs="Times New Roman"/>
          <w:b/>
          <w:bCs/>
          <w:sz w:val="24"/>
          <w:szCs w:val="32"/>
        </w:rPr>
      </w:pPr>
      <w:r>
        <w:rPr>
          <w:rFonts w:hint="eastAsia" w:ascii="宋体" w:hAnsi="宋体" w:eastAsia="宋体" w:cs="Times New Roman"/>
          <w:szCs w:val="21"/>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eastAsia="宋体" w:cs="Times New Roman"/>
          <w:b/>
          <w:bCs/>
          <w:szCs w:val="21"/>
        </w:rPr>
        <w:t>政府采购合同专用条款</w:t>
      </w:r>
      <w:r>
        <w:rPr>
          <w:rFonts w:hint="eastAsia" w:ascii="宋体" w:hAnsi="宋体" w:eastAsia="宋体" w:cs="Times New Roman"/>
          <w:szCs w:val="21"/>
        </w:rPr>
        <w:t>】中约定。</w:t>
      </w:r>
    </w:p>
    <w:p w14:paraId="6C6DD12F">
      <w:pPr>
        <w:spacing w:line="400" w:lineRule="exact"/>
        <w:rPr>
          <w:rFonts w:hint="eastAsia" w:ascii="宋体" w:hAnsi="宋体" w:eastAsia="宋体" w:cs="Times New Roman"/>
          <w:b/>
          <w:bCs/>
          <w:sz w:val="24"/>
          <w:szCs w:val="24"/>
        </w:rPr>
      </w:pPr>
      <w:r>
        <w:rPr>
          <w:rFonts w:hint="eastAsia" w:ascii="宋体" w:hAnsi="宋体" w:eastAsia="宋体" w:cs="Times New Roman"/>
          <w:b/>
          <w:bCs/>
          <w:sz w:val="24"/>
          <w:szCs w:val="24"/>
        </w:rPr>
        <w:t>13. 履约保证金</w:t>
      </w:r>
    </w:p>
    <w:p w14:paraId="13929388">
      <w:pPr>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 xml:space="preserve">13.1 </w:t>
      </w:r>
      <w:r>
        <w:rPr>
          <w:rFonts w:hint="eastAsia" w:ascii="宋体" w:hAnsi="宋体" w:eastAsia="宋体" w:cs="宋体"/>
          <w:szCs w:val="15"/>
        </w:rPr>
        <w:t>乙方应当以支票、汇票、本票或者金融机构、担保机构出具的保函等非现金形式提交。</w:t>
      </w:r>
    </w:p>
    <w:p w14:paraId="0F933C6A">
      <w:pPr>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13.2 如果乙方出现</w:t>
      </w:r>
      <w:r>
        <w:rPr>
          <w:rFonts w:hint="eastAsia" w:ascii="宋体" w:hAnsi="宋体" w:eastAsia="宋体" w:cs="宋体"/>
          <w:b/>
          <w:bCs/>
          <w:szCs w:val="15"/>
        </w:rPr>
        <w:t>【政府采购合同专用条款】</w:t>
      </w:r>
      <w:r>
        <w:rPr>
          <w:rFonts w:hint="eastAsia" w:ascii="宋体" w:hAnsi="宋体" w:eastAsia="宋体" w:cs="宋体"/>
          <w:szCs w:val="15"/>
        </w:rPr>
        <w:t>约定情形的</w:t>
      </w:r>
      <w:r>
        <w:rPr>
          <w:rFonts w:hint="eastAsia" w:ascii="宋体" w:hAnsi="宋体" w:eastAsia="宋体"/>
          <w:szCs w:val="21"/>
        </w:rPr>
        <w:t>，履约保证金不予退还；如果乙方未能按合同约定全面履行义务，甲方有权从履约保证金中取得补偿或赔偿，且不影响甲方要求乙方承担合同约定的超过履约保证金的违约责任的权利。</w:t>
      </w:r>
    </w:p>
    <w:p w14:paraId="66BB5996">
      <w:pPr>
        <w:spacing w:line="400" w:lineRule="exact"/>
        <w:ind w:firstLine="420"/>
        <w:rPr>
          <w:rFonts w:eastAsia="宋体"/>
        </w:rPr>
      </w:pPr>
      <w:r>
        <w:rPr>
          <w:rFonts w:hint="eastAsia" w:ascii="宋体" w:hAnsi="宋体" w:eastAsia="宋体"/>
          <w:szCs w:val="21"/>
        </w:rPr>
        <w:t>13.3 甲方在项目通过验收后按照</w:t>
      </w:r>
      <w:r>
        <w:rPr>
          <w:rFonts w:hint="eastAsia" w:ascii="宋体" w:hAnsi="宋体" w:eastAsia="宋体"/>
          <w:b/>
          <w:szCs w:val="21"/>
        </w:rPr>
        <w:t>【政府采购合同专用条款】</w:t>
      </w:r>
      <w:r>
        <w:rPr>
          <w:rFonts w:hint="eastAsia" w:ascii="宋体" w:hAnsi="宋体" w:eastAsia="宋体"/>
          <w:szCs w:val="21"/>
        </w:rPr>
        <w:t>规定的时间内将履约保证金退还乙方；逾期退还的，乙方可要求甲方支付违约金，违约金按照</w:t>
      </w:r>
      <w:r>
        <w:rPr>
          <w:rFonts w:hint="eastAsia" w:ascii="宋体" w:hAnsi="宋体" w:eastAsia="宋体"/>
          <w:b/>
          <w:szCs w:val="21"/>
        </w:rPr>
        <w:t>【政府采购合同专用条款】</w:t>
      </w:r>
      <w:r>
        <w:rPr>
          <w:rFonts w:hint="eastAsia" w:ascii="宋体" w:hAnsi="宋体" w:eastAsia="宋体"/>
          <w:szCs w:val="21"/>
        </w:rPr>
        <w:t>规定支付。</w:t>
      </w:r>
    </w:p>
    <w:p w14:paraId="3AC00CFD">
      <w:pPr>
        <w:autoSpaceDE w:val="0"/>
        <w:autoSpaceDN w:val="0"/>
        <w:adjustRightInd w:val="0"/>
        <w:snapToGrid w:val="0"/>
        <w:spacing w:line="400" w:lineRule="exact"/>
        <w:jc w:val="left"/>
        <w:rPr>
          <w:rFonts w:hint="eastAsia" w:ascii="宋体" w:hAnsi="宋体" w:eastAsia="宋体"/>
          <w:b/>
          <w:sz w:val="24"/>
        </w:rPr>
      </w:pPr>
      <w:r>
        <w:rPr>
          <w:rFonts w:hint="eastAsia" w:ascii="宋体" w:hAnsi="宋体" w:eastAsia="宋体"/>
          <w:b/>
          <w:bCs/>
          <w:sz w:val="24"/>
        </w:rPr>
        <w:t xml:space="preserve">14. </w:t>
      </w:r>
      <w:r>
        <w:rPr>
          <w:rFonts w:hint="eastAsia" w:eastAsia="宋体"/>
          <w:b/>
          <w:sz w:val="24"/>
        </w:rPr>
        <w:t>售后</w:t>
      </w:r>
      <w:r>
        <w:rPr>
          <w:rFonts w:hint="eastAsia" w:ascii="宋体" w:hAnsi="宋体" w:eastAsia="宋体"/>
          <w:b/>
          <w:sz w:val="24"/>
        </w:rPr>
        <w:t>服务</w:t>
      </w:r>
    </w:p>
    <w:p w14:paraId="3480C4F2">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14.1 除项目不涉及或采购活动中明确约定无须承担外，乙方还应提供下列服务：</w:t>
      </w:r>
    </w:p>
    <w:p w14:paraId="472CF1C0">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（1）货物的现场移动、安装、调试、启动监督及技术支持；</w:t>
      </w:r>
    </w:p>
    <w:p w14:paraId="2A0FF91F">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（2）提供货物组装和维修所需的专用工具和辅助材料；</w:t>
      </w:r>
    </w:p>
    <w:p w14:paraId="6F004BC8">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（3）在</w:t>
      </w:r>
      <w:r>
        <w:rPr>
          <w:rFonts w:hint="eastAsia" w:ascii="宋体" w:hAnsi="宋体" w:eastAsia="宋体" w:cs="宋体"/>
          <w:b/>
          <w:bCs/>
          <w:szCs w:val="15"/>
        </w:rPr>
        <w:t>【政府采购合同专用条款】</w:t>
      </w:r>
      <w:r>
        <w:rPr>
          <w:rFonts w:hint="eastAsia" w:ascii="宋体" w:hAnsi="宋体" w:eastAsia="宋体"/>
          <w:szCs w:val="21"/>
        </w:rPr>
        <w:t>约定的期限内对所有的货物实施运行监督、维修，但前提条件是该服务并不能免除乙方在质量保证期内所承担的义务；</w:t>
      </w:r>
    </w:p>
    <w:p w14:paraId="3B2BA1B9">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（4）在制造商所在地或指定现场就货物的安装、启动、运营、维护、废弃处置等对甲方操作人员进行培训</w:t>
      </w:r>
      <w:r>
        <w:rPr>
          <w:rFonts w:hint="eastAsia" w:ascii="宋体" w:hAnsi="宋体" w:eastAsia="宋体" w:cs="宋体"/>
          <w:szCs w:val="15"/>
        </w:rPr>
        <w:t>；</w:t>
      </w:r>
    </w:p>
    <w:p w14:paraId="0E3AFB75">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（5）依照法律、行政法规的规定或者按照</w:t>
      </w:r>
      <w:r>
        <w:rPr>
          <w:rFonts w:hint="eastAsia" w:ascii="宋体" w:hAnsi="宋体" w:eastAsia="宋体" w:cs="宋体"/>
          <w:b/>
          <w:bCs/>
          <w:szCs w:val="21"/>
        </w:rPr>
        <w:t>【政府采购合同专用条款】</w:t>
      </w:r>
      <w:r>
        <w:rPr>
          <w:rFonts w:hint="eastAsia" w:ascii="宋体" w:hAnsi="宋体" w:eastAsia="宋体" w:cs="宋体"/>
          <w:szCs w:val="21"/>
        </w:rPr>
        <w:t>约定，货物在有效使用年限届满后应予回收的，乙方负有自行或者委托第三人对货物予以回收的义务；</w:t>
      </w:r>
    </w:p>
    <w:p w14:paraId="0981DE32">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（6）</w:t>
      </w:r>
      <w:r>
        <w:rPr>
          <w:rFonts w:hint="eastAsia" w:ascii="宋体" w:hAnsi="宋体" w:eastAsia="宋体"/>
          <w:b/>
          <w:szCs w:val="21"/>
        </w:rPr>
        <w:t>【政府采购合同专用条款】</w:t>
      </w:r>
      <w:r>
        <w:rPr>
          <w:rFonts w:hint="eastAsia" w:ascii="宋体" w:hAnsi="宋体" w:eastAsia="宋体"/>
          <w:szCs w:val="21"/>
        </w:rPr>
        <w:t>规定由乙方提供的其他服务。</w:t>
      </w:r>
    </w:p>
    <w:p w14:paraId="06F0C0E2">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14.2 乙方提供的售后服务的费用已包含在合同价款中，甲方不再另行支付。</w:t>
      </w:r>
    </w:p>
    <w:p w14:paraId="108D7D5E">
      <w:pPr>
        <w:adjustRightInd w:val="0"/>
        <w:snapToGrid w:val="0"/>
        <w:spacing w:line="400" w:lineRule="exact"/>
        <w:jc w:val="left"/>
        <w:rPr>
          <w:rFonts w:hint="eastAsia" w:ascii="宋体" w:hAnsi="宋体" w:eastAsia="宋体"/>
          <w:b/>
          <w:bCs/>
          <w:sz w:val="24"/>
        </w:rPr>
      </w:pPr>
      <w:r>
        <w:rPr>
          <w:rFonts w:hint="eastAsia" w:ascii="宋体" w:hAnsi="宋体" w:eastAsia="宋体"/>
          <w:b/>
          <w:bCs/>
          <w:sz w:val="24"/>
        </w:rPr>
        <w:t>15. 违约责任</w:t>
      </w:r>
    </w:p>
    <w:p w14:paraId="05C1C94A">
      <w:pPr>
        <w:adjustRightInd w:val="0"/>
        <w:snapToGrid w:val="0"/>
        <w:spacing w:line="400" w:lineRule="exact"/>
        <w:ind w:firstLine="420" w:firstLineChars="200"/>
        <w:jc w:val="left"/>
        <w:rPr>
          <w:rFonts w:hint="eastAsia" w:ascii="宋体" w:hAnsi="宋体" w:eastAsia="宋体"/>
          <w:bCs/>
          <w:szCs w:val="21"/>
        </w:rPr>
      </w:pPr>
      <w:r>
        <w:rPr>
          <w:rFonts w:hint="eastAsia" w:ascii="宋体" w:hAnsi="宋体" w:eastAsia="宋体"/>
          <w:bCs/>
          <w:szCs w:val="21"/>
        </w:rPr>
        <w:t>15.1质量瑕疵的违约责任</w:t>
      </w:r>
    </w:p>
    <w:p w14:paraId="2208EF07">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乙方提供的产品不符合合同约定的质量标准或存在产品质量缺陷，甲方有权要求乙方根据</w:t>
      </w:r>
      <w:r>
        <w:rPr>
          <w:rFonts w:hint="eastAsia" w:ascii="宋体" w:hAnsi="宋体" w:eastAsia="宋体"/>
          <w:b/>
          <w:szCs w:val="21"/>
        </w:rPr>
        <w:t>【政府采购合同专用条款】</w:t>
      </w:r>
      <w:r>
        <w:rPr>
          <w:rFonts w:hint="eastAsia" w:ascii="宋体" w:hAnsi="宋体" w:eastAsia="宋体"/>
          <w:bCs/>
          <w:szCs w:val="21"/>
        </w:rPr>
        <w:t>要求</w:t>
      </w:r>
      <w:r>
        <w:rPr>
          <w:rFonts w:hint="eastAsia" w:ascii="宋体" w:hAnsi="宋体" w:eastAsia="宋体"/>
          <w:szCs w:val="21"/>
        </w:rPr>
        <w:t>及时修理、重作、更换，并承担由此给甲方造成的损失。</w:t>
      </w:r>
    </w:p>
    <w:p w14:paraId="412C8976">
      <w:pPr>
        <w:autoSpaceDE w:val="0"/>
        <w:autoSpaceDN w:val="0"/>
        <w:adjustRightInd w:val="0"/>
        <w:snapToGrid w:val="0"/>
        <w:spacing w:line="400" w:lineRule="exact"/>
        <w:ind w:firstLine="420" w:firstLineChars="200"/>
        <w:jc w:val="left"/>
        <w:rPr>
          <w:rFonts w:hint="eastAsia" w:ascii="宋体" w:hAnsi="宋体" w:eastAsia="宋体"/>
          <w:bCs/>
          <w:szCs w:val="21"/>
        </w:rPr>
      </w:pPr>
      <w:r>
        <w:rPr>
          <w:rFonts w:hint="eastAsia" w:ascii="宋体" w:hAnsi="宋体" w:eastAsia="宋体"/>
          <w:bCs/>
          <w:szCs w:val="21"/>
        </w:rPr>
        <w:t>15.2 迟延交货的违约责任</w:t>
      </w:r>
    </w:p>
    <w:p w14:paraId="08891701">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74E6799A">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（2）如果乙方没有按照合同规定的时间交货和提供相关服务，甲方有权从货款中扣除误期赔偿费而不影响合同项下的其他补救方法，赔偿费按</w:t>
      </w:r>
      <w:r>
        <w:rPr>
          <w:rFonts w:hint="eastAsia" w:ascii="宋体" w:hAnsi="宋体" w:eastAsia="宋体"/>
          <w:b/>
          <w:szCs w:val="21"/>
        </w:rPr>
        <w:t>【政府采购合同专用条款】</w:t>
      </w:r>
      <w:r>
        <w:rPr>
          <w:rFonts w:hint="eastAsia" w:ascii="宋体" w:hAnsi="宋体" w:eastAsia="宋体"/>
          <w:szCs w:val="21"/>
        </w:rPr>
        <w:t>规定执行。如果涉及公共利益，且赔偿金额无法弥补公共利益损失，甲方可要求继续履行或者采取其他补救措施。</w:t>
      </w:r>
    </w:p>
    <w:p w14:paraId="07B7AC97">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15.3 迟延支付的违约责任</w:t>
      </w:r>
    </w:p>
    <w:p w14:paraId="6AA71F9D">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甲方存在迟延支付乙方合同款项的，应当承担</w:t>
      </w:r>
      <w:r>
        <w:rPr>
          <w:rFonts w:hint="eastAsia" w:ascii="宋体" w:hAnsi="宋体" w:eastAsia="宋体"/>
          <w:b/>
          <w:bCs/>
          <w:szCs w:val="21"/>
        </w:rPr>
        <w:t>【政府采购合同专用条款】</w:t>
      </w:r>
      <w:r>
        <w:rPr>
          <w:rFonts w:hint="eastAsia" w:ascii="宋体" w:hAnsi="宋体" w:eastAsia="宋体"/>
          <w:szCs w:val="21"/>
        </w:rPr>
        <w:t>规定的逾期付款利息。</w:t>
      </w:r>
    </w:p>
    <w:p w14:paraId="79F8110B">
      <w:pPr>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bCs/>
          <w:szCs w:val="21"/>
        </w:rPr>
        <w:t>15.4其他违约责任根据项目实际需要按</w:t>
      </w:r>
      <w:r>
        <w:rPr>
          <w:rFonts w:hint="eastAsia" w:ascii="宋体" w:hAnsi="宋体" w:eastAsia="宋体"/>
          <w:b/>
          <w:bCs/>
          <w:szCs w:val="21"/>
        </w:rPr>
        <w:t>【政府采购合同专用条款】</w:t>
      </w:r>
      <w:r>
        <w:rPr>
          <w:rFonts w:hint="eastAsia" w:ascii="宋体" w:hAnsi="宋体" w:eastAsia="宋体"/>
          <w:szCs w:val="21"/>
        </w:rPr>
        <w:t>规定执行。</w:t>
      </w:r>
    </w:p>
    <w:p w14:paraId="27184157">
      <w:pPr>
        <w:numPr>
          <w:ilvl w:val="0"/>
          <w:numId w:val="12"/>
        </w:numPr>
        <w:autoSpaceDE w:val="0"/>
        <w:autoSpaceDN w:val="0"/>
        <w:adjustRightInd w:val="0"/>
        <w:snapToGrid w:val="0"/>
        <w:spacing w:line="400" w:lineRule="exact"/>
        <w:jc w:val="left"/>
        <w:rPr>
          <w:rFonts w:hint="eastAsia" w:ascii="宋体" w:hAnsi="宋体" w:eastAsia="宋体"/>
          <w:b/>
          <w:sz w:val="24"/>
        </w:rPr>
      </w:pPr>
      <w:r>
        <w:rPr>
          <w:rFonts w:hint="eastAsia" w:ascii="宋体" w:hAnsi="宋体" w:eastAsia="宋体"/>
          <w:b/>
          <w:sz w:val="24"/>
        </w:rPr>
        <w:t>合同变更、中止与终止</w:t>
      </w:r>
    </w:p>
    <w:p w14:paraId="3234B580">
      <w:pPr>
        <w:adjustRightInd w:val="0"/>
        <w:snapToGrid w:val="0"/>
        <w:spacing w:line="400" w:lineRule="exact"/>
        <w:jc w:val="left"/>
        <w:rPr>
          <w:rFonts w:hint="eastAsia" w:ascii="宋体" w:hAnsi="宋体" w:eastAsia="宋体"/>
          <w:szCs w:val="21"/>
        </w:rPr>
      </w:pPr>
      <w:r>
        <w:rPr>
          <w:rFonts w:hint="eastAsia" w:ascii="宋体" w:hAnsi="宋体" w:eastAsia="宋体"/>
          <w:szCs w:val="21"/>
        </w:rPr>
        <w:t xml:space="preserve">    16.1合同的变更</w:t>
      </w:r>
    </w:p>
    <w:p w14:paraId="0F86DE68">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政府采购合同履行中，在不改变合同其他条款的前提下，甲方可以在合同价款10%的范围内追加与合同标的相同的货物，并就此与乙方协商一致后签订补充协议。</w:t>
      </w:r>
    </w:p>
    <w:p w14:paraId="0F27C4F0">
      <w:pPr>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16.2合同的中止</w:t>
      </w:r>
    </w:p>
    <w:p w14:paraId="2F58D0AA">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（1）合同履行过程中因供应商就采购文件、采购过程或结果提起投诉的，甲方认为有必要的，可以中止合同的履行。</w:t>
      </w:r>
    </w:p>
    <w:p w14:paraId="60A78988">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01357AC3">
      <w:pPr>
        <w:autoSpaceDE w:val="0"/>
        <w:autoSpaceDN w:val="0"/>
        <w:adjustRightInd w:val="0"/>
        <w:spacing w:line="400" w:lineRule="exact"/>
        <w:ind w:firstLine="420" w:firstLineChars="200"/>
        <w:rPr>
          <w:rFonts w:hint="eastAsia" w:ascii="华文楷体" w:hAnsi="华文楷体" w:eastAsia="华文楷体" w:cs="华文楷体"/>
          <w:szCs w:val="21"/>
        </w:rPr>
      </w:pPr>
      <w:r>
        <w:rPr>
          <w:rFonts w:hint="eastAsia" w:ascii="宋体" w:hAnsi="宋体" w:eastAsia="宋体" w:cs="宋体"/>
          <w:szCs w:val="21"/>
        </w:rPr>
        <w:t>（3）乙方分立、合并或者变更住所的，应当及时以书面形式告知甲方。乙方没有及时告知甲方，致使合同履行发生困难的，甲方可以中止合同履行并要求乙方承担由此给甲方造成的损失。</w:t>
      </w:r>
    </w:p>
    <w:p w14:paraId="76BCAAB6">
      <w:pPr>
        <w:snapToGrid w:val="0"/>
        <w:spacing w:line="400" w:lineRule="exact"/>
        <w:ind w:firstLine="420" w:firstLineChars="200"/>
        <w:jc w:val="left"/>
        <w:rPr>
          <w:rFonts w:eastAsia="宋体"/>
        </w:rPr>
      </w:pPr>
      <w:r>
        <w:rPr>
          <w:rFonts w:hint="eastAsia" w:ascii="宋体" w:hAnsi="宋体" w:eastAsia="宋体"/>
          <w:szCs w:val="21"/>
        </w:rPr>
        <w:t>（4）甲方不得以行政区划调整、政府换届、机构或者职能调整以及相关责任人更替为由中止合同。</w:t>
      </w:r>
    </w:p>
    <w:p w14:paraId="0D90796E">
      <w:pPr>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16.3合同的终止</w:t>
      </w:r>
    </w:p>
    <w:p w14:paraId="4BCF319D">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（1）合同因有效期限届满而终止；</w:t>
      </w:r>
    </w:p>
    <w:p w14:paraId="7D0BB13E">
      <w:pPr>
        <w:snapToGrid w:val="0"/>
        <w:spacing w:line="400" w:lineRule="exact"/>
        <w:ind w:firstLine="420" w:firstLineChars="200"/>
        <w:rPr>
          <w:rFonts w:hint="eastAsia" w:ascii="宋体" w:hAnsi="宋体" w:eastAsia="宋体" w:cs="宋体"/>
          <w:szCs w:val="21"/>
        </w:rPr>
      </w:pPr>
      <w:r>
        <w:rPr>
          <w:rFonts w:hint="eastAsia" w:ascii="宋体" w:hAnsi="宋体" w:eastAsia="宋体"/>
          <w:szCs w:val="21"/>
        </w:rPr>
        <w:t>（2）乙方未按合同约定履行，构成根本性违约的，甲方有权终止合同，</w:t>
      </w:r>
      <w:r>
        <w:rPr>
          <w:rFonts w:hint="eastAsia" w:ascii="宋体" w:hAnsi="宋体" w:eastAsia="宋体" w:cs="宋体"/>
          <w:szCs w:val="21"/>
        </w:rPr>
        <w:t>并追究乙方的违约责任</w:t>
      </w:r>
      <w:r>
        <w:rPr>
          <w:rFonts w:hint="eastAsia" w:ascii="宋体" w:hAnsi="宋体" w:eastAsia="宋体"/>
          <w:szCs w:val="21"/>
        </w:rPr>
        <w:t>。</w:t>
      </w:r>
    </w:p>
    <w:p w14:paraId="6F9602DB">
      <w:pPr>
        <w:autoSpaceDE w:val="0"/>
        <w:autoSpaceDN w:val="0"/>
        <w:adjustRightInd w:val="0"/>
        <w:spacing w:line="400" w:lineRule="exact"/>
        <w:ind w:firstLine="440" w:firstLineChars="200"/>
        <w:rPr>
          <w:rFonts w:hint="eastAsia" w:ascii="宋体" w:hAnsi="宋体" w:eastAsia="华文楷体" w:cs="华文楷体"/>
          <w:sz w:val="22"/>
          <w:szCs w:val="21"/>
        </w:rPr>
      </w:pPr>
      <w:r>
        <w:rPr>
          <w:rFonts w:hint="eastAsia" w:ascii="宋体" w:hAnsi="宋体" w:eastAsia="华文楷体" w:cs="华文楷体"/>
          <w:sz w:val="22"/>
          <w:szCs w:val="21"/>
        </w:rPr>
        <w:t xml:space="preserve">16.4 </w:t>
      </w:r>
      <w:r>
        <w:rPr>
          <w:rFonts w:hint="eastAsia" w:ascii="宋体" w:hAnsi="宋体" w:eastAsia="宋体" w:cs="Times New Roman"/>
          <w:szCs w:val="21"/>
        </w:rPr>
        <w:t>涉及国家利益、社会公共利益的情形</w:t>
      </w:r>
    </w:p>
    <w:p w14:paraId="7EF44E46">
      <w:pPr>
        <w:autoSpaceDE w:val="0"/>
        <w:autoSpaceDN w:val="0"/>
        <w:adjustRightInd w:val="0"/>
        <w:spacing w:line="400" w:lineRule="exact"/>
        <w:ind w:firstLine="420" w:firstLineChars="200"/>
        <w:rPr>
          <w:rFonts w:hint="eastAsia" w:ascii="华文楷体" w:hAnsi="华文楷体" w:eastAsia="华文楷体" w:cs="华文楷体"/>
          <w:szCs w:val="21"/>
        </w:rPr>
      </w:pPr>
      <w:r>
        <w:rPr>
          <w:rFonts w:hint="eastAsia" w:ascii="宋体" w:hAnsi="宋体" w:eastAsia="宋体" w:cs="宋体"/>
          <w:szCs w:val="21"/>
        </w:rPr>
        <w:t>政府采购合同继续履行将损害国家利益和社会公共利益的，双方当事人应当变更、中止或者终止合同。有过错的一方应当承担赔偿责任，双方都有过错的，各自承担相应的责任。</w:t>
      </w:r>
    </w:p>
    <w:p w14:paraId="72F822D1">
      <w:pPr>
        <w:autoSpaceDE w:val="0"/>
        <w:autoSpaceDN w:val="0"/>
        <w:adjustRightInd w:val="0"/>
        <w:snapToGrid w:val="0"/>
        <w:spacing w:line="400" w:lineRule="exact"/>
        <w:jc w:val="left"/>
        <w:rPr>
          <w:rFonts w:hint="eastAsia" w:ascii="宋体" w:hAnsi="宋体" w:eastAsia="宋体"/>
          <w:b/>
          <w:bCs/>
          <w:sz w:val="24"/>
        </w:rPr>
      </w:pPr>
      <w:r>
        <w:rPr>
          <w:rFonts w:hint="eastAsia" w:ascii="宋体" w:hAnsi="宋体" w:eastAsia="宋体"/>
          <w:b/>
          <w:bCs/>
          <w:sz w:val="24"/>
        </w:rPr>
        <w:t>17. 合同分包</w:t>
      </w:r>
    </w:p>
    <w:p w14:paraId="0D9EAD0E">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17.1 乙方不得将合同转包给其他供应商。涉及合同分包的，乙方应根据采购文件和投标（响应）文件规定进行合同分包。</w:t>
      </w:r>
    </w:p>
    <w:p w14:paraId="62D573E6">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17.2 乙方执行政府采购政策向中小企业依法分包的，乙方应当按采购文件和投标（响应）文件签订分包意向协议，分包意向协议属于本合同组成部分。</w:t>
      </w:r>
    </w:p>
    <w:p w14:paraId="03EB0D8D">
      <w:pPr>
        <w:autoSpaceDE w:val="0"/>
        <w:autoSpaceDN w:val="0"/>
        <w:adjustRightInd w:val="0"/>
        <w:snapToGrid w:val="0"/>
        <w:spacing w:line="400" w:lineRule="exact"/>
        <w:jc w:val="left"/>
        <w:rPr>
          <w:rFonts w:hint="eastAsia" w:ascii="宋体" w:hAnsi="宋体" w:eastAsia="宋体"/>
          <w:b/>
          <w:bCs/>
          <w:sz w:val="24"/>
        </w:rPr>
      </w:pPr>
      <w:r>
        <w:rPr>
          <w:rFonts w:hint="eastAsia" w:ascii="宋体" w:hAnsi="宋体" w:eastAsia="宋体"/>
          <w:b/>
          <w:bCs/>
          <w:sz w:val="24"/>
        </w:rPr>
        <w:t>18. 不可抗力</w:t>
      </w:r>
    </w:p>
    <w:p w14:paraId="06B81F3C">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18.1 不可抗力是指合同双方不能预见、不能避免且不能克服的客观情况。</w:t>
      </w:r>
    </w:p>
    <w:p w14:paraId="3B2DDAE5">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18.2 任何一方对由于不可抗力造成的部分或全部不能履行合同不承担违约责任。但迟延履行后发生不可抗力的，不能免除责任。</w:t>
      </w:r>
    </w:p>
    <w:p w14:paraId="216DB944">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7B27345E">
      <w:pPr>
        <w:autoSpaceDE w:val="0"/>
        <w:autoSpaceDN w:val="0"/>
        <w:adjustRightInd w:val="0"/>
        <w:snapToGrid w:val="0"/>
        <w:spacing w:line="400" w:lineRule="exact"/>
        <w:jc w:val="left"/>
        <w:rPr>
          <w:rFonts w:hint="eastAsia" w:ascii="宋体" w:hAnsi="宋体" w:eastAsia="宋体"/>
          <w:b/>
          <w:bCs/>
          <w:sz w:val="24"/>
        </w:rPr>
      </w:pPr>
      <w:r>
        <w:rPr>
          <w:rFonts w:hint="eastAsia" w:ascii="宋体" w:hAnsi="宋体" w:eastAsia="宋体"/>
          <w:b/>
          <w:bCs/>
          <w:sz w:val="24"/>
        </w:rPr>
        <w:t>19. 解决争议的方法</w:t>
      </w:r>
    </w:p>
    <w:p w14:paraId="78D35183">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19.1 因本合同及合同有关事项发生的争议，由甲乙双方友好协商解决。协商不成时，可以向有关组织申请调解。合同一方或双方不愿调解或调解不成的，可以通过仲裁或诉讼的方式解决争议。</w:t>
      </w:r>
    </w:p>
    <w:p w14:paraId="68D6CAC2">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19.2 选择仲裁的，应在</w:t>
      </w:r>
      <w:r>
        <w:rPr>
          <w:rFonts w:hint="eastAsia" w:ascii="宋体" w:hAnsi="宋体" w:eastAsia="宋体" w:cs="宋体"/>
          <w:b/>
          <w:bCs/>
          <w:szCs w:val="21"/>
        </w:rPr>
        <w:t>【政府采购合同专用条款】</w:t>
      </w:r>
      <w:r>
        <w:rPr>
          <w:rFonts w:hint="eastAsia" w:ascii="宋体" w:hAnsi="宋体" w:eastAsia="宋体" w:cs="宋体"/>
          <w:szCs w:val="21"/>
        </w:rPr>
        <w:t>中明确仲裁机构及仲裁地；通过诉讼方式解决的，可以在</w:t>
      </w:r>
      <w:r>
        <w:rPr>
          <w:rFonts w:hint="eastAsia" w:ascii="宋体" w:hAnsi="宋体" w:eastAsia="宋体" w:cs="宋体"/>
          <w:b/>
          <w:bCs/>
          <w:szCs w:val="21"/>
        </w:rPr>
        <w:t>【政府采购合同专用条款】</w:t>
      </w:r>
      <w:r>
        <w:rPr>
          <w:rFonts w:hint="eastAsia" w:ascii="宋体" w:hAnsi="宋体" w:eastAsia="宋体" w:cs="宋体"/>
          <w:szCs w:val="21"/>
        </w:rPr>
        <w:t>中进一步约定选择与争议有实际联系的地点的人民法院管辖，但管辖法院的约定不得违反级别管辖和专属管辖的规定。</w:t>
      </w:r>
    </w:p>
    <w:p w14:paraId="283DFA1B">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19.3 如甲乙双方有争议的事项不影响合同其他部分的履行，在争议解决期间，合同其他部分应当继续履行。</w:t>
      </w:r>
    </w:p>
    <w:p w14:paraId="59BFD592">
      <w:pPr>
        <w:autoSpaceDE w:val="0"/>
        <w:autoSpaceDN w:val="0"/>
        <w:adjustRightInd w:val="0"/>
        <w:snapToGrid w:val="0"/>
        <w:spacing w:line="400" w:lineRule="exact"/>
        <w:jc w:val="left"/>
        <w:rPr>
          <w:rFonts w:hint="eastAsia" w:ascii="宋体" w:hAnsi="宋体" w:eastAsia="宋体"/>
          <w:sz w:val="24"/>
        </w:rPr>
      </w:pPr>
      <w:r>
        <w:rPr>
          <w:rFonts w:hint="eastAsia" w:ascii="宋体" w:hAnsi="宋体" w:eastAsia="宋体"/>
          <w:b/>
          <w:sz w:val="24"/>
        </w:rPr>
        <w:t>20. 政府采购政策</w:t>
      </w:r>
    </w:p>
    <w:p w14:paraId="6B569EB5">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 xml:space="preserve">20.1 </w:t>
      </w:r>
      <w:r>
        <w:rPr>
          <w:rFonts w:hint="eastAsia" w:ascii="宋体" w:hAnsi="宋体" w:eastAsia="宋体" w:cs="宋体"/>
          <w:lang w:val="en-GB"/>
        </w:rPr>
        <w:t>本合同应当按照规定执行政府采购政策。</w:t>
      </w:r>
    </w:p>
    <w:p w14:paraId="409074FB">
      <w:pPr>
        <w:autoSpaceDE w:val="0"/>
        <w:autoSpaceDN w:val="0"/>
        <w:adjustRightInd w:val="0"/>
        <w:snapToGrid w:val="0"/>
        <w:spacing w:line="400" w:lineRule="exact"/>
        <w:ind w:firstLine="420" w:firstLineChars="200"/>
        <w:jc w:val="left"/>
        <w:rPr>
          <w:rFonts w:hint="eastAsia" w:ascii="宋体" w:hAnsi="宋体" w:eastAsia="宋体"/>
          <w:szCs w:val="21"/>
        </w:rPr>
      </w:pPr>
      <w:r>
        <w:rPr>
          <w:rFonts w:ascii="宋体" w:hAnsi="宋体" w:eastAsia="宋体"/>
          <w:szCs w:val="21"/>
        </w:rPr>
        <w:t>2</w:t>
      </w:r>
      <w:r>
        <w:rPr>
          <w:rFonts w:hint="eastAsia" w:ascii="宋体" w:hAnsi="宋体" w:eastAsia="宋体"/>
          <w:szCs w:val="21"/>
        </w:rPr>
        <w:t>0.2 本合同依法执行政府采购政策的方式和内容，属于合同履约验收的范围。</w:t>
      </w:r>
      <w:r>
        <w:rPr>
          <w:rFonts w:hint="eastAsia" w:ascii="宋体" w:hAnsi="宋体" w:eastAsia="宋体" w:cs="宋体"/>
        </w:rPr>
        <w:t>甲乙双方</w:t>
      </w:r>
      <w:r>
        <w:rPr>
          <w:rFonts w:hint="eastAsia" w:ascii="宋体" w:hAnsi="宋体" w:eastAsia="宋体" w:cs="宋体"/>
          <w:lang w:val="en-GB"/>
        </w:rPr>
        <w:t>未按规定要求执行政府采购政策造成损失的</w:t>
      </w:r>
      <w:r>
        <w:rPr>
          <w:rFonts w:hint="eastAsia" w:ascii="宋体" w:hAnsi="宋体" w:eastAsia="宋体"/>
          <w:szCs w:val="21"/>
        </w:rPr>
        <w:t>，有过错的一方应当承担赔偿责任，双方都有过错的，各自承担相应的责任。</w:t>
      </w:r>
    </w:p>
    <w:p w14:paraId="7BAE6CE2">
      <w:pPr>
        <w:spacing w:line="400" w:lineRule="exact"/>
        <w:ind w:firstLine="420" w:firstLineChars="200"/>
        <w:rPr>
          <w:rFonts w:ascii="Calibri" w:hAnsi="Calibri" w:eastAsia="宋体" w:cs="Times New Roman"/>
        </w:rPr>
      </w:pPr>
      <w:r>
        <w:rPr>
          <w:rFonts w:ascii="宋体" w:hAnsi="宋体" w:eastAsia="宋体" w:cs="Times New Roman"/>
          <w:szCs w:val="21"/>
        </w:rPr>
        <w:t>2</w:t>
      </w:r>
      <w:r>
        <w:rPr>
          <w:rFonts w:hint="eastAsia" w:ascii="宋体" w:hAnsi="宋体" w:eastAsia="宋体" w:cs="Times New Roman"/>
          <w:szCs w:val="21"/>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18386802">
      <w:pPr>
        <w:autoSpaceDE w:val="0"/>
        <w:autoSpaceDN w:val="0"/>
        <w:adjustRightInd w:val="0"/>
        <w:snapToGrid w:val="0"/>
        <w:spacing w:line="400" w:lineRule="exact"/>
        <w:jc w:val="left"/>
        <w:rPr>
          <w:rFonts w:hint="eastAsia" w:ascii="宋体" w:hAnsi="宋体" w:eastAsia="宋体"/>
          <w:b/>
          <w:sz w:val="24"/>
        </w:rPr>
      </w:pPr>
      <w:r>
        <w:rPr>
          <w:rFonts w:hint="eastAsia" w:ascii="宋体" w:hAnsi="宋体" w:eastAsia="宋体"/>
          <w:b/>
          <w:sz w:val="24"/>
        </w:rPr>
        <w:t>21. 法律适用</w:t>
      </w:r>
    </w:p>
    <w:p w14:paraId="27648149">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21.1 本合同的订立、生效、解释、履行及与本合同有关的争议解决，均适用法律、行政法规。</w:t>
      </w:r>
    </w:p>
    <w:p w14:paraId="32373CA8">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21.2 本合同条款与法律、行政法规的强制性规定不一致的，双方当事人应按照法律、行政法规的强制性规定修改本合同的相关条款。</w:t>
      </w:r>
    </w:p>
    <w:p w14:paraId="1E6674C0">
      <w:pPr>
        <w:numPr>
          <w:ilvl w:val="255"/>
          <w:numId w:val="0"/>
        </w:numPr>
        <w:autoSpaceDE w:val="0"/>
        <w:autoSpaceDN w:val="0"/>
        <w:adjustRightInd w:val="0"/>
        <w:snapToGrid w:val="0"/>
        <w:spacing w:line="400" w:lineRule="exact"/>
        <w:jc w:val="left"/>
        <w:rPr>
          <w:rFonts w:hint="eastAsia" w:ascii="宋体" w:hAnsi="宋体" w:eastAsia="宋体"/>
          <w:b/>
          <w:sz w:val="24"/>
        </w:rPr>
      </w:pPr>
      <w:r>
        <w:rPr>
          <w:rFonts w:hint="eastAsia" w:ascii="宋体" w:hAnsi="宋体" w:eastAsia="宋体"/>
          <w:b/>
          <w:sz w:val="24"/>
        </w:rPr>
        <w:t>22. 通知</w:t>
      </w:r>
    </w:p>
    <w:p w14:paraId="16663797">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22.1 本合同任何一方向对方发出的通知、信件、数据电文等，应当发送至本合同第一部分《政府采购合同协议书》所约定的通讯地址、联系人、联系电话或电子邮箱。</w:t>
      </w:r>
    </w:p>
    <w:p w14:paraId="4D4A487B">
      <w:pPr>
        <w:autoSpaceDE w:val="0"/>
        <w:autoSpaceDN w:val="0"/>
        <w:adjustRightInd w:val="0"/>
        <w:spacing w:line="400" w:lineRule="exact"/>
        <w:rPr>
          <w:rFonts w:hint="eastAsia" w:ascii="华文楷体" w:hAnsi="华文楷体" w:eastAsia="华文楷体" w:cs="华文楷体"/>
          <w:szCs w:val="21"/>
        </w:rPr>
      </w:pPr>
      <w:r>
        <w:rPr>
          <w:rFonts w:hint="eastAsia" w:ascii="宋体" w:hAnsi="宋体" w:eastAsia="宋体" w:cs="宋体"/>
          <w:szCs w:val="21"/>
        </w:rPr>
        <w:t xml:space="preserve">    22.2 一方当事人变更名称、住所、联系人、联系电话或电子邮箱等信息的，应当在变更后3日内及时书面通知对方，对方实际收到变更通知前的送达仍为有效送达。</w:t>
      </w:r>
    </w:p>
    <w:p w14:paraId="05B7B42B">
      <w:pPr>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22.3本合同一方给另一方的通知均应采用书面形式，传真或快递送到本合同中规定的对方的地址和办理签收手续。</w:t>
      </w:r>
    </w:p>
    <w:p w14:paraId="290D5089">
      <w:pPr>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22.4通知以送达之日或通知书中规定的生效之日起生效，两者中以较迟之日为准。</w:t>
      </w:r>
    </w:p>
    <w:p w14:paraId="07959399">
      <w:pPr>
        <w:numPr>
          <w:ilvl w:val="0"/>
          <w:numId w:val="13"/>
        </w:numPr>
        <w:adjustRightInd w:val="0"/>
        <w:snapToGrid w:val="0"/>
        <w:spacing w:line="400" w:lineRule="exact"/>
        <w:jc w:val="left"/>
        <w:rPr>
          <w:rFonts w:hint="eastAsia" w:ascii="宋体" w:hAnsi="宋体" w:eastAsia="宋体"/>
          <w:b/>
          <w:bCs/>
          <w:sz w:val="24"/>
        </w:rPr>
      </w:pPr>
      <w:r>
        <w:rPr>
          <w:rFonts w:hint="eastAsia" w:ascii="宋体" w:hAnsi="宋体" w:eastAsia="宋体"/>
          <w:b/>
          <w:bCs/>
          <w:sz w:val="24"/>
        </w:rPr>
        <w:t>合同未尽事项</w:t>
      </w:r>
    </w:p>
    <w:p w14:paraId="58680087">
      <w:pPr>
        <w:adjustRightInd w:val="0"/>
        <w:snapToGrid w:val="0"/>
        <w:spacing w:line="400" w:lineRule="exact"/>
        <w:ind w:firstLine="420" w:firstLineChars="200"/>
        <w:jc w:val="left"/>
        <w:rPr>
          <w:rFonts w:hint="eastAsia" w:ascii="宋体" w:hAnsi="宋体" w:eastAsia="宋体"/>
          <w:bCs/>
          <w:szCs w:val="21"/>
        </w:rPr>
      </w:pPr>
      <w:r>
        <w:rPr>
          <w:rFonts w:hint="eastAsia" w:ascii="宋体" w:hAnsi="宋体" w:eastAsia="宋体"/>
          <w:bCs/>
          <w:szCs w:val="21"/>
        </w:rPr>
        <w:t>23.1合同未尽事项见</w:t>
      </w:r>
      <w:r>
        <w:rPr>
          <w:rFonts w:hint="eastAsia" w:ascii="宋体" w:hAnsi="宋体" w:eastAsia="宋体"/>
          <w:b/>
          <w:szCs w:val="21"/>
        </w:rPr>
        <w:t>【政府采购合同专用条款】</w:t>
      </w:r>
      <w:r>
        <w:rPr>
          <w:rFonts w:hint="eastAsia" w:ascii="宋体" w:hAnsi="宋体" w:eastAsia="宋体"/>
          <w:bCs/>
          <w:szCs w:val="21"/>
        </w:rPr>
        <w:t>。</w:t>
      </w:r>
    </w:p>
    <w:p w14:paraId="27CE1121">
      <w:pPr>
        <w:adjustRightInd w:val="0"/>
        <w:snapToGrid w:val="0"/>
        <w:spacing w:line="400" w:lineRule="exact"/>
        <w:jc w:val="left"/>
        <w:rPr>
          <w:rFonts w:hint="eastAsia" w:ascii="黑体" w:hAnsi="华文中宋" w:eastAsia="黑体"/>
          <w:sz w:val="28"/>
          <w:szCs w:val="28"/>
        </w:rPr>
      </w:pPr>
      <w:r>
        <w:rPr>
          <w:rFonts w:hint="eastAsia" w:ascii="宋体" w:hAnsi="宋体" w:eastAsia="宋体"/>
          <w:bCs/>
          <w:szCs w:val="21"/>
        </w:rPr>
        <w:t xml:space="preserve">    23.2 合同附件与合同正文具有同等的法律效力。</w:t>
      </w:r>
      <w:bookmarkStart w:id="57" w:name="_Toc20313"/>
    </w:p>
    <w:p w14:paraId="6BCA2C16">
      <w:pPr>
        <w:adjustRightInd w:val="0"/>
        <w:snapToGrid w:val="0"/>
        <w:jc w:val="center"/>
        <w:rPr>
          <w:rFonts w:hint="eastAsia" w:ascii="黑体" w:hAnsi="华文中宋" w:eastAsia="黑体"/>
          <w:sz w:val="28"/>
          <w:szCs w:val="28"/>
        </w:rPr>
      </w:pPr>
      <w:r>
        <w:rPr>
          <w:rFonts w:hint="eastAsia" w:ascii="黑体" w:hAnsi="华文中宋" w:eastAsia="黑体"/>
          <w:sz w:val="28"/>
          <w:szCs w:val="28"/>
        </w:rPr>
        <w:br w:type="page"/>
      </w:r>
    </w:p>
    <w:p w14:paraId="20C1B1C0">
      <w:pPr>
        <w:keepNext/>
        <w:keepLines/>
        <w:adjustRightInd w:val="0"/>
        <w:snapToGrid w:val="0"/>
        <w:spacing w:line="360" w:lineRule="auto"/>
        <w:jc w:val="center"/>
        <w:outlineLvl w:val="1"/>
        <w:rPr>
          <w:rFonts w:hint="eastAsia" w:ascii="黑体" w:hAnsi="华文中宋" w:eastAsia="黑体" w:cs="Times New Roman"/>
          <w:sz w:val="28"/>
          <w:szCs w:val="28"/>
        </w:rPr>
      </w:pPr>
      <w:r>
        <w:rPr>
          <w:rFonts w:hint="eastAsia" w:ascii="黑体" w:hAnsi="华文中宋" w:eastAsia="黑体" w:cs="Times New Roman"/>
          <w:sz w:val="28"/>
          <w:szCs w:val="28"/>
        </w:rPr>
        <w:t>第三节 政府采购合同专用条款</w:t>
      </w:r>
      <w:bookmarkEnd w:id="57"/>
    </w:p>
    <w:tbl>
      <w:tblPr>
        <w:tblStyle w:val="17"/>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6D2F362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AE600D9">
            <w:pPr>
              <w:adjustRightInd w:val="0"/>
              <w:snapToGrid w:val="0"/>
              <w:jc w:val="center"/>
              <w:rPr>
                <w:rFonts w:hint="eastAsia" w:ascii="宋体" w:hAnsi="宋体" w:eastAsia="宋体"/>
                <w:szCs w:val="21"/>
              </w:rPr>
            </w:pPr>
            <w:r>
              <w:rPr>
                <w:rFonts w:hint="eastAsia" w:ascii="宋体" w:hAnsi="宋体" w:eastAsia="宋体"/>
                <w:szCs w:val="21"/>
              </w:rPr>
              <w:t>第二节</w:t>
            </w:r>
          </w:p>
          <w:p w14:paraId="572BB908">
            <w:pPr>
              <w:adjustRightInd w:val="0"/>
              <w:snapToGrid w:val="0"/>
              <w:jc w:val="center"/>
              <w:rPr>
                <w:rFonts w:hint="eastAsia" w:ascii="宋体" w:hAnsi="宋体" w:eastAsia="宋体"/>
                <w:szCs w:val="21"/>
              </w:rPr>
            </w:pPr>
            <w:r>
              <w:rPr>
                <w:rFonts w:hint="eastAsia" w:ascii="宋体" w:hAnsi="宋体" w:eastAsia="宋体"/>
                <w:szCs w:val="21"/>
              </w:rPr>
              <w:t>第1.2（6）项</w:t>
            </w:r>
          </w:p>
        </w:tc>
        <w:tc>
          <w:tcPr>
            <w:tcW w:w="1742" w:type="dxa"/>
            <w:vAlign w:val="center"/>
          </w:tcPr>
          <w:p w14:paraId="1ECEC2DD">
            <w:pPr>
              <w:adjustRightInd w:val="0"/>
              <w:snapToGrid w:val="0"/>
              <w:jc w:val="left"/>
              <w:rPr>
                <w:rFonts w:hint="eastAsia" w:ascii="宋体" w:hAnsi="宋体" w:eastAsia="宋体"/>
                <w:szCs w:val="21"/>
              </w:rPr>
            </w:pPr>
            <w:r>
              <w:rPr>
                <w:rFonts w:hint="eastAsia" w:ascii="宋体" w:hAnsi="宋体" w:eastAsia="宋体"/>
                <w:szCs w:val="21"/>
              </w:rPr>
              <w:t>联合体具体要求</w:t>
            </w:r>
          </w:p>
        </w:tc>
        <w:tc>
          <w:tcPr>
            <w:tcW w:w="5170" w:type="dxa"/>
            <w:vAlign w:val="center"/>
          </w:tcPr>
          <w:p w14:paraId="34E0EE18">
            <w:pPr>
              <w:adjustRightInd w:val="0"/>
              <w:snapToGrid w:val="0"/>
              <w:jc w:val="left"/>
              <w:rPr>
                <w:rFonts w:hint="eastAsia" w:ascii="宋体" w:hAnsi="宋体" w:eastAsia="宋体"/>
                <w:szCs w:val="21"/>
              </w:rPr>
            </w:pPr>
          </w:p>
        </w:tc>
      </w:tr>
      <w:tr w14:paraId="54BA9F7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4C5983AE">
            <w:pPr>
              <w:adjustRightInd w:val="0"/>
              <w:snapToGrid w:val="0"/>
              <w:jc w:val="center"/>
              <w:rPr>
                <w:rFonts w:hint="eastAsia" w:ascii="宋体" w:hAnsi="宋体" w:eastAsia="宋体"/>
                <w:szCs w:val="21"/>
              </w:rPr>
            </w:pPr>
            <w:r>
              <w:rPr>
                <w:rFonts w:hint="eastAsia" w:ascii="宋体" w:hAnsi="宋体" w:eastAsia="宋体"/>
                <w:szCs w:val="21"/>
              </w:rPr>
              <w:t>第二节</w:t>
            </w:r>
          </w:p>
          <w:p w14:paraId="0B2B94E6">
            <w:pPr>
              <w:adjustRightInd w:val="0"/>
              <w:snapToGrid w:val="0"/>
              <w:jc w:val="center"/>
              <w:rPr>
                <w:rFonts w:hint="eastAsia" w:ascii="宋体" w:hAnsi="宋体" w:eastAsia="宋体" w:cs="Times New Roman"/>
                <w:szCs w:val="21"/>
              </w:rPr>
            </w:pPr>
            <w:r>
              <w:rPr>
                <w:rFonts w:hint="eastAsia" w:ascii="宋体" w:hAnsi="宋体" w:eastAsia="宋体"/>
                <w:szCs w:val="21"/>
              </w:rPr>
              <w:t>第1.2（7）项</w:t>
            </w:r>
          </w:p>
        </w:tc>
        <w:tc>
          <w:tcPr>
            <w:tcW w:w="1742" w:type="dxa"/>
            <w:vAlign w:val="center"/>
          </w:tcPr>
          <w:p w14:paraId="3736A86A">
            <w:pPr>
              <w:adjustRightInd w:val="0"/>
              <w:snapToGrid w:val="0"/>
              <w:jc w:val="left"/>
              <w:rPr>
                <w:rFonts w:hint="eastAsia" w:ascii="宋体" w:hAnsi="宋体" w:eastAsia="宋体" w:cs="Times New Roman"/>
                <w:szCs w:val="21"/>
              </w:rPr>
            </w:pPr>
            <w:r>
              <w:rPr>
                <w:rFonts w:hint="eastAsia" w:ascii="宋体" w:hAnsi="宋体" w:eastAsia="宋体"/>
                <w:szCs w:val="21"/>
              </w:rPr>
              <w:t>其他术语解释</w:t>
            </w:r>
          </w:p>
        </w:tc>
        <w:tc>
          <w:tcPr>
            <w:tcW w:w="5170" w:type="dxa"/>
            <w:vAlign w:val="center"/>
          </w:tcPr>
          <w:p w14:paraId="37DEF4CB">
            <w:pPr>
              <w:adjustRightInd w:val="0"/>
              <w:snapToGrid w:val="0"/>
              <w:jc w:val="left"/>
              <w:rPr>
                <w:rFonts w:hint="eastAsia" w:ascii="宋体" w:hAnsi="宋体" w:eastAsia="宋体" w:cs="Times New Roman"/>
                <w:szCs w:val="21"/>
              </w:rPr>
            </w:pPr>
          </w:p>
        </w:tc>
      </w:tr>
      <w:tr w14:paraId="19759A8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CE30891">
            <w:pPr>
              <w:adjustRightInd w:val="0"/>
              <w:snapToGrid w:val="0"/>
              <w:jc w:val="center"/>
              <w:rPr>
                <w:rFonts w:hint="eastAsia" w:ascii="宋体" w:hAnsi="宋体" w:eastAsia="宋体"/>
                <w:szCs w:val="21"/>
              </w:rPr>
            </w:pPr>
            <w:r>
              <w:rPr>
                <w:rFonts w:hint="eastAsia" w:ascii="宋体" w:hAnsi="宋体" w:eastAsia="宋体"/>
                <w:szCs w:val="21"/>
              </w:rPr>
              <w:t>第二节</w:t>
            </w:r>
          </w:p>
          <w:p w14:paraId="0043303D">
            <w:pPr>
              <w:adjustRightInd w:val="0"/>
              <w:snapToGrid w:val="0"/>
              <w:jc w:val="center"/>
              <w:rPr>
                <w:rFonts w:hint="eastAsia" w:ascii="宋体" w:hAnsi="宋体" w:eastAsia="宋体"/>
                <w:szCs w:val="21"/>
              </w:rPr>
            </w:pPr>
            <w:r>
              <w:rPr>
                <w:rFonts w:hint="eastAsia" w:ascii="宋体" w:hAnsi="宋体" w:eastAsia="宋体"/>
                <w:szCs w:val="21"/>
              </w:rPr>
              <w:t>第4.4款</w:t>
            </w:r>
          </w:p>
        </w:tc>
        <w:tc>
          <w:tcPr>
            <w:tcW w:w="1742" w:type="dxa"/>
            <w:vAlign w:val="center"/>
          </w:tcPr>
          <w:p w14:paraId="752AC2B3">
            <w:pPr>
              <w:adjustRightInd w:val="0"/>
              <w:snapToGrid w:val="0"/>
              <w:jc w:val="left"/>
              <w:rPr>
                <w:rFonts w:hint="eastAsia" w:ascii="宋体" w:hAnsi="宋体" w:eastAsia="宋体"/>
                <w:szCs w:val="21"/>
              </w:rPr>
            </w:pPr>
            <w:r>
              <w:rPr>
                <w:rFonts w:hint="eastAsia" w:ascii="宋体" w:hAnsi="宋体" w:eastAsia="宋体"/>
                <w:szCs w:val="21"/>
              </w:rPr>
              <w:t>履约验收中甲方提出异议或作出说明的期限</w:t>
            </w:r>
          </w:p>
        </w:tc>
        <w:tc>
          <w:tcPr>
            <w:tcW w:w="5170" w:type="dxa"/>
            <w:vAlign w:val="center"/>
          </w:tcPr>
          <w:p w14:paraId="681224C1">
            <w:pPr>
              <w:adjustRightInd w:val="0"/>
              <w:snapToGrid w:val="0"/>
              <w:jc w:val="left"/>
              <w:rPr>
                <w:rFonts w:hint="eastAsia" w:ascii="宋体" w:hAnsi="宋体" w:eastAsia="宋体" w:cs="Times New Roman"/>
                <w:szCs w:val="21"/>
              </w:rPr>
            </w:pPr>
          </w:p>
        </w:tc>
      </w:tr>
      <w:tr w14:paraId="13B879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3727464">
            <w:pPr>
              <w:adjustRightInd w:val="0"/>
              <w:snapToGrid w:val="0"/>
              <w:jc w:val="center"/>
              <w:rPr>
                <w:rFonts w:hint="eastAsia" w:ascii="宋体" w:hAnsi="宋体" w:eastAsia="宋体"/>
                <w:szCs w:val="21"/>
              </w:rPr>
            </w:pPr>
            <w:r>
              <w:rPr>
                <w:rFonts w:hint="eastAsia" w:ascii="宋体" w:hAnsi="宋体" w:eastAsia="宋体"/>
                <w:szCs w:val="21"/>
              </w:rPr>
              <w:t>第二节</w:t>
            </w:r>
          </w:p>
          <w:p w14:paraId="79058B40">
            <w:pPr>
              <w:adjustRightInd w:val="0"/>
              <w:snapToGrid w:val="0"/>
              <w:jc w:val="center"/>
              <w:rPr>
                <w:rFonts w:hint="eastAsia" w:ascii="宋体" w:hAnsi="宋体" w:eastAsia="宋体"/>
                <w:szCs w:val="21"/>
              </w:rPr>
            </w:pPr>
            <w:r>
              <w:rPr>
                <w:rFonts w:hint="eastAsia" w:ascii="宋体" w:hAnsi="宋体" w:eastAsia="宋体"/>
                <w:szCs w:val="21"/>
              </w:rPr>
              <w:t>第4.6款</w:t>
            </w:r>
          </w:p>
        </w:tc>
        <w:tc>
          <w:tcPr>
            <w:tcW w:w="1742" w:type="dxa"/>
            <w:vAlign w:val="center"/>
          </w:tcPr>
          <w:p w14:paraId="0B0689D7">
            <w:pPr>
              <w:adjustRightInd w:val="0"/>
              <w:snapToGrid w:val="0"/>
              <w:jc w:val="left"/>
              <w:rPr>
                <w:rFonts w:hint="eastAsia" w:ascii="宋体" w:hAnsi="宋体" w:eastAsia="宋体"/>
                <w:szCs w:val="21"/>
              </w:rPr>
            </w:pPr>
            <w:r>
              <w:rPr>
                <w:rFonts w:hint="eastAsia" w:ascii="宋体" w:hAnsi="宋体" w:eastAsia="宋体"/>
                <w:szCs w:val="21"/>
              </w:rPr>
              <w:t>约定甲方承担的其他义务和责任</w:t>
            </w:r>
          </w:p>
        </w:tc>
        <w:tc>
          <w:tcPr>
            <w:tcW w:w="5170" w:type="dxa"/>
            <w:vAlign w:val="center"/>
          </w:tcPr>
          <w:p w14:paraId="1680A2B5">
            <w:pPr>
              <w:adjustRightInd w:val="0"/>
              <w:snapToGrid w:val="0"/>
              <w:jc w:val="left"/>
              <w:rPr>
                <w:rFonts w:hint="eastAsia" w:ascii="宋体" w:hAnsi="宋体" w:eastAsia="宋体" w:cs="Times New Roman"/>
                <w:szCs w:val="21"/>
              </w:rPr>
            </w:pPr>
          </w:p>
        </w:tc>
      </w:tr>
      <w:tr w14:paraId="26BD1F3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4B3890A">
            <w:pPr>
              <w:adjustRightInd w:val="0"/>
              <w:snapToGrid w:val="0"/>
              <w:jc w:val="center"/>
              <w:rPr>
                <w:rFonts w:hint="eastAsia" w:ascii="宋体" w:hAnsi="宋体" w:eastAsia="宋体"/>
                <w:szCs w:val="21"/>
              </w:rPr>
            </w:pPr>
            <w:r>
              <w:rPr>
                <w:rFonts w:hint="eastAsia" w:ascii="宋体" w:hAnsi="宋体" w:eastAsia="宋体"/>
                <w:szCs w:val="21"/>
              </w:rPr>
              <w:t>第二节</w:t>
            </w:r>
          </w:p>
          <w:p w14:paraId="248F8AE3">
            <w:pPr>
              <w:snapToGrid w:val="0"/>
              <w:jc w:val="center"/>
              <w:rPr>
                <w:rFonts w:eastAsia="宋体"/>
              </w:rPr>
            </w:pPr>
            <w:r>
              <w:rPr>
                <w:rFonts w:hint="eastAsia" w:ascii="宋体" w:hAnsi="宋体" w:eastAsia="宋体"/>
                <w:szCs w:val="21"/>
              </w:rPr>
              <w:t>第5.4款</w:t>
            </w:r>
          </w:p>
        </w:tc>
        <w:tc>
          <w:tcPr>
            <w:tcW w:w="1742" w:type="dxa"/>
            <w:vAlign w:val="center"/>
          </w:tcPr>
          <w:p w14:paraId="695C4899">
            <w:pPr>
              <w:adjustRightInd w:val="0"/>
              <w:snapToGrid w:val="0"/>
              <w:jc w:val="left"/>
              <w:rPr>
                <w:rFonts w:hint="eastAsia" w:ascii="宋体" w:hAnsi="宋体" w:eastAsia="宋体"/>
                <w:szCs w:val="21"/>
              </w:rPr>
            </w:pPr>
            <w:r>
              <w:rPr>
                <w:rFonts w:hint="eastAsia" w:ascii="宋体" w:hAnsi="宋体" w:eastAsia="宋体"/>
                <w:szCs w:val="21"/>
              </w:rPr>
              <w:t>约定乙方承担的其他义务和责任</w:t>
            </w:r>
          </w:p>
        </w:tc>
        <w:tc>
          <w:tcPr>
            <w:tcW w:w="5170" w:type="dxa"/>
            <w:vAlign w:val="center"/>
          </w:tcPr>
          <w:p w14:paraId="0AA39CB8">
            <w:pPr>
              <w:adjustRightInd w:val="0"/>
              <w:snapToGrid w:val="0"/>
              <w:jc w:val="left"/>
              <w:rPr>
                <w:rFonts w:hint="eastAsia" w:ascii="宋体" w:hAnsi="宋体" w:eastAsia="宋体" w:cs="Times New Roman"/>
                <w:szCs w:val="21"/>
              </w:rPr>
            </w:pPr>
          </w:p>
        </w:tc>
      </w:tr>
      <w:tr w14:paraId="7EA228B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AC32E18">
            <w:pPr>
              <w:adjustRightInd w:val="0"/>
              <w:snapToGrid w:val="0"/>
              <w:jc w:val="center"/>
              <w:rPr>
                <w:rFonts w:hint="eastAsia" w:ascii="宋体" w:hAnsi="宋体" w:eastAsia="宋体"/>
                <w:szCs w:val="21"/>
              </w:rPr>
            </w:pPr>
            <w:r>
              <w:rPr>
                <w:rFonts w:hint="eastAsia" w:ascii="宋体" w:hAnsi="宋体" w:eastAsia="宋体"/>
                <w:szCs w:val="21"/>
              </w:rPr>
              <w:t>第二节</w:t>
            </w:r>
          </w:p>
          <w:p w14:paraId="0DCDE563">
            <w:pPr>
              <w:snapToGrid w:val="0"/>
              <w:jc w:val="center"/>
              <w:rPr>
                <w:rFonts w:hint="eastAsia" w:ascii="宋体" w:hAnsi="宋体" w:eastAsia="宋体"/>
                <w:szCs w:val="21"/>
              </w:rPr>
            </w:pPr>
            <w:r>
              <w:rPr>
                <w:rFonts w:hint="eastAsia" w:ascii="宋体" w:hAnsi="宋体" w:eastAsia="宋体"/>
                <w:szCs w:val="21"/>
              </w:rPr>
              <w:t>第6.1款</w:t>
            </w:r>
          </w:p>
        </w:tc>
        <w:tc>
          <w:tcPr>
            <w:tcW w:w="1742" w:type="dxa"/>
            <w:vAlign w:val="center"/>
          </w:tcPr>
          <w:p w14:paraId="588EC280">
            <w:pPr>
              <w:adjustRightInd w:val="0"/>
              <w:snapToGrid w:val="0"/>
              <w:jc w:val="left"/>
              <w:rPr>
                <w:rFonts w:hint="eastAsia" w:ascii="宋体" w:hAnsi="宋体" w:eastAsia="宋体"/>
                <w:szCs w:val="21"/>
              </w:rPr>
            </w:pPr>
            <w:r>
              <w:rPr>
                <w:rFonts w:hint="eastAsia" w:ascii="宋体" w:hAnsi="宋体" w:eastAsia="宋体"/>
                <w:szCs w:val="21"/>
              </w:rPr>
              <w:t>履行合同义务的顺序</w:t>
            </w:r>
          </w:p>
        </w:tc>
        <w:tc>
          <w:tcPr>
            <w:tcW w:w="5170" w:type="dxa"/>
            <w:vAlign w:val="center"/>
          </w:tcPr>
          <w:p w14:paraId="523757AF">
            <w:pPr>
              <w:adjustRightInd w:val="0"/>
              <w:snapToGrid w:val="0"/>
              <w:jc w:val="left"/>
              <w:rPr>
                <w:rFonts w:hint="eastAsia" w:ascii="宋体" w:hAnsi="宋体" w:eastAsia="宋体" w:cs="Times New Roman"/>
                <w:szCs w:val="21"/>
              </w:rPr>
            </w:pPr>
          </w:p>
        </w:tc>
      </w:tr>
      <w:tr w14:paraId="410A62A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0728F983">
            <w:pPr>
              <w:adjustRightInd w:val="0"/>
              <w:snapToGrid w:val="0"/>
              <w:jc w:val="center"/>
              <w:rPr>
                <w:rFonts w:hint="eastAsia" w:ascii="宋体" w:hAnsi="宋体" w:eastAsia="宋体"/>
                <w:szCs w:val="21"/>
              </w:rPr>
            </w:pPr>
            <w:r>
              <w:rPr>
                <w:rFonts w:hint="eastAsia" w:ascii="宋体" w:hAnsi="宋体" w:eastAsia="宋体"/>
                <w:szCs w:val="21"/>
              </w:rPr>
              <w:t>第二节</w:t>
            </w:r>
          </w:p>
          <w:p w14:paraId="5096437F">
            <w:pPr>
              <w:adjustRightInd w:val="0"/>
              <w:snapToGrid w:val="0"/>
              <w:jc w:val="center"/>
              <w:rPr>
                <w:rFonts w:hint="eastAsia" w:ascii="宋体" w:hAnsi="宋体" w:eastAsia="宋体"/>
                <w:szCs w:val="21"/>
              </w:rPr>
            </w:pPr>
            <w:r>
              <w:rPr>
                <w:rFonts w:hint="eastAsia" w:ascii="宋体" w:hAnsi="宋体" w:eastAsia="宋体"/>
                <w:szCs w:val="21"/>
              </w:rPr>
              <w:t>第7.1款</w:t>
            </w:r>
          </w:p>
        </w:tc>
        <w:tc>
          <w:tcPr>
            <w:tcW w:w="1742" w:type="dxa"/>
            <w:vAlign w:val="center"/>
          </w:tcPr>
          <w:p w14:paraId="6481C483">
            <w:pPr>
              <w:adjustRightInd w:val="0"/>
              <w:snapToGrid w:val="0"/>
              <w:jc w:val="left"/>
              <w:rPr>
                <w:rFonts w:hint="eastAsia" w:ascii="宋体" w:hAnsi="宋体" w:eastAsia="宋体"/>
                <w:szCs w:val="21"/>
              </w:rPr>
            </w:pPr>
            <w:r>
              <w:rPr>
                <w:rFonts w:hint="eastAsia" w:ascii="宋体" w:hAnsi="宋体" w:eastAsia="宋体"/>
                <w:szCs w:val="21"/>
              </w:rPr>
              <w:t>包装特殊要求</w:t>
            </w:r>
          </w:p>
        </w:tc>
        <w:tc>
          <w:tcPr>
            <w:tcW w:w="5170" w:type="dxa"/>
            <w:vAlign w:val="center"/>
          </w:tcPr>
          <w:p w14:paraId="0976794C">
            <w:pPr>
              <w:rPr>
                <w:rFonts w:eastAsia="宋体"/>
              </w:rPr>
            </w:pPr>
          </w:p>
        </w:tc>
      </w:tr>
      <w:tr w14:paraId="789BC4D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437B8DFC">
            <w:pPr>
              <w:adjustRightInd w:val="0"/>
              <w:snapToGrid w:val="0"/>
              <w:jc w:val="center"/>
              <w:rPr>
                <w:rFonts w:hint="eastAsia" w:ascii="宋体" w:hAnsi="宋体" w:eastAsia="宋体"/>
                <w:szCs w:val="21"/>
              </w:rPr>
            </w:pPr>
          </w:p>
        </w:tc>
        <w:tc>
          <w:tcPr>
            <w:tcW w:w="1742" w:type="dxa"/>
            <w:vAlign w:val="center"/>
          </w:tcPr>
          <w:p w14:paraId="256425C7">
            <w:pPr>
              <w:adjustRightInd w:val="0"/>
              <w:snapToGrid w:val="0"/>
              <w:jc w:val="left"/>
              <w:rPr>
                <w:rFonts w:hint="eastAsia" w:ascii="宋体" w:hAnsi="宋体" w:eastAsia="宋体"/>
                <w:szCs w:val="21"/>
              </w:rPr>
            </w:pPr>
            <w:r>
              <w:rPr>
                <w:rFonts w:hint="eastAsia" w:ascii="宋体" w:hAnsi="宋体" w:eastAsia="宋体"/>
                <w:szCs w:val="21"/>
              </w:rPr>
              <w:t>指定现场</w:t>
            </w:r>
          </w:p>
        </w:tc>
        <w:tc>
          <w:tcPr>
            <w:tcW w:w="5170" w:type="dxa"/>
            <w:vAlign w:val="center"/>
          </w:tcPr>
          <w:p w14:paraId="1B47C0DF">
            <w:pPr>
              <w:rPr>
                <w:rFonts w:eastAsia="宋体"/>
              </w:rPr>
            </w:pPr>
          </w:p>
        </w:tc>
      </w:tr>
      <w:tr w14:paraId="6DC4222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599FD737">
            <w:pPr>
              <w:adjustRightInd w:val="0"/>
              <w:snapToGrid w:val="0"/>
              <w:jc w:val="center"/>
              <w:rPr>
                <w:rFonts w:hint="eastAsia" w:ascii="宋体" w:hAnsi="宋体" w:eastAsia="宋体"/>
                <w:szCs w:val="21"/>
              </w:rPr>
            </w:pPr>
            <w:r>
              <w:rPr>
                <w:rFonts w:hint="eastAsia" w:ascii="宋体" w:hAnsi="宋体" w:eastAsia="宋体"/>
                <w:szCs w:val="21"/>
              </w:rPr>
              <w:t>第二节</w:t>
            </w:r>
          </w:p>
          <w:p w14:paraId="51DD50CE">
            <w:pPr>
              <w:adjustRightInd w:val="0"/>
              <w:snapToGrid w:val="0"/>
              <w:jc w:val="center"/>
              <w:rPr>
                <w:rFonts w:hint="eastAsia" w:ascii="宋体" w:hAnsi="宋体" w:eastAsia="宋体"/>
                <w:szCs w:val="21"/>
              </w:rPr>
            </w:pPr>
            <w:r>
              <w:rPr>
                <w:rFonts w:hint="eastAsia" w:ascii="宋体" w:hAnsi="宋体" w:eastAsia="宋体"/>
                <w:szCs w:val="21"/>
              </w:rPr>
              <w:t>第7.2款</w:t>
            </w:r>
          </w:p>
        </w:tc>
        <w:tc>
          <w:tcPr>
            <w:tcW w:w="1742" w:type="dxa"/>
            <w:vAlign w:val="center"/>
          </w:tcPr>
          <w:p w14:paraId="07B2DD08">
            <w:pPr>
              <w:adjustRightInd w:val="0"/>
              <w:snapToGrid w:val="0"/>
              <w:jc w:val="left"/>
              <w:rPr>
                <w:rFonts w:hint="eastAsia" w:ascii="宋体" w:hAnsi="宋体" w:eastAsia="宋体"/>
                <w:szCs w:val="21"/>
              </w:rPr>
            </w:pPr>
            <w:r>
              <w:rPr>
                <w:rFonts w:hint="eastAsia" w:ascii="宋体" w:hAnsi="宋体" w:eastAsia="宋体"/>
                <w:szCs w:val="21"/>
              </w:rPr>
              <w:t>运输特殊要求</w:t>
            </w:r>
          </w:p>
        </w:tc>
        <w:tc>
          <w:tcPr>
            <w:tcW w:w="5170" w:type="dxa"/>
            <w:vAlign w:val="center"/>
          </w:tcPr>
          <w:p w14:paraId="5222B362">
            <w:pPr>
              <w:rPr>
                <w:rFonts w:eastAsia="宋体"/>
              </w:rPr>
            </w:pPr>
          </w:p>
        </w:tc>
      </w:tr>
      <w:tr w14:paraId="6DA7A7A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7F3BF770">
            <w:pPr>
              <w:adjustRightInd w:val="0"/>
              <w:snapToGrid w:val="0"/>
              <w:jc w:val="center"/>
              <w:rPr>
                <w:rFonts w:hint="eastAsia" w:ascii="宋体" w:hAnsi="宋体" w:eastAsia="宋体"/>
                <w:szCs w:val="21"/>
              </w:rPr>
            </w:pPr>
            <w:r>
              <w:rPr>
                <w:rFonts w:hint="eastAsia" w:ascii="宋体" w:hAnsi="宋体" w:eastAsia="宋体"/>
                <w:szCs w:val="21"/>
              </w:rPr>
              <w:t>第二节</w:t>
            </w:r>
          </w:p>
          <w:p w14:paraId="0672CFD5">
            <w:pPr>
              <w:adjustRightInd w:val="0"/>
              <w:snapToGrid w:val="0"/>
              <w:jc w:val="center"/>
              <w:rPr>
                <w:rFonts w:hint="eastAsia" w:ascii="宋体" w:hAnsi="宋体" w:eastAsia="宋体"/>
                <w:szCs w:val="21"/>
              </w:rPr>
            </w:pPr>
            <w:r>
              <w:rPr>
                <w:rFonts w:hint="eastAsia" w:ascii="宋体" w:hAnsi="宋体" w:eastAsia="宋体"/>
                <w:szCs w:val="21"/>
              </w:rPr>
              <w:t>第7.3款</w:t>
            </w:r>
          </w:p>
        </w:tc>
        <w:tc>
          <w:tcPr>
            <w:tcW w:w="1742" w:type="dxa"/>
            <w:vAlign w:val="center"/>
          </w:tcPr>
          <w:p w14:paraId="5A4CB078">
            <w:pPr>
              <w:adjustRightInd w:val="0"/>
              <w:snapToGrid w:val="0"/>
              <w:jc w:val="left"/>
              <w:rPr>
                <w:rFonts w:hint="eastAsia" w:ascii="宋体" w:hAnsi="宋体" w:eastAsia="宋体"/>
                <w:szCs w:val="21"/>
              </w:rPr>
            </w:pPr>
            <w:r>
              <w:rPr>
                <w:rFonts w:hint="eastAsia" w:ascii="宋体" w:hAnsi="宋体" w:eastAsia="宋体"/>
                <w:szCs w:val="21"/>
              </w:rPr>
              <w:t>保险要求</w:t>
            </w:r>
          </w:p>
        </w:tc>
        <w:tc>
          <w:tcPr>
            <w:tcW w:w="5170" w:type="dxa"/>
            <w:vAlign w:val="center"/>
          </w:tcPr>
          <w:p w14:paraId="3F9AC22F">
            <w:pPr>
              <w:rPr>
                <w:rFonts w:eastAsia="宋体"/>
              </w:rPr>
            </w:pPr>
          </w:p>
        </w:tc>
      </w:tr>
      <w:tr w14:paraId="7E1466F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D19839C">
            <w:pPr>
              <w:adjustRightInd w:val="0"/>
              <w:snapToGrid w:val="0"/>
              <w:jc w:val="center"/>
              <w:rPr>
                <w:rFonts w:hint="eastAsia" w:ascii="宋体" w:hAnsi="宋体" w:eastAsia="宋体"/>
                <w:szCs w:val="21"/>
              </w:rPr>
            </w:pPr>
            <w:r>
              <w:rPr>
                <w:rFonts w:hint="eastAsia" w:ascii="宋体" w:hAnsi="宋体" w:eastAsia="宋体"/>
                <w:szCs w:val="21"/>
              </w:rPr>
              <w:t>第二节</w:t>
            </w:r>
          </w:p>
          <w:p w14:paraId="64D64274">
            <w:pPr>
              <w:adjustRightInd w:val="0"/>
              <w:snapToGrid w:val="0"/>
              <w:jc w:val="center"/>
              <w:rPr>
                <w:rFonts w:hint="eastAsia" w:ascii="宋体" w:hAnsi="宋体" w:eastAsia="宋体"/>
                <w:szCs w:val="21"/>
              </w:rPr>
            </w:pPr>
            <w:r>
              <w:rPr>
                <w:rFonts w:hint="eastAsia" w:ascii="宋体" w:hAnsi="宋体" w:eastAsia="宋体"/>
                <w:szCs w:val="21"/>
              </w:rPr>
              <w:t>第8.2（1）项</w:t>
            </w:r>
          </w:p>
        </w:tc>
        <w:tc>
          <w:tcPr>
            <w:tcW w:w="1742" w:type="dxa"/>
            <w:vAlign w:val="center"/>
          </w:tcPr>
          <w:p w14:paraId="1913A9C4">
            <w:pPr>
              <w:adjustRightInd w:val="0"/>
              <w:snapToGrid w:val="0"/>
              <w:jc w:val="left"/>
              <w:rPr>
                <w:rFonts w:hint="eastAsia" w:ascii="宋体" w:hAnsi="宋体" w:eastAsia="宋体"/>
                <w:szCs w:val="21"/>
              </w:rPr>
            </w:pPr>
            <w:r>
              <w:rPr>
                <w:rFonts w:hint="eastAsia" w:ascii="宋体" w:hAnsi="宋体" w:eastAsia="宋体"/>
                <w:szCs w:val="21"/>
              </w:rPr>
              <w:t>质量保证期</w:t>
            </w:r>
          </w:p>
        </w:tc>
        <w:tc>
          <w:tcPr>
            <w:tcW w:w="5170" w:type="dxa"/>
            <w:vAlign w:val="center"/>
          </w:tcPr>
          <w:p w14:paraId="29DCCC68">
            <w:pPr>
              <w:autoSpaceDE w:val="0"/>
              <w:autoSpaceDN w:val="0"/>
              <w:adjustRightInd w:val="0"/>
              <w:snapToGrid w:val="0"/>
              <w:ind w:firstLine="420" w:firstLineChars="200"/>
              <w:jc w:val="left"/>
              <w:rPr>
                <w:rFonts w:hint="eastAsia" w:ascii="宋体" w:hAnsi="宋体" w:eastAsia="宋体"/>
                <w:szCs w:val="21"/>
              </w:rPr>
            </w:pPr>
          </w:p>
        </w:tc>
      </w:tr>
      <w:tr w14:paraId="1FEFB00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DECF86C">
            <w:pPr>
              <w:adjustRightInd w:val="0"/>
              <w:snapToGrid w:val="0"/>
              <w:jc w:val="center"/>
              <w:rPr>
                <w:rFonts w:hint="eastAsia" w:ascii="宋体" w:hAnsi="宋体" w:eastAsia="宋体"/>
                <w:szCs w:val="21"/>
              </w:rPr>
            </w:pPr>
            <w:r>
              <w:rPr>
                <w:rFonts w:hint="eastAsia" w:ascii="宋体" w:hAnsi="宋体" w:eastAsia="宋体"/>
                <w:szCs w:val="21"/>
              </w:rPr>
              <w:t>第二节</w:t>
            </w:r>
          </w:p>
          <w:p w14:paraId="48ECE612">
            <w:pPr>
              <w:adjustRightInd w:val="0"/>
              <w:snapToGrid w:val="0"/>
              <w:jc w:val="center"/>
              <w:rPr>
                <w:rFonts w:hint="eastAsia" w:ascii="宋体" w:hAnsi="宋体" w:eastAsia="宋体"/>
                <w:szCs w:val="21"/>
              </w:rPr>
            </w:pPr>
            <w:r>
              <w:rPr>
                <w:rFonts w:hint="eastAsia" w:ascii="宋体" w:hAnsi="宋体" w:eastAsia="宋体"/>
                <w:szCs w:val="21"/>
              </w:rPr>
              <w:t>第8.2（3）项</w:t>
            </w:r>
          </w:p>
        </w:tc>
        <w:tc>
          <w:tcPr>
            <w:tcW w:w="1742" w:type="dxa"/>
            <w:vAlign w:val="center"/>
          </w:tcPr>
          <w:p w14:paraId="133FD048">
            <w:pPr>
              <w:adjustRightInd w:val="0"/>
              <w:snapToGrid w:val="0"/>
              <w:jc w:val="left"/>
              <w:rPr>
                <w:rFonts w:hint="eastAsia" w:ascii="宋体" w:hAnsi="宋体" w:eastAsia="宋体"/>
                <w:szCs w:val="21"/>
              </w:rPr>
            </w:pPr>
            <w:r>
              <w:rPr>
                <w:rFonts w:hint="eastAsia" w:ascii="宋体" w:hAnsi="宋体" w:eastAsia="宋体"/>
                <w:szCs w:val="21"/>
              </w:rPr>
              <w:t>货物质量缺陷</w:t>
            </w:r>
          </w:p>
          <w:p w14:paraId="3B4E07C2">
            <w:pPr>
              <w:adjustRightInd w:val="0"/>
              <w:snapToGrid w:val="0"/>
              <w:jc w:val="left"/>
              <w:rPr>
                <w:rFonts w:hint="eastAsia" w:ascii="宋体" w:hAnsi="宋体" w:eastAsia="宋体"/>
                <w:szCs w:val="21"/>
              </w:rPr>
            </w:pPr>
            <w:r>
              <w:rPr>
                <w:rFonts w:hint="eastAsia" w:ascii="宋体" w:hAnsi="宋体" w:eastAsia="宋体"/>
                <w:szCs w:val="21"/>
              </w:rPr>
              <w:t>响应时间</w:t>
            </w:r>
          </w:p>
        </w:tc>
        <w:tc>
          <w:tcPr>
            <w:tcW w:w="5170" w:type="dxa"/>
            <w:vAlign w:val="center"/>
          </w:tcPr>
          <w:p w14:paraId="5C8D1BB4">
            <w:pPr>
              <w:adjustRightInd w:val="0"/>
              <w:snapToGrid w:val="0"/>
              <w:jc w:val="left"/>
              <w:rPr>
                <w:rFonts w:hint="eastAsia" w:ascii="宋体" w:hAnsi="宋体" w:eastAsia="宋体"/>
                <w:szCs w:val="21"/>
              </w:rPr>
            </w:pPr>
          </w:p>
        </w:tc>
      </w:tr>
      <w:tr w14:paraId="1B647B7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A142359">
            <w:pPr>
              <w:snapToGrid w:val="0"/>
              <w:jc w:val="center"/>
              <w:rPr>
                <w:rFonts w:hint="eastAsia" w:ascii="宋体" w:hAnsi="宋体" w:eastAsia="宋体" w:cs="宋体"/>
                <w:szCs w:val="21"/>
              </w:rPr>
            </w:pPr>
            <w:r>
              <w:rPr>
                <w:rFonts w:hint="eastAsia" w:ascii="宋体" w:hAnsi="宋体" w:eastAsia="宋体" w:cs="宋体"/>
                <w:szCs w:val="21"/>
              </w:rPr>
              <w:t>第二节</w:t>
            </w:r>
          </w:p>
          <w:p w14:paraId="5F186E5F">
            <w:pPr>
              <w:autoSpaceDE w:val="0"/>
              <w:autoSpaceDN w:val="0"/>
              <w:adjustRightInd w:val="0"/>
              <w:spacing w:line="400" w:lineRule="exact"/>
              <w:jc w:val="center"/>
              <w:rPr>
                <w:rFonts w:hint="eastAsia" w:ascii="华文楷体" w:hAnsi="华文楷体" w:eastAsia="华文楷体" w:cs="华文楷体"/>
                <w:sz w:val="22"/>
                <w:szCs w:val="21"/>
              </w:rPr>
            </w:pPr>
            <w:r>
              <w:rPr>
                <w:rFonts w:hint="eastAsia" w:ascii="宋体" w:hAnsi="宋体" w:eastAsia="宋体" w:cs="宋体"/>
                <w:sz w:val="22"/>
                <w:szCs w:val="21"/>
              </w:rPr>
              <w:t>第11.1款</w:t>
            </w:r>
          </w:p>
        </w:tc>
        <w:tc>
          <w:tcPr>
            <w:tcW w:w="1742" w:type="dxa"/>
            <w:vAlign w:val="center"/>
          </w:tcPr>
          <w:p w14:paraId="28C56009">
            <w:pPr>
              <w:adjustRightInd w:val="0"/>
              <w:snapToGrid w:val="0"/>
              <w:rPr>
                <w:rFonts w:hint="eastAsia" w:ascii="宋体" w:hAnsi="宋体" w:eastAsia="宋体"/>
                <w:szCs w:val="21"/>
              </w:rPr>
            </w:pPr>
            <w:r>
              <w:rPr>
                <w:rFonts w:hint="eastAsia" w:ascii="宋体" w:hAnsi="宋体" w:eastAsia="宋体"/>
                <w:szCs w:val="21"/>
              </w:rPr>
              <w:t>其他应当保密的信息</w:t>
            </w:r>
          </w:p>
        </w:tc>
        <w:tc>
          <w:tcPr>
            <w:tcW w:w="5170" w:type="dxa"/>
            <w:vAlign w:val="center"/>
          </w:tcPr>
          <w:p w14:paraId="72883179">
            <w:pPr>
              <w:adjustRightInd w:val="0"/>
              <w:snapToGrid w:val="0"/>
              <w:jc w:val="left"/>
              <w:rPr>
                <w:rFonts w:hint="eastAsia" w:ascii="宋体" w:hAnsi="宋体" w:eastAsia="宋体"/>
                <w:szCs w:val="21"/>
              </w:rPr>
            </w:pPr>
          </w:p>
        </w:tc>
      </w:tr>
      <w:tr w14:paraId="42E950D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0BF0E121">
            <w:pPr>
              <w:adjustRightInd w:val="0"/>
              <w:snapToGrid w:val="0"/>
              <w:jc w:val="center"/>
              <w:rPr>
                <w:rFonts w:hint="eastAsia" w:ascii="宋体" w:hAnsi="宋体" w:eastAsia="宋体"/>
                <w:szCs w:val="21"/>
              </w:rPr>
            </w:pPr>
            <w:r>
              <w:rPr>
                <w:rFonts w:hint="eastAsia" w:ascii="宋体" w:hAnsi="宋体" w:eastAsia="宋体"/>
                <w:szCs w:val="21"/>
              </w:rPr>
              <w:t>第二节</w:t>
            </w:r>
          </w:p>
          <w:p w14:paraId="4F97C96C">
            <w:pPr>
              <w:adjustRightInd w:val="0"/>
              <w:snapToGrid w:val="0"/>
              <w:jc w:val="center"/>
              <w:rPr>
                <w:rFonts w:hint="eastAsia" w:ascii="宋体" w:hAnsi="宋体" w:eastAsia="宋体"/>
                <w:szCs w:val="21"/>
              </w:rPr>
            </w:pPr>
            <w:r>
              <w:rPr>
                <w:rFonts w:hint="eastAsia" w:ascii="宋体" w:hAnsi="宋体" w:eastAsia="宋体"/>
                <w:szCs w:val="21"/>
              </w:rPr>
              <w:t>第12.2款</w:t>
            </w:r>
          </w:p>
        </w:tc>
        <w:tc>
          <w:tcPr>
            <w:tcW w:w="1742" w:type="dxa"/>
            <w:vAlign w:val="center"/>
          </w:tcPr>
          <w:p w14:paraId="6B442B89">
            <w:pPr>
              <w:adjustRightInd w:val="0"/>
              <w:snapToGrid w:val="0"/>
              <w:jc w:val="left"/>
              <w:rPr>
                <w:rFonts w:hint="eastAsia" w:ascii="宋体" w:hAnsi="宋体" w:eastAsia="宋体"/>
                <w:szCs w:val="21"/>
              </w:rPr>
            </w:pPr>
            <w:r>
              <w:rPr>
                <w:rFonts w:hint="eastAsia" w:ascii="宋体" w:hAnsi="宋体" w:eastAsia="宋体"/>
                <w:szCs w:val="21"/>
              </w:rPr>
              <w:t>合同价款支付时间</w:t>
            </w:r>
          </w:p>
        </w:tc>
        <w:tc>
          <w:tcPr>
            <w:tcW w:w="5170" w:type="dxa"/>
            <w:vAlign w:val="center"/>
          </w:tcPr>
          <w:p w14:paraId="73C7F1EA">
            <w:pPr>
              <w:adjustRightInd w:val="0"/>
              <w:snapToGrid w:val="0"/>
              <w:jc w:val="left"/>
              <w:rPr>
                <w:rFonts w:hint="eastAsia" w:ascii="宋体" w:hAnsi="宋体" w:eastAsia="宋体"/>
                <w:szCs w:val="21"/>
              </w:rPr>
            </w:pPr>
          </w:p>
        </w:tc>
      </w:tr>
      <w:tr w14:paraId="267B0B3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3E5A2FC8">
            <w:pPr>
              <w:adjustRightInd w:val="0"/>
              <w:snapToGrid w:val="0"/>
              <w:jc w:val="center"/>
              <w:rPr>
                <w:rFonts w:hint="eastAsia" w:ascii="宋体" w:hAnsi="宋体" w:eastAsia="宋体"/>
                <w:szCs w:val="21"/>
              </w:rPr>
            </w:pPr>
            <w:r>
              <w:rPr>
                <w:rFonts w:hint="eastAsia" w:ascii="宋体" w:hAnsi="宋体" w:eastAsia="宋体"/>
                <w:szCs w:val="21"/>
              </w:rPr>
              <w:t>第二节</w:t>
            </w:r>
          </w:p>
          <w:p w14:paraId="278D72DE">
            <w:pPr>
              <w:adjustRightInd w:val="0"/>
              <w:snapToGrid w:val="0"/>
              <w:jc w:val="center"/>
              <w:rPr>
                <w:rFonts w:hint="eastAsia" w:ascii="宋体" w:hAnsi="宋体" w:eastAsia="宋体"/>
                <w:szCs w:val="21"/>
              </w:rPr>
            </w:pPr>
            <w:r>
              <w:rPr>
                <w:rFonts w:hint="eastAsia" w:ascii="宋体" w:hAnsi="宋体" w:eastAsia="宋体"/>
                <w:szCs w:val="21"/>
              </w:rPr>
              <w:t>第13.2款</w:t>
            </w:r>
          </w:p>
        </w:tc>
        <w:tc>
          <w:tcPr>
            <w:tcW w:w="1742" w:type="dxa"/>
            <w:vAlign w:val="center"/>
          </w:tcPr>
          <w:p w14:paraId="3A8100BC">
            <w:pPr>
              <w:adjustRightInd w:val="0"/>
              <w:snapToGrid w:val="0"/>
              <w:jc w:val="left"/>
              <w:rPr>
                <w:rFonts w:hint="eastAsia" w:ascii="宋体" w:hAnsi="宋体" w:eastAsia="宋体"/>
                <w:szCs w:val="21"/>
              </w:rPr>
            </w:pPr>
            <w:r>
              <w:rPr>
                <w:rFonts w:hint="eastAsia" w:ascii="宋体" w:hAnsi="宋体" w:eastAsia="宋体"/>
                <w:szCs w:val="21"/>
              </w:rPr>
              <w:t>履约保证金不予退还的情形</w:t>
            </w:r>
          </w:p>
        </w:tc>
        <w:tc>
          <w:tcPr>
            <w:tcW w:w="5170" w:type="dxa"/>
            <w:vAlign w:val="center"/>
          </w:tcPr>
          <w:p w14:paraId="5C909251">
            <w:pPr>
              <w:adjustRightInd w:val="0"/>
              <w:snapToGrid w:val="0"/>
              <w:jc w:val="left"/>
              <w:rPr>
                <w:rFonts w:hint="eastAsia" w:ascii="宋体" w:hAnsi="宋体" w:eastAsia="宋体"/>
                <w:szCs w:val="21"/>
              </w:rPr>
            </w:pPr>
          </w:p>
        </w:tc>
      </w:tr>
      <w:tr w14:paraId="06EB740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68436F8">
            <w:pPr>
              <w:adjustRightInd w:val="0"/>
              <w:snapToGrid w:val="0"/>
              <w:jc w:val="center"/>
              <w:rPr>
                <w:rFonts w:hint="eastAsia" w:ascii="宋体" w:hAnsi="宋体" w:eastAsia="宋体"/>
                <w:szCs w:val="21"/>
              </w:rPr>
            </w:pPr>
            <w:r>
              <w:rPr>
                <w:rFonts w:hint="eastAsia" w:ascii="宋体" w:hAnsi="宋体" w:eastAsia="宋体"/>
                <w:szCs w:val="21"/>
              </w:rPr>
              <w:t>第二节</w:t>
            </w:r>
          </w:p>
          <w:p w14:paraId="70578E3C">
            <w:pPr>
              <w:adjustRightInd w:val="0"/>
              <w:snapToGrid w:val="0"/>
              <w:jc w:val="center"/>
              <w:rPr>
                <w:rFonts w:hint="eastAsia" w:ascii="宋体" w:hAnsi="宋体" w:eastAsia="宋体"/>
                <w:szCs w:val="21"/>
              </w:rPr>
            </w:pPr>
            <w:r>
              <w:rPr>
                <w:rFonts w:hint="eastAsia" w:ascii="宋体" w:hAnsi="宋体" w:eastAsia="宋体"/>
                <w:szCs w:val="21"/>
              </w:rPr>
              <w:t>第13.3款</w:t>
            </w:r>
          </w:p>
        </w:tc>
        <w:tc>
          <w:tcPr>
            <w:tcW w:w="1742" w:type="dxa"/>
            <w:vAlign w:val="center"/>
          </w:tcPr>
          <w:p w14:paraId="4D8E6B11">
            <w:pPr>
              <w:adjustRightInd w:val="0"/>
              <w:snapToGrid w:val="0"/>
              <w:jc w:val="left"/>
              <w:rPr>
                <w:rFonts w:hint="eastAsia" w:ascii="宋体" w:hAnsi="宋体" w:eastAsia="宋体"/>
                <w:szCs w:val="21"/>
              </w:rPr>
            </w:pPr>
            <w:r>
              <w:rPr>
                <w:rFonts w:hint="eastAsia" w:ascii="宋体" w:hAnsi="宋体" w:eastAsia="宋体"/>
                <w:szCs w:val="21"/>
              </w:rPr>
              <w:t>履约保证金退还时间及逾期退还的违约金</w:t>
            </w:r>
          </w:p>
        </w:tc>
        <w:tc>
          <w:tcPr>
            <w:tcW w:w="5170" w:type="dxa"/>
            <w:vAlign w:val="center"/>
          </w:tcPr>
          <w:p w14:paraId="6EA0EBE5">
            <w:pPr>
              <w:adjustRightInd w:val="0"/>
              <w:snapToGrid w:val="0"/>
              <w:jc w:val="left"/>
              <w:rPr>
                <w:rFonts w:hint="eastAsia" w:ascii="宋体" w:hAnsi="宋体" w:eastAsia="宋体"/>
                <w:szCs w:val="21"/>
              </w:rPr>
            </w:pPr>
          </w:p>
        </w:tc>
      </w:tr>
      <w:tr w14:paraId="5585125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17ED9903">
            <w:pPr>
              <w:adjustRightInd w:val="0"/>
              <w:snapToGrid w:val="0"/>
              <w:jc w:val="center"/>
              <w:rPr>
                <w:rFonts w:hint="eastAsia" w:ascii="宋体" w:hAnsi="宋体" w:eastAsia="宋体"/>
                <w:szCs w:val="21"/>
              </w:rPr>
            </w:pPr>
            <w:r>
              <w:rPr>
                <w:rFonts w:hint="eastAsia" w:ascii="宋体" w:hAnsi="宋体" w:eastAsia="宋体"/>
                <w:szCs w:val="21"/>
              </w:rPr>
              <w:t>第二节</w:t>
            </w:r>
          </w:p>
          <w:p w14:paraId="5D7F6686">
            <w:pPr>
              <w:adjustRightInd w:val="0"/>
              <w:snapToGrid w:val="0"/>
              <w:jc w:val="center"/>
              <w:rPr>
                <w:rFonts w:hint="eastAsia" w:ascii="宋体" w:hAnsi="宋体" w:eastAsia="宋体"/>
                <w:szCs w:val="21"/>
              </w:rPr>
            </w:pPr>
            <w:r>
              <w:rPr>
                <w:rFonts w:hint="eastAsia" w:ascii="宋体" w:hAnsi="宋体" w:eastAsia="宋体"/>
                <w:szCs w:val="21"/>
              </w:rPr>
              <w:t>第14.1（3）项</w:t>
            </w:r>
          </w:p>
        </w:tc>
        <w:tc>
          <w:tcPr>
            <w:tcW w:w="1742" w:type="dxa"/>
            <w:vAlign w:val="center"/>
          </w:tcPr>
          <w:p w14:paraId="3A59D98B">
            <w:pPr>
              <w:adjustRightInd w:val="0"/>
              <w:snapToGrid w:val="0"/>
              <w:jc w:val="left"/>
              <w:rPr>
                <w:rFonts w:hint="eastAsia" w:ascii="宋体" w:hAnsi="宋体" w:eastAsia="宋体"/>
                <w:szCs w:val="21"/>
              </w:rPr>
            </w:pPr>
            <w:r>
              <w:rPr>
                <w:rFonts w:hint="eastAsia" w:ascii="宋体" w:hAnsi="宋体" w:eastAsia="宋体"/>
                <w:szCs w:val="21"/>
              </w:rPr>
              <w:t>运行监督、维修期限</w:t>
            </w:r>
          </w:p>
        </w:tc>
        <w:tc>
          <w:tcPr>
            <w:tcW w:w="5170" w:type="dxa"/>
            <w:vAlign w:val="center"/>
          </w:tcPr>
          <w:p w14:paraId="1426A123">
            <w:pPr>
              <w:adjustRightInd w:val="0"/>
              <w:snapToGrid w:val="0"/>
              <w:jc w:val="left"/>
              <w:rPr>
                <w:rFonts w:hint="eastAsia" w:ascii="宋体" w:hAnsi="宋体" w:eastAsia="宋体"/>
                <w:szCs w:val="21"/>
              </w:rPr>
            </w:pPr>
          </w:p>
        </w:tc>
      </w:tr>
      <w:tr w14:paraId="666C28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6108B7AC">
            <w:pPr>
              <w:adjustRightInd w:val="0"/>
              <w:snapToGrid w:val="0"/>
              <w:jc w:val="center"/>
              <w:rPr>
                <w:rFonts w:hint="eastAsia" w:ascii="宋体" w:hAnsi="宋体" w:eastAsia="宋体"/>
                <w:szCs w:val="21"/>
              </w:rPr>
            </w:pPr>
            <w:r>
              <w:rPr>
                <w:rFonts w:hint="eastAsia" w:ascii="宋体" w:hAnsi="宋体" w:eastAsia="宋体"/>
                <w:szCs w:val="21"/>
              </w:rPr>
              <w:t>第二节</w:t>
            </w:r>
          </w:p>
          <w:p w14:paraId="155A2E7F">
            <w:pPr>
              <w:adjustRightInd w:val="0"/>
              <w:snapToGrid w:val="0"/>
              <w:jc w:val="center"/>
              <w:rPr>
                <w:rFonts w:hint="eastAsia" w:ascii="宋体" w:hAnsi="宋体" w:eastAsia="宋体"/>
                <w:szCs w:val="21"/>
              </w:rPr>
            </w:pPr>
            <w:r>
              <w:rPr>
                <w:rFonts w:hint="eastAsia" w:ascii="宋体" w:hAnsi="宋体" w:eastAsia="宋体"/>
                <w:szCs w:val="21"/>
              </w:rPr>
              <w:t>第14.1（5）项</w:t>
            </w:r>
          </w:p>
        </w:tc>
        <w:tc>
          <w:tcPr>
            <w:tcW w:w="1742" w:type="dxa"/>
            <w:vAlign w:val="center"/>
          </w:tcPr>
          <w:p w14:paraId="2836D31C">
            <w:pPr>
              <w:adjustRightInd w:val="0"/>
              <w:snapToGrid w:val="0"/>
              <w:jc w:val="left"/>
              <w:rPr>
                <w:rFonts w:hint="eastAsia" w:ascii="宋体" w:hAnsi="宋体" w:eastAsia="宋体"/>
                <w:szCs w:val="21"/>
              </w:rPr>
            </w:pPr>
            <w:r>
              <w:rPr>
                <w:rFonts w:hint="eastAsia" w:ascii="宋体" w:hAnsi="宋体" w:eastAsia="宋体"/>
                <w:szCs w:val="21"/>
              </w:rPr>
              <w:t>货物回收的约定</w:t>
            </w:r>
          </w:p>
        </w:tc>
        <w:tc>
          <w:tcPr>
            <w:tcW w:w="5170" w:type="dxa"/>
            <w:vAlign w:val="center"/>
          </w:tcPr>
          <w:p w14:paraId="48CB9A83">
            <w:pPr>
              <w:adjustRightInd w:val="0"/>
              <w:snapToGrid w:val="0"/>
              <w:jc w:val="left"/>
              <w:rPr>
                <w:rFonts w:hint="eastAsia" w:ascii="宋体" w:hAnsi="宋体" w:eastAsia="宋体"/>
                <w:szCs w:val="21"/>
              </w:rPr>
            </w:pPr>
          </w:p>
        </w:tc>
      </w:tr>
      <w:tr w14:paraId="3895DE7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4E1F4B2">
            <w:pPr>
              <w:adjustRightInd w:val="0"/>
              <w:snapToGrid w:val="0"/>
              <w:jc w:val="center"/>
              <w:rPr>
                <w:rFonts w:hint="eastAsia" w:ascii="宋体" w:hAnsi="宋体" w:eastAsia="宋体"/>
                <w:szCs w:val="21"/>
              </w:rPr>
            </w:pPr>
            <w:r>
              <w:rPr>
                <w:rFonts w:hint="eastAsia" w:ascii="宋体" w:hAnsi="宋体" w:eastAsia="宋体"/>
                <w:szCs w:val="21"/>
              </w:rPr>
              <w:t>第二节</w:t>
            </w:r>
          </w:p>
          <w:p w14:paraId="2AA9062A">
            <w:pPr>
              <w:adjustRightInd w:val="0"/>
              <w:snapToGrid w:val="0"/>
              <w:jc w:val="center"/>
              <w:rPr>
                <w:rFonts w:hint="eastAsia" w:ascii="宋体" w:hAnsi="宋体" w:eastAsia="宋体"/>
                <w:szCs w:val="21"/>
              </w:rPr>
            </w:pPr>
            <w:r>
              <w:rPr>
                <w:rFonts w:hint="eastAsia" w:ascii="宋体" w:hAnsi="宋体" w:eastAsia="宋体"/>
                <w:szCs w:val="21"/>
              </w:rPr>
              <w:t>第14.1（6）项</w:t>
            </w:r>
          </w:p>
        </w:tc>
        <w:tc>
          <w:tcPr>
            <w:tcW w:w="1742" w:type="dxa"/>
            <w:vAlign w:val="center"/>
          </w:tcPr>
          <w:p w14:paraId="20C8F65D">
            <w:pPr>
              <w:adjustRightInd w:val="0"/>
              <w:snapToGrid w:val="0"/>
              <w:jc w:val="left"/>
              <w:rPr>
                <w:rFonts w:hint="eastAsia" w:ascii="宋体" w:hAnsi="宋体" w:eastAsia="宋体"/>
                <w:szCs w:val="21"/>
              </w:rPr>
            </w:pPr>
            <w:r>
              <w:rPr>
                <w:rFonts w:hint="eastAsia" w:ascii="宋体" w:hAnsi="宋体" w:eastAsia="宋体"/>
                <w:szCs w:val="21"/>
              </w:rPr>
              <w:t>乙方提供的其他服务</w:t>
            </w:r>
          </w:p>
        </w:tc>
        <w:tc>
          <w:tcPr>
            <w:tcW w:w="5170" w:type="dxa"/>
            <w:vAlign w:val="center"/>
          </w:tcPr>
          <w:p w14:paraId="17889546">
            <w:pPr>
              <w:adjustRightInd w:val="0"/>
              <w:snapToGrid w:val="0"/>
              <w:jc w:val="left"/>
              <w:rPr>
                <w:rFonts w:hint="eastAsia" w:ascii="宋体" w:hAnsi="宋体" w:eastAsia="宋体"/>
                <w:szCs w:val="21"/>
              </w:rPr>
            </w:pPr>
          </w:p>
        </w:tc>
      </w:tr>
      <w:tr w14:paraId="1AF2B62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2CEB942">
            <w:pPr>
              <w:adjustRightInd w:val="0"/>
              <w:snapToGrid w:val="0"/>
              <w:jc w:val="center"/>
              <w:rPr>
                <w:rFonts w:hint="eastAsia" w:ascii="宋体" w:hAnsi="宋体" w:eastAsia="宋体"/>
                <w:szCs w:val="21"/>
              </w:rPr>
            </w:pPr>
            <w:r>
              <w:rPr>
                <w:rFonts w:hint="eastAsia" w:ascii="宋体" w:hAnsi="宋体" w:eastAsia="宋体"/>
                <w:szCs w:val="21"/>
              </w:rPr>
              <w:t>第二节</w:t>
            </w:r>
          </w:p>
          <w:p w14:paraId="6A2A94D9">
            <w:pPr>
              <w:adjustRightInd w:val="0"/>
              <w:snapToGrid w:val="0"/>
              <w:jc w:val="center"/>
              <w:rPr>
                <w:rFonts w:hint="eastAsia" w:ascii="宋体" w:hAnsi="宋体" w:eastAsia="宋体"/>
                <w:szCs w:val="21"/>
              </w:rPr>
            </w:pPr>
            <w:r>
              <w:rPr>
                <w:rFonts w:hint="eastAsia" w:ascii="宋体" w:hAnsi="宋体" w:eastAsia="宋体"/>
                <w:szCs w:val="21"/>
              </w:rPr>
              <w:t>第15.1款</w:t>
            </w:r>
          </w:p>
        </w:tc>
        <w:tc>
          <w:tcPr>
            <w:tcW w:w="1742" w:type="dxa"/>
            <w:vAlign w:val="center"/>
          </w:tcPr>
          <w:p w14:paraId="44AFB578">
            <w:pPr>
              <w:adjustRightInd w:val="0"/>
              <w:snapToGrid w:val="0"/>
              <w:jc w:val="left"/>
              <w:rPr>
                <w:rFonts w:hint="eastAsia" w:ascii="宋体" w:hAnsi="宋体" w:eastAsia="宋体"/>
                <w:szCs w:val="21"/>
              </w:rPr>
            </w:pPr>
            <w:r>
              <w:rPr>
                <w:rFonts w:hint="eastAsia" w:ascii="宋体" w:hAnsi="宋体" w:eastAsia="宋体"/>
                <w:szCs w:val="21"/>
              </w:rPr>
              <w:t>修理、重作、更换相关具体规定</w:t>
            </w:r>
          </w:p>
        </w:tc>
        <w:tc>
          <w:tcPr>
            <w:tcW w:w="5170" w:type="dxa"/>
            <w:vAlign w:val="center"/>
          </w:tcPr>
          <w:p w14:paraId="05644021">
            <w:pPr>
              <w:adjustRightInd w:val="0"/>
              <w:snapToGrid w:val="0"/>
              <w:jc w:val="left"/>
              <w:rPr>
                <w:rFonts w:hint="eastAsia" w:ascii="宋体" w:hAnsi="宋体" w:eastAsia="宋体"/>
                <w:szCs w:val="21"/>
              </w:rPr>
            </w:pPr>
          </w:p>
        </w:tc>
      </w:tr>
      <w:tr w14:paraId="7E49184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32F97E90">
            <w:pPr>
              <w:adjustRightInd w:val="0"/>
              <w:snapToGrid w:val="0"/>
              <w:jc w:val="center"/>
              <w:rPr>
                <w:rFonts w:hint="eastAsia" w:ascii="宋体" w:hAnsi="宋体" w:eastAsia="宋体"/>
                <w:szCs w:val="21"/>
              </w:rPr>
            </w:pPr>
            <w:r>
              <w:rPr>
                <w:rFonts w:hint="eastAsia" w:ascii="宋体" w:hAnsi="宋体" w:eastAsia="宋体"/>
                <w:szCs w:val="21"/>
              </w:rPr>
              <w:t>第二节</w:t>
            </w:r>
          </w:p>
          <w:p w14:paraId="742238B9">
            <w:pPr>
              <w:adjustRightInd w:val="0"/>
              <w:snapToGrid w:val="0"/>
              <w:jc w:val="center"/>
              <w:rPr>
                <w:rFonts w:hint="eastAsia" w:ascii="宋体" w:hAnsi="宋体" w:eastAsia="宋体"/>
                <w:szCs w:val="21"/>
              </w:rPr>
            </w:pPr>
            <w:r>
              <w:rPr>
                <w:rFonts w:hint="eastAsia" w:ascii="宋体" w:hAnsi="宋体" w:eastAsia="宋体"/>
                <w:szCs w:val="21"/>
              </w:rPr>
              <w:t>第15.2（2）项</w:t>
            </w:r>
          </w:p>
        </w:tc>
        <w:tc>
          <w:tcPr>
            <w:tcW w:w="1742" w:type="dxa"/>
            <w:vAlign w:val="center"/>
          </w:tcPr>
          <w:p w14:paraId="08AE8623">
            <w:pPr>
              <w:adjustRightInd w:val="0"/>
              <w:snapToGrid w:val="0"/>
              <w:jc w:val="left"/>
              <w:rPr>
                <w:rFonts w:hint="eastAsia" w:ascii="宋体" w:hAnsi="宋体" w:eastAsia="宋体"/>
                <w:szCs w:val="21"/>
              </w:rPr>
            </w:pPr>
            <w:r>
              <w:rPr>
                <w:rFonts w:hint="eastAsia" w:ascii="宋体" w:hAnsi="宋体" w:eastAsia="宋体"/>
                <w:szCs w:val="21"/>
              </w:rPr>
              <w:t>迟延交货赔偿费</w:t>
            </w:r>
          </w:p>
        </w:tc>
        <w:tc>
          <w:tcPr>
            <w:tcW w:w="5170" w:type="dxa"/>
            <w:vAlign w:val="center"/>
          </w:tcPr>
          <w:p w14:paraId="590E8406">
            <w:pPr>
              <w:adjustRightInd w:val="0"/>
              <w:snapToGrid w:val="0"/>
              <w:jc w:val="left"/>
              <w:rPr>
                <w:rFonts w:hint="eastAsia" w:ascii="宋体" w:hAnsi="宋体" w:eastAsia="宋体"/>
                <w:szCs w:val="21"/>
                <w:u w:val="single"/>
              </w:rPr>
            </w:pPr>
          </w:p>
        </w:tc>
      </w:tr>
      <w:tr w14:paraId="50EA35B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4E82673">
            <w:pPr>
              <w:adjustRightInd w:val="0"/>
              <w:snapToGrid w:val="0"/>
              <w:jc w:val="center"/>
              <w:rPr>
                <w:rFonts w:hint="eastAsia" w:ascii="宋体" w:hAnsi="宋体" w:eastAsia="宋体"/>
                <w:szCs w:val="21"/>
              </w:rPr>
            </w:pPr>
            <w:r>
              <w:rPr>
                <w:rFonts w:hint="eastAsia" w:ascii="宋体" w:hAnsi="宋体" w:eastAsia="宋体"/>
                <w:szCs w:val="21"/>
              </w:rPr>
              <w:t>第二节</w:t>
            </w:r>
          </w:p>
          <w:p w14:paraId="42988FB8">
            <w:pPr>
              <w:adjustRightInd w:val="0"/>
              <w:snapToGrid w:val="0"/>
              <w:jc w:val="center"/>
              <w:rPr>
                <w:rFonts w:hint="eastAsia" w:ascii="宋体" w:hAnsi="宋体" w:eastAsia="宋体"/>
                <w:szCs w:val="21"/>
              </w:rPr>
            </w:pPr>
            <w:r>
              <w:rPr>
                <w:rFonts w:hint="eastAsia" w:ascii="宋体" w:hAnsi="宋体" w:eastAsia="宋体"/>
                <w:szCs w:val="21"/>
              </w:rPr>
              <w:t>第15.3款</w:t>
            </w:r>
          </w:p>
        </w:tc>
        <w:tc>
          <w:tcPr>
            <w:tcW w:w="1742" w:type="dxa"/>
            <w:vAlign w:val="center"/>
          </w:tcPr>
          <w:p w14:paraId="404CAA90">
            <w:pPr>
              <w:adjustRightInd w:val="0"/>
              <w:snapToGrid w:val="0"/>
              <w:jc w:val="left"/>
              <w:rPr>
                <w:rFonts w:hint="eastAsia" w:ascii="宋体" w:hAnsi="宋体" w:eastAsia="宋体"/>
                <w:szCs w:val="21"/>
              </w:rPr>
            </w:pPr>
            <w:r>
              <w:rPr>
                <w:rFonts w:hint="eastAsia" w:ascii="宋体" w:hAnsi="宋体" w:eastAsia="宋体"/>
                <w:szCs w:val="21"/>
              </w:rPr>
              <w:t>逾期付款利息</w:t>
            </w:r>
          </w:p>
        </w:tc>
        <w:tc>
          <w:tcPr>
            <w:tcW w:w="5170" w:type="dxa"/>
            <w:vAlign w:val="center"/>
          </w:tcPr>
          <w:p w14:paraId="2C3CCF99">
            <w:pPr>
              <w:adjustRightInd w:val="0"/>
              <w:snapToGrid w:val="0"/>
              <w:jc w:val="left"/>
              <w:rPr>
                <w:rFonts w:hint="eastAsia" w:ascii="宋体" w:hAnsi="宋体" w:eastAsia="宋体"/>
                <w:szCs w:val="21"/>
                <w:u w:val="single"/>
              </w:rPr>
            </w:pPr>
          </w:p>
        </w:tc>
      </w:tr>
      <w:tr w14:paraId="0F84E15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40500B23">
            <w:pPr>
              <w:adjustRightInd w:val="0"/>
              <w:snapToGrid w:val="0"/>
              <w:jc w:val="center"/>
              <w:rPr>
                <w:rFonts w:hint="eastAsia" w:ascii="宋体" w:hAnsi="宋体" w:eastAsia="宋体"/>
                <w:szCs w:val="21"/>
              </w:rPr>
            </w:pPr>
            <w:r>
              <w:rPr>
                <w:rFonts w:hint="eastAsia" w:ascii="宋体" w:hAnsi="宋体" w:eastAsia="宋体"/>
                <w:szCs w:val="21"/>
              </w:rPr>
              <w:t>第二节</w:t>
            </w:r>
          </w:p>
          <w:p w14:paraId="61DAE584">
            <w:pPr>
              <w:adjustRightInd w:val="0"/>
              <w:snapToGrid w:val="0"/>
              <w:jc w:val="center"/>
              <w:rPr>
                <w:rFonts w:hint="eastAsia" w:ascii="宋体" w:hAnsi="宋体" w:eastAsia="宋体"/>
                <w:szCs w:val="21"/>
              </w:rPr>
            </w:pPr>
            <w:r>
              <w:rPr>
                <w:rFonts w:hint="eastAsia" w:ascii="宋体" w:hAnsi="宋体" w:eastAsia="宋体"/>
                <w:szCs w:val="21"/>
              </w:rPr>
              <w:t>第15.4款</w:t>
            </w:r>
          </w:p>
        </w:tc>
        <w:tc>
          <w:tcPr>
            <w:tcW w:w="1742" w:type="dxa"/>
            <w:tcBorders>
              <w:left w:val="single" w:color="auto" w:sz="2" w:space="0"/>
              <w:bottom w:val="single" w:color="auto" w:sz="2" w:space="0"/>
              <w:right w:val="single" w:color="auto" w:sz="2" w:space="0"/>
            </w:tcBorders>
            <w:vAlign w:val="center"/>
          </w:tcPr>
          <w:p w14:paraId="211BC4C4">
            <w:pPr>
              <w:adjustRightInd w:val="0"/>
              <w:snapToGrid w:val="0"/>
              <w:jc w:val="left"/>
              <w:rPr>
                <w:rFonts w:hint="eastAsia" w:ascii="宋体" w:hAnsi="宋体" w:eastAsia="宋体"/>
                <w:szCs w:val="21"/>
              </w:rPr>
            </w:pPr>
            <w:r>
              <w:rPr>
                <w:rFonts w:hint="eastAsia" w:ascii="宋体" w:hAnsi="宋体" w:eastAsia="宋体"/>
                <w:szCs w:val="21"/>
              </w:rPr>
              <w:t>其他违约责任</w:t>
            </w:r>
          </w:p>
        </w:tc>
        <w:tc>
          <w:tcPr>
            <w:tcW w:w="5170" w:type="dxa"/>
            <w:tcBorders>
              <w:left w:val="single" w:color="auto" w:sz="2" w:space="0"/>
              <w:bottom w:val="single" w:color="auto" w:sz="2" w:space="0"/>
            </w:tcBorders>
            <w:vAlign w:val="center"/>
          </w:tcPr>
          <w:p w14:paraId="4249D743">
            <w:pPr>
              <w:adjustRightInd w:val="0"/>
              <w:snapToGrid w:val="0"/>
              <w:jc w:val="left"/>
              <w:rPr>
                <w:rFonts w:hint="eastAsia" w:ascii="宋体" w:hAnsi="宋体" w:eastAsia="宋体"/>
                <w:szCs w:val="21"/>
                <w:u w:val="single"/>
              </w:rPr>
            </w:pPr>
          </w:p>
        </w:tc>
      </w:tr>
      <w:tr w14:paraId="5535B25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5E889EF7">
            <w:pPr>
              <w:adjustRightInd w:val="0"/>
              <w:snapToGrid w:val="0"/>
              <w:jc w:val="center"/>
              <w:rPr>
                <w:rFonts w:hint="eastAsia" w:ascii="宋体" w:hAnsi="宋体" w:eastAsia="宋体"/>
                <w:szCs w:val="21"/>
              </w:rPr>
            </w:pPr>
            <w:r>
              <w:rPr>
                <w:rFonts w:hint="eastAsia" w:ascii="宋体" w:hAnsi="宋体" w:eastAsia="宋体"/>
                <w:szCs w:val="21"/>
              </w:rPr>
              <w:t>第二节</w:t>
            </w:r>
          </w:p>
          <w:p w14:paraId="2334E888">
            <w:pPr>
              <w:adjustRightInd w:val="0"/>
              <w:snapToGrid w:val="0"/>
              <w:jc w:val="center"/>
              <w:rPr>
                <w:rFonts w:hint="eastAsia" w:ascii="宋体" w:hAnsi="宋体" w:eastAsia="宋体"/>
                <w:szCs w:val="21"/>
              </w:rPr>
            </w:pPr>
            <w:r>
              <w:rPr>
                <w:rFonts w:hint="eastAsia" w:ascii="宋体" w:hAnsi="宋体" w:eastAsia="宋体"/>
                <w:szCs w:val="21"/>
              </w:rPr>
              <w:t>第19.2款</w:t>
            </w:r>
          </w:p>
        </w:tc>
        <w:tc>
          <w:tcPr>
            <w:tcW w:w="1742" w:type="dxa"/>
            <w:tcBorders>
              <w:top w:val="single" w:color="auto" w:sz="2" w:space="0"/>
              <w:left w:val="single" w:color="auto" w:sz="2" w:space="0"/>
              <w:right w:val="single" w:color="auto" w:sz="2" w:space="0"/>
            </w:tcBorders>
            <w:vAlign w:val="center"/>
          </w:tcPr>
          <w:p w14:paraId="2ECC9526">
            <w:pPr>
              <w:adjustRightInd w:val="0"/>
              <w:snapToGrid w:val="0"/>
              <w:jc w:val="left"/>
              <w:rPr>
                <w:rFonts w:hint="eastAsia" w:ascii="宋体" w:hAnsi="宋体" w:eastAsia="宋体"/>
                <w:szCs w:val="21"/>
              </w:rPr>
            </w:pPr>
            <w:r>
              <w:rPr>
                <w:rFonts w:hint="eastAsia" w:ascii="宋体" w:hAnsi="宋体" w:eastAsia="宋体"/>
                <w:szCs w:val="21"/>
              </w:rPr>
              <w:t>解决争议的方法</w:t>
            </w:r>
          </w:p>
        </w:tc>
        <w:tc>
          <w:tcPr>
            <w:tcW w:w="5170" w:type="dxa"/>
            <w:tcBorders>
              <w:top w:val="single" w:color="auto" w:sz="2" w:space="0"/>
              <w:left w:val="single" w:color="auto" w:sz="2" w:space="0"/>
            </w:tcBorders>
            <w:vAlign w:val="center"/>
          </w:tcPr>
          <w:p w14:paraId="544AE80E">
            <w:pPr>
              <w:autoSpaceDE w:val="0"/>
              <w:autoSpaceDN w:val="0"/>
              <w:adjustRightInd w:val="0"/>
              <w:snapToGrid w:val="0"/>
              <w:spacing w:line="400" w:lineRule="exact"/>
              <w:jc w:val="left"/>
              <w:rPr>
                <w:rFonts w:hint="eastAsia" w:ascii="宋体" w:hAnsi="宋体" w:eastAsia="宋体" w:cs="宋体"/>
                <w:iCs/>
                <w:szCs w:val="21"/>
              </w:rPr>
            </w:pPr>
            <w:r>
              <w:rPr>
                <w:rFonts w:hint="eastAsia" w:ascii="宋体" w:hAnsi="宋体" w:eastAsia="宋体" w:cs="宋体"/>
                <w:iCs/>
                <w:szCs w:val="21"/>
              </w:rPr>
              <w:t>因本合同及合同有关事项发生的争议，按下列第</w:t>
            </w:r>
            <w:r>
              <w:rPr>
                <w:rFonts w:hint="eastAsia" w:ascii="宋体" w:hAnsi="宋体" w:eastAsia="宋体" w:cs="宋体"/>
                <w:iCs/>
                <w:szCs w:val="21"/>
                <w:u w:val="single"/>
              </w:rPr>
              <w:t xml:space="preserve">   </w:t>
            </w:r>
            <w:r>
              <w:rPr>
                <w:rFonts w:hint="eastAsia" w:ascii="宋体" w:hAnsi="宋体" w:eastAsia="宋体" w:cs="宋体"/>
                <w:iCs/>
                <w:szCs w:val="21"/>
              </w:rPr>
              <w:t>种方式解决：</w:t>
            </w:r>
          </w:p>
          <w:p w14:paraId="00D96AA8">
            <w:pPr>
              <w:autoSpaceDE w:val="0"/>
              <w:autoSpaceDN w:val="0"/>
              <w:adjustRightInd w:val="0"/>
              <w:snapToGrid w:val="0"/>
              <w:spacing w:line="400" w:lineRule="exact"/>
              <w:jc w:val="left"/>
              <w:rPr>
                <w:rFonts w:hint="eastAsia" w:ascii="宋体" w:hAnsi="宋体" w:eastAsia="宋体" w:cs="宋体"/>
                <w:iCs/>
                <w:szCs w:val="21"/>
              </w:rPr>
            </w:pPr>
            <w:r>
              <w:rPr>
                <w:rFonts w:hint="eastAsia" w:ascii="宋体" w:hAnsi="宋体" w:eastAsia="宋体" w:cs="宋体"/>
                <w:iCs/>
                <w:szCs w:val="21"/>
              </w:rPr>
              <w:t>（1）向</w:t>
            </w:r>
            <w:r>
              <w:rPr>
                <w:rFonts w:hint="eastAsia" w:ascii="宋体" w:hAnsi="宋体" w:eastAsia="宋体" w:cs="宋体"/>
                <w:iCs/>
                <w:szCs w:val="21"/>
                <w:u w:val="single"/>
              </w:rPr>
              <w:t xml:space="preserve">                    </w:t>
            </w:r>
            <w:r>
              <w:rPr>
                <w:rFonts w:hint="eastAsia" w:ascii="宋体" w:hAnsi="宋体" w:eastAsia="宋体" w:cs="宋体"/>
                <w:iCs/>
                <w:szCs w:val="21"/>
              </w:rPr>
              <w:t>仲裁委员会申请仲裁，仲裁地点为</w:t>
            </w:r>
            <w:r>
              <w:rPr>
                <w:rFonts w:hint="eastAsia" w:ascii="宋体" w:hAnsi="宋体" w:eastAsia="宋体" w:cs="宋体"/>
                <w:iCs/>
                <w:szCs w:val="21"/>
                <w:u w:val="single"/>
              </w:rPr>
              <w:t xml:space="preserve">           </w:t>
            </w:r>
            <w:r>
              <w:rPr>
                <w:rFonts w:hint="eastAsia" w:ascii="宋体" w:hAnsi="宋体" w:eastAsia="宋体" w:cs="宋体"/>
                <w:iCs/>
                <w:szCs w:val="21"/>
              </w:rPr>
              <w:t>；</w:t>
            </w:r>
          </w:p>
          <w:p w14:paraId="25202CAC">
            <w:pPr>
              <w:adjustRightInd w:val="0"/>
              <w:snapToGrid w:val="0"/>
              <w:jc w:val="left"/>
              <w:rPr>
                <w:rFonts w:hint="eastAsia" w:ascii="宋体" w:hAnsi="宋体" w:eastAsia="宋体"/>
                <w:szCs w:val="21"/>
                <w:u w:val="single"/>
              </w:rPr>
            </w:pPr>
            <w:r>
              <w:rPr>
                <w:rFonts w:hint="eastAsia" w:ascii="宋体" w:hAnsi="宋体" w:eastAsia="宋体" w:cs="宋体"/>
                <w:iCs/>
                <w:szCs w:val="21"/>
              </w:rPr>
              <w:t>（2）向</w:t>
            </w:r>
            <w:r>
              <w:rPr>
                <w:rFonts w:hint="eastAsia" w:ascii="宋体" w:hAnsi="宋体" w:eastAsia="宋体" w:cs="宋体"/>
                <w:iCs/>
                <w:szCs w:val="21"/>
                <w:u w:val="single"/>
              </w:rPr>
              <w:t xml:space="preserve">                    </w:t>
            </w:r>
            <w:r>
              <w:rPr>
                <w:rFonts w:hint="eastAsia" w:ascii="宋体" w:hAnsi="宋体" w:eastAsia="宋体" w:cs="宋体"/>
                <w:iCs/>
                <w:szCs w:val="21"/>
              </w:rPr>
              <w:t>人民法院起诉。</w:t>
            </w:r>
          </w:p>
        </w:tc>
      </w:tr>
      <w:tr w14:paraId="62B48E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4A8B2870">
            <w:pPr>
              <w:adjustRightInd w:val="0"/>
              <w:snapToGrid w:val="0"/>
              <w:jc w:val="center"/>
              <w:rPr>
                <w:rFonts w:hint="eastAsia" w:ascii="宋体" w:hAnsi="宋体" w:eastAsia="宋体"/>
                <w:szCs w:val="21"/>
              </w:rPr>
            </w:pPr>
            <w:r>
              <w:rPr>
                <w:rFonts w:hint="eastAsia" w:ascii="宋体" w:hAnsi="宋体" w:eastAsia="宋体"/>
                <w:szCs w:val="21"/>
              </w:rPr>
              <w:t>第二节</w:t>
            </w:r>
          </w:p>
          <w:p w14:paraId="730476B7">
            <w:pPr>
              <w:adjustRightInd w:val="0"/>
              <w:snapToGrid w:val="0"/>
              <w:jc w:val="center"/>
              <w:rPr>
                <w:rFonts w:hint="eastAsia" w:ascii="宋体" w:hAnsi="宋体" w:eastAsia="宋体"/>
                <w:szCs w:val="21"/>
              </w:rPr>
            </w:pPr>
            <w:r>
              <w:rPr>
                <w:rFonts w:hint="eastAsia" w:ascii="宋体" w:hAnsi="宋体" w:eastAsia="宋体"/>
                <w:szCs w:val="21"/>
              </w:rPr>
              <w:t>第23.1款</w:t>
            </w:r>
          </w:p>
        </w:tc>
        <w:tc>
          <w:tcPr>
            <w:tcW w:w="1742" w:type="dxa"/>
            <w:vAlign w:val="center"/>
          </w:tcPr>
          <w:p w14:paraId="6C4E7C28">
            <w:pPr>
              <w:adjustRightInd w:val="0"/>
              <w:snapToGrid w:val="0"/>
              <w:jc w:val="left"/>
              <w:rPr>
                <w:rFonts w:hint="eastAsia" w:ascii="宋体" w:hAnsi="宋体" w:eastAsia="宋体"/>
                <w:szCs w:val="21"/>
              </w:rPr>
            </w:pPr>
            <w:r>
              <w:rPr>
                <w:rFonts w:hint="eastAsia" w:ascii="宋体" w:hAnsi="宋体" w:eastAsia="宋体"/>
                <w:bCs/>
                <w:szCs w:val="21"/>
              </w:rPr>
              <w:t>其他专用条款</w:t>
            </w:r>
          </w:p>
        </w:tc>
        <w:tc>
          <w:tcPr>
            <w:tcW w:w="5170" w:type="dxa"/>
            <w:vAlign w:val="center"/>
          </w:tcPr>
          <w:p w14:paraId="207AB331">
            <w:pPr>
              <w:adjustRightInd w:val="0"/>
              <w:snapToGrid w:val="0"/>
              <w:jc w:val="left"/>
              <w:rPr>
                <w:rFonts w:hint="eastAsia" w:ascii="宋体" w:hAnsi="宋体" w:eastAsia="宋体"/>
                <w:szCs w:val="21"/>
              </w:rPr>
            </w:pPr>
          </w:p>
        </w:tc>
      </w:tr>
    </w:tbl>
    <w:p w14:paraId="5B5789E4">
      <w:pPr>
        <w:rPr>
          <w:rFonts w:eastAsia="宋体"/>
        </w:rPr>
      </w:pPr>
    </w:p>
    <w:p w14:paraId="38A49419">
      <w:pPr>
        <w:widowControl/>
        <w:jc w:val="left"/>
        <w:rPr>
          <w:rFonts w:ascii="Arial" w:hAnsi="Arial" w:eastAsia="宋体" w:cs="Times New Roman"/>
          <w:color w:val="FF0000"/>
          <w:szCs w:val="24"/>
        </w:rPr>
      </w:pPr>
    </w:p>
    <w:p w14:paraId="52D91A51">
      <w:pPr>
        <w:widowControl/>
        <w:jc w:val="left"/>
        <w:rPr>
          <w:rFonts w:hint="eastAsia" w:ascii="宋体" w:hAnsi="宋体" w:eastAsia="黑体" w:cs="Times New Roman"/>
          <w:b/>
          <w:bCs/>
          <w:color w:val="0000FF"/>
          <w:kern w:val="44"/>
          <w:sz w:val="36"/>
          <w:szCs w:val="44"/>
        </w:rPr>
      </w:pPr>
      <w:r>
        <w:rPr>
          <w:rFonts w:ascii="宋体" w:hAnsi="宋体" w:eastAsia="黑体" w:cs="Times New Roman"/>
          <w:b/>
          <w:bCs/>
          <w:color w:val="0000FF"/>
          <w:kern w:val="44"/>
          <w:sz w:val="36"/>
          <w:szCs w:val="44"/>
        </w:rPr>
        <w:br w:type="page"/>
      </w:r>
    </w:p>
    <w:p w14:paraId="42F59440">
      <w:pPr>
        <w:keepNext/>
        <w:keepLines/>
        <w:spacing w:before="340" w:after="78" w:afterLines="25" w:line="578" w:lineRule="auto"/>
        <w:jc w:val="center"/>
        <w:outlineLvl w:val="0"/>
        <w:rPr>
          <w:rFonts w:ascii="Arial" w:hAnsi="Arial" w:eastAsia="宋体" w:cs="Times New Roman"/>
          <w:b/>
          <w:bCs/>
          <w:kern w:val="44"/>
          <w:sz w:val="32"/>
          <w:szCs w:val="32"/>
        </w:rPr>
      </w:pPr>
      <w:r>
        <w:rPr>
          <w:rFonts w:hint="eastAsia" w:ascii="Arial" w:hAnsi="Arial" w:eastAsia="宋体" w:cs="Times New Roman"/>
          <w:b/>
          <w:bCs/>
          <w:kern w:val="44"/>
          <w:sz w:val="32"/>
          <w:szCs w:val="32"/>
        </w:rPr>
        <w:t>第二册  通用条款（公开招标）</w:t>
      </w:r>
    </w:p>
    <w:p w14:paraId="525F7819">
      <w:pPr>
        <w:pStyle w:val="32"/>
        <w:keepNext/>
        <w:keepLines/>
        <w:numPr>
          <w:ilvl w:val="0"/>
          <w:numId w:val="14"/>
        </w:numPr>
        <w:tabs>
          <w:tab w:val="left" w:pos="720"/>
        </w:tabs>
        <w:adjustRightInd w:val="0"/>
        <w:spacing w:before="156" w:beforeLines="50" w:after="156" w:afterLines="50"/>
        <w:ind w:firstLineChars="0"/>
        <w:jc w:val="center"/>
        <w:textAlignment w:val="baseline"/>
        <w:outlineLvl w:val="1"/>
        <w:rPr>
          <w:rFonts w:asciiTheme="majorHAnsi" w:hAnsiTheme="majorHAnsi" w:eastAsiaTheme="majorEastAsia" w:cstheme="majorBidi"/>
          <w:b/>
          <w:bCs/>
          <w:sz w:val="28"/>
          <w:szCs w:val="28"/>
        </w:rPr>
      </w:pPr>
      <w:bookmarkStart w:id="58" w:name="_Hlk72399513"/>
      <w:r>
        <w:rPr>
          <w:rFonts w:hint="eastAsia" w:asciiTheme="majorHAnsi" w:hAnsiTheme="majorHAnsi" w:eastAsiaTheme="majorEastAsia" w:cstheme="majorBidi"/>
          <w:b/>
          <w:bCs/>
          <w:sz w:val="28"/>
          <w:szCs w:val="28"/>
        </w:rPr>
        <w:t>总则</w:t>
      </w:r>
    </w:p>
    <w:bookmarkEnd w:id="58"/>
    <w:p w14:paraId="54DC9BDA">
      <w:pPr>
        <w:rPr>
          <w:rFonts w:hint="eastAsia" w:ascii="黑体" w:hAnsi="宋体" w:eastAsia="黑体"/>
          <w:sz w:val="24"/>
        </w:rPr>
      </w:pPr>
      <w:bookmarkStart w:id="59" w:name="_Hlk72439706"/>
      <w:r>
        <w:rPr>
          <w:rFonts w:hint="eastAsia" w:ascii="黑体" w:hAnsi="宋体" w:eastAsia="黑体"/>
          <w:sz w:val="24"/>
        </w:rPr>
        <w:t>1. 通用条款说明</w:t>
      </w:r>
    </w:p>
    <w:p w14:paraId="3D0BFCCA">
      <w:pPr>
        <w:ind w:firstLine="411" w:firstLineChars="196"/>
        <w:rPr>
          <w:rFonts w:hint="eastAsia" w:ascii="宋体" w:hAnsi="宋体"/>
          <w:szCs w:val="21"/>
        </w:rPr>
      </w:pPr>
      <w:r>
        <w:rPr>
          <w:rFonts w:hint="eastAsia" w:ascii="宋体" w:hAnsi="宋体"/>
          <w:szCs w:val="21"/>
        </w:rPr>
        <w:t>1.1政府集中采购机构发出招标文件通用条款版本，列出深圳市政府采购项目进行招标采购所适用的通用条款内容。</w:t>
      </w:r>
      <w:bookmarkStart w:id="60" w:name="_Hlk72399729"/>
      <w:r>
        <w:rPr>
          <w:rFonts w:hint="eastAsia" w:ascii="宋体" w:hAnsi="宋体"/>
          <w:szCs w:val="21"/>
        </w:rPr>
        <w:t>如有需要，政府集中采购机构可以对通用条款的内容进行补充。</w:t>
      </w:r>
      <w:bookmarkEnd w:id="60"/>
    </w:p>
    <w:p w14:paraId="20C9780B">
      <w:pPr>
        <w:ind w:firstLine="411" w:firstLineChars="196"/>
        <w:rPr>
          <w:rFonts w:hint="eastAsia" w:ascii="宋体" w:hAnsi="宋体"/>
          <w:szCs w:val="21"/>
        </w:rPr>
      </w:pPr>
      <w:r>
        <w:rPr>
          <w:rFonts w:hint="eastAsia" w:ascii="宋体" w:hAnsi="宋体"/>
          <w:szCs w:val="21"/>
        </w:rPr>
        <w:t>1.2招标文件分为第一册“专用条款”和第二册“通用条款”。</w:t>
      </w:r>
    </w:p>
    <w:p w14:paraId="457AD8E1">
      <w:pPr>
        <w:ind w:firstLine="411" w:firstLineChars="196"/>
        <w:rPr>
          <w:rFonts w:hint="eastAsia" w:ascii="宋体" w:hAnsi="宋体"/>
          <w:szCs w:val="21"/>
        </w:rPr>
      </w:pPr>
      <w:r>
        <w:rPr>
          <w:rFonts w:hint="eastAsia" w:ascii="宋体" w:hAnsi="宋体"/>
          <w:szCs w:val="21"/>
        </w:rPr>
        <w:t>1.3“专用条款”是对本次采购项目的具体要求，包含招标公告、对通用条款的补充内容及其他关键信息、用户需求书、投标文件格式及附件、合同条款及格式等内容。</w:t>
      </w:r>
    </w:p>
    <w:p w14:paraId="2575EC96">
      <w:pPr>
        <w:ind w:firstLine="411" w:firstLineChars="196"/>
        <w:rPr>
          <w:rFonts w:hint="eastAsia" w:ascii="宋体" w:hAnsi="宋体"/>
          <w:szCs w:val="21"/>
        </w:rPr>
      </w:pPr>
      <w:r>
        <w:rPr>
          <w:rFonts w:hint="eastAsia" w:ascii="宋体" w:hAnsi="宋体"/>
          <w:szCs w:val="21"/>
        </w:rPr>
        <w:t>1.4“通用条款”是适用于政府采购公开招标项目的基础性条款，具有普遍性和通用性。</w:t>
      </w:r>
    </w:p>
    <w:p w14:paraId="70B0B164">
      <w:pPr>
        <w:ind w:firstLine="411" w:firstLineChars="196"/>
        <w:rPr>
          <w:rFonts w:hint="eastAsia" w:ascii="宋体" w:hAnsi="宋体"/>
          <w:szCs w:val="21"/>
        </w:rPr>
      </w:pPr>
      <w:r>
        <w:rPr>
          <w:rFonts w:hint="eastAsia" w:ascii="宋体" w:hAnsi="宋体"/>
          <w:szCs w:val="21"/>
        </w:rPr>
        <w:t>1.5 “专用条款”和“通用条款”表述不一致或有冲突时，以“专用条款”为准。</w:t>
      </w:r>
    </w:p>
    <w:p w14:paraId="2E40792A">
      <w:pPr>
        <w:rPr>
          <w:rFonts w:hint="eastAsia" w:ascii="黑体" w:hAnsi="宋体" w:eastAsia="黑体"/>
          <w:sz w:val="24"/>
        </w:rPr>
      </w:pPr>
      <w:r>
        <w:rPr>
          <w:rFonts w:hint="eastAsia" w:ascii="黑体" w:hAnsi="宋体" w:eastAsia="黑体"/>
          <w:sz w:val="24"/>
        </w:rPr>
        <w:t>2</w:t>
      </w:r>
      <w:r>
        <w:rPr>
          <w:rFonts w:ascii="黑体" w:hAnsi="宋体" w:eastAsia="黑体"/>
          <w:sz w:val="24"/>
        </w:rPr>
        <w:t>．</w:t>
      </w:r>
      <w:r>
        <w:rPr>
          <w:rFonts w:hint="eastAsia" w:ascii="黑体" w:hAnsi="宋体" w:eastAsia="黑体"/>
          <w:sz w:val="24"/>
        </w:rPr>
        <w:t>招标说明</w:t>
      </w:r>
    </w:p>
    <w:p w14:paraId="304F49F4">
      <w:pPr>
        <w:ind w:firstLine="411" w:firstLineChars="196"/>
        <w:rPr>
          <w:rFonts w:hint="eastAsia" w:ascii="宋体" w:hAnsi="宋体"/>
          <w:szCs w:val="21"/>
        </w:rPr>
      </w:pPr>
      <w:r>
        <w:rPr>
          <w:rFonts w:hint="eastAsia" w:ascii="宋体" w:hAnsi="宋体"/>
          <w:szCs w:val="21"/>
        </w:rPr>
        <w:t>本项目参照《深圳经济特区政府采购条例》、《深圳经济特区政府采购条例实施细则》及政府采购其他法律法规，通过公开招标方式确定中标供应商。</w:t>
      </w:r>
    </w:p>
    <w:p w14:paraId="4144726C">
      <w:pPr>
        <w:rPr>
          <w:rFonts w:hint="eastAsia" w:ascii="黑体" w:hAnsi="宋体" w:eastAsia="黑体"/>
          <w:sz w:val="24"/>
        </w:rPr>
      </w:pPr>
      <w:r>
        <w:rPr>
          <w:rFonts w:hint="eastAsia" w:ascii="黑体" w:hAnsi="宋体" w:eastAsia="黑体"/>
          <w:sz w:val="24"/>
        </w:rPr>
        <w:t>3．定义</w:t>
      </w:r>
    </w:p>
    <w:p w14:paraId="0A88DAF6">
      <w:pPr>
        <w:ind w:firstLine="420" w:firstLineChars="200"/>
        <w:rPr>
          <w:rFonts w:hint="eastAsia" w:ascii="宋体" w:hAnsi="宋体"/>
          <w:szCs w:val="21"/>
        </w:rPr>
      </w:pPr>
      <w:r>
        <w:rPr>
          <w:rFonts w:ascii="宋体" w:hAnsi="宋体"/>
          <w:szCs w:val="21"/>
        </w:rPr>
        <w:t>招标文件中下列术语应解释为：</w:t>
      </w:r>
    </w:p>
    <w:p w14:paraId="5AE76CF6">
      <w:pPr>
        <w:ind w:firstLine="411" w:firstLineChars="196"/>
        <w:rPr>
          <w:rFonts w:hint="eastAsia" w:ascii="宋体" w:hAnsi="宋体"/>
          <w:szCs w:val="21"/>
        </w:rPr>
      </w:pPr>
      <w:r>
        <w:rPr>
          <w:rFonts w:hint="eastAsia" w:ascii="宋体" w:hAnsi="宋体"/>
          <w:szCs w:val="21"/>
        </w:rPr>
        <w:t>3.</w:t>
      </w:r>
      <w:r>
        <w:rPr>
          <w:rFonts w:ascii="宋体" w:hAnsi="宋体"/>
          <w:szCs w:val="21"/>
        </w:rPr>
        <w:t>1</w:t>
      </w:r>
      <w:r>
        <w:rPr>
          <w:rFonts w:hint="eastAsia" w:ascii="宋体" w:hAnsi="宋体"/>
          <w:szCs w:val="21"/>
        </w:rPr>
        <w:t>“采购人”：指利用财政性资金依法进行政府采购的国家机关、事业单位、团体组织；</w:t>
      </w:r>
      <w:r>
        <w:rPr>
          <w:rFonts w:ascii="宋体" w:hAnsi="宋体"/>
          <w:szCs w:val="21"/>
        </w:rPr>
        <w:t xml:space="preserve"> </w:t>
      </w:r>
    </w:p>
    <w:p w14:paraId="1736A48F">
      <w:pPr>
        <w:ind w:firstLine="411" w:firstLineChars="196"/>
        <w:rPr>
          <w:rFonts w:hint="eastAsia" w:ascii="宋体" w:hAnsi="宋体"/>
          <w:szCs w:val="21"/>
        </w:rPr>
      </w:pPr>
      <w:r>
        <w:rPr>
          <w:rFonts w:hint="eastAsia" w:ascii="宋体" w:hAnsi="宋体"/>
          <w:szCs w:val="21"/>
        </w:rPr>
        <w:t>3.2 “政府集中采购机构”</w:t>
      </w:r>
      <w:r>
        <w:rPr>
          <w:rFonts w:hint="eastAsia" w:ascii="Arial" w:hAnsi="Arial" w:cs="Arial"/>
          <w:szCs w:val="21"/>
          <w:shd w:val="clear" w:color="auto" w:fill="FFFFFF"/>
        </w:rPr>
        <w:t>是指市政府设立的，组织实施政府采购项目，并对政府采购活动提供服务的专门机构；</w:t>
      </w:r>
      <w:r>
        <w:rPr>
          <w:rFonts w:hint="eastAsia" w:ascii="宋体" w:hAnsi="宋体"/>
          <w:szCs w:val="21"/>
        </w:rPr>
        <w:t>本文件所述的“政府集中采购机构”</w:t>
      </w:r>
      <w:r>
        <w:rPr>
          <w:rFonts w:ascii="宋体" w:hAnsi="宋体"/>
          <w:szCs w:val="21"/>
        </w:rPr>
        <w:t>指</w:t>
      </w:r>
      <w:r>
        <w:rPr>
          <w:rFonts w:hint="eastAsia" w:ascii="宋体" w:hAnsi="宋体"/>
          <w:b/>
          <w:bCs/>
          <w:szCs w:val="21"/>
        </w:rPr>
        <w:t>深圳公共资源交易中心</w:t>
      </w:r>
      <w:r>
        <w:rPr>
          <w:rFonts w:hint="eastAsia" w:ascii="宋体" w:hAnsi="宋体"/>
          <w:szCs w:val="21"/>
        </w:rPr>
        <w:t>；</w:t>
      </w:r>
    </w:p>
    <w:p w14:paraId="0F998E2D">
      <w:pPr>
        <w:ind w:firstLine="411" w:firstLineChars="196"/>
        <w:rPr>
          <w:rFonts w:hint="eastAsia" w:ascii="宋体" w:hAnsi="宋体"/>
          <w:szCs w:val="21"/>
        </w:rPr>
      </w:pPr>
      <w:r>
        <w:rPr>
          <w:rFonts w:hint="eastAsia" w:ascii="宋体" w:hAnsi="宋体"/>
          <w:szCs w:val="21"/>
        </w:rPr>
        <w:t>3.3“投标人”，即供应商，指参加投标竞争并愿意按照招标文件要求向采购人提供货物、工程或者服务的依法成立的法人、其他组织或者自然人；</w:t>
      </w:r>
    </w:p>
    <w:p w14:paraId="0F9EE687">
      <w:pPr>
        <w:ind w:firstLine="411" w:firstLineChars="196"/>
        <w:rPr>
          <w:rFonts w:hint="eastAsia" w:ascii="宋体" w:hAnsi="宋体"/>
          <w:szCs w:val="21"/>
        </w:rPr>
      </w:pPr>
      <w:r>
        <w:rPr>
          <w:rFonts w:hint="eastAsia" w:ascii="宋体" w:hAnsi="宋体"/>
          <w:szCs w:val="21"/>
        </w:rPr>
        <w:t>3.4“评审委员会”是依据《深圳经济特区政府采购条例》、《深圳经济特区政府采购条例实施细则》等有关规定组建的专门负责本次招标其评审工作的临时性机构；</w:t>
      </w:r>
    </w:p>
    <w:p w14:paraId="5CB95D26">
      <w:pPr>
        <w:ind w:firstLine="411" w:firstLineChars="196"/>
        <w:rPr>
          <w:rFonts w:hint="eastAsia" w:ascii="宋体" w:hAnsi="宋体"/>
          <w:szCs w:val="21"/>
        </w:rPr>
      </w:pPr>
      <w:r>
        <w:rPr>
          <w:rFonts w:hint="eastAsia" w:ascii="宋体" w:hAnsi="宋体"/>
          <w:szCs w:val="21"/>
        </w:rPr>
        <w:t>3.5“日期”</w:t>
      </w:r>
      <w:r>
        <w:rPr>
          <w:rFonts w:ascii="宋体" w:hAnsi="宋体"/>
          <w:szCs w:val="21"/>
        </w:rPr>
        <w:t>指</w:t>
      </w:r>
      <w:r>
        <w:rPr>
          <w:rFonts w:hint="eastAsia" w:ascii="宋体" w:hAnsi="宋体"/>
          <w:szCs w:val="21"/>
        </w:rPr>
        <w:t>公历日；</w:t>
      </w:r>
    </w:p>
    <w:p w14:paraId="5026B9D4">
      <w:pPr>
        <w:ind w:firstLine="411" w:firstLineChars="196"/>
        <w:rPr>
          <w:rFonts w:hint="eastAsia" w:ascii="宋体" w:hAnsi="宋体"/>
          <w:szCs w:val="21"/>
        </w:rPr>
      </w:pPr>
      <w:r>
        <w:rPr>
          <w:rFonts w:hint="eastAsia" w:ascii="宋体" w:hAnsi="宋体"/>
          <w:szCs w:val="21"/>
        </w:rPr>
        <w:t>3.6“合同”指由本次招标所产生的合同或合约文件；</w:t>
      </w:r>
    </w:p>
    <w:p w14:paraId="7573626E">
      <w:pPr>
        <w:ind w:firstLine="411" w:firstLineChars="196"/>
        <w:rPr>
          <w:rFonts w:hint="eastAsia" w:ascii="宋体" w:hAnsi="宋体"/>
          <w:szCs w:val="21"/>
        </w:rPr>
      </w:pPr>
      <w:r>
        <w:rPr>
          <w:rFonts w:hint="eastAsia" w:ascii="宋体" w:hAnsi="宋体"/>
          <w:szCs w:val="21"/>
        </w:rPr>
        <w:t>3.7“电子投标文件”指利用</w:t>
      </w:r>
      <w:r>
        <w:rPr>
          <w:rFonts w:hint="eastAsia" w:ascii="宋体" w:hAnsi="宋体"/>
          <w:b/>
          <w:bCs/>
          <w:color w:val="FF0000"/>
          <w:szCs w:val="21"/>
        </w:rPr>
        <w:t>深圳公共资源交易中心（深圳交易集团有限公司龙华分公司）</w:t>
      </w:r>
      <w:r>
        <w:rPr>
          <w:rFonts w:hint="eastAsia" w:ascii="宋体" w:hAnsi="宋体"/>
          <w:szCs w:val="21"/>
        </w:rPr>
        <w:t>网站提供的深圳智慧采购平台投标文件制作专用软件（以下简称：投标文件制作软件）制作并加密的投标文件,适用于网上投标；（投标文件制作软件可从“下载地址：http://zfcg.szggzy.com:8081/cgxy/013002/20210923/173e0b2c-7a4c-4246-a0c7-e0ea75d84dd6.html深圳智慧采购平台投标文件制作专用软件.zip”下载）</w:t>
      </w:r>
    </w:p>
    <w:p w14:paraId="54E42040">
      <w:pPr>
        <w:ind w:firstLine="411" w:firstLineChars="196"/>
        <w:rPr>
          <w:rFonts w:hint="eastAsia" w:ascii="宋体" w:hAnsi="宋体"/>
          <w:szCs w:val="21"/>
        </w:rPr>
      </w:pPr>
      <w:r>
        <w:rPr>
          <w:rFonts w:hint="eastAsia" w:ascii="宋体" w:hAnsi="宋体"/>
          <w:szCs w:val="21"/>
        </w:rPr>
        <w:t>3.8“网上投标”指通过</w:t>
      </w:r>
      <w:r>
        <w:rPr>
          <w:rFonts w:hint="eastAsia" w:ascii="宋体" w:hAnsi="宋体"/>
          <w:b/>
          <w:bCs/>
          <w:color w:val="FF0000"/>
          <w:szCs w:val="21"/>
        </w:rPr>
        <w:t>深圳公共资源交易中心（深圳交易集团有限公司龙华分公司）</w:t>
      </w:r>
      <w:r>
        <w:rPr>
          <w:rFonts w:hint="eastAsia" w:ascii="宋体" w:hAnsi="宋体"/>
          <w:szCs w:val="21"/>
        </w:rPr>
        <w:t>网站上传电子投标文件；</w:t>
      </w:r>
    </w:p>
    <w:p w14:paraId="4CCEE5B5">
      <w:pPr>
        <w:ind w:firstLine="411" w:firstLineChars="196"/>
        <w:rPr>
          <w:rFonts w:hint="eastAsia" w:ascii="宋体" w:hAnsi="宋体"/>
          <w:szCs w:val="21"/>
        </w:rPr>
      </w:pPr>
      <w:r>
        <w:rPr>
          <w:rFonts w:hint="eastAsia" w:ascii="宋体" w:hAnsi="宋体"/>
          <w:szCs w:val="21"/>
        </w:rPr>
        <w:t>3.9招标文件中的标题或题名仅起引导作用，而不应视为对招标文件内容的理解和解释。</w:t>
      </w:r>
    </w:p>
    <w:p w14:paraId="597E29CD">
      <w:pPr>
        <w:rPr>
          <w:rFonts w:hint="eastAsia" w:ascii="黑体" w:hAnsi="宋体" w:eastAsia="黑体"/>
          <w:sz w:val="24"/>
        </w:rPr>
      </w:pPr>
      <w:r>
        <w:rPr>
          <w:rFonts w:hint="eastAsia" w:ascii="黑体" w:hAnsi="宋体" w:eastAsia="黑体"/>
          <w:sz w:val="24"/>
        </w:rPr>
        <w:t xml:space="preserve">4. </w:t>
      </w:r>
      <w:bookmarkStart w:id="61" w:name="_Hlk72398643"/>
      <w:r>
        <w:rPr>
          <w:rFonts w:hint="eastAsia" w:ascii="黑体" w:hAnsi="宋体" w:eastAsia="黑体"/>
          <w:sz w:val="24"/>
        </w:rPr>
        <w:t>政府采购供应商责任</w:t>
      </w:r>
    </w:p>
    <w:p w14:paraId="4E48E751">
      <w:pPr>
        <w:ind w:firstLine="411" w:firstLineChars="196"/>
        <w:rPr>
          <w:rFonts w:hint="eastAsia" w:ascii="宋体" w:hAnsi="宋体"/>
          <w:szCs w:val="21"/>
        </w:rPr>
      </w:pPr>
      <w:r>
        <w:rPr>
          <w:rFonts w:hint="eastAsia" w:ascii="宋体" w:hAnsi="宋体"/>
          <w:szCs w:val="21"/>
        </w:rPr>
        <w:t>4.1欢迎诚信、有实力和有社会责任心的供应商参与政府采购事业。</w:t>
      </w:r>
    </w:p>
    <w:p w14:paraId="4587422B">
      <w:pPr>
        <w:ind w:firstLine="411" w:firstLineChars="196"/>
        <w:rPr>
          <w:rFonts w:hint="eastAsia" w:ascii="宋体" w:hAnsi="宋体"/>
          <w:szCs w:val="21"/>
        </w:rPr>
      </w:pPr>
      <w:r>
        <w:rPr>
          <w:rFonts w:hint="eastAsia" w:ascii="宋体" w:hAnsi="宋体"/>
          <w:szCs w:val="21"/>
        </w:rPr>
        <w:t>4.2投标人应当遵循公平竞争的原则，不得恶意串通，不得妨碍其他投标人的竞争行为，不得损害采购人或者其他投标人的合法权益。如违反上述要求，经核实后，供应商的投标无效。</w:t>
      </w:r>
    </w:p>
    <w:p w14:paraId="6D1B4635">
      <w:pPr>
        <w:rPr>
          <w:rFonts w:hint="eastAsia" w:ascii="黑体" w:hAnsi="宋体" w:eastAsia="黑体"/>
          <w:sz w:val="24"/>
        </w:rPr>
      </w:pPr>
      <w:r>
        <w:rPr>
          <w:rFonts w:hint="eastAsia" w:ascii="黑体" w:hAnsi="宋体" w:eastAsia="黑体"/>
          <w:sz w:val="24"/>
        </w:rPr>
        <w:t>5．投标人参加政府采购的条件</w:t>
      </w:r>
    </w:p>
    <w:p w14:paraId="1BA23377">
      <w:pPr>
        <w:ind w:firstLine="411" w:firstLineChars="196"/>
        <w:jc w:val="left"/>
        <w:rPr>
          <w:rFonts w:hint="eastAsia" w:ascii="宋体" w:hAnsi="宋体"/>
          <w:szCs w:val="21"/>
        </w:rPr>
      </w:pPr>
      <w:r>
        <w:rPr>
          <w:rFonts w:hint="eastAsia" w:ascii="宋体" w:hAnsi="宋体"/>
          <w:szCs w:val="21"/>
        </w:rPr>
        <w:t>5.1投标人应在投标前到</w:t>
      </w:r>
      <w:r>
        <w:rPr>
          <w:rFonts w:hint="eastAsia" w:ascii="宋体" w:hAnsi="宋体"/>
          <w:b/>
          <w:bCs/>
          <w:szCs w:val="21"/>
        </w:rPr>
        <w:t>深圳公共资源交易中心（具体在深圳交易集团有限公司政府采购业务分公司进行办理）</w:t>
      </w:r>
      <w:r>
        <w:rPr>
          <w:rFonts w:hint="eastAsia" w:ascii="宋体" w:hAnsi="宋体"/>
          <w:szCs w:val="21"/>
        </w:rPr>
        <w:t>进行注册并办理电子密钥。《供应商注册及信息变更指引》详见www.szggzy.com网站“交易服务指南-政府采购”。</w:t>
      </w:r>
    </w:p>
    <w:p w14:paraId="34B81B69">
      <w:pPr>
        <w:ind w:firstLine="411" w:firstLineChars="196"/>
        <w:rPr>
          <w:rFonts w:hint="eastAsia" w:ascii="宋体" w:hAnsi="宋体"/>
          <w:szCs w:val="21"/>
        </w:rPr>
      </w:pPr>
      <w:r>
        <w:rPr>
          <w:rFonts w:hint="eastAsia" w:ascii="宋体" w:hAnsi="宋体"/>
          <w:szCs w:val="21"/>
        </w:rPr>
        <w:t>5.2投标人资格要求</w:t>
      </w:r>
    </w:p>
    <w:p w14:paraId="5F96977E">
      <w:pPr>
        <w:ind w:firstLine="411" w:firstLineChars="196"/>
        <w:rPr>
          <w:rFonts w:hint="eastAsia" w:ascii="宋体" w:hAnsi="宋体"/>
          <w:szCs w:val="21"/>
        </w:rPr>
      </w:pPr>
      <w:r>
        <w:rPr>
          <w:rFonts w:hint="eastAsia" w:ascii="宋体" w:hAnsi="宋体"/>
          <w:szCs w:val="21"/>
        </w:rPr>
        <w:t>参加本项目的投标人应具备的资格条件详见本项目招标公告中 “投标人资格要求”（即申请人的资格要求）的内容。</w:t>
      </w:r>
    </w:p>
    <w:p w14:paraId="3A60EF34">
      <w:pPr>
        <w:ind w:firstLine="411" w:firstLineChars="196"/>
        <w:rPr>
          <w:rFonts w:hint="eastAsia" w:ascii="宋体" w:hAnsi="宋体"/>
          <w:szCs w:val="21"/>
        </w:rPr>
      </w:pPr>
      <w:r>
        <w:rPr>
          <w:rFonts w:hint="eastAsia" w:ascii="宋体" w:hAnsi="宋体"/>
          <w:szCs w:val="21"/>
        </w:rPr>
        <w:t>5.3联合体投标</w:t>
      </w:r>
    </w:p>
    <w:p w14:paraId="2FAE7226">
      <w:pPr>
        <w:ind w:firstLine="411" w:firstLineChars="196"/>
        <w:rPr>
          <w:rFonts w:hint="eastAsia" w:ascii="宋体" w:hAnsi="宋体"/>
          <w:szCs w:val="21"/>
        </w:rPr>
      </w:pPr>
      <w:r>
        <w:rPr>
          <w:rFonts w:hint="eastAsia" w:ascii="宋体" w:hAnsi="宋体"/>
          <w:szCs w:val="21"/>
        </w:rPr>
        <w:t>5.3.1　以下有关联合体投标的条款仅适用于允许投标人组成联合体投标的项目。</w:t>
      </w:r>
    </w:p>
    <w:p w14:paraId="136993C9">
      <w:pPr>
        <w:ind w:firstLine="411" w:firstLineChars="196"/>
        <w:rPr>
          <w:rFonts w:hint="eastAsia" w:ascii="宋体" w:hAnsi="宋体"/>
          <w:szCs w:val="21"/>
        </w:rPr>
      </w:pPr>
      <w:r>
        <w:rPr>
          <w:rFonts w:hint="eastAsia" w:ascii="宋体" w:hAnsi="宋体"/>
          <w:szCs w:val="21"/>
        </w:rPr>
        <w:t>5.3.2  由两个或两个以上的自然人、法人或者其他组织可以组成一个联合体，以一个供应商的身份共同投标时，应符合以下原则：</w:t>
      </w:r>
    </w:p>
    <w:p w14:paraId="2EFEFB03">
      <w:pPr>
        <w:ind w:firstLine="411" w:firstLineChars="196"/>
        <w:rPr>
          <w:rFonts w:hint="eastAsia" w:ascii="宋体" w:hAnsi="宋体"/>
        </w:rPr>
      </w:pPr>
      <w:r>
        <w:rPr>
          <w:rFonts w:hint="eastAsia" w:ascii="宋体" w:hAnsi="宋体"/>
        </w:rPr>
        <w:t>（1）投标联合体各方参加政府采购活动应当具备下列条件：</w:t>
      </w:r>
      <w:r>
        <w:rPr>
          <w:rFonts w:ascii="宋体" w:hAnsi="宋体"/>
        </w:rPr>
        <w:t xml:space="preserve"> </w:t>
      </w:r>
    </w:p>
    <w:p w14:paraId="6B1489A4">
      <w:pPr>
        <w:ind w:left="420" w:leftChars="200" w:firstLine="411" w:firstLineChars="196"/>
        <w:rPr>
          <w:rFonts w:hint="eastAsia" w:ascii="宋体" w:hAnsi="宋体"/>
        </w:rPr>
      </w:pPr>
      <w:r>
        <w:rPr>
          <w:rFonts w:hint="eastAsia" w:ascii="宋体" w:hAnsi="宋体"/>
        </w:rPr>
        <w:t>1、具有独立承担民事责任的能力；</w:t>
      </w:r>
      <w:r>
        <w:rPr>
          <w:rFonts w:ascii="宋体" w:hAnsi="宋体"/>
        </w:rPr>
        <w:t xml:space="preserve"> </w:t>
      </w:r>
    </w:p>
    <w:p w14:paraId="52A8BA25">
      <w:pPr>
        <w:ind w:left="420" w:firstLine="411" w:firstLineChars="196"/>
        <w:rPr>
          <w:rFonts w:hint="eastAsia" w:ascii="宋体" w:hAnsi="宋体"/>
        </w:rPr>
      </w:pPr>
      <w:r>
        <w:rPr>
          <w:rFonts w:hint="eastAsia" w:ascii="宋体" w:hAnsi="宋体"/>
        </w:rPr>
        <w:t>2、有良好的商业信誉和健全的财务会计制度；</w:t>
      </w:r>
      <w:r>
        <w:rPr>
          <w:rFonts w:ascii="宋体" w:hAnsi="宋体"/>
        </w:rPr>
        <w:t xml:space="preserve"> </w:t>
      </w:r>
    </w:p>
    <w:p w14:paraId="296D944B">
      <w:pPr>
        <w:ind w:left="420" w:leftChars="200" w:firstLine="411" w:firstLineChars="196"/>
        <w:rPr>
          <w:rFonts w:hint="eastAsia" w:ascii="宋体" w:hAnsi="宋体"/>
        </w:rPr>
      </w:pPr>
      <w:r>
        <w:rPr>
          <w:rFonts w:hint="eastAsia" w:ascii="宋体" w:hAnsi="宋体"/>
        </w:rPr>
        <w:t>3、具有履行合同所必需的设备和专业技术能力；</w:t>
      </w:r>
      <w:r>
        <w:rPr>
          <w:rFonts w:ascii="宋体" w:hAnsi="宋体"/>
        </w:rPr>
        <w:t xml:space="preserve"> </w:t>
      </w:r>
    </w:p>
    <w:p w14:paraId="4001FDBA">
      <w:pPr>
        <w:ind w:left="420" w:leftChars="200" w:firstLine="411" w:firstLineChars="196"/>
        <w:rPr>
          <w:rFonts w:hint="eastAsia" w:ascii="宋体" w:hAnsi="宋体"/>
        </w:rPr>
      </w:pPr>
      <w:r>
        <w:rPr>
          <w:rFonts w:hint="eastAsia" w:ascii="宋体" w:hAnsi="宋体"/>
        </w:rPr>
        <w:t>4、有依法缴纳税收和社会保障资金的良好记录；</w:t>
      </w:r>
      <w:r>
        <w:rPr>
          <w:rFonts w:ascii="宋体" w:hAnsi="宋体"/>
        </w:rPr>
        <w:t xml:space="preserve"> </w:t>
      </w:r>
    </w:p>
    <w:p w14:paraId="191FF3C3">
      <w:pPr>
        <w:ind w:left="420" w:leftChars="200" w:firstLine="411" w:firstLineChars="196"/>
        <w:rPr>
          <w:rFonts w:hint="eastAsia" w:ascii="宋体" w:hAnsi="宋体"/>
        </w:rPr>
      </w:pPr>
      <w:r>
        <w:rPr>
          <w:rFonts w:hint="eastAsia" w:ascii="宋体" w:hAnsi="宋体"/>
        </w:rPr>
        <w:t>5、参加政府采购活动前三年内，在经营活动中没有重大违法记录；</w:t>
      </w:r>
      <w:r>
        <w:rPr>
          <w:rFonts w:ascii="宋体" w:hAnsi="宋体"/>
        </w:rPr>
        <w:t xml:space="preserve"> </w:t>
      </w:r>
    </w:p>
    <w:p w14:paraId="675B973A">
      <w:pPr>
        <w:ind w:left="420" w:leftChars="200" w:firstLine="411" w:firstLineChars="196"/>
        <w:rPr>
          <w:rFonts w:hint="eastAsia" w:ascii="宋体" w:hAnsi="宋体"/>
        </w:rPr>
      </w:pPr>
      <w:r>
        <w:rPr>
          <w:rFonts w:hint="eastAsia" w:ascii="宋体" w:hAnsi="宋体"/>
        </w:rPr>
        <w:t>6、法律、行政法规规定的其他条件。</w:t>
      </w:r>
      <w:r>
        <w:rPr>
          <w:rFonts w:ascii="宋体" w:hAnsi="宋体"/>
        </w:rPr>
        <w:t xml:space="preserve"> </w:t>
      </w:r>
    </w:p>
    <w:p w14:paraId="56CE4E63">
      <w:pPr>
        <w:ind w:firstLine="411" w:firstLineChars="196"/>
        <w:rPr>
          <w:rFonts w:hint="eastAsia" w:ascii="宋体" w:hAnsi="宋体"/>
        </w:rPr>
      </w:pPr>
      <w:r>
        <w:rPr>
          <w:rFonts w:hint="eastAsia" w:ascii="宋体" w:hAnsi="宋体"/>
        </w:rPr>
        <w:t>（2）在投标截止前，投标联合体各方均应注册成政府集中采购机构供应商；</w:t>
      </w:r>
    </w:p>
    <w:p w14:paraId="18CE10F2">
      <w:pPr>
        <w:ind w:firstLine="411" w:firstLineChars="196"/>
        <w:rPr>
          <w:rFonts w:hint="eastAsia" w:ascii="宋体" w:hAnsi="宋体"/>
        </w:rPr>
      </w:pPr>
      <w:r>
        <w:rPr>
          <w:rFonts w:hint="eastAsia" w:ascii="宋体" w:hAnsi="宋体"/>
        </w:rPr>
        <w:t>（3）联合体中有同类资质的供应商按照联合体分工承担相同工作的，应当按照资质等级较低的供应商确定资质等级；</w:t>
      </w:r>
    </w:p>
    <w:p w14:paraId="381CC84B">
      <w:pPr>
        <w:ind w:firstLine="411" w:firstLineChars="196"/>
      </w:pPr>
      <w:r>
        <w:rPr>
          <w:rFonts w:hint="eastAsia"/>
        </w:rPr>
        <w:t>（4）是否允许联合体参加投标，应当由采购人和采购代理机构根据项目的实际情况和潜在供应商的数量自主决定，如果决定接受联合体投标则应当在招标公告中明示；</w:t>
      </w:r>
    </w:p>
    <w:p w14:paraId="23A2B6C2">
      <w:pPr>
        <w:ind w:firstLine="411" w:firstLineChars="196"/>
        <w:rPr>
          <w:rFonts w:hint="eastAsia" w:ascii="宋体" w:hAnsi="宋体"/>
        </w:rPr>
      </w:pPr>
      <w:r>
        <w:rPr>
          <w:rFonts w:hint="eastAsia" w:ascii="宋体" w:hAnsi="宋体"/>
        </w:rPr>
        <w:t>（5）投标人的投标文件及中标后签署的合同协议对联合体各方均具法律约束力；</w:t>
      </w:r>
    </w:p>
    <w:p w14:paraId="5F080735">
      <w:pPr>
        <w:ind w:firstLine="411" w:firstLineChars="196"/>
        <w:rPr>
          <w:rFonts w:hint="eastAsia" w:ascii="宋体" w:hAnsi="宋体"/>
        </w:rPr>
      </w:pPr>
      <w:r>
        <w:rPr>
          <w:rFonts w:hint="eastAsia" w:ascii="宋体" w:hAnsi="宋体"/>
        </w:rPr>
        <w:t>（6）联合体各方应当签订联合体投标协议，明确约定各方拟承担的工作和责任，并将该协议随投标文件一并递交给政府集中采购机构；</w:t>
      </w:r>
    </w:p>
    <w:p w14:paraId="30D616BD">
      <w:pPr>
        <w:ind w:firstLine="411" w:firstLineChars="196"/>
        <w:rPr>
          <w:rFonts w:hint="eastAsia" w:ascii="宋体" w:hAnsi="宋体"/>
        </w:rPr>
      </w:pPr>
      <w:r>
        <w:rPr>
          <w:rFonts w:hint="eastAsia" w:ascii="宋体" w:hAnsi="宋体"/>
        </w:rPr>
        <w:t>（7）联合体中标后，联合体各方应当共同与采购人签订合同，就中标项目向采购人承担连带责任；</w:t>
      </w:r>
    </w:p>
    <w:p w14:paraId="5D400F80">
      <w:pPr>
        <w:ind w:firstLine="411" w:firstLineChars="196"/>
        <w:rPr>
          <w:rFonts w:hint="eastAsia" w:ascii="宋体" w:hAnsi="宋体"/>
        </w:rPr>
      </w:pPr>
      <w:r>
        <w:rPr>
          <w:rFonts w:hint="eastAsia" w:ascii="宋体" w:hAnsi="宋体"/>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14:paraId="163CBAF3">
      <w:pPr>
        <w:ind w:firstLine="411" w:firstLineChars="196"/>
        <w:rPr>
          <w:rFonts w:hint="eastAsia" w:ascii="宋体" w:hAnsi="宋体"/>
          <w:szCs w:val="21"/>
        </w:rPr>
      </w:pPr>
      <w:r>
        <w:rPr>
          <w:rFonts w:hint="eastAsia" w:ascii="宋体" w:hAnsi="宋体"/>
        </w:rPr>
        <w:t>（9）本通用条款中“投标人”一词亦指联合体各方，专用条款另有规定或说明的除外。</w:t>
      </w:r>
    </w:p>
    <w:p w14:paraId="168C3AFF">
      <w:pPr>
        <w:rPr>
          <w:rFonts w:hint="eastAsia" w:ascii="黑体" w:hAnsi="宋体" w:eastAsia="黑体"/>
          <w:sz w:val="24"/>
        </w:rPr>
      </w:pPr>
      <w:r>
        <w:rPr>
          <w:rFonts w:hint="eastAsia" w:ascii="黑体" w:hAnsi="宋体" w:eastAsia="黑体"/>
          <w:sz w:val="24"/>
        </w:rPr>
        <w:t>6．政策导向</w:t>
      </w:r>
    </w:p>
    <w:p w14:paraId="3CEE7FD3">
      <w:pPr>
        <w:ind w:firstLine="411" w:firstLineChars="196"/>
        <w:rPr>
          <w:rFonts w:hint="eastAsia" w:ascii="宋体" w:hAnsi="宋体"/>
        </w:rPr>
      </w:pPr>
      <w:r>
        <w:rPr>
          <w:rFonts w:hint="eastAsia" w:ascii="宋体" w:hAnsi="宋体"/>
        </w:rPr>
        <w:t>6.1</w:t>
      </w:r>
      <w:r>
        <w:rPr>
          <w:rFonts w:ascii="宋体" w:hAnsi="宋体"/>
        </w:rPr>
        <w:t xml:space="preserve">  </w:t>
      </w:r>
      <w:r>
        <w:rPr>
          <w:rFonts w:hint="eastAsia" w:ascii="宋体" w:hAnsi="宋体"/>
        </w:rPr>
        <w:t>政府采购支持本国产品、支持中小企业、监狱企业和残疾人福利性单位发展，支持乡村产业振兴，支持创新、节能减排、绿色环保等。</w:t>
      </w:r>
    </w:p>
    <w:p w14:paraId="0ED20ADD">
      <w:pPr>
        <w:ind w:firstLine="405"/>
        <w:rPr>
          <w:rFonts w:hint="eastAsia" w:ascii="宋体" w:hAnsi="宋体"/>
        </w:rPr>
      </w:pPr>
      <w:r>
        <w:rPr>
          <w:rFonts w:hint="eastAsia" w:ascii="宋体" w:hAnsi="宋体"/>
        </w:rPr>
        <w:t>6.2</w:t>
      </w:r>
      <w:r>
        <w:rPr>
          <w:rFonts w:ascii="宋体" w:hAnsi="宋体"/>
        </w:rPr>
        <w:t xml:space="preserve">  </w:t>
      </w:r>
      <w:r>
        <w:rPr>
          <w:rFonts w:hint="eastAsia" w:ascii="宋体" w:hAnsi="宋体"/>
        </w:rPr>
        <w:t>本项目落实深圳市政府采购供应商诚信管理政策要求。</w:t>
      </w:r>
    </w:p>
    <w:p w14:paraId="04D60A88">
      <w:pPr>
        <w:ind w:firstLine="405"/>
        <w:rPr>
          <w:rFonts w:eastAsia="宋体"/>
        </w:rPr>
      </w:pPr>
      <w:r>
        <w:rPr>
          <w:rFonts w:hint="eastAsia" w:ascii="宋体" w:hAnsi="宋体"/>
        </w:rPr>
        <w:t>6.3  本项目支持投标人性别平等的相关政策。</w:t>
      </w:r>
    </w:p>
    <w:p w14:paraId="362DB4B7">
      <w:pPr>
        <w:rPr>
          <w:rFonts w:hint="eastAsia" w:ascii="黑体" w:hAnsi="宋体" w:eastAsia="黑体"/>
          <w:sz w:val="24"/>
        </w:rPr>
      </w:pPr>
      <w:r>
        <w:rPr>
          <w:rFonts w:hint="eastAsia" w:ascii="黑体" w:hAnsi="宋体" w:eastAsia="黑体"/>
          <w:sz w:val="24"/>
        </w:rPr>
        <w:t>7. 本项目若涉及采购货物，则合格的货物及相应服务应满足以下要求：</w:t>
      </w:r>
    </w:p>
    <w:p w14:paraId="163DDBDE">
      <w:pPr>
        <w:ind w:firstLine="411" w:firstLineChars="196"/>
        <w:rPr>
          <w:rFonts w:hint="eastAsia" w:ascii="宋体" w:hAnsi="宋体"/>
        </w:rPr>
      </w:pPr>
      <w:r>
        <w:rPr>
          <w:rFonts w:hint="eastAsia" w:ascii="宋体" w:hAnsi="宋体"/>
        </w:rPr>
        <w:t>7</w:t>
      </w:r>
      <w:r>
        <w:rPr>
          <w:rFonts w:ascii="宋体" w:hAnsi="宋体"/>
        </w:rPr>
        <w:t xml:space="preserve">.1  </w:t>
      </w:r>
      <w:r>
        <w:rPr>
          <w:rFonts w:hint="eastAsia" w:ascii="宋体" w:hAnsi="宋体"/>
        </w:rPr>
        <w:t>必须是全新、未使用过的原装合格正品（包括零部件），如安装或配置了软件的，须为正版软件。</w:t>
      </w:r>
    </w:p>
    <w:p w14:paraId="49E8B4AD">
      <w:pPr>
        <w:ind w:firstLine="411" w:firstLineChars="196"/>
        <w:rPr>
          <w:rFonts w:hint="eastAsia" w:ascii="宋体" w:hAnsi="宋体"/>
        </w:rPr>
      </w:pPr>
      <w:r>
        <w:rPr>
          <w:rFonts w:hint="eastAsia" w:ascii="宋体" w:hAnsi="宋体"/>
        </w:rPr>
        <w:t>7.2  国产的货物及其有关服务必须符合中华人民共和国的设计、制造生产标准及行业标准。招标公告有其他要求的，亦应符合其要求。</w:t>
      </w:r>
    </w:p>
    <w:p w14:paraId="0A721A15">
      <w:pPr>
        <w:ind w:firstLine="411" w:firstLineChars="196"/>
        <w:rPr>
          <w:rFonts w:hint="eastAsia" w:ascii="宋体" w:hAnsi="宋体"/>
        </w:rPr>
      </w:pPr>
      <w:r>
        <w:rPr>
          <w:rFonts w:hint="eastAsia" w:ascii="宋体" w:hAnsi="宋体"/>
        </w:rPr>
        <w:t>7</w:t>
      </w:r>
      <w:r>
        <w:rPr>
          <w:rFonts w:ascii="宋体" w:hAnsi="宋体"/>
        </w:rPr>
        <w:t>.</w:t>
      </w:r>
      <w:r>
        <w:rPr>
          <w:rFonts w:hint="eastAsia" w:ascii="宋体" w:hAnsi="宋体"/>
        </w:rPr>
        <w:t>3</w:t>
      </w:r>
      <w:r>
        <w:rPr>
          <w:rFonts w:ascii="宋体" w:hAnsi="宋体"/>
        </w:rPr>
        <w:t xml:space="preserve">  </w:t>
      </w:r>
      <w:r>
        <w:rPr>
          <w:rFonts w:hint="eastAsia" w:ascii="宋体" w:hAnsi="宋体"/>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14:paraId="24B5E15E">
      <w:pPr>
        <w:ind w:firstLine="411" w:firstLineChars="196"/>
        <w:rPr>
          <w:rFonts w:hint="eastAsia" w:ascii="宋体" w:hAnsi="宋体"/>
        </w:rPr>
      </w:pPr>
      <w:r>
        <w:rPr>
          <w:rFonts w:hint="eastAsia" w:ascii="宋体" w:hAnsi="宋体"/>
        </w:rPr>
        <w:t>7</w:t>
      </w:r>
      <w:r>
        <w:rPr>
          <w:rFonts w:ascii="宋体" w:hAnsi="宋体"/>
        </w:rPr>
        <w:t>.</w:t>
      </w:r>
      <w:r>
        <w:rPr>
          <w:rFonts w:hint="eastAsia" w:ascii="宋体" w:hAnsi="宋体"/>
        </w:rPr>
        <w:t>4</w:t>
      </w:r>
      <w:r>
        <w:rPr>
          <w:rFonts w:ascii="宋体" w:hAnsi="宋体"/>
        </w:rPr>
        <w:t xml:space="preserve">  </w:t>
      </w:r>
      <w:r>
        <w:rPr>
          <w:rFonts w:hint="eastAsia" w:ascii="宋体" w:hAnsi="宋体"/>
        </w:rPr>
        <w:t>投标人</w:t>
      </w:r>
      <w:bookmarkStart w:id="62" w:name="_Hlk72152753"/>
      <w:r>
        <w:rPr>
          <w:rFonts w:hint="eastAsia" w:ascii="宋体" w:hAnsi="宋体"/>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62"/>
    </w:p>
    <w:p w14:paraId="341E491F">
      <w:pPr>
        <w:ind w:firstLine="411" w:firstLineChars="196"/>
        <w:rPr>
          <w:rFonts w:hint="eastAsia" w:ascii="宋体" w:hAnsi="宋体"/>
        </w:rPr>
      </w:pPr>
      <w:r>
        <w:rPr>
          <w:rFonts w:hint="eastAsia" w:ascii="宋体" w:hAnsi="宋体"/>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1C238F85">
      <w:pPr>
        <w:ind w:firstLine="411" w:firstLineChars="196"/>
        <w:rPr>
          <w:rFonts w:hint="eastAsia" w:ascii="宋体" w:hAnsi="宋体"/>
        </w:rPr>
      </w:pPr>
      <w:r>
        <w:rPr>
          <w:rFonts w:hint="eastAsia" w:ascii="宋体" w:hAnsi="宋体"/>
        </w:rPr>
        <w:t>7.6  工期要求：投标人在投标时对其所投项目应提交交货进度、交货计划等，在合同规定的时间内完成项目实施工作。</w:t>
      </w:r>
    </w:p>
    <w:p w14:paraId="7C0E06D1">
      <w:pPr>
        <w:ind w:firstLine="411" w:firstLineChars="196"/>
        <w:rPr>
          <w:rFonts w:hint="eastAsia" w:ascii="宋体" w:hAnsi="宋体"/>
        </w:rPr>
      </w:pPr>
      <w:r>
        <w:rPr>
          <w:rFonts w:hint="eastAsia" w:ascii="宋体" w:hAnsi="宋体"/>
        </w:rPr>
        <w:t>7.7  投标人必须承担的设备运输、安装调试、验收检测和提供设备操作说明书、图纸等其他相关及类似的义务。</w:t>
      </w:r>
    </w:p>
    <w:p w14:paraId="7F859D97">
      <w:pPr>
        <w:rPr>
          <w:rFonts w:hint="eastAsia" w:ascii="黑体" w:hAnsi="宋体" w:eastAsia="黑体"/>
          <w:sz w:val="24"/>
        </w:rPr>
      </w:pPr>
      <w:r>
        <w:rPr>
          <w:rFonts w:hint="eastAsia" w:ascii="黑体" w:hAnsi="宋体" w:eastAsia="黑体"/>
          <w:sz w:val="24"/>
        </w:rPr>
        <w:t>8．投标费用</w:t>
      </w:r>
    </w:p>
    <w:p w14:paraId="3182E988">
      <w:pPr>
        <w:ind w:firstLine="411" w:firstLineChars="196"/>
        <w:rPr>
          <w:rFonts w:hint="eastAsia" w:ascii="宋体" w:hAnsi="宋体"/>
          <w:szCs w:val="21"/>
        </w:rPr>
      </w:pPr>
      <w:r>
        <w:rPr>
          <w:rFonts w:hint="eastAsia" w:ascii="宋体" w:hAnsi="宋体"/>
          <w:szCs w:val="21"/>
        </w:rPr>
        <w:t>不论投标结果如何，投标人应承担其编制投标文件与递交投标文件所涉及的一切费用。</w:t>
      </w:r>
    </w:p>
    <w:p w14:paraId="0511C2B4">
      <w:pPr>
        <w:rPr>
          <w:rFonts w:hint="eastAsia" w:ascii="黑体" w:hAnsi="宋体" w:eastAsia="黑体"/>
          <w:sz w:val="24"/>
        </w:rPr>
      </w:pPr>
      <w:r>
        <w:rPr>
          <w:rFonts w:hint="eastAsia" w:ascii="黑体" w:hAnsi="宋体" w:eastAsia="黑体"/>
          <w:sz w:val="24"/>
        </w:rPr>
        <w:t>9．踏勘现场</w:t>
      </w:r>
    </w:p>
    <w:p w14:paraId="4469F8C6">
      <w:pPr>
        <w:ind w:firstLine="411" w:firstLineChars="196"/>
        <w:rPr>
          <w:rFonts w:hint="eastAsia" w:ascii="宋体" w:hAnsi="宋体"/>
          <w:szCs w:val="21"/>
        </w:rPr>
      </w:pPr>
      <w:r>
        <w:rPr>
          <w:rFonts w:hint="eastAsia" w:ascii="宋体" w:hAnsi="宋体"/>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14:paraId="4440CCAF">
      <w:pPr>
        <w:ind w:firstLine="411" w:firstLineChars="196"/>
        <w:rPr>
          <w:rFonts w:hint="eastAsia" w:ascii="宋体" w:hAnsi="宋体"/>
        </w:rPr>
      </w:pPr>
      <w:r>
        <w:rPr>
          <w:rFonts w:hint="eastAsia" w:ascii="宋体" w:hAnsi="宋体"/>
        </w:rPr>
        <w:t>9.2投标人及其人员经过采购人的允许，可以进入采购人的项目现场踏勘。若招标文件要求投标人于统一时间地点踏勘现场的，投标人应当按时前往。</w:t>
      </w:r>
    </w:p>
    <w:p w14:paraId="5ADB92C9">
      <w:pPr>
        <w:ind w:firstLine="411" w:firstLineChars="196"/>
        <w:rPr>
          <w:rFonts w:hint="eastAsia" w:ascii="宋体" w:hAnsi="宋体"/>
        </w:rPr>
      </w:pPr>
      <w:r>
        <w:rPr>
          <w:rFonts w:hint="eastAsia" w:ascii="宋体" w:hAnsi="宋体"/>
        </w:rPr>
        <w:t>9.3采购人应当通过政府集中采购机构向投标人提供有关现场的书面资料和数据。</w:t>
      </w:r>
    </w:p>
    <w:p w14:paraId="50701EC5">
      <w:pPr>
        <w:ind w:firstLine="411" w:firstLineChars="196"/>
        <w:rPr>
          <w:rFonts w:hint="eastAsia" w:ascii="宋体" w:hAnsi="宋体"/>
        </w:rPr>
      </w:pPr>
      <w:r>
        <w:rPr>
          <w:rFonts w:hint="eastAsia" w:ascii="宋体" w:hAnsi="宋体"/>
        </w:rPr>
        <w:t>9.4任何人或任何组织在踏勘现场时向投标人提供的任何书面资料或口头承诺，未经政府集中采购机构在网上发布或书面通知，均作无效处理。</w:t>
      </w:r>
    </w:p>
    <w:p w14:paraId="3200358F">
      <w:pPr>
        <w:ind w:firstLine="411" w:firstLineChars="196"/>
        <w:rPr>
          <w:rFonts w:hint="eastAsia" w:ascii="宋体" w:hAnsi="宋体"/>
        </w:rPr>
      </w:pPr>
      <w:r>
        <w:rPr>
          <w:rFonts w:ascii="宋体" w:hAnsi="宋体"/>
          <w:szCs w:val="21"/>
        </w:rPr>
        <w:t>9</w:t>
      </w:r>
      <w:r>
        <w:rPr>
          <w:rFonts w:hint="eastAsia" w:ascii="宋体" w:hAnsi="宋体"/>
          <w:szCs w:val="21"/>
        </w:rPr>
        <w:t>.</w:t>
      </w:r>
      <w:r>
        <w:rPr>
          <w:rFonts w:ascii="宋体" w:hAnsi="宋体"/>
          <w:szCs w:val="21"/>
        </w:rPr>
        <w:t>5</w:t>
      </w:r>
      <w:r>
        <w:rPr>
          <w:rFonts w:hint="eastAsia" w:ascii="宋体" w:hAnsi="宋体"/>
          <w:szCs w:val="21"/>
        </w:rPr>
        <w:t>未参与踏勘现场不作为否定投标人资格的理由。</w:t>
      </w:r>
    </w:p>
    <w:p w14:paraId="1465FCB5">
      <w:pPr>
        <w:rPr>
          <w:rFonts w:hint="eastAsia" w:ascii="宋体" w:hAnsi="宋体"/>
          <w:szCs w:val="21"/>
        </w:rPr>
      </w:pPr>
      <w:r>
        <w:rPr>
          <w:rFonts w:hint="eastAsia" w:ascii="黑体" w:hAnsi="宋体" w:eastAsia="黑体"/>
          <w:sz w:val="24"/>
        </w:rPr>
        <w:t>1</w:t>
      </w:r>
      <w:r>
        <w:rPr>
          <w:rFonts w:ascii="黑体" w:hAnsi="宋体" w:eastAsia="黑体"/>
          <w:sz w:val="24"/>
        </w:rPr>
        <w:t>0</w:t>
      </w:r>
      <w:r>
        <w:rPr>
          <w:rFonts w:hint="eastAsia" w:ascii="黑体" w:hAnsi="宋体" w:eastAsia="黑体"/>
          <w:sz w:val="24"/>
        </w:rPr>
        <w:t>．标前会议</w:t>
      </w:r>
    </w:p>
    <w:p w14:paraId="4AD3A9BC">
      <w:pPr>
        <w:ind w:firstLine="411" w:firstLineChars="196"/>
        <w:rPr>
          <w:rFonts w:hint="eastAsia"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1</w:t>
      </w:r>
      <w:r>
        <w:rPr>
          <w:rFonts w:hint="eastAsia" w:ascii="宋体" w:hAnsi="宋体"/>
          <w:szCs w:val="21"/>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14:paraId="5DB6A362">
      <w:pPr>
        <w:ind w:firstLine="411" w:firstLineChars="196"/>
        <w:rPr>
          <w:rFonts w:hint="eastAsia" w:ascii="宋体" w:hAnsi="宋体"/>
          <w:szCs w:val="21"/>
        </w:rPr>
      </w:pPr>
      <w:r>
        <w:rPr>
          <w:rFonts w:ascii="宋体" w:hAnsi="宋体"/>
        </w:rPr>
        <w:t>10</w:t>
      </w:r>
      <w:r>
        <w:rPr>
          <w:rFonts w:hint="eastAsia" w:ascii="宋体" w:hAnsi="宋体"/>
        </w:rPr>
        <w:t>.</w:t>
      </w:r>
      <w:r>
        <w:rPr>
          <w:rFonts w:ascii="宋体" w:hAnsi="宋体"/>
        </w:rPr>
        <w:t>2</w:t>
      </w:r>
      <w:r>
        <w:rPr>
          <w:rFonts w:hint="eastAsia" w:ascii="宋体" w:hAnsi="宋体"/>
        </w:rPr>
        <w:t>任何人或任何组织在标前会议时向投标人提供的任何书面资料或口头承诺，未经政府集中采购机构在网上发布或书面通知，均作无效处理。</w:t>
      </w:r>
    </w:p>
    <w:p w14:paraId="13D05C75">
      <w:pPr>
        <w:ind w:firstLine="411" w:firstLineChars="196"/>
        <w:rPr>
          <w:rFonts w:hint="eastAsia"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3</w:t>
      </w:r>
      <w:r>
        <w:rPr>
          <w:rFonts w:hint="eastAsia" w:ascii="宋体" w:hAnsi="宋体"/>
          <w:szCs w:val="21"/>
        </w:rPr>
        <w:t>未参与标前会议不作为否定投标人资格的理由。</w:t>
      </w:r>
    </w:p>
    <w:bookmarkEnd w:id="61"/>
    <w:p w14:paraId="6855AD67">
      <w:pPr>
        <w:ind w:firstLine="411" w:firstLineChars="196"/>
        <w:rPr>
          <w:rFonts w:hint="eastAsia" w:ascii="宋体" w:hAnsi="宋体"/>
        </w:rPr>
      </w:pPr>
    </w:p>
    <w:p w14:paraId="60CD1CA0">
      <w:pPr>
        <w:pStyle w:val="3"/>
        <w:numPr>
          <w:ilvl w:val="0"/>
          <w:numId w:val="15"/>
        </w:numPr>
        <w:spacing w:before="156" w:beforeLines="50" w:after="156" w:afterLines="50"/>
        <w:ind w:left="562" w:hanging="562"/>
        <w:rPr>
          <w:sz w:val="28"/>
          <w:szCs w:val="28"/>
        </w:rPr>
      </w:pPr>
      <w:r>
        <w:rPr>
          <w:rFonts w:hint="eastAsia"/>
          <w:sz w:val="28"/>
          <w:szCs w:val="28"/>
        </w:rPr>
        <w:t>招标文件</w:t>
      </w:r>
    </w:p>
    <w:p w14:paraId="3EE1223D">
      <w:pPr>
        <w:rPr>
          <w:rFonts w:hint="eastAsia" w:ascii="黑体" w:hAnsi="宋体" w:eastAsia="黑体"/>
          <w:sz w:val="24"/>
        </w:rPr>
      </w:pPr>
      <w:r>
        <w:rPr>
          <w:rFonts w:hint="eastAsia" w:ascii="黑体" w:hAnsi="宋体" w:eastAsia="黑体"/>
          <w:sz w:val="24"/>
        </w:rPr>
        <w:t>1</w:t>
      </w:r>
      <w:r>
        <w:rPr>
          <w:rFonts w:ascii="黑体" w:hAnsi="宋体" w:eastAsia="黑体"/>
          <w:sz w:val="24"/>
        </w:rPr>
        <w:t>1</w:t>
      </w:r>
      <w:r>
        <w:rPr>
          <w:rFonts w:hint="eastAsia" w:ascii="黑体" w:hAnsi="宋体" w:eastAsia="黑体"/>
          <w:sz w:val="24"/>
        </w:rPr>
        <w:t>．</w:t>
      </w:r>
      <w:bookmarkStart w:id="63" w:name="_Hlk72399819"/>
      <w:r>
        <w:rPr>
          <w:rFonts w:hint="eastAsia" w:ascii="黑体" w:hAnsi="宋体" w:eastAsia="黑体"/>
          <w:sz w:val="24"/>
        </w:rPr>
        <w:t>招标文件的编制与组成</w:t>
      </w:r>
    </w:p>
    <w:p w14:paraId="5F550F78">
      <w:pPr>
        <w:snapToGrid w:val="0"/>
        <w:ind w:firstLine="420" w:firstLineChars="200"/>
        <w:rPr>
          <w:rFonts w:hint="eastAsia" w:ascii="宋体" w:hAnsi="宋体"/>
          <w:szCs w:val="21"/>
        </w:rPr>
      </w:pPr>
      <w:r>
        <w:rPr>
          <w:rFonts w:hint="eastAsia" w:ascii="宋体" w:hAnsi="宋体"/>
          <w:szCs w:val="21"/>
        </w:rPr>
        <w:t>1</w:t>
      </w:r>
      <w:r>
        <w:rPr>
          <w:rFonts w:ascii="宋体" w:hAnsi="宋体"/>
          <w:szCs w:val="21"/>
        </w:rPr>
        <w:t>1</w:t>
      </w:r>
      <w:r>
        <w:rPr>
          <w:rFonts w:hint="eastAsia" w:ascii="宋体" w:hAnsi="宋体"/>
          <w:szCs w:val="21"/>
        </w:rPr>
        <w:t>.1招标文件除以下内容外，政府集中采购机构在招标期间发出的澄清或修改等相关公告或通知内容，均是招标文件的组成部分，对投标人起约束作用；</w:t>
      </w:r>
    </w:p>
    <w:p w14:paraId="2F8353C0">
      <w:pPr>
        <w:ind w:firstLine="411" w:firstLineChars="196"/>
        <w:rPr>
          <w:rFonts w:hint="eastAsia" w:ascii="宋体" w:hAnsi="宋体"/>
          <w:szCs w:val="21"/>
        </w:rPr>
      </w:pPr>
      <w:r>
        <w:rPr>
          <w:rFonts w:hint="eastAsia" w:ascii="宋体" w:hAnsi="宋体"/>
          <w:szCs w:val="21"/>
        </w:rPr>
        <w:t>招标文件包括下列内容：</w:t>
      </w:r>
    </w:p>
    <w:p w14:paraId="6E45B2CC">
      <w:pPr>
        <w:ind w:left="420" w:leftChars="200" w:firstLine="413" w:firstLineChars="196"/>
        <w:rPr>
          <w:rFonts w:hint="eastAsia" w:ascii="宋体" w:hAnsi="宋体"/>
          <w:b/>
          <w:szCs w:val="21"/>
        </w:rPr>
      </w:pPr>
      <w:r>
        <w:rPr>
          <w:rFonts w:hint="eastAsia" w:ascii="宋体" w:hAnsi="宋体"/>
          <w:b/>
          <w:szCs w:val="21"/>
        </w:rPr>
        <w:t>第一册  专用条款</w:t>
      </w:r>
    </w:p>
    <w:p w14:paraId="46667EC2">
      <w:pPr>
        <w:ind w:left="1079" w:leftChars="514"/>
        <w:rPr>
          <w:rFonts w:hint="eastAsia" w:ascii="宋体" w:hAnsi="宋体"/>
          <w:b/>
          <w:szCs w:val="21"/>
        </w:rPr>
      </w:pPr>
      <w:r>
        <w:rPr>
          <w:rFonts w:hint="eastAsia" w:ascii="宋体" w:hAnsi="宋体"/>
          <w:b/>
          <w:szCs w:val="21"/>
        </w:rPr>
        <w:t>关键信息</w:t>
      </w:r>
    </w:p>
    <w:p w14:paraId="199E5E9A">
      <w:pPr>
        <w:ind w:left="630" w:leftChars="300" w:firstLine="411" w:firstLineChars="196"/>
        <w:rPr>
          <w:rFonts w:hint="eastAsia" w:ascii="宋体" w:hAnsi="宋体"/>
          <w:szCs w:val="21"/>
        </w:rPr>
      </w:pPr>
      <w:r>
        <w:rPr>
          <w:rFonts w:hint="eastAsia" w:ascii="宋体" w:hAnsi="宋体"/>
          <w:szCs w:val="21"/>
        </w:rPr>
        <w:t>第一章  招标公告</w:t>
      </w:r>
    </w:p>
    <w:p w14:paraId="0DEB8CC8">
      <w:pPr>
        <w:ind w:left="630" w:leftChars="300" w:firstLine="411" w:firstLineChars="196"/>
        <w:rPr>
          <w:rFonts w:hint="eastAsia" w:ascii="宋体" w:hAnsi="宋体"/>
          <w:szCs w:val="21"/>
        </w:rPr>
      </w:pPr>
      <w:r>
        <w:rPr>
          <w:rFonts w:hint="eastAsia" w:ascii="宋体" w:hAnsi="宋体"/>
          <w:szCs w:val="21"/>
        </w:rPr>
        <w:t>第二章  对通用条款的补充内容及其他关键信息</w:t>
      </w:r>
    </w:p>
    <w:p w14:paraId="05B374AC">
      <w:pPr>
        <w:ind w:left="630" w:leftChars="300" w:firstLine="411" w:firstLineChars="196"/>
        <w:rPr>
          <w:rFonts w:hint="eastAsia" w:ascii="宋体" w:hAnsi="宋体"/>
          <w:szCs w:val="21"/>
        </w:rPr>
      </w:pPr>
      <w:r>
        <w:rPr>
          <w:rFonts w:hint="eastAsia" w:ascii="宋体" w:hAnsi="宋体"/>
          <w:szCs w:val="21"/>
        </w:rPr>
        <w:t>第三章  用户需求书</w:t>
      </w:r>
    </w:p>
    <w:p w14:paraId="744BCE73">
      <w:pPr>
        <w:ind w:left="630" w:leftChars="300" w:firstLine="411" w:firstLineChars="196"/>
        <w:rPr>
          <w:rFonts w:hint="eastAsia" w:ascii="宋体" w:hAnsi="宋体"/>
          <w:szCs w:val="21"/>
        </w:rPr>
      </w:pPr>
      <w:r>
        <w:rPr>
          <w:rFonts w:hint="eastAsia"/>
        </w:rPr>
        <w:t xml:space="preserve">第四章 </w:t>
      </w:r>
      <w:r>
        <w:t xml:space="preserve"> </w:t>
      </w:r>
      <w:r>
        <w:rPr>
          <w:rFonts w:hint="eastAsia"/>
        </w:rPr>
        <w:t>投标文件格式及附件</w:t>
      </w:r>
    </w:p>
    <w:p w14:paraId="630845EF">
      <w:pPr>
        <w:ind w:left="630" w:leftChars="300" w:firstLine="411" w:firstLineChars="196"/>
        <w:rPr>
          <w:rFonts w:hint="eastAsia" w:ascii="宋体" w:hAnsi="宋体"/>
          <w:szCs w:val="21"/>
        </w:rPr>
      </w:pPr>
      <w:r>
        <w:rPr>
          <w:rFonts w:hint="eastAsia" w:ascii="宋体" w:hAnsi="宋体"/>
          <w:szCs w:val="21"/>
        </w:rPr>
        <w:t>第五章  合同条款及格式</w:t>
      </w:r>
    </w:p>
    <w:p w14:paraId="44037DF0">
      <w:pPr>
        <w:ind w:left="420" w:leftChars="200" w:firstLine="413" w:firstLineChars="196"/>
        <w:rPr>
          <w:rFonts w:hint="eastAsia" w:ascii="宋体" w:hAnsi="宋体"/>
          <w:b/>
          <w:szCs w:val="21"/>
        </w:rPr>
      </w:pPr>
      <w:r>
        <w:rPr>
          <w:rFonts w:hint="eastAsia" w:ascii="宋体" w:hAnsi="宋体"/>
          <w:b/>
          <w:szCs w:val="21"/>
        </w:rPr>
        <w:t>第二册  通用条款</w:t>
      </w:r>
    </w:p>
    <w:p w14:paraId="5C21A0CD">
      <w:pPr>
        <w:ind w:left="630" w:leftChars="300" w:firstLine="411" w:firstLineChars="196"/>
        <w:rPr>
          <w:rFonts w:hint="eastAsia" w:ascii="宋体" w:hAnsi="宋体"/>
          <w:szCs w:val="21"/>
        </w:rPr>
      </w:pPr>
      <w:r>
        <w:rPr>
          <w:rFonts w:hint="eastAsia" w:ascii="宋体" w:hAnsi="宋体"/>
          <w:szCs w:val="21"/>
        </w:rPr>
        <w:t>第一章  总则</w:t>
      </w:r>
    </w:p>
    <w:p w14:paraId="51AE75E0">
      <w:pPr>
        <w:ind w:left="630" w:leftChars="300" w:firstLine="411" w:firstLineChars="196"/>
        <w:rPr>
          <w:rFonts w:hint="eastAsia" w:ascii="宋体" w:hAnsi="宋体"/>
          <w:szCs w:val="21"/>
        </w:rPr>
      </w:pPr>
      <w:r>
        <w:rPr>
          <w:rFonts w:hint="eastAsia" w:ascii="宋体" w:hAnsi="宋体"/>
          <w:szCs w:val="21"/>
        </w:rPr>
        <w:t>第二章  招标文件</w:t>
      </w:r>
    </w:p>
    <w:p w14:paraId="5CF54A6E">
      <w:pPr>
        <w:ind w:left="630" w:leftChars="300" w:firstLine="411" w:firstLineChars="196"/>
        <w:rPr>
          <w:rFonts w:hint="eastAsia" w:ascii="宋体" w:hAnsi="宋体"/>
          <w:szCs w:val="21"/>
        </w:rPr>
      </w:pPr>
      <w:r>
        <w:rPr>
          <w:rFonts w:hint="eastAsia" w:ascii="宋体" w:hAnsi="宋体"/>
          <w:szCs w:val="21"/>
        </w:rPr>
        <w:t>第三章  投标文件的编制</w:t>
      </w:r>
    </w:p>
    <w:p w14:paraId="0B2DB511">
      <w:pPr>
        <w:ind w:left="630" w:leftChars="300" w:firstLine="411" w:firstLineChars="196"/>
        <w:rPr>
          <w:rFonts w:hint="eastAsia" w:ascii="宋体" w:hAnsi="宋体"/>
          <w:szCs w:val="21"/>
        </w:rPr>
      </w:pPr>
      <w:r>
        <w:rPr>
          <w:rFonts w:hint="eastAsia" w:ascii="宋体" w:hAnsi="宋体"/>
          <w:szCs w:val="21"/>
        </w:rPr>
        <w:t>第四章  投标文件的递交</w:t>
      </w:r>
    </w:p>
    <w:p w14:paraId="2441E125">
      <w:pPr>
        <w:ind w:left="630" w:leftChars="300" w:firstLine="411" w:firstLineChars="196"/>
        <w:rPr>
          <w:rFonts w:hint="eastAsia" w:ascii="宋体" w:hAnsi="宋体"/>
          <w:szCs w:val="21"/>
        </w:rPr>
      </w:pPr>
      <w:r>
        <w:rPr>
          <w:rFonts w:hint="eastAsia" w:ascii="宋体" w:hAnsi="宋体"/>
          <w:szCs w:val="21"/>
        </w:rPr>
        <w:t>第五章  开标</w:t>
      </w:r>
    </w:p>
    <w:p w14:paraId="0BE8CA41">
      <w:pPr>
        <w:ind w:left="630" w:leftChars="300" w:firstLine="411" w:firstLineChars="196"/>
        <w:rPr>
          <w:rFonts w:hint="eastAsia" w:ascii="宋体" w:hAnsi="宋体"/>
          <w:szCs w:val="21"/>
        </w:rPr>
      </w:pPr>
      <w:r>
        <w:rPr>
          <w:rFonts w:hint="eastAsia" w:ascii="宋体" w:hAnsi="宋体"/>
          <w:szCs w:val="21"/>
        </w:rPr>
        <w:t>第六章  评审要求</w:t>
      </w:r>
    </w:p>
    <w:p w14:paraId="53E48336">
      <w:pPr>
        <w:ind w:left="630" w:leftChars="300" w:firstLine="411" w:firstLineChars="196"/>
        <w:rPr>
          <w:rFonts w:hint="eastAsia" w:ascii="宋体" w:hAnsi="宋体"/>
          <w:szCs w:val="21"/>
        </w:rPr>
      </w:pPr>
      <w:r>
        <w:rPr>
          <w:rFonts w:hint="eastAsia" w:ascii="宋体" w:hAnsi="宋体"/>
          <w:szCs w:val="21"/>
        </w:rPr>
        <w:t>第七章  评审程序及评审方法</w:t>
      </w:r>
    </w:p>
    <w:p w14:paraId="7F351AA1">
      <w:pPr>
        <w:ind w:left="630" w:leftChars="300" w:firstLine="411" w:firstLineChars="196"/>
        <w:rPr>
          <w:rFonts w:hint="eastAsia" w:ascii="宋体" w:hAnsi="宋体"/>
          <w:szCs w:val="21"/>
        </w:rPr>
      </w:pPr>
      <w:r>
        <w:rPr>
          <w:rFonts w:hint="eastAsia" w:ascii="宋体" w:hAnsi="宋体"/>
          <w:szCs w:val="21"/>
        </w:rPr>
        <w:t>第八章  定标及公示</w:t>
      </w:r>
    </w:p>
    <w:p w14:paraId="2C3478B3">
      <w:pPr>
        <w:ind w:left="630" w:leftChars="300" w:firstLine="411" w:firstLineChars="196"/>
        <w:rPr>
          <w:rFonts w:hint="eastAsia" w:ascii="宋体" w:hAnsi="宋体"/>
          <w:szCs w:val="21"/>
        </w:rPr>
      </w:pPr>
      <w:r>
        <w:rPr>
          <w:rFonts w:hint="eastAsia" w:ascii="宋体" w:hAnsi="宋体"/>
          <w:szCs w:val="21"/>
        </w:rPr>
        <w:t>第九章  公开招标失败的后续处理</w:t>
      </w:r>
    </w:p>
    <w:p w14:paraId="77C339E1">
      <w:pPr>
        <w:ind w:left="630" w:leftChars="300" w:firstLine="411" w:firstLineChars="196"/>
        <w:rPr>
          <w:rFonts w:hint="eastAsia" w:ascii="宋体" w:hAnsi="宋体"/>
          <w:szCs w:val="21"/>
        </w:rPr>
      </w:pPr>
      <w:r>
        <w:rPr>
          <w:rFonts w:hint="eastAsia" w:ascii="宋体" w:hAnsi="宋体"/>
          <w:szCs w:val="21"/>
        </w:rPr>
        <w:t>第十章  合同的授予与备案</w:t>
      </w:r>
    </w:p>
    <w:p w14:paraId="761A3E29">
      <w:pPr>
        <w:ind w:left="630" w:leftChars="300" w:firstLine="411" w:firstLineChars="196"/>
        <w:rPr>
          <w:rFonts w:hint="eastAsia" w:ascii="宋体" w:hAnsi="宋体"/>
          <w:szCs w:val="21"/>
        </w:rPr>
      </w:pPr>
      <w:r>
        <w:rPr>
          <w:rFonts w:hint="eastAsia" w:ascii="宋体" w:hAnsi="宋体"/>
          <w:szCs w:val="21"/>
        </w:rPr>
        <w:t>第十一章  质疑处理</w:t>
      </w:r>
    </w:p>
    <w:p w14:paraId="25B339CE">
      <w:pPr>
        <w:ind w:firstLine="411" w:firstLineChars="196"/>
        <w:rPr>
          <w:rFonts w:hint="eastAsia" w:ascii="宋体" w:hAnsi="宋体"/>
          <w:szCs w:val="21"/>
        </w:rPr>
      </w:pPr>
      <w:r>
        <w:rPr>
          <w:rFonts w:hint="eastAsia" w:ascii="宋体" w:hAnsi="宋体"/>
          <w:szCs w:val="21"/>
        </w:rPr>
        <w:t>1</w:t>
      </w:r>
      <w:r>
        <w:rPr>
          <w:rFonts w:ascii="宋体" w:hAnsi="宋体"/>
          <w:szCs w:val="21"/>
        </w:rPr>
        <w:t>1</w:t>
      </w:r>
      <w:r>
        <w:rPr>
          <w:rFonts w:hint="eastAsia" w:ascii="宋体" w:hAnsi="宋体"/>
          <w:szCs w:val="21"/>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14:paraId="376515CE">
      <w:pPr>
        <w:ind w:firstLine="411" w:firstLineChars="196"/>
        <w:rPr>
          <w:rFonts w:hint="eastAsia" w:ascii="宋体" w:hAnsi="宋体"/>
          <w:szCs w:val="21"/>
        </w:rPr>
      </w:pPr>
      <w:r>
        <w:rPr>
          <w:rFonts w:hint="eastAsia" w:ascii="宋体" w:hAnsi="宋体"/>
          <w:szCs w:val="21"/>
        </w:rPr>
        <w:t>1</w:t>
      </w:r>
      <w:r>
        <w:rPr>
          <w:rFonts w:ascii="宋体" w:hAnsi="宋体"/>
          <w:szCs w:val="21"/>
        </w:rPr>
        <w:t>1</w:t>
      </w:r>
      <w:r>
        <w:rPr>
          <w:rFonts w:hint="eastAsia" w:ascii="宋体" w:hAnsi="宋体"/>
          <w:szCs w:val="21"/>
        </w:rPr>
        <w:t>.3</w:t>
      </w:r>
      <w:r>
        <w:rPr>
          <w:rFonts w:hint="eastAsia" w:ascii="宋体" w:hAnsi="宋体"/>
        </w:rPr>
        <w:t>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14:paraId="2EE64AE9">
      <w:pPr>
        <w:rPr>
          <w:rFonts w:hint="eastAsia" w:ascii="黑体" w:hAnsi="宋体" w:eastAsia="黑体"/>
          <w:sz w:val="24"/>
        </w:rPr>
      </w:pPr>
      <w:r>
        <w:rPr>
          <w:rFonts w:hint="eastAsia" w:ascii="黑体" w:hAnsi="宋体" w:eastAsia="黑体"/>
          <w:sz w:val="24"/>
        </w:rPr>
        <w:t>1</w:t>
      </w:r>
      <w:r>
        <w:rPr>
          <w:rFonts w:ascii="黑体" w:hAnsi="宋体" w:eastAsia="黑体"/>
          <w:sz w:val="24"/>
        </w:rPr>
        <w:t>2</w:t>
      </w:r>
      <w:r>
        <w:rPr>
          <w:rFonts w:hint="eastAsia" w:ascii="黑体" w:hAnsi="宋体" w:eastAsia="黑体"/>
          <w:sz w:val="24"/>
        </w:rPr>
        <w:t>．招标文件的澄清</w:t>
      </w:r>
    </w:p>
    <w:p w14:paraId="218136B7">
      <w:pPr>
        <w:ind w:firstLine="411" w:firstLineChars="196"/>
        <w:rPr>
          <w:rFonts w:hint="eastAsia" w:ascii="宋体" w:hAnsi="宋体"/>
          <w:szCs w:val="21"/>
        </w:rPr>
      </w:pPr>
      <w:r>
        <w:rPr>
          <w:rFonts w:hint="eastAsia" w:ascii="宋体" w:hAnsi="宋体"/>
          <w:szCs w:val="21"/>
        </w:rPr>
        <w:t>1</w:t>
      </w:r>
      <w:r>
        <w:rPr>
          <w:rFonts w:ascii="宋体" w:hAnsi="宋体"/>
          <w:szCs w:val="21"/>
        </w:rPr>
        <w:t>2</w:t>
      </w:r>
      <w:r>
        <w:rPr>
          <w:rFonts w:hint="eastAsia" w:ascii="宋体" w:hAnsi="宋体"/>
          <w:szCs w:val="21"/>
        </w:rPr>
        <w:t>.1招标文件澄清的目的是澄清、解答投标人在查阅招标文件后或现场踏勘中可能提出的与投标有关的疑问或询问。</w:t>
      </w:r>
    </w:p>
    <w:p w14:paraId="472A54AE">
      <w:pPr>
        <w:ind w:firstLine="411" w:firstLineChars="196"/>
        <w:rPr>
          <w:rFonts w:hint="eastAsia" w:ascii="宋体" w:hAnsi="宋体"/>
          <w:szCs w:val="21"/>
        </w:rPr>
      </w:pPr>
      <w:r>
        <w:rPr>
          <w:rFonts w:hint="eastAsia" w:ascii="宋体" w:hAnsi="宋体"/>
          <w:szCs w:val="21"/>
        </w:rPr>
        <w:t>1</w:t>
      </w:r>
      <w:r>
        <w:rPr>
          <w:rFonts w:ascii="宋体" w:hAnsi="宋体"/>
          <w:szCs w:val="21"/>
        </w:rPr>
        <w:t>2</w:t>
      </w:r>
      <w:r>
        <w:rPr>
          <w:rFonts w:hint="eastAsia" w:ascii="宋体" w:hAnsi="宋体"/>
          <w:szCs w:val="21"/>
        </w:rPr>
        <w:t>.2投标人如对招标文件内容有疑问，应当在招标公告规定的澄清（提问）截止时间前以网上提问的形式通过网上政府采购系统提交政府集中采购机构。</w:t>
      </w:r>
    </w:p>
    <w:p w14:paraId="6591DBE7">
      <w:pPr>
        <w:ind w:firstLine="411" w:firstLineChars="196"/>
        <w:rPr>
          <w:rFonts w:hint="eastAsia" w:ascii="宋体" w:hAnsi="宋体"/>
          <w:szCs w:val="21"/>
        </w:rPr>
      </w:pPr>
      <w:r>
        <w:rPr>
          <w:rFonts w:hint="eastAsia" w:ascii="宋体" w:hAnsi="宋体"/>
          <w:szCs w:val="21"/>
        </w:rPr>
        <w:t>1</w:t>
      </w:r>
      <w:r>
        <w:rPr>
          <w:rFonts w:ascii="宋体" w:hAnsi="宋体"/>
          <w:szCs w:val="21"/>
        </w:rPr>
        <w:t>2</w:t>
      </w:r>
      <w:r>
        <w:rPr>
          <w:rFonts w:hint="eastAsia" w:ascii="宋体" w:hAnsi="宋体"/>
          <w:szCs w:val="21"/>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szCs w:val="21"/>
        </w:rPr>
        <w:t>3.3</w:t>
      </w:r>
      <w:r>
        <w:rPr>
          <w:rFonts w:hint="eastAsia" w:ascii="宋体" w:hAnsi="宋体"/>
          <w:szCs w:val="21"/>
        </w:rPr>
        <w:t>、1</w:t>
      </w:r>
      <w:r>
        <w:rPr>
          <w:rFonts w:ascii="宋体" w:hAnsi="宋体"/>
          <w:szCs w:val="21"/>
        </w:rPr>
        <w:t>3.4</w:t>
      </w:r>
      <w:r>
        <w:rPr>
          <w:rFonts w:hint="eastAsia" w:ascii="宋体" w:hAnsi="宋体"/>
          <w:szCs w:val="21"/>
        </w:rPr>
        <w:t>款规定执行。</w:t>
      </w:r>
    </w:p>
    <w:p w14:paraId="06727CDA">
      <w:pPr>
        <w:rPr>
          <w:rFonts w:hint="eastAsia" w:ascii="黑体" w:hAnsi="宋体" w:eastAsia="黑体"/>
          <w:sz w:val="24"/>
        </w:rPr>
      </w:pPr>
      <w:r>
        <w:rPr>
          <w:rFonts w:ascii="黑体" w:hAnsi="宋体" w:eastAsia="黑体"/>
          <w:sz w:val="24"/>
        </w:rPr>
        <w:t>1</w:t>
      </w:r>
      <w:r>
        <w:rPr>
          <w:rFonts w:hint="eastAsia" w:ascii="黑体" w:hAnsi="宋体" w:eastAsia="黑体"/>
          <w:sz w:val="24"/>
        </w:rPr>
        <w:t>3．招标文件的修改</w:t>
      </w:r>
    </w:p>
    <w:p w14:paraId="32A4B03A">
      <w:pPr>
        <w:ind w:firstLine="411" w:firstLineChars="196"/>
        <w:rPr>
          <w:rFonts w:hint="eastAsia" w:ascii="宋体" w:hAnsi="宋体"/>
          <w:szCs w:val="21"/>
        </w:rPr>
      </w:pPr>
      <w:r>
        <w:rPr>
          <w:rFonts w:ascii="宋体" w:hAnsi="宋体"/>
          <w:szCs w:val="21"/>
        </w:rPr>
        <w:t>1</w:t>
      </w:r>
      <w:r>
        <w:rPr>
          <w:rFonts w:hint="eastAsia" w:ascii="宋体" w:hAnsi="宋体"/>
          <w:szCs w:val="21"/>
        </w:rPr>
        <w:t>3.1招标文件发出后，在投标截止日期前任何时候，确需要变更招标文件内容的，政府集中采购机构可主动或在解答投标人提出的澄清问题时对招标文件进行修改。</w:t>
      </w:r>
    </w:p>
    <w:p w14:paraId="36E56E88">
      <w:pPr>
        <w:ind w:firstLine="411" w:firstLineChars="196"/>
        <w:rPr>
          <w:rFonts w:hint="eastAsia" w:ascii="宋体" w:hAnsi="宋体"/>
          <w:szCs w:val="21"/>
        </w:rPr>
      </w:pPr>
      <w:r>
        <w:rPr>
          <w:rFonts w:ascii="宋体" w:hAnsi="宋体"/>
          <w:szCs w:val="21"/>
        </w:rPr>
        <w:t>1</w:t>
      </w:r>
      <w:r>
        <w:rPr>
          <w:rFonts w:hint="eastAsia" w:ascii="宋体" w:hAnsi="宋体"/>
          <w:szCs w:val="21"/>
        </w:rPr>
        <w:t>3.2招标文件的修改以书面形式（包括政府集中采购机构网站发布方式，如更正公告等）发送给所有投标人，招标文件的修改内容作为招标文件的组成部分，并具有约束力。</w:t>
      </w:r>
    </w:p>
    <w:p w14:paraId="6E525F2A">
      <w:pPr>
        <w:ind w:firstLine="411" w:firstLineChars="196"/>
        <w:rPr>
          <w:rFonts w:hint="eastAsia" w:ascii="宋体" w:hAnsi="宋体"/>
          <w:szCs w:val="21"/>
        </w:rPr>
      </w:pPr>
      <w:r>
        <w:rPr>
          <w:rFonts w:ascii="宋体" w:hAnsi="宋体"/>
          <w:szCs w:val="21"/>
        </w:rPr>
        <w:t>1</w:t>
      </w:r>
      <w:r>
        <w:rPr>
          <w:rFonts w:hint="eastAsia" w:ascii="宋体" w:hAnsi="宋体"/>
          <w:szCs w:val="21"/>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14:paraId="5A663097">
      <w:pPr>
        <w:ind w:firstLine="411" w:firstLineChars="196"/>
        <w:rPr>
          <w:rFonts w:hint="eastAsia" w:ascii="宋体" w:hAnsi="宋体"/>
          <w:szCs w:val="21"/>
        </w:rPr>
      </w:pPr>
      <w:r>
        <w:rPr>
          <w:rFonts w:ascii="宋体" w:hAnsi="宋体"/>
          <w:szCs w:val="21"/>
        </w:rPr>
        <w:t>1</w:t>
      </w:r>
      <w:r>
        <w:rPr>
          <w:rFonts w:hint="eastAsia" w:ascii="宋体" w:hAnsi="宋体"/>
          <w:szCs w:val="21"/>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63"/>
    </w:p>
    <w:p w14:paraId="4ECB551B">
      <w:pPr>
        <w:rPr>
          <w:rFonts w:hint="eastAsia" w:ascii="宋体" w:hAnsi="宋体"/>
          <w:szCs w:val="21"/>
        </w:rPr>
      </w:pPr>
    </w:p>
    <w:p w14:paraId="16C11958">
      <w:pPr>
        <w:pStyle w:val="3"/>
        <w:numPr>
          <w:ilvl w:val="0"/>
          <w:numId w:val="15"/>
        </w:numPr>
        <w:spacing w:before="156" w:beforeLines="50" w:after="156" w:afterLines="50"/>
        <w:ind w:left="562" w:hanging="562"/>
        <w:rPr>
          <w:sz w:val="28"/>
          <w:szCs w:val="28"/>
        </w:rPr>
      </w:pPr>
      <w:r>
        <w:rPr>
          <w:rFonts w:hint="eastAsia"/>
          <w:sz w:val="28"/>
          <w:szCs w:val="28"/>
        </w:rPr>
        <w:t>投标文件的编制</w:t>
      </w:r>
    </w:p>
    <w:p w14:paraId="06148BEB">
      <w:pPr>
        <w:rPr>
          <w:rFonts w:hint="eastAsia" w:ascii="黑体" w:hAnsi="宋体" w:eastAsia="黑体"/>
          <w:sz w:val="24"/>
        </w:rPr>
      </w:pPr>
      <w:r>
        <w:rPr>
          <w:rFonts w:hint="eastAsia" w:ascii="黑体" w:hAnsi="宋体" w:eastAsia="黑体"/>
          <w:sz w:val="24"/>
        </w:rPr>
        <w:t>14．</w:t>
      </w:r>
      <w:bookmarkStart w:id="64" w:name="_Hlk72400236"/>
      <w:r>
        <w:rPr>
          <w:rFonts w:hint="eastAsia" w:ascii="黑体" w:hAnsi="宋体" w:eastAsia="黑体"/>
          <w:sz w:val="24"/>
        </w:rPr>
        <w:t>投标文件的语言及度量单位</w:t>
      </w:r>
    </w:p>
    <w:p w14:paraId="78FD0B44">
      <w:pPr>
        <w:ind w:firstLine="411" w:firstLineChars="196"/>
        <w:rPr>
          <w:rFonts w:hint="eastAsia" w:ascii="宋体" w:hAnsi="宋体"/>
          <w:szCs w:val="21"/>
        </w:rPr>
      </w:pPr>
      <w:r>
        <w:rPr>
          <w:rFonts w:hint="eastAsia" w:ascii="宋体" w:hAnsi="宋体"/>
          <w:szCs w:val="21"/>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14:paraId="4FC0F9C9">
      <w:pPr>
        <w:ind w:firstLine="411" w:firstLineChars="196"/>
        <w:rPr>
          <w:rFonts w:hint="eastAsia" w:ascii="宋体" w:hAnsi="宋体"/>
          <w:szCs w:val="21"/>
        </w:rPr>
      </w:pPr>
      <w:r>
        <w:rPr>
          <w:rFonts w:hint="eastAsia" w:ascii="宋体" w:hAnsi="宋体"/>
          <w:szCs w:val="21"/>
        </w:rPr>
        <w:t>14.2 除技术规范另有规定外，投标文件使用的度量单位，均采用中华人民共和国法定计量单位。</w:t>
      </w:r>
    </w:p>
    <w:bookmarkEnd w:id="64"/>
    <w:p w14:paraId="6E394B22">
      <w:pPr>
        <w:rPr>
          <w:rFonts w:hint="eastAsia" w:ascii="黑体" w:hAnsi="宋体" w:eastAsia="黑体"/>
          <w:sz w:val="24"/>
        </w:rPr>
      </w:pPr>
      <w:r>
        <w:rPr>
          <w:rFonts w:hint="eastAsia" w:ascii="黑体" w:hAnsi="宋体" w:eastAsia="黑体"/>
          <w:sz w:val="24"/>
        </w:rPr>
        <w:t>15．</w:t>
      </w:r>
      <w:bookmarkStart w:id="65" w:name="_Hlk72401567"/>
      <w:r>
        <w:rPr>
          <w:rFonts w:hint="eastAsia" w:ascii="黑体" w:hAnsi="宋体" w:eastAsia="黑体"/>
          <w:sz w:val="24"/>
        </w:rPr>
        <w:t>投标文件的组成</w:t>
      </w:r>
    </w:p>
    <w:p w14:paraId="277122D6">
      <w:pPr>
        <w:ind w:firstLine="411" w:firstLineChars="196"/>
        <w:rPr>
          <w:rFonts w:hint="eastAsia" w:ascii="宋体" w:hAnsi="宋体"/>
          <w:szCs w:val="21"/>
        </w:rPr>
      </w:pPr>
      <w:r>
        <w:rPr>
          <w:rFonts w:hint="eastAsia" w:ascii="宋体" w:hAnsi="宋体"/>
          <w:szCs w:val="21"/>
        </w:rPr>
        <w:t>具体内容在招标文件专用条款中进行规定。</w:t>
      </w:r>
    </w:p>
    <w:p w14:paraId="18F81F2C">
      <w:pPr>
        <w:rPr>
          <w:rFonts w:hint="eastAsia" w:ascii="黑体" w:hAnsi="宋体" w:eastAsia="黑体"/>
          <w:sz w:val="24"/>
        </w:rPr>
      </w:pPr>
      <w:r>
        <w:rPr>
          <w:rFonts w:ascii="黑体" w:hAnsi="宋体" w:eastAsia="黑体"/>
          <w:sz w:val="24"/>
        </w:rPr>
        <w:t>16．投标文件格式</w:t>
      </w:r>
    </w:p>
    <w:p w14:paraId="335A5B54">
      <w:pPr>
        <w:ind w:firstLine="411" w:firstLineChars="196"/>
        <w:rPr>
          <w:rFonts w:hint="eastAsia" w:ascii="宋体" w:hAnsi="宋体"/>
          <w:szCs w:val="21"/>
        </w:rPr>
      </w:pPr>
      <w:r>
        <w:rPr>
          <w:rFonts w:hint="eastAsia" w:ascii="宋体" w:hAnsi="宋体"/>
          <w:szCs w:val="21"/>
        </w:rPr>
        <w:t>投标文件包括本通用条款第</w:t>
      </w:r>
      <w:r>
        <w:rPr>
          <w:rFonts w:ascii="宋体" w:hAnsi="宋体"/>
          <w:szCs w:val="21"/>
        </w:rPr>
        <w:t>15条中规定的内容。如招标文件提供了投标文件格式，则</w:t>
      </w:r>
      <w:r>
        <w:rPr>
          <w:rFonts w:hint="eastAsia" w:ascii="宋体" w:hAnsi="宋体"/>
          <w:b/>
          <w:bCs/>
          <w:szCs w:val="21"/>
        </w:rPr>
        <w:t>投标人提交的投标文件应毫无例外地使用招标文件所提供的相应格式</w:t>
      </w:r>
      <w:r>
        <w:rPr>
          <w:rFonts w:hint="eastAsia" w:ascii="宋体" w:hAnsi="宋体"/>
          <w:szCs w:val="21"/>
        </w:rPr>
        <w:t>（表格均可按同样格式扩展）。</w:t>
      </w:r>
    </w:p>
    <w:p w14:paraId="247C786C">
      <w:pPr>
        <w:rPr>
          <w:rFonts w:hint="eastAsia" w:ascii="黑体" w:hAnsi="宋体" w:eastAsia="黑体"/>
          <w:sz w:val="24"/>
        </w:rPr>
      </w:pPr>
      <w:r>
        <w:rPr>
          <w:rFonts w:hint="eastAsia" w:ascii="黑体" w:hAnsi="宋体" w:eastAsia="黑体"/>
          <w:sz w:val="24"/>
        </w:rPr>
        <w:t>17．投标货币</w:t>
      </w:r>
    </w:p>
    <w:p w14:paraId="23914516">
      <w:pPr>
        <w:ind w:firstLine="411" w:firstLineChars="196"/>
        <w:rPr>
          <w:rFonts w:hint="eastAsia" w:ascii="宋体" w:hAnsi="宋体"/>
          <w:szCs w:val="21"/>
        </w:rPr>
      </w:pPr>
      <w:r>
        <w:rPr>
          <w:rFonts w:hint="eastAsia" w:ascii="宋体" w:hAnsi="宋体"/>
          <w:szCs w:val="21"/>
        </w:rPr>
        <w:t>本项目的投标报价应以人民币计。</w:t>
      </w:r>
    </w:p>
    <w:bookmarkEnd w:id="65"/>
    <w:p w14:paraId="09837412">
      <w:pPr>
        <w:rPr>
          <w:rFonts w:hint="eastAsia" w:ascii="黑体" w:hAnsi="宋体" w:eastAsia="黑体"/>
          <w:sz w:val="24"/>
        </w:rPr>
      </w:pPr>
      <w:r>
        <w:rPr>
          <w:rFonts w:hint="eastAsia" w:ascii="黑体" w:hAnsi="宋体" w:eastAsia="黑体"/>
          <w:sz w:val="24"/>
        </w:rPr>
        <w:t>18．</w:t>
      </w:r>
      <w:bookmarkStart w:id="66" w:name="_Hlk72401735"/>
      <w:r>
        <w:rPr>
          <w:rFonts w:hint="eastAsia" w:ascii="黑体" w:hAnsi="宋体" w:eastAsia="黑体"/>
          <w:sz w:val="24"/>
        </w:rPr>
        <w:t>证明投标文件投标技术方案的合格性和符合招标文件规定的文件要求</w:t>
      </w:r>
    </w:p>
    <w:p w14:paraId="4FCD864E">
      <w:pPr>
        <w:ind w:firstLine="411" w:firstLineChars="196"/>
        <w:rPr>
          <w:rFonts w:hint="eastAsia" w:ascii="宋体" w:hAnsi="宋体"/>
          <w:szCs w:val="21"/>
        </w:rPr>
      </w:pPr>
      <w:r>
        <w:rPr>
          <w:rFonts w:hint="eastAsia" w:ascii="宋体" w:hAnsi="宋体"/>
          <w:szCs w:val="21"/>
        </w:rPr>
        <w:t>18</w:t>
      </w:r>
      <w:r>
        <w:rPr>
          <w:rFonts w:ascii="宋体" w:hAnsi="宋体"/>
          <w:szCs w:val="21"/>
        </w:rPr>
        <w:t xml:space="preserve">.1 </w:t>
      </w:r>
      <w:r>
        <w:rPr>
          <w:rFonts w:hint="eastAsia" w:ascii="宋体" w:hAnsi="宋体"/>
          <w:szCs w:val="21"/>
        </w:rPr>
        <w:t>投标人应提交证明文件，证明其投标技术方案项下的货物和服务的合格性符合招标文件规定。该投标技术方案及其证明文件均作为投标文件组成部分。</w:t>
      </w:r>
    </w:p>
    <w:p w14:paraId="3DDD1732">
      <w:pPr>
        <w:ind w:firstLine="411" w:firstLineChars="196"/>
        <w:rPr>
          <w:rFonts w:hint="eastAsia" w:ascii="宋体" w:hAnsi="宋体"/>
          <w:szCs w:val="21"/>
        </w:rPr>
      </w:pPr>
      <w:r>
        <w:rPr>
          <w:rFonts w:ascii="宋体" w:hAnsi="宋体"/>
          <w:szCs w:val="21"/>
        </w:rPr>
        <w:t>1</w:t>
      </w:r>
      <w:r>
        <w:rPr>
          <w:rFonts w:hint="eastAsia" w:ascii="宋体" w:hAnsi="宋体"/>
          <w:szCs w:val="21"/>
        </w:rPr>
        <w:t>8</w:t>
      </w:r>
      <w:r>
        <w:rPr>
          <w:rFonts w:ascii="宋体" w:hAnsi="宋体"/>
          <w:szCs w:val="21"/>
        </w:rPr>
        <w:t xml:space="preserve">.2 </w:t>
      </w:r>
      <w:r>
        <w:rPr>
          <w:rFonts w:hint="eastAsia" w:ascii="宋体" w:hAnsi="宋体"/>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14:paraId="3B5E62D5">
      <w:pPr>
        <w:ind w:firstLine="411" w:firstLineChars="196"/>
        <w:rPr>
          <w:rFonts w:hint="eastAsia" w:ascii="宋体" w:hAnsi="宋体"/>
          <w:szCs w:val="21"/>
        </w:rPr>
      </w:pPr>
      <w:r>
        <w:rPr>
          <w:rFonts w:hint="eastAsia" w:ascii="宋体" w:hAnsi="宋体"/>
          <w:szCs w:val="21"/>
        </w:rPr>
        <w:t>18.2.1主要技术指标和性能的详细说明。</w:t>
      </w:r>
    </w:p>
    <w:p w14:paraId="29AC3180">
      <w:pPr>
        <w:ind w:firstLine="411" w:firstLineChars="196"/>
        <w:rPr>
          <w:rFonts w:hint="eastAsia" w:ascii="宋体" w:hAnsi="宋体"/>
          <w:szCs w:val="21"/>
        </w:rPr>
      </w:pPr>
      <w:r>
        <w:rPr>
          <w:rFonts w:hint="eastAsia" w:ascii="宋体" w:hAnsi="宋体"/>
          <w:szCs w:val="21"/>
        </w:rPr>
        <w:t>18.2.</w:t>
      </w:r>
      <w:r>
        <w:rPr>
          <w:rFonts w:ascii="宋体" w:hAnsi="宋体"/>
          <w:szCs w:val="21"/>
        </w:rPr>
        <w:t>2</w:t>
      </w:r>
      <w:r>
        <w:rPr>
          <w:rFonts w:hint="eastAsia" w:ascii="宋体" w:hAnsi="宋体"/>
          <w:szCs w:val="21"/>
        </w:rPr>
        <w:t>投标产品从采购人开始使用至招标文件中规定的周期内正常、连续地使用所必须的备件和专用工具清单，包括备件和专用工具的货源及现行价格。</w:t>
      </w:r>
    </w:p>
    <w:p w14:paraId="6DFC290A">
      <w:pPr>
        <w:ind w:firstLine="411" w:firstLineChars="196"/>
        <w:rPr>
          <w:rFonts w:hint="eastAsia" w:ascii="宋体" w:hAnsi="宋体"/>
          <w:szCs w:val="21"/>
        </w:rPr>
      </w:pPr>
      <w:r>
        <w:rPr>
          <w:rFonts w:hint="eastAsia" w:ascii="宋体" w:hAnsi="宋体"/>
          <w:szCs w:val="21"/>
        </w:rPr>
        <w:t>18.2.</w:t>
      </w:r>
      <w:r>
        <w:rPr>
          <w:rFonts w:ascii="宋体" w:hAnsi="宋体"/>
          <w:szCs w:val="21"/>
        </w:rPr>
        <w:t>3</w:t>
      </w:r>
      <w:r>
        <w:rPr>
          <w:rFonts w:hint="eastAsia" w:ascii="宋体" w:hAnsi="宋体"/>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14:paraId="56C9D4E4">
      <w:pPr>
        <w:ind w:firstLine="411" w:firstLineChars="196"/>
        <w:rPr>
          <w:rFonts w:hint="eastAsia" w:ascii="宋体" w:hAnsi="宋体"/>
          <w:szCs w:val="21"/>
        </w:rPr>
      </w:pPr>
      <w:r>
        <w:rPr>
          <w:rFonts w:hint="eastAsia" w:ascii="宋体" w:hAnsi="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hint="eastAsia" w:ascii="宋体" w:hAnsi="宋体"/>
          <w:szCs w:val="21"/>
        </w:rPr>
        <w:t>；</w:t>
      </w:r>
    </w:p>
    <w:p w14:paraId="76A69D6E">
      <w:pPr>
        <w:ind w:firstLine="411" w:firstLineChars="196"/>
        <w:rPr>
          <w:rFonts w:hint="eastAsia" w:ascii="宋体" w:hAnsi="宋体"/>
          <w:szCs w:val="21"/>
        </w:rPr>
      </w:pPr>
      <w:r>
        <w:rPr>
          <w:rFonts w:hint="eastAsia" w:ascii="宋体" w:hAnsi="宋体"/>
          <w:szCs w:val="21"/>
        </w:rPr>
        <w:t>18.2.5我国政府机构出具的产品检验和核准证件应为证件正面、背面和附件标注的全部具体内容；产品检验和核准证件的尺寸和清晰度应该能够在电脑上被阅读、识别和判断，提供原件扫描件。</w:t>
      </w:r>
    </w:p>
    <w:p w14:paraId="07DFD593">
      <w:pPr>
        <w:ind w:firstLine="411" w:firstLineChars="196"/>
        <w:rPr>
          <w:rFonts w:hint="eastAsia" w:ascii="宋体" w:hAnsi="宋体"/>
          <w:szCs w:val="21"/>
        </w:rPr>
      </w:pPr>
      <w:r>
        <w:rPr>
          <w:rFonts w:hint="eastAsia" w:ascii="宋体" w:hAnsi="宋体"/>
          <w:szCs w:val="21"/>
        </w:rPr>
        <w:t>18.3相关资料不符合18.2款要求的，评审委员会有权认定为投标技术方案不合格响应，其相关分数予以扣减或作投标无效处理。</w:t>
      </w:r>
    </w:p>
    <w:p w14:paraId="2A4DED8C">
      <w:pPr>
        <w:ind w:firstLine="411" w:firstLineChars="196"/>
        <w:rPr>
          <w:rFonts w:hint="eastAsia" w:ascii="宋体" w:hAnsi="宋体"/>
          <w:szCs w:val="21"/>
        </w:rPr>
      </w:pPr>
      <w:r>
        <w:rPr>
          <w:rFonts w:ascii="宋体" w:hAnsi="宋体"/>
          <w:szCs w:val="21"/>
        </w:rPr>
        <w:t>1</w:t>
      </w:r>
      <w:r>
        <w:rPr>
          <w:rFonts w:hint="eastAsia" w:ascii="宋体" w:hAnsi="宋体"/>
          <w:szCs w:val="21"/>
        </w:rPr>
        <w:t>8</w:t>
      </w:r>
      <w:r>
        <w:rPr>
          <w:rFonts w:ascii="宋体" w:hAnsi="宋体"/>
          <w:szCs w:val="21"/>
        </w:rPr>
        <w:t>.</w:t>
      </w:r>
      <w:r>
        <w:rPr>
          <w:rFonts w:hint="eastAsia" w:ascii="宋体" w:hAnsi="宋体"/>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hint="eastAsia" w:ascii="宋体" w:hAnsi="宋体"/>
          <w:szCs w:val="21"/>
        </w:rPr>
        <w:t>，由评审委员会来评判。</w:t>
      </w:r>
    </w:p>
    <w:p w14:paraId="73F614C0">
      <w:pPr>
        <w:ind w:firstLine="411" w:firstLineChars="196"/>
        <w:rPr>
          <w:rFonts w:hint="eastAsia" w:ascii="宋体" w:hAnsi="宋体"/>
          <w:szCs w:val="21"/>
        </w:rPr>
      </w:pPr>
      <w:r>
        <w:rPr>
          <w:rFonts w:hint="eastAsia" w:ascii="宋体" w:hAnsi="宋体"/>
          <w:szCs w:val="21"/>
        </w:rPr>
        <w:t>18.5除非另有规定或说明，投标人对同一项目投标时，不得同时提供两套或两套以上的投标方案。</w:t>
      </w:r>
    </w:p>
    <w:bookmarkEnd w:id="66"/>
    <w:p w14:paraId="4E8E0E8D">
      <w:pPr>
        <w:rPr>
          <w:rFonts w:hint="eastAsia" w:ascii="黑体" w:hAnsi="宋体" w:eastAsia="黑体"/>
          <w:sz w:val="24"/>
        </w:rPr>
      </w:pPr>
      <w:r>
        <w:rPr>
          <w:rFonts w:hint="eastAsia" w:ascii="黑体" w:hAnsi="宋体" w:eastAsia="黑体"/>
          <w:sz w:val="24"/>
        </w:rPr>
        <w:t>19．</w:t>
      </w:r>
      <w:bookmarkStart w:id="67" w:name="_Hlk72402034"/>
      <w:r>
        <w:rPr>
          <w:rFonts w:hint="eastAsia" w:ascii="黑体" w:hAnsi="宋体" w:eastAsia="黑体"/>
          <w:sz w:val="24"/>
        </w:rPr>
        <w:t>投标文件其他证明文件的要求</w:t>
      </w:r>
    </w:p>
    <w:p w14:paraId="0BA4F996">
      <w:pPr>
        <w:rPr>
          <w:rFonts w:hint="eastAsia" w:ascii="宋体" w:hAnsi="宋体"/>
          <w:color w:val="FF0000"/>
          <w:szCs w:val="21"/>
        </w:rPr>
      </w:pPr>
      <w:r>
        <w:rPr>
          <w:rFonts w:hint="eastAsia" w:ascii="黑体" w:hAnsi="宋体" w:eastAsia="黑体"/>
          <w:sz w:val="24"/>
        </w:rPr>
        <w:t xml:space="preserve">    </w:t>
      </w:r>
      <w:r>
        <w:rPr>
          <w:rFonts w:hint="eastAsia" w:ascii="宋体" w:hAnsi="宋体"/>
          <w:szCs w:val="21"/>
        </w:rPr>
        <w:t>19.1</w:t>
      </w:r>
      <w:bookmarkStart w:id="68" w:name="_Hlk71407299"/>
      <w:r>
        <w:rPr>
          <w:rFonts w:hint="eastAsia" w:ascii="宋体" w:hAnsi="宋体"/>
          <w:szCs w:val="21"/>
        </w:rPr>
        <w:t>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采购人、代理机构及评审委员会依据各自审查范围，有权认定其投标文件未对招标文件有关需求进行响应，涉及资格性审查或符合性审查的予以投标无效处理，涉及《评标信息》打分项的则该项评分予以0分处理。对供应商投标资料是否异常、是否有效问题进行核查和判定，如认为供应商投标资料有异常或无效的，若涉及资格性审查或符合性审查条款的，则应作投标无效处理；若涉及评分的，则作不得分处理。</w:t>
      </w:r>
    </w:p>
    <w:bookmarkEnd w:id="68"/>
    <w:p w14:paraId="512DC4BC">
      <w:pPr>
        <w:ind w:firstLine="411" w:firstLineChars="196"/>
        <w:rPr>
          <w:rFonts w:hint="eastAsia" w:ascii="宋体" w:hAnsi="宋体"/>
          <w:szCs w:val="21"/>
        </w:rPr>
      </w:pPr>
      <w:r>
        <w:rPr>
          <w:rFonts w:hint="eastAsia" w:ascii="宋体" w:hAnsi="宋体"/>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4731DBC0">
      <w:pPr>
        <w:rPr>
          <w:rFonts w:hint="eastAsia" w:ascii="黑体" w:hAnsi="宋体" w:eastAsia="黑体"/>
          <w:sz w:val="24"/>
        </w:rPr>
      </w:pPr>
      <w:r>
        <w:rPr>
          <w:rFonts w:hint="eastAsia" w:ascii="黑体" w:hAnsi="宋体" w:eastAsia="黑体"/>
          <w:sz w:val="24"/>
        </w:rPr>
        <w:t>20．投标有效期</w:t>
      </w:r>
    </w:p>
    <w:bookmarkEnd w:id="67"/>
    <w:p w14:paraId="5C4ACA47">
      <w:pPr>
        <w:ind w:firstLine="411" w:firstLineChars="196"/>
        <w:rPr>
          <w:rFonts w:hint="eastAsia" w:ascii="宋体" w:hAnsi="宋体"/>
          <w:szCs w:val="21"/>
        </w:rPr>
      </w:pPr>
      <w:bookmarkStart w:id="69" w:name="_Hlk72402214"/>
      <w:r>
        <w:rPr>
          <w:rFonts w:hint="eastAsia" w:ascii="宋体" w:hAnsi="宋体"/>
          <w:szCs w:val="21"/>
        </w:rPr>
        <w:t>20.1 投标有效期为</w:t>
      </w:r>
      <w:r>
        <w:rPr>
          <w:rFonts w:hint="eastAsia" w:ascii="Arial" w:hAnsi="Arial" w:cs="Arial"/>
          <w:szCs w:val="21"/>
        </w:rPr>
        <w:t>从投标截止之日算起的日历天数。</w:t>
      </w:r>
      <w:r>
        <w:rPr>
          <w:rFonts w:hint="eastAsia" w:ascii="宋体" w:hAnsi="宋体"/>
          <w:szCs w:val="21"/>
        </w:rPr>
        <w:t>在此期限内，所有投标文件均保持有效。</w:t>
      </w:r>
    </w:p>
    <w:p w14:paraId="07C810D0">
      <w:pPr>
        <w:ind w:firstLine="411" w:firstLineChars="196"/>
        <w:rPr>
          <w:rFonts w:hint="eastAsia" w:ascii="宋体" w:hAnsi="宋体"/>
          <w:szCs w:val="21"/>
        </w:rPr>
      </w:pPr>
      <w:r>
        <w:rPr>
          <w:rFonts w:hint="eastAsia" w:ascii="宋体" w:hAnsi="宋体"/>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14:paraId="69E2B424">
      <w:pPr>
        <w:ind w:firstLine="411" w:firstLineChars="196"/>
        <w:rPr>
          <w:rFonts w:hint="eastAsia" w:ascii="宋体" w:hAnsi="宋体"/>
          <w:szCs w:val="21"/>
        </w:rPr>
      </w:pPr>
      <w:r>
        <w:rPr>
          <w:rFonts w:hint="eastAsia" w:ascii="宋体" w:hAnsi="宋体"/>
          <w:szCs w:val="21"/>
        </w:rPr>
        <w:t>20</w:t>
      </w:r>
      <w:r>
        <w:rPr>
          <w:rFonts w:ascii="宋体" w:hAnsi="宋体"/>
          <w:szCs w:val="21"/>
        </w:rPr>
        <w:t>.3</w:t>
      </w:r>
      <w:r>
        <w:rPr>
          <w:rFonts w:hint="eastAsia" w:ascii="宋体" w:hAnsi="宋体"/>
          <w:szCs w:val="21"/>
        </w:rPr>
        <w:t xml:space="preserve"> 中标供应商的投标文件有效期，截止于完成本招标文件规定的全部项目内容，并通过竣工验收及保修期结束。</w:t>
      </w:r>
    </w:p>
    <w:bookmarkEnd w:id="69"/>
    <w:p w14:paraId="54502A06">
      <w:pPr>
        <w:rPr>
          <w:rFonts w:hint="eastAsia" w:ascii="黑体" w:hAnsi="宋体" w:eastAsia="黑体"/>
          <w:sz w:val="24"/>
        </w:rPr>
      </w:pPr>
      <w:r>
        <w:rPr>
          <w:rFonts w:hint="eastAsia" w:ascii="黑体" w:hAnsi="宋体" w:eastAsia="黑体"/>
          <w:sz w:val="24"/>
        </w:rPr>
        <w:t>21．</w:t>
      </w:r>
      <w:bookmarkStart w:id="70" w:name="_Hlk72402325"/>
      <w:r>
        <w:rPr>
          <w:rFonts w:hint="eastAsia" w:ascii="黑体" w:hAnsi="宋体" w:eastAsia="黑体"/>
          <w:sz w:val="24"/>
        </w:rPr>
        <w:t xml:space="preserve">关于投标保证金 </w:t>
      </w:r>
    </w:p>
    <w:p w14:paraId="2A609A4F">
      <w:pPr>
        <w:rPr>
          <w:rFonts w:hint="eastAsia" w:ascii="宋体" w:hAnsi="宋体"/>
          <w:szCs w:val="21"/>
        </w:rPr>
      </w:pPr>
      <w:r>
        <w:rPr>
          <w:rFonts w:hint="eastAsia" w:ascii="宋体" w:hAnsi="宋体"/>
          <w:szCs w:val="21"/>
        </w:rPr>
        <w:t xml:space="preserve">    21.1</w:t>
      </w:r>
      <w:r>
        <w:rPr>
          <w:rFonts w:hint="eastAsia"/>
        </w:rPr>
        <w:t>根据《深圳市财政局关于调整政府采购投标（响应）保证金管理政策的通知》（深财购〔2021〕51号）文的规定，本项目不收取投标保证金。</w:t>
      </w:r>
    </w:p>
    <w:p w14:paraId="2537CAF4">
      <w:pPr>
        <w:rPr>
          <w:rFonts w:hint="eastAsia" w:ascii="黑体" w:hAnsi="宋体" w:eastAsia="黑体"/>
          <w:sz w:val="24"/>
        </w:rPr>
      </w:pPr>
      <w:r>
        <w:rPr>
          <w:rFonts w:hint="eastAsia" w:ascii="黑体" w:hAnsi="宋体" w:eastAsia="黑体"/>
          <w:sz w:val="24"/>
        </w:rPr>
        <w:t>22．投标人的替代方案</w:t>
      </w:r>
    </w:p>
    <w:p w14:paraId="416DA238">
      <w:pPr>
        <w:ind w:firstLine="411" w:firstLineChars="196"/>
        <w:rPr>
          <w:rFonts w:hint="eastAsia" w:ascii="宋体" w:hAnsi="宋体"/>
          <w:szCs w:val="21"/>
        </w:rPr>
      </w:pPr>
      <w:r>
        <w:rPr>
          <w:rFonts w:hint="eastAsia" w:ascii="宋体" w:hAnsi="宋体"/>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14:paraId="1716C10A">
      <w:pPr>
        <w:ind w:firstLine="411" w:firstLineChars="196"/>
        <w:rPr>
          <w:rFonts w:hint="eastAsia" w:ascii="宋体" w:hAnsi="宋体"/>
          <w:szCs w:val="21"/>
        </w:rPr>
      </w:pPr>
      <w:r>
        <w:rPr>
          <w:rFonts w:hint="eastAsia" w:ascii="宋体" w:hAnsi="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70"/>
    <w:p w14:paraId="71D413E2">
      <w:pPr>
        <w:rPr>
          <w:rFonts w:hint="eastAsia" w:ascii="黑体" w:hAnsi="宋体" w:eastAsia="黑体"/>
          <w:sz w:val="24"/>
        </w:rPr>
      </w:pPr>
      <w:r>
        <w:rPr>
          <w:rFonts w:hint="eastAsia" w:ascii="黑体" w:hAnsi="宋体" w:eastAsia="黑体"/>
          <w:sz w:val="24"/>
        </w:rPr>
        <w:t>23．</w:t>
      </w:r>
      <w:bookmarkStart w:id="71" w:name="_Hlk72402860"/>
      <w:r>
        <w:rPr>
          <w:rFonts w:ascii="黑体" w:hAnsi="宋体" w:eastAsia="黑体"/>
          <w:sz w:val="24"/>
        </w:rPr>
        <w:t>投标文件的</w:t>
      </w:r>
      <w:r>
        <w:rPr>
          <w:rFonts w:hint="eastAsia" w:ascii="黑体" w:hAnsi="宋体" w:eastAsia="黑体"/>
          <w:sz w:val="24"/>
        </w:rPr>
        <w:t>制作</w:t>
      </w:r>
      <w:r>
        <w:rPr>
          <w:rFonts w:ascii="黑体" w:hAnsi="宋体" w:eastAsia="黑体"/>
          <w:sz w:val="24"/>
        </w:rPr>
        <w:t>要求</w:t>
      </w:r>
    </w:p>
    <w:p w14:paraId="03485414">
      <w:pPr>
        <w:ind w:firstLine="411" w:firstLineChars="196"/>
        <w:rPr>
          <w:rFonts w:hint="eastAsia" w:ascii="宋体" w:hAnsi="宋体"/>
        </w:rPr>
      </w:pPr>
      <w:r>
        <w:rPr>
          <w:rFonts w:hint="eastAsia" w:ascii="宋体" w:hAnsi="宋体"/>
        </w:rPr>
        <w:t>23.1投标人应准备所投项目的电子投标文件一份。</w:t>
      </w:r>
    </w:p>
    <w:p w14:paraId="661F18AF">
      <w:pPr>
        <w:ind w:firstLine="411" w:firstLineChars="196"/>
        <w:rPr>
          <w:rFonts w:hint="eastAsia" w:ascii="宋体" w:hAnsi="宋体"/>
        </w:rPr>
      </w:pPr>
      <w:r>
        <w:rPr>
          <w:rFonts w:hint="eastAsia" w:ascii="宋体" w:hAnsi="宋体"/>
        </w:rPr>
        <w:t>23.2投标人在使用《投标书编制软件》编制投标书时须注意：</w:t>
      </w:r>
    </w:p>
    <w:p w14:paraId="30E7368E">
      <w:pPr>
        <w:ind w:firstLine="411" w:firstLineChars="196"/>
        <w:rPr>
          <w:rFonts w:hint="eastAsia" w:ascii="宋体" w:hAnsi="宋体"/>
        </w:rPr>
      </w:pPr>
      <w:r>
        <w:rPr>
          <w:rFonts w:hint="eastAsia" w:ascii="宋体" w:hAnsi="宋体"/>
        </w:rPr>
        <w:t>23.2.1导入《投标书编制软件》的招标文件项目编号、包号应与以此制作的投标文件项目编号、包号一致。例如，不能将甲项目A包的招标书导入《投标书编制软件》，制作乙项目B包的投标书。</w:t>
      </w:r>
    </w:p>
    <w:p w14:paraId="6055A2CD">
      <w:pPr>
        <w:ind w:firstLine="411" w:firstLineChars="196"/>
        <w:rPr>
          <w:rFonts w:hint="eastAsia" w:ascii="宋体" w:hAnsi="宋体"/>
        </w:rPr>
      </w:pPr>
      <w:r>
        <w:rPr>
          <w:rFonts w:hint="eastAsia" w:ascii="宋体" w:hAnsi="宋体"/>
        </w:rPr>
        <w:t>23.2.2不能用非本公司的电子密钥加密本公司的投标文件，或者用其它公司的登录用户上传本公司的投标文件。</w:t>
      </w:r>
    </w:p>
    <w:p w14:paraId="5E7F82D7">
      <w:pPr>
        <w:ind w:firstLine="411" w:firstLineChars="196"/>
        <w:rPr>
          <w:rFonts w:hint="eastAsia" w:ascii="宋体" w:hAnsi="宋体"/>
        </w:rPr>
      </w:pPr>
      <w:r>
        <w:rPr>
          <w:rFonts w:hint="eastAsia" w:ascii="宋体" w:hAnsi="宋体"/>
        </w:rPr>
        <w:t>23.2.3要求用《投标书编制软件》编制投标书的包，不能用其它方式编制投标书。编制投标文件时，电脑须连通互联网。</w:t>
      </w:r>
    </w:p>
    <w:p w14:paraId="35BCCEA1">
      <w:pPr>
        <w:ind w:firstLine="411" w:firstLineChars="196"/>
        <w:rPr>
          <w:rFonts w:hint="eastAsia" w:ascii="宋体" w:hAnsi="宋体"/>
        </w:rPr>
      </w:pPr>
      <w:r>
        <w:rPr>
          <w:rFonts w:hint="eastAsia" w:ascii="宋体" w:hAnsi="宋体"/>
        </w:rPr>
        <w:t>23.2.4投标文件不能带病毒。政府集中采购机构将用专业杀毒软件对投标文件进行病毒检测，如果这两种软件均报告发现病毒，则政府集中采购机构认为该投标文件带病毒。</w:t>
      </w:r>
    </w:p>
    <w:p w14:paraId="4928666F">
      <w:pPr>
        <w:ind w:firstLine="411" w:firstLineChars="196"/>
        <w:rPr>
          <w:rFonts w:hint="eastAsia" w:ascii="宋体" w:hAnsi="宋体"/>
        </w:rPr>
      </w:pPr>
      <w:r>
        <w:rPr>
          <w:rFonts w:hint="eastAsia" w:ascii="宋体" w:hAnsi="宋体"/>
        </w:rPr>
        <w:t>23.2.6投标人在编辑投标文件时，</w:t>
      </w:r>
      <w:r>
        <w:rPr>
          <w:rFonts w:hint="eastAsia" w:ascii="宋体" w:hAnsi="宋体"/>
          <w:b/>
        </w:rPr>
        <w:t>在投标文件目录中属于本节点内容的必须在本节点中填写，填写到其他节点或附件，</w:t>
      </w:r>
      <w:r>
        <w:rPr>
          <w:rFonts w:hint="eastAsia" w:ascii="宋体" w:hAnsi="宋体"/>
        </w:rPr>
        <w:t>一切后果由供应商自行承担。</w:t>
      </w:r>
    </w:p>
    <w:p w14:paraId="7256113E">
      <w:pPr>
        <w:ind w:firstLine="411" w:firstLineChars="196"/>
        <w:rPr>
          <w:rFonts w:hint="eastAsia" w:ascii="宋体" w:hAnsi="宋体"/>
        </w:rPr>
      </w:pPr>
      <w:r>
        <w:rPr>
          <w:rFonts w:hint="eastAsia" w:ascii="宋体" w:hAnsi="宋体"/>
        </w:rPr>
        <w:t>23.2.7投标文件编写完成后，</w:t>
      </w:r>
      <w:r>
        <w:rPr>
          <w:rFonts w:hint="eastAsia" w:ascii="宋体" w:hAnsi="宋体"/>
          <w:b/>
        </w:rPr>
        <w:t>必须用属于投标人的电子密钥或电子营业执照进行加密，否则视同未盖公章，将导致投标文件无效。</w:t>
      </w:r>
    </w:p>
    <w:p w14:paraId="109F25D4">
      <w:pPr>
        <w:ind w:firstLine="411" w:firstLineChars="196"/>
        <w:rPr>
          <w:rFonts w:hint="eastAsia" w:ascii="宋体" w:hAnsi="宋体"/>
        </w:rPr>
      </w:pPr>
      <w:r>
        <w:rPr>
          <w:rFonts w:hint="eastAsia" w:ascii="宋体" w:hAnsi="宋体"/>
        </w:rPr>
        <w:t>23.2.8政府集中采购机构不接受投标截止时间后递交的纸质、电子、传真等所有形式的投标文件。由于对网上政府采购系统操作不熟悉或自身电脑、网络等原因导致不能在投标截止时间之前上传投标文件，政府集中采购机构概不负责。建议于开标前一个工作日完成投标文件的制作与上传，如上传确有困难，请及时咨询。</w:t>
      </w:r>
    </w:p>
    <w:p w14:paraId="09F2674C">
      <w:pPr>
        <w:ind w:firstLine="411" w:firstLineChars="196"/>
        <w:rPr>
          <w:rFonts w:hint="eastAsia" w:ascii="宋体" w:hAnsi="宋体"/>
        </w:rPr>
      </w:pPr>
      <w:r>
        <w:rPr>
          <w:rFonts w:hint="eastAsia" w:ascii="宋体" w:hAnsi="宋体"/>
        </w:rPr>
        <w:t>23.2.9如果开标时出现网络故障、技术故障，影响了政府采购活动，政府集中采购机构有权采取措施如延期、接受无法从网上上传的投标书等，以保障政府采购活动的公开、公平和公正。</w:t>
      </w:r>
    </w:p>
    <w:p w14:paraId="41573D21">
      <w:pPr>
        <w:ind w:firstLine="411" w:firstLineChars="196"/>
        <w:rPr>
          <w:rFonts w:hint="eastAsia" w:ascii="宋体" w:hAnsi="宋体"/>
        </w:rPr>
      </w:pPr>
      <w:r>
        <w:rPr>
          <w:rFonts w:hint="eastAsia" w:ascii="宋体" w:hAnsi="宋体"/>
        </w:rPr>
        <w:t>23.3电报、电话、传真形式的投标概不接受。</w:t>
      </w:r>
    </w:p>
    <w:p w14:paraId="401E39D9">
      <w:pPr>
        <w:ind w:firstLine="413" w:firstLineChars="196"/>
        <w:rPr>
          <w:rFonts w:hint="eastAsia" w:ascii="宋体" w:hAnsi="宋体"/>
          <w:b/>
        </w:rPr>
      </w:pPr>
      <w:r>
        <w:rPr>
          <w:rFonts w:hint="eastAsia" w:ascii="宋体" w:hAnsi="宋体"/>
          <w:b/>
        </w:rPr>
        <w:t>23.4经投标人电子密钥或电子营业执照加密的投标文件无须盖章或签字，</w:t>
      </w:r>
      <w:r>
        <w:rPr>
          <w:rFonts w:hint="eastAsia" w:ascii="宋体" w:hAnsi="宋体"/>
        </w:rPr>
        <w:t>专用条款另有要求的除外。</w:t>
      </w:r>
    </w:p>
    <w:p w14:paraId="1F52A84E">
      <w:pPr>
        <w:ind w:firstLine="413" w:firstLineChars="196"/>
        <w:rPr>
          <w:rFonts w:hint="eastAsia" w:ascii="宋体" w:hAnsi="宋体"/>
        </w:rPr>
      </w:pPr>
      <w:r>
        <w:rPr>
          <w:rFonts w:hint="eastAsia" w:ascii="宋体" w:hAnsi="宋体"/>
          <w:b/>
        </w:rPr>
        <w:t>23.5</w:t>
      </w:r>
      <w:r>
        <w:rPr>
          <w:rFonts w:hint="eastAsia" w:ascii="宋体" w:hAnsi="宋体"/>
        </w:rPr>
        <w:t xml:space="preserve"> 各类资格（资质）文件提供扫描件，专用条款另有要求的除外。</w:t>
      </w:r>
      <w:bookmarkEnd w:id="71"/>
    </w:p>
    <w:p w14:paraId="047B1E33">
      <w:pPr>
        <w:ind w:firstLine="411" w:firstLineChars="196"/>
        <w:rPr>
          <w:rFonts w:hint="eastAsia" w:ascii="宋体" w:hAnsi="宋体"/>
          <w:szCs w:val="21"/>
        </w:rPr>
      </w:pPr>
    </w:p>
    <w:p w14:paraId="6DF6EF67">
      <w:pPr>
        <w:pStyle w:val="3"/>
        <w:numPr>
          <w:ilvl w:val="0"/>
          <w:numId w:val="15"/>
        </w:numPr>
        <w:spacing w:before="156" w:beforeLines="50" w:after="156" w:afterLines="50"/>
        <w:ind w:left="562" w:hanging="562"/>
        <w:rPr>
          <w:sz w:val="28"/>
          <w:szCs w:val="28"/>
        </w:rPr>
      </w:pPr>
      <w:r>
        <w:rPr>
          <w:rFonts w:hint="eastAsia"/>
          <w:sz w:val="28"/>
          <w:szCs w:val="28"/>
        </w:rPr>
        <w:t>投标文件的递交</w:t>
      </w:r>
    </w:p>
    <w:p w14:paraId="7A46643F">
      <w:pPr>
        <w:rPr>
          <w:rFonts w:hint="eastAsia" w:ascii="黑体" w:hAnsi="宋体" w:eastAsia="黑体"/>
          <w:sz w:val="24"/>
        </w:rPr>
      </w:pPr>
      <w:bookmarkStart w:id="72" w:name="_Hlk72405459"/>
      <w:r>
        <w:rPr>
          <w:rFonts w:hint="eastAsia" w:ascii="黑体" w:hAnsi="宋体" w:eastAsia="黑体"/>
          <w:sz w:val="24"/>
        </w:rPr>
        <w:t>24．投标文件的保密</w:t>
      </w:r>
    </w:p>
    <w:p w14:paraId="7B3EC5F8">
      <w:pPr>
        <w:ind w:firstLine="411" w:firstLineChars="196"/>
        <w:rPr>
          <w:rFonts w:hint="eastAsia" w:ascii="宋体" w:hAnsi="宋体"/>
        </w:rPr>
      </w:pPr>
      <w:r>
        <w:rPr>
          <w:rFonts w:hint="eastAsia" w:ascii="宋体" w:hAnsi="宋体"/>
        </w:rPr>
        <w:t>24.1在投标文件制作完成后，生成后会选择是否加密投标文件，如不加密则直接点击生成文件即可，如需加密请插入CA锁，点击加密后生成文件，需输入CA锁密码即可加密成功。加密后会提示文件生成成功！</w:t>
      </w:r>
      <w:r>
        <w:rPr>
          <w:rFonts w:hint="eastAsia" w:ascii="宋体" w:hAnsi="宋体"/>
          <w:highlight w:val="yellow"/>
        </w:rPr>
        <w:t>(注意：加密的投标文件开标时须使用加密文件时使用的锁在项目规定时间内解密！)</w:t>
      </w:r>
    </w:p>
    <w:p w14:paraId="522B694B">
      <w:pPr>
        <w:rPr>
          <w:rFonts w:hint="eastAsia" w:ascii="宋体" w:hAnsi="宋体"/>
          <w:b/>
        </w:rPr>
      </w:pPr>
      <w:r>
        <w:rPr>
          <w:rFonts w:hint="eastAsia" w:ascii="宋体" w:hAnsi="宋体"/>
          <w:b/>
        </w:rPr>
        <w:t>24.2若采购项目出现延期情况：</w:t>
      </w:r>
    </w:p>
    <w:p w14:paraId="1DB247B6">
      <w:pPr>
        <w:ind w:firstLine="422" w:firstLineChars="200"/>
        <w:rPr>
          <w:rFonts w:hint="eastAsia" w:ascii="黑体" w:hAnsi="宋体" w:eastAsia="黑体"/>
          <w:b/>
          <w:sz w:val="24"/>
        </w:rPr>
      </w:pPr>
      <w:r>
        <w:rPr>
          <w:rFonts w:hint="eastAsia" w:ascii="宋体" w:hAnsi="宋体"/>
          <w:b/>
        </w:rPr>
        <w:t>如果供下载的招标文件有更新，投标人必须重新下载招标文件、重新制作投标文件、重新加密投标文件、重新上传投标文件。</w:t>
      </w:r>
    </w:p>
    <w:p w14:paraId="4BF55692">
      <w:pPr>
        <w:rPr>
          <w:rFonts w:hint="eastAsia" w:ascii="黑体" w:hAnsi="宋体" w:eastAsia="黑体"/>
          <w:sz w:val="24"/>
        </w:rPr>
      </w:pPr>
      <w:r>
        <w:rPr>
          <w:rFonts w:hint="eastAsia" w:ascii="黑体" w:hAnsi="宋体" w:eastAsia="黑体"/>
          <w:sz w:val="24"/>
        </w:rPr>
        <w:t>25．上传投标文件及投标截止日期</w:t>
      </w:r>
    </w:p>
    <w:p w14:paraId="013841C2">
      <w:pPr>
        <w:ind w:firstLine="411" w:firstLineChars="196"/>
        <w:rPr>
          <w:rFonts w:hint="eastAsia" w:ascii="宋体" w:hAnsi="宋体"/>
        </w:rPr>
      </w:pPr>
      <w:r>
        <w:rPr>
          <w:rFonts w:hint="eastAsia" w:ascii="宋体" w:hAnsi="宋体"/>
        </w:rPr>
        <w:t>25</w:t>
      </w:r>
      <w:r>
        <w:rPr>
          <w:rFonts w:ascii="宋体" w:hAnsi="宋体"/>
        </w:rPr>
        <w:t>.</w:t>
      </w:r>
      <w:r>
        <w:rPr>
          <w:rFonts w:hint="eastAsia" w:ascii="宋体" w:hAnsi="宋体"/>
        </w:rPr>
        <w:t>1实行网上投标，</w:t>
      </w:r>
      <w:r>
        <w:rPr>
          <w:rFonts w:ascii="宋体" w:hAnsi="宋体"/>
        </w:rPr>
        <w:t>投标人必须</w:t>
      </w:r>
      <w:r>
        <w:rPr>
          <w:rFonts w:hint="eastAsia" w:ascii="宋体" w:hAnsi="宋体"/>
        </w:rPr>
        <w:t>在招标</w:t>
      </w:r>
      <w:r>
        <w:rPr>
          <w:rFonts w:ascii="宋体" w:hAnsi="宋体"/>
        </w:rPr>
        <w:t>文件规定的投标截止时间前</w:t>
      </w:r>
      <w:r>
        <w:rPr>
          <w:rFonts w:hint="eastAsia" w:ascii="宋体" w:hAnsi="宋体"/>
        </w:rPr>
        <w:t>用电子密钥登录“深圳政府采购自行采购系统（https://trade.szggzy.com/ggzy/center/#/login）”上传投标文件。如上传过程中遇到问题，可拨打采购公告中的技术支持电话。如多次上传均告失败，请在投标截止时间之前携带加密后的电子投标文件送达至</w:t>
      </w:r>
      <w:r>
        <w:rPr>
          <w:rFonts w:hint="eastAsia" w:ascii="宋体" w:hAnsi="宋体"/>
          <w:b/>
          <w:bCs/>
          <w:szCs w:val="21"/>
        </w:rPr>
        <w:t>深圳公共资源交易中心（深圳交易集团有限公司龙华分公司）（地址：深圳市龙华区观湖街道大和社区大和路288号宝观城锦鲤大厦办公楼22楼）协助上传，但上传过程中投标截止时间到达仍无法上传成功的，由投标人自行负责</w:t>
      </w:r>
      <w:r>
        <w:rPr>
          <w:rFonts w:hint="eastAsia" w:ascii="宋体" w:hAnsi="宋体"/>
        </w:rPr>
        <w:t>。</w:t>
      </w:r>
    </w:p>
    <w:p w14:paraId="708A00A2">
      <w:pPr>
        <w:ind w:firstLine="411" w:firstLineChars="196"/>
        <w:rPr>
          <w:rFonts w:hint="eastAsia" w:ascii="宋体" w:hAnsi="宋体"/>
        </w:rPr>
      </w:pPr>
      <w:r>
        <w:rPr>
          <w:rFonts w:hint="eastAsia" w:ascii="宋体" w:hAnsi="宋体"/>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14:paraId="16064796">
      <w:pPr>
        <w:ind w:firstLine="411" w:firstLineChars="196"/>
        <w:rPr>
          <w:rFonts w:hint="eastAsia" w:ascii="宋体" w:hAnsi="宋体"/>
        </w:rPr>
      </w:pPr>
      <w:r>
        <w:rPr>
          <w:rFonts w:hint="eastAsia" w:ascii="宋体" w:hAnsi="宋体"/>
        </w:rPr>
        <w:t>25</w:t>
      </w:r>
      <w:r>
        <w:rPr>
          <w:rFonts w:ascii="宋体" w:hAnsi="宋体"/>
        </w:rPr>
        <w:t>.</w:t>
      </w:r>
      <w:r>
        <w:rPr>
          <w:rFonts w:hint="eastAsia" w:ascii="宋体" w:hAnsi="宋体"/>
        </w:rPr>
        <w:t>3投标截止时间以后不得上传投标文件。</w:t>
      </w:r>
    </w:p>
    <w:p w14:paraId="05DC5620">
      <w:pPr>
        <w:ind w:firstLine="411" w:firstLineChars="196"/>
        <w:rPr>
          <w:rFonts w:hint="eastAsia" w:ascii="宋体" w:hAnsi="宋体"/>
        </w:rPr>
      </w:pPr>
    </w:p>
    <w:p w14:paraId="1F2D0CFC">
      <w:pPr>
        <w:ind w:firstLine="411" w:firstLineChars="196"/>
        <w:rPr>
          <w:rFonts w:hint="eastAsia" w:ascii="宋体" w:hAnsi="宋体"/>
        </w:rPr>
      </w:pPr>
    </w:p>
    <w:bookmarkEnd w:id="72"/>
    <w:p w14:paraId="02AF886C">
      <w:pPr>
        <w:rPr>
          <w:rFonts w:hint="eastAsia" w:ascii="黑体" w:hAnsi="宋体" w:eastAsia="黑体"/>
          <w:sz w:val="24"/>
        </w:rPr>
      </w:pPr>
      <w:r>
        <w:rPr>
          <w:rFonts w:hint="eastAsia" w:ascii="黑体" w:hAnsi="宋体" w:eastAsia="黑体"/>
          <w:sz w:val="24"/>
        </w:rPr>
        <w:t>26. 样品、现场演示、方案讲解</w:t>
      </w:r>
    </w:p>
    <w:p w14:paraId="1207BCA0">
      <w:pPr>
        <w:ind w:firstLine="411" w:firstLineChars="196"/>
        <w:rPr>
          <w:rFonts w:hint="eastAsia" w:ascii="宋体" w:hAnsi="宋体"/>
          <w:szCs w:val="21"/>
        </w:rPr>
      </w:pPr>
      <w:r>
        <w:rPr>
          <w:rFonts w:hint="eastAsia" w:ascii="宋体" w:hAnsi="宋体"/>
          <w:szCs w:val="21"/>
        </w:rPr>
        <w:t>26.1 样品、现场演示、方案讲解等事项在招标文件专用条款中进行规定。</w:t>
      </w:r>
    </w:p>
    <w:p w14:paraId="33532F53">
      <w:pPr>
        <w:rPr>
          <w:rFonts w:hint="eastAsia" w:ascii="黑体" w:hAnsi="宋体" w:eastAsia="黑体"/>
          <w:sz w:val="24"/>
        </w:rPr>
      </w:pPr>
      <w:bookmarkStart w:id="73" w:name="_Hlk72428346"/>
      <w:r>
        <w:rPr>
          <w:rFonts w:ascii="黑体" w:hAnsi="宋体" w:eastAsia="黑体"/>
          <w:sz w:val="24"/>
        </w:rPr>
        <w:t>2</w:t>
      </w:r>
      <w:r>
        <w:rPr>
          <w:rFonts w:hint="eastAsia" w:ascii="黑体" w:hAnsi="宋体" w:eastAsia="黑体"/>
          <w:sz w:val="24"/>
        </w:rPr>
        <w:t>7．</w:t>
      </w:r>
      <w:r>
        <w:rPr>
          <w:rFonts w:ascii="黑体" w:hAnsi="宋体" w:eastAsia="黑体"/>
          <w:sz w:val="24"/>
        </w:rPr>
        <w:t>投标文件的修改和撤销</w:t>
      </w:r>
    </w:p>
    <w:p w14:paraId="2BD9C557">
      <w:pPr>
        <w:ind w:firstLine="411" w:firstLineChars="196"/>
        <w:rPr>
          <w:rFonts w:hint="eastAsia"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1</w:t>
      </w:r>
      <w:r>
        <w:rPr>
          <w:rFonts w:ascii="宋体" w:hAnsi="宋体"/>
        </w:rPr>
        <w:t>投标方在提交投标文件后可对其投标文件进行修改</w:t>
      </w:r>
      <w:r>
        <w:rPr>
          <w:rFonts w:hint="eastAsia" w:ascii="宋体" w:hAnsi="宋体"/>
        </w:rPr>
        <w:t>并重新上传投标文件</w:t>
      </w:r>
      <w:r>
        <w:rPr>
          <w:rFonts w:ascii="宋体" w:hAnsi="宋体"/>
        </w:rPr>
        <w:t>或</w:t>
      </w:r>
      <w:r>
        <w:rPr>
          <w:rFonts w:hint="eastAsia" w:ascii="宋体" w:hAnsi="宋体"/>
        </w:rPr>
        <w:t>在网上进行</w:t>
      </w:r>
      <w:r>
        <w:rPr>
          <w:rFonts w:ascii="宋体" w:hAnsi="宋体"/>
        </w:rPr>
        <w:t>撤销</w:t>
      </w:r>
      <w:r>
        <w:rPr>
          <w:rFonts w:hint="eastAsia" w:ascii="宋体" w:hAnsi="宋体"/>
        </w:rPr>
        <w:t>投标的操作</w:t>
      </w:r>
      <w:r>
        <w:rPr>
          <w:rFonts w:ascii="宋体" w:hAnsi="宋体"/>
        </w:rPr>
        <w:t>。</w:t>
      </w:r>
    </w:p>
    <w:p w14:paraId="624BF15F">
      <w:pPr>
        <w:ind w:firstLine="411" w:firstLineChars="196"/>
        <w:rPr>
          <w:rFonts w:hint="eastAsia"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2</w:t>
      </w:r>
      <w:r>
        <w:rPr>
          <w:rFonts w:ascii="宋体" w:hAnsi="宋体"/>
        </w:rPr>
        <w:t>投标截止时间以后不得修改投标文件。</w:t>
      </w:r>
    </w:p>
    <w:p w14:paraId="61A81E3A">
      <w:pPr>
        <w:ind w:firstLine="411" w:firstLineChars="196"/>
        <w:rPr>
          <w:rFonts w:hint="eastAsia"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3从投标截止期至投标人在投标文件中确定的投标有效期之间的这段时间内，投标人不得撤回其投标。</w:t>
      </w:r>
    </w:p>
    <w:p w14:paraId="65C82BB5">
      <w:pPr>
        <w:ind w:firstLine="411" w:firstLineChars="196"/>
        <w:rPr>
          <w:rFonts w:hint="eastAsia" w:ascii="宋体" w:hAnsi="宋体"/>
          <w:szCs w:val="21"/>
        </w:rPr>
      </w:pPr>
      <w:r>
        <w:rPr>
          <w:rFonts w:hint="eastAsia" w:ascii="宋体" w:hAnsi="宋体"/>
          <w:szCs w:val="21"/>
        </w:rPr>
        <w:t>27.4政府集中采购机构不退还投标文件，专用条款另有规定的除外。</w:t>
      </w:r>
    </w:p>
    <w:bookmarkEnd w:id="73"/>
    <w:p w14:paraId="08C11BEA">
      <w:pPr>
        <w:pStyle w:val="3"/>
        <w:numPr>
          <w:ilvl w:val="0"/>
          <w:numId w:val="15"/>
        </w:numPr>
        <w:spacing w:before="156" w:beforeLines="50" w:after="156" w:afterLines="50"/>
        <w:ind w:left="562" w:hanging="562"/>
        <w:rPr>
          <w:sz w:val="28"/>
          <w:szCs w:val="28"/>
        </w:rPr>
      </w:pPr>
      <w:r>
        <w:rPr>
          <w:rFonts w:hint="eastAsia"/>
          <w:sz w:val="28"/>
          <w:szCs w:val="28"/>
        </w:rPr>
        <w:t>开标</w:t>
      </w:r>
    </w:p>
    <w:p w14:paraId="670D8C7B">
      <w:pPr>
        <w:rPr>
          <w:rFonts w:hint="eastAsia" w:ascii="黑体" w:hAnsi="宋体" w:eastAsia="黑体"/>
          <w:sz w:val="24"/>
        </w:rPr>
      </w:pPr>
      <w:r>
        <w:rPr>
          <w:rFonts w:hint="eastAsia" w:ascii="黑体" w:hAnsi="宋体" w:eastAsia="黑体"/>
          <w:sz w:val="24"/>
        </w:rPr>
        <w:t>28．开标</w:t>
      </w:r>
    </w:p>
    <w:p w14:paraId="1CEE294E">
      <w:pPr>
        <w:ind w:firstLine="359" w:firstLineChars="171"/>
        <w:rPr>
          <w:rFonts w:hint="eastAsia" w:ascii="宋体" w:hAnsi="宋体"/>
          <w:szCs w:val="21"/>
        </w:rPr>
      </w:pPr>
      <w:r>
        <w:rPr>
          <w:rFonts w:ascii="宋体" w:hAnsi="宋体"/>
          <w:szCs w:val="21"/>
        </w:rPr>
        <w:t>2</w:t>
      </w:r>
      <w:r>
        <w:rPr>
          <w:rFonts w:hint="eastAsia" w:ascii="宋体" w:hAnsi="宋体"/>
          <w:szCs w:val="21"/>
        </w:rPr>
        <w:t>8</w:t>
      </w:r>
      <w:r>
        <w:rPr>
          <w:rFonts w:ascii="宋体" w:hAnsi="宋体"/>
          <w:szCs w:val="21"/>
        </w:rPr>
        <w:t>.</w:t>
      </w:r>
      <w:r>
        <w:rPr>
          <w:rFonts w:hint="eastAsia" w:ascii="宋体" w:hAnsi="宋体"/>
          <w:szCs w:val="21"/>
        </w:rPr>
        <w:t>1投标人须在开标当日的开标时间至解密截止时间内进行解密，逾期未解密的作无效处理。解密方法：登录“</w:t>
      </w:r>
      <w:r>
        <w:rPr>
          <w:rFonts w:hint="eastAsia" w:ascii="宋体" w:hAnsi="宋体"/>
        </w:rPr>
        <w:t>深圳政府采购自行采购系统（https://trade.szggzy.com/ggzy/center/#/login）</w:t>
      </w:r>
      <w:r>
        <w:rPr>
          <w:rFonts w:hint="eastAsia" w:ascii="宋体" w:hAnsi="宋体"/>
          <w:szCs w:val="21"/>
        </w:rPr>
        <w:t>”，使用本单位制作电子投标文件同一个电子密钥进行在线解密、查询开标情况。</w:t>
      </w:r>
    </w:p>
    <w:p w14:paraId="2368AD63">
      <w:pPr>
        <w:ind w:firstLine="315" w:firstLineChars="150"/>
        <w:rPr>
          <w:rFonts w:hint="eastAsia" w:ascii="宋体" w:hAnsi="宋体"/>
          <w:szCs w:val="21"/>
        </w:rPr>
      </w:pPr>
      <w:r>
        <w:rPr>
          <w:rFonts w:hint="eastAsia" w:ascii="宋体" w:hAnsi="宋体"/>
          <w:szCs w:val="21"/>
        </w:rPr>
        <w:t>28.2政府集中采购机构将在满足开标条件（①解密时间结束，解密后的投标供应商数量满足开标要求或②解密时间结束前所有投标供应商均完成投标文件解密）后，对投标文件进行开标，并在网上公布开标结果。</w:t>
      </w:r>
    </w:p>
    <w:p w14:paraId="103BE8B9">
      <w:pPr>
        <w:ind w:firstLine="315" w:firstLineChars="150"/>
        <w:rPr>
          <w:rFonts w:hint="eastAsia" w:ascii="宋体" w:hAnsi="宋体"/>
          <w:szCs w:val="21"/>
        </w:rPr>
      </w:pPr>
    </w:p>
    <w:p w14:paraId="263A0622">
      <w:pPr>
        <w:pStyle w:val="3"/>
        <w:numPr>
          <w:ilvl w:val="0"/>
          <w:numId w:val="15"/>
        </w:numPr>
        <w:spacing w:before="156" w:beforeLines="50" w:after="156" w:afterLines="50"/>
        <w:ind w:left="562" w:hanging="562"/>
        <w:rPr>
          <w:sz w:val="28"/>
          <w:szCs w:val="28"/>
        </w:rPr>
      </w:pPr>
      <w:r>
        <w:rPr>
          <w:rFonts w:hint="eastAsia"/>
          <w:sz w:val="28"/>
          <w:szCs w:val="28"/>
        </w:rPr>
        <w:t>评审要求</w:t>
      </w:r>
    </w:p>
    <w:p w14:paraId="69FB260F">
      <w:pPr>
        <w:rPr>
          <w:rFonts w:hint="eastAsia" w:ascii="黑体" w:hAnsi="宋体" w:eastAsia="黑体"/>
          <w:sz w:val="24"/>
        </w:rPr>
      </w:pPr>
      <w:r>
        <w:rPr>
          <w:rFonts w:hint="eastAsia" w:ascii="黑体" w:hAnsi="宋体" w:eastAsia="黑体"/>
          <w:sz w:val="24"/>
        </w:rPr>
        <w:t>29．评审委员会组成</w:t>
      </w:r>
    </w:p>
    <w:p w14:paraId="7F7526B7">
      <w:pPr>
        <w:ind w:firstLine="411" w:firstLineChars="196"/>
        <w:rPr>
          <w:rFonts w:hint="eastAsia" w:ascii="宋体" w:hAnsi="宋体"/>
        </w:rPr>
      </w:pPr>
      <w:r>
        <w:rPr>
          <w:rFonts w:hint="eastAsia" w:ascii="宋体" w:hAnsi="宋体"/>
        </w:rPr>
        <w:t>29.1网上开标结束后召开评审会议，</w:t>
      </w:r>
      <w:r>
        <w:rPr>
          <w:rFonts w:hint="eastAsia" w:ascii="宋体" w:hAnsi="宋体"/>
          <w:szCs w:val="21"/>
        </w:rPr>
        <w:t>评审委员会</w:t>
      </w:r>
      <w:r>
        <w:rPr>
          <w:rFonts w:hint="eastAsia" w:ascii="宋体" w:hAnsi="宋体"/>
        </w:rPr>
        <w:t>由政府集中采购机构依法组建，负责评审活动。</w:t>
      </w:r>
    </w:p>
    <w:p w14:paraId="46EA507D">
      <w:pPr>
        <w:ind w:firstLine="411" w:firstLineChars="196"/>
        <w:rPr>
          <w:rFonts w:hint="eastAsia" w:ascii="宋体" w:hAnsi="宋体"/>
        </w:rPr>
      </w:pPr>
      <w:bookmarkStart w:id="74" w:name="_Hlk72436580"/>
      <w:r>
        <w:rPr>
          <w:rFonts w:hint="eastAsia" w:ascii="宋体" w:hAnsi="宋体"/>
        </w:rPr>
        <w:t>评审委员会由采购人代表和评审专家组成，成员人数应当为5人以上单数（部分条件下为7人以上单数），其中评审专家不得少于成员总数的三分之二。</w:t>
      </w:r>
      <w:bookmarkEnd w:id="74"/>
      <w:r>
        <w:rPr>
          <w:rFonts w:hint="eastAsia" w:ascii="宋体" w:hAnsi="宋体"/>
        </w:rPr>
        <w:t>评定</w:t>
      </w:r>
      <w:r>
        <w:rPr>
          <w:rFonts w:hint="eastAsia"/>
        </w:rPr>
        <w:t>分离项目</w:t>
      </w:r>
      <w:r>
        <w:t>评审专家</w:t>
      </w:r>
      <w:r>
        <w:rPr>
          <w:rFonts w:hint="eastAsia"/>
        </w:rPr>
        <w:t>均</w:t>
      </w:r>
      <w:r>
        <w:t>由</w:t>
      </w:r>
      <w:r>
        <w:rPr>
          <w:rFonts w:hint="eastAsia"/>
        </w:rPr>
        <w:t>评审专家组成。</w:t>
      </w:r>
      <w:r>
        <w:rPr>
          <w:rFonts w:hint="eastAsia" w:ascii="宋体" w:hAnsi="宋体"/>
          <w:szCs w:val="21"/>
        </w:rPr>
        <w:t>评审专家一般是</w:t>
      </w:r>
      <w:r>
        <w:rPr>
          <w:rFonts w:hint="eastAsia" w:ascii="宋体" w:hAnsi="宋体"/>
        </w:rPr>
        <w:t>从深圳市政府采购评审专家库中随机抽取。采购人代表须持本单位签发的《评审授权书》参加评审。</w:t>
      </w:r>
    </w:p>
    <w:p w14:paraId="64B20D97">
      <w:pPr>
        <w:ind w:firstLine="411" w:firstLineChars="196"/>
        <w:rPr>
          <w:rFonts w:hint="eastAsia" w:ascii="宋体" w:hAnsi="宋体"/>
        </w:rPr>
      </w:pPr>
      <w:r>
        <w:rPr>
          <w:rFonts w:hint="eastAsia" w:ascii="宋体" w:hAnsi="宋体"/>
        </w:rPr>
        <w:t>29.2评审定标应当遵循公平、公正、科学、择优的原则。</w:t>
      </w:r>
    </w:p>
    <w:p w14:paraId="771ABECE">
      <w:pPr>
        <w:ind w:firstLine="411" w:firstLineChars="196"/>
        <w:rPr>
          <w:rFonts w:hint="eastAsia" w:ascii="宋体" w:hAnsi="宋体"/>
        </w:rPr>
      </w:pPr>
      <w:r>
        <w:rPr>
          <w:rFonts w:hint="eastAsia" w:ascii="宋体" w:hAnsi="宋体"/>
        </w:rPr>
        <w:t>29.3评审活动依法进行，任何单位和个人不得非法干预评标过程和结果。</w:t>
      </w:r>
    </w:p>
    <w:p w14:paraId="66A1E44D">
      <w:pPr>
        <w:ind w:firstLine="411" w:firstLineChars="196"/>
        <w:rPr>
          <w:rFonts w:hint="eastAsia" w:ascii="宋体" w:hAnsi="宋体"/>
        </w:rPr>
      </w:pPr>
      <w:r>
        <w:rPr>
          <w:rFonts w:hint="eastAsia" w:ascii="宋体" w:hAnsi="宋体"/>
        </w:rPr>
        <w:t>29.4评审过程中不允许违背评标程序或采用招标文件未载明的评标方法或评标因素进行评标。</w:t>
      </w:r>
    </w:p>
    <w:p w14:paraId="10D87EA5">
      <w:pPr>
        <w:ind w:firstLine="411" w:firstLineChars="196"/>
        <w:rPr>
          <w:rFonts w:hint="eastAsia" w:ascii="宋体" w:hAnsi="宋体"/>
          <w:bCs/>
        </w:rPr>
      </w:pPr>
      <w:r>
        <w:rPr>
          <w:rFonts w:hint="eastAsia" w:ascii="宋体" w:hAnsi="宋体"/>
          <w:bCs/>
        </w:rPr>
        <w:t>29.5 开标后，直到签订合同为止，凡属于对投标文件的审查、澄清、评价和比较的有关资料以及中标候选人的推荐情况、与评审有关的其他任何情况均严格保密（</w:t>
      </w:r>
      <w:r>
        <w:rPr>
          <w:rFonts w:hint="eastAsia"/>
        </w:rPr>
        <w:t>信息公开的内容除外</w:t>
      </w:r>
      <w:r>
        <w:rPr>
          <w:rFonts w:hint="eastAsia" w:ascii="宋体" w:hAnsi="宋体"/>
          <w:bCs/>
        </w:rPr>
        <w:t>）。</w:t>
      </w:r>
    </w:p>
    <w:p w14:paraId="3B80662C">
      <w:pPr>
        <w:rPr>
          <w:rFonts w:hint="eastAsia" w:ascii="黑体" w:hAnsi="宋体" w:eastAsia="黑体"/>
          <w:sz w:val="24"/>
        </w:rPr>
      </w:pPr>
      <w:r>
        <w:rPr>
          <w:rFonts w:hint="eastAsia" w:ascii="黑体" w:hAnsi="宋体" w:eastAsia="黑体"/>
          <w:sz w:val="24"/>
        </w:rPr>
        <w:t>30．向评审委员会提供的资料</w:t>
      </w:r>
    </w:p>
    <w:p w14:paraId="6DE92019">
      <w:pPr>
        <w:ind w:firstLine="411" w:firstLineChars="196"/>
        <w:rPr>
          <w:rFonts w:hint="eastAsia" w:ascii="宋体" w:hAnsi="宋体"/>
        </w:rPr>
      </w:pPr>
      <w:r>
        <w:rPr>
          <w:rFonts w:hint="eastAsia" w:ascii="宋体" w:hAnsi="宋体"/>
        </w:rPr>
        <w:t>30.1公开发布的招标文件，包括图纸、服务清单、答疑文件等；</w:t>
      </w:r>
    </w:p>
    <w:p w14:paraId="776EEDE3">
      <w:pPr>
        <w:ind w:firstLine="411" w:firstLineChars="196"/>
        <w:rPr>
          <w:rFonts w:hint="eastAsia" w:ascii="宋体" w:hAnsi="宋体"/>
        </w:rPr>
      </w:pPr>
      <w:r>
        <w:rPr>
          <w:rFonts w:hint="eastAsia" w:ascii="宋体" w:hAnsi="宋体"/>
        </w:rPr>
        <w:t>30.2其他评标必须的资料。</w:t>
      </w:r>
    </w:p>
    <w:p w14:paraId="520F74CA">
      <w:pPr>
        <w:ind w:firstLine="411" w:firstLineChars="196"/>
        <w:rPr>
          <w:rFonts w:hint="eastAsia" w:ascii="宋体" w:hAnsi="宋体"/>
        </w:rPr>
      </w:pPr>
      <w:r>
        <w:rPr>
          <w:rFonts w:hint="eastAsia" w:ascii="宋体" w:hAnsi="宋体"/>
        </w:rPr>
        <w:t>30.3</w:t>
      </w:r>
      <w:r>
        <w:rPr>
          <w:rFonts w:hint="eastAsia" w:ascii="宋体" w:hAnsi="宋体"/>
          <w:szCs w:val="21"/>
        </w:rPr>
        <w:t>评审委员会</w:t>
      </w:r>
      <w:r>
        <w:rPr>
          <w:rFonts w:hint="eastAsia" w:ascii="宋体" w:hAnsi="宋体"/>
        </w:rPr>
        <w:t>应当认真研究招标文件，至少应了解熟悉以下内容：</w:t>
      </w:r>
    </w:p>
    <w:p w14:paraId="723726DD">
      <w:pPr>
        <w:ind w:firstLine="411" w:firstLineChars="196"/>
        <w:rPr>
          <w:rFonts w:hint="eastAsia" w:ascii="宋体" w:hAnsi="宋体"/>
        </w:rPr>
      </w:pPr>
      <w:r>
        <w:rPr>
          <w:rFonts w:hint="eastAsia" w:ascii="宋体" w:hAnsi="宋体"/>
        </w:rPr>
        <w:t>（1）招标的目的；</w:t>
      </w:r>
    </w:p>
    <w:p w14:paraId="6AA99BA2">
      <w:pPr>
        <w:ind w:firstLine="411" w:firstLineChars="196"/>
        <w:rPr>
          <w:rFonts w:hint="eastAsia" w:ascii="宋体" w:hAnsi="宋体"/>
        </w:rPr>
      </w:pPr>
      <w:r>
        <w:rPr>
          <w:rFonts w:hint="eastAsia" w:ascii="宋体" w:hAnsi="宋体"/>
        </w:rPr>
        <w:t>（2）招标项目需求的范围和性质；</w:t>
      </w:r>
    </w:p>
    <w:p w14:paraId="158B20C8">
      <w:pPr>
        <w:ind w:firstLine="411" w:firstLineChars="196"/>
        <w:rPr>
          <w:rFonts w:hint="eastAsia" w:ascii="宋体" w:hAnsi="宋体"/>
        </w:rPr>
      </w:pPr>
      <w:r>
        <w:rPr>
          <w:rFonts w:hint="eastAsia" w:ascii="宋体" w:hAnsi="宋体"/>
        </w:rPr>
        <w:t>（3）招标文件规定的投标人的资格、财政预算限额、商务条款；</w:t>
      </w:r>
    </w:p>
    <w:p w14:paraId="4F7E0298">
      <w:pPr>
        <w:ind w:firstLine="411" w:firstLineChars="196"/>
        <w:rPr>
          <w:rFonts w:hint="eastAsia" w:ascii="宋体" w:hAnsi="宋体"/>
        </w:rPr>
      </w:pPr>
      <w:r>
        <w:rPr>
          <w:rFonts w:hint="eastAsia" w:ascii="宋体" w:hAnsi="宋体"/>
        </w:rPr>
        <w:t>（4）招标文件规定的评标程序、评标方法和评标因素；</w:t>
      </w:r>
    </w:p>
    <w:p w14:paraId="1534A437">
      <w:pPr>
        <w:ind w:firstLine="411" w:firstLineChars="196"/>
        <w:rPr>
          <w:rFonts w:hint="eastAsia" w:ascii="宋体" w:hAnsi="宋体"/>
        </w:rPr>
      </w:pPr>
      <w:r>
        <w:rPr>
          <w:rFonts w:hint="eastAsia" w:ascii="宋体" w:hAnsi="宋体"/>
        </w:rPr>
        <w:t>（5）招标文件所列示的资格性审查表及符合性审查表。</w:t>
      </w:r>
    </w:p>
    <w:p w14:paraId="34FEEB5F">
      <w:pPr>
        <w:rPr>
          <w:rFonts w:hint="eastAsia" w:ascii="黑体" w:hAnsi="宋体" w:eastAsia="黑体"/>
          <w:sz w:val="24"/>
        </w:rPr>
      </w:pPr>
      <w:r>
        <w:rPr>
          <w:rFonts w:hint="eastAsia" w:ascii="黑体" w:hAnsi="宋体" w:eastAsia="黑体"/>
          <w:sz w:val="24"/>
        </w:rPr>
        <w:t>31．独立评审</w:t>
      </w:r>
    </w:p>
    <w:p w14:paraId="7FE03B99">
      <w:pPr>
        <w:ind w:firstLine="411" w:firstLineChars="196"/>
        <w:rPr>
          <w:rFonts w:hint="eastAsia" w:ascii="宋体" w:hAnsi="宋体"/>
          <w:bCs/>
        </w:rPr>
      </w:pPr>
      <w:r>
        <w:rPr>
          <w:rFonts w:hint="eastAsia" w:ascii="宋体" w:hAnsi="宋体"/>
          <w:bCs/>
        </w:rPr>
        <w:t>3</w:t>
      </w:r>
      <w:r>
        <w:rPr>
          <w:rFonts w:ascii="宋体" w:hAnsi="宋体"/>
          <w:bCs/>
        </w:rPr>
        <w:t>1</w:t>
      </w:r>
      <w:r>
        <w:rPr>
          <w:rFonts w:hint="eastAsia" w:ascii="宋体" w:hAnsi="宋体"/>
          <w:bCs/>
        </w:rPr>
        <w:t>.1</w:t>
      </w:r>
      <w:r>
        <w:rPr>
          <w:rFonts w:hint="eastAsia" w:ascii="宋体" w:hAnsi="宋体"/>
          <w:szCs w:val="21"/>
        </w:rPr>
        <w:t>评审委员会</w:t>
      </w:r>
      <w:r>
        <w:rPr>
          <w:rFonts w:hint="eastAsia" w:ascii="宋体" w:hAnsi="宋体"/>
          <w:bCs/>
        </w:rPr>
        <w:t>成员的评标活动应当独立进行，并应遵循投标文件初审、澄清有关问题、比较与评价、确定中标供应商、编写评审报告的工作程序。</w:t>
      </w:r>
    </w:p>
    <w:p w14:paraId="62F0971C">
      <w:pPr>
        <w:ind w:firstLine="411" w:firstLineChars="196"/>
        <w:rPr>
          <w:rFonts w:hint="eastAsia" w:ascii="宋体" w:hAnsi="宋体"/>
          <w:bCs/>
          <w:szCs w:val="21"/>
        </w:rPr>
      </w:pPr>
    </w:p>
    <w:p w14:paraId="69F0BDA6">
      <w:pPr>
        <w:pStyle w:val="3"/>
        <w:numPr>
          <w:ilvl w:val="0"/>
          <w:numId w:val="15"/>
        </w:numPr>
        <w:spacing w:before="156" w:beforeLines="50" w:after="156" w:afterLines="50"/>
        <w:ind w:left="562" w:hanging="562"/>
        <w:rPr>
          <w:sz w:val="28"/>
          <w:szCs w:val="28"/>
        </w:rPr>
      </w:pPr>
      <w:r>
        <w:rPr>
          <w:rFonts w:hint="eastAsia"/>
          <w:sz w:val="28"/>
          <w:szCs w:val="28"/>
        </w:rPr>
        <w:t>评审程序及评审方法</w:t>
      </w:r>
    </w:p>
    <w:p w14:paraId="42610CAB">
      <w:pPr>
        <w:rPr>
          <w:rFonts w:hint="eastAsia" w:ascii="黑体" w:hAnsi="宋体" w:eastAsia="黑体"/>
          <w:sz w:val="24"/>
        </w:rPr>
      </w:pPr>
      <w:r>
        <w:rPr>
          <w:rFonts w:hint="eastAsia" w:ascii="黑体" w:hAnsi="宋体" w:eastAsia="黑体"/>
          <w:sz w:val="24"/>
        </w:rPr>
        <w:t>32．投标文件初审</w:t>
      </w:r>
    </w:p>
    <w:p w14:paraId="42862B1B">
      <w:pPr>
        <w:ind w:firstLine="411" w:firstLineChars="196"/>
        <w:rPr>
          <w:rFonts w:hint="eastAsia" w:ascii="宋体" w:hAnsi="宋体"/>
        </w:rPr>
      </w:pPr>
      <w:r>
        <w:rPr>
          <w:rFonts w:hint="eastAsia" w:ascii="宋体" w:hAnsi="宋体"/>
        </w:rPr>
        <w:t>32.1投标文件初审包括资格性审查和符合性审查。</w:t>
      </w:r>
    </w:p>
    <w:p w14:paraId="2F849378">
      <w:pPr>
        <w:ind w:firstLine="411" w:firstLineChars="196"/>
        <w:rPr>
          <w:rFonts w:hint="eastAsia" w:ascii="宋体" w:hAnsi="宋体"/>
        </w:rPr>
      </w:pPr>
      <w:r>
        <w:rPr>
          <w:rFonts w:hint="eastAsia" w:ascii="宋体" w:hAnsi="宋体"/>
        </w:rPr>
        <w:t>资格性审查：依据法律法规和招标文件的规定，对投标文件中的资格证明等进行审查，以确定投标供应商是否具备投标资格。</w:t>
      </w:r>
    </w:p>
    <w:p w14:paraId="793E944C">
      <w:pPr>
        <w:ind w:firstLine="411" w:firstLineChars="196"/>
        <w:rPr>
          <w:rFonts w:hint="eastAsia" w:ascii="宋体" w:hAnsi="宋体"/>
        </w:rPr>
      </w:pPr>
      <w:r>
        <w:rPr>
          <w:rFonts w:hint="eastAsia" w:ascii="宋体" w:hAnsi="宋体"/>
        </w:rPr>
        <w:t>符合性审查：依据招标文件的规定，对投标文件的有效性、完整性和对招标文件的响应程度进行审查，以确定是否满足符合性审查的要求。</w:t>
      </w:r>
    </w:p>
    <w:p w14:paraId="1C1D73AA">
      <w:pPr>
        <w:ind w:firstLine="411" w:firstLineChars="196"/>
        <w:rPr>
          <w:rFonts w:hint="eastAsia" w:ascii="宋体" w:hAnsi="宋体"/>
        </w:rPr>
      </w:pPr>
      <w:r>
        <w:rPr>
          <w:rFonts w:hint="eastAsia" w:ascii="宋体" w:hAnsi="宋体"/>
        </w:rPr>
        <w:t>32.2 投标文件初审内容请详见《资格性审查表》和《符合性审查表》部分。投标人若有一条审查不通过则按投标无效处理。</w:t>
      </w:r>
    </w:p>
    <w:p w14:paraId="44E73B87">
      <w:pPr>
        <w:ind w:firstLine="411" w:firstLineChars="196"/>
        <w:rPr>
          <w:rFonts w:hint="eastAsia" w:ascii="宋体" w:hAnsi="宋体"/>
          <w:bCs/>
        </w:rPr>
      </w:pPr>
      <w:r>
        <w:rPr>
          <w:rFonts w:hint="eastAsia" w:ascii="宋体" w:hAnsi="宋体"/>
          <w:bCs/>
        </w:rPr>
        <w:t>32.3 投标文件初审中关于供应商家数的计算:</w:t>
      </w:r>
    </w:p>
    <w:p w14:paraId="2ADD0547">
      <w:pPr>
        <w:ind w:firstLine="411" w:firstLineChars="196"/>
        <w:rPr>
          <w:rFonts w:hint="eastAsia" w:ascii="宋体" w:hAnsi="宋体"/>
          <w:bCs/>
        </w:rPr>
      </w:pPr>
      <w:r>
        <w:rPr>
          <w:rFonts w:hint="eastAsia" w:ascii="宋体" w:hAnsi="宋体"/>
          <w:bCs/>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14:paraId="11723D07">
      <w:pPr>
        <w:ind w:firstLine="411" w:firstLineChars="196"/>
        <w:rPr>
          <w:rFonts w:hint="eastAsia" w:ascii="宋体" w:hAnsi="宋体"/>
          <w:bCs/>
        </w:rPr>
      </w:pPr>
      <w:r>
        <w:rPr>
          <w:rFonts w:hint="eastAsia" w:ascii="宋体" w:hAnsi="宋体"/>
          <w:bCs/>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hint="eastAsia" w:ascii="宋体" w:hAnsi="宋体"/>
          <w:bCs/>
          <w:szCs w:val="21"/>
        </w:rPr>
        <w:t>评审委员会</w:t>
      </w:r>
      <w:r>
        <w:rPr>
          <w:rFonts w:hint="eastAsia" w:ascii="宋体" w:hAnsi="宋体"/>
          <w:bCs/>
        </w:rPr>
        <w:t>按照招标文件规定的方式确定一个投标人获得中标人推荐资格，招标文件未规定的采取随机抽取方式确定，其他同品牌投标人不作为中标候选人。</w:t>
      </w:r>
    </w:p>
    <w:p w14:paraId="029910F4">
      <w:pPr>
        <w:ind w:firstLine="411" w:firstLineChars="196"/>
        <w:rPr>
          <w:rFonts w:hint="eastAsia" w:ascii="宋体" w:hAnsi="宋体"/>
          <w:bCs/>
        </w:rPr>
      </w:pPr>
      <w:r>
        <w:rPr>
          <w:rFonts w:hint="eastAsia" w:ascii="宋体" w:hAnsi="宋体"/>
          <w:bCs/>
        </w:rPr>
        <w:t>32.3.3非单一产品采购项目，采购人应当根据采购项目技术构成、产品价格比重等合理确定核心产品，并在招标文件中载明。多家投标人提供的核心产品品牌相同的，按前两款规定处理。</w:t>
      </w:r>
    </w:p>
    <w:p w14:paraId="64DBE376">
      <w:pPr>
        <w:ind w:firstLine="411" w:firstLineChars="196"/>
        <w:rPr>
          <w:rFonts w:hint="eastAsia" w:ascii="宋体" w:hAnsi="宋体"/>
        </w:rPr>
      </w:pPr>
      <w:r>
        <w:rPr>
          <w:rFonts w:hint="eastAsia" w:ascii="宋体" w:hAnsi="宋体"/>
        </w:rPr>
        <w:t>32.4投标人投标文件作无效处理的情形，具体包括但不限于以下：</w:t>
      </w:r>
    </w:p>
    <w:p w14:paraId="6DF38BA4">
      <w:pPr>
        <w:ind w:firstLine="411" w:firstLineChars="196"/>
      </w:pPr>
      <w:r>
        <w:rPr>
          <w:rFonts w:hint="eastAsia" w:ascii="宋体" w:hAnsi="宋体"/>
        </w:rPr>
        <w:t>32.4.1</w:t>
      </w:r>
      <w:r>
        <w:rPr>
          <w:rFonts w:hint="eastAsia"/>
        </w:rPr>
        <w:t>不同投标人的投标文件由同一单位或者同一个人编制，或者由同一个人分阶段参与编制；</w:t>
      </w:r>
    </w:p>
    <w:p w14:paraId="5B2B8D9B">
      <w:pPr>
        <w:ind w:firstLine="411" w:firstLineChars="196"/>
      </w:pPr>
      <w:r>
        <w:rPr>
          <w:rFonts w:ascii="宋体" w:hAnsi="宋体"/>
        </w:rPr>
        <w:t>32.4.</w:t>
      </w:r>
      <w:r>
        <w:rPr>
          <w:rFonts w:hint="eastAsia" w:ascii="宋体" w:hAnsi="宋体"/>
        </w:rPr>
        <w:t>2</w:t>
      </w:r>
      <w:r>
        <w:rPr>
          <w:rFonts w:hint="eastAsia"/>
        </w:rPr>
        <w:t>不同投标人委托同一单位或者个人办理投标事宜；</w:t>
      </w:r>
    </w:p>
    <w:p w14:paraId="33AEF8E0">
      <w:pPr>
        <w:ind w:firstLine="411" w:firstLineChars="196"/>
        <w:rPr>
          <w:rFonts w:hint="eastAsia" w:ascii="宋体" w:hAnsi="宋体"/>
        </w:rPr>
      </w:pPr>
      <w:r>
        <w:rPr>
          <w:rFonts w:hint="eastAsia" w:ascii="宋体" w:hAnsi="宋体"/>
        </w:rPr>
        <w:t>32.4.3不同投标人的投标文件载明的项目管理成员或者联系人员为同一人；</w:t>
      </w:r>
    </w:p>
    <w:p w14:paraId="1F5250A4">
      <w:pPr>
        <w:ind w:firstLine="411" w:firstLineChars="196"/>
        <w:rPr>
          <w:rFonts w:hint="eastAsia" w:ascii="宋体" w:hAnsi="宋体"/>
        </w:rPr>
      </w:pPr>
      <w:r>
        <w:rPr>
          <w:rFonts w:hint="eastAsia" w:ascii="宋体" w:hAnsi="宋体"/>
        </w:rPr>
        <w:t>32.4.4不同投标人的投标文件异常一致或者投标报价呈规律性差异；</w:t>
      </w:r>
    </w:p>
    <w:p w14:paraId="3EE4366D">
      <w:pPr>
        <w:ind w:firstLine="411" w:firstLineChars="196"/>
        <w:rPr>
          <w:rFonts w:hint="eastAsia" w:ascii="宋体" w:hAnsi="宋体"/>
        </w:rPr>
      </w:pPr>
      <w:r>
        <w:rPr>
          <w:rFonts w:hint="eastAsia" w:ascii="宋体" w:hAnsi="宋体"/>
        </w:rPr>
        <w:t>32.4.5</w:t>
      </w:r>
      <w:r>
        <w:rPr>
          <w:rFonts w:ascii="宋体" w:hAnsi="宋体"/>
        </w:rPr>
        <w:t>不同投标供应商的投标文件或部分投标文件相互混装</w:t>
      </w:r>
      <w:r>
        <w:rPr>
          <w:rFonts w:hint="eastAsia" w:ascii="宋体" w:hAnsi="宋体"/>
        </w:rPr>
        <w:t>；</w:t>
      </w:r>
    </w:p>
    <w:p w14:paraId="40DAE88E">
      <w:pPr>
        <w:ind w:firstLine="411" w:firstLineChars="196"/>
        <w:rPr>
          <w:rFonts w:hint="eastAsia" w:ascii="宋体" w:hAnsi="宋体"/>
        </w:rPr>
      </w:pPr>
      <w:r>
        <w:rPr>
          <w:rFonts w:hint="eastAsia" w:ascii="宋体" w:hAnsi="宋体"/>
        </w:rPr>
        <w:t>32.4.6投标供应商之间相互约定给予未中标的供应商利益补偿；</w:t>
      </w:r>
    </w:p>
    <w:p w14:paraId="702519FB">
      <w:pPr>
        <w:ind w:firstLine="411" w:firstLineChars="196"/>
        <w:rPr>
          <w:rFonts w:hint="eastAsia" w:ascii="宋体" w:hAnsi="宋体"/>
        </w:rPr>
      </w:pPr>
      <w:r>
        <w:rPr>
          <w:rFonts w:hint="eastAsia" w:ascii="宋体" w:hAnsi="宋体"/>
        </w:rPr>
        <w:t>32.4.7不同投标供应商的法定代表人、主要经营负责人、项目投标授权代表人、项目负责人、主要技术人员为同一人、属同一单位或者同一单位缴纳社会保险；</w:t>
      </w:r>
    </w:p>
    <w:p w14:paraId="05F344D4">
      <w:pPr>
        <w:ind w:firstLine="411" w:firstLineChars="196"/>
        <w:rPr>
          <w:rFonts w:hint="eastAsia" w:ascii="宋体" w:hAnsi="宋体"/>
        </w:rPr>
      </w:pPr>
      <w:r>
        <w:rPr>
          <w:rFonts w:hint="eastAsia" w:ascii="宋体" w:hAnsi="宋体"/>
        </w:rPr>
        <w:t>32.4.8不同投标供应商的投标文件内容存在非正常一致；</w:t>
      </w:r>
    </w:p>
    <w:p w14:paraId="20E8871A">
      <w:pPr>
        <w:ind w:firstLine="411" w:firstLineChars="196"/>
        <w:rPr>
          <w:rFonts w:hint="eastAsia" w:ascii="宋体" w:hAnsi="宋体"/>
        </w:rPr>
      </w:pPr>
      <w:r>
        <w:rPr>
          <w:rFonts w:hint="eastAsia" w:ascii="宋体" w:hAnsi="宋体"/>
        </w:rPr>
        <w:t>32.4.9在同一单位工作人员为两家以上（含两家）供应商进行同一项投标活动；</w:t>
      </w:r>
    </w:p>
    <w:p w14:paraId="23D15D62">
      <w:pPr>
        <w:ind w:firstLine="411" w:firstLineChars="196"/>
        <w:rPr>
          <w:rFonts w:hint="eastAsia" w:ascii="宋体" w:hAnsi="宋体"/>
        </w:rPr>
      </w:pPr>
      <w:r>
        <w:rPr>
          <w:rFonts w:hint="eastAsia" w:ascii="宋体" w:hAnsi="宋体"/>
        </w:rPr>
        <w:t>32.4.10主管部门依照法律、法规认定的其他情形。</w:t>
      </w:r>
    </w:p>
    <w:p w14:paraId="7E11A060">
      <w:pPr>
        <w:rPr>
          <w:rFonts w:hint="eastAsia" w:ascii="宋体" w:hAnsi="宋体"/>
        </w:rPr>
      </w:pPr>
      <w:r>
        <w:rPr>
          <w:rFonts w:hint="eastAsia" w:ascii="宋体" w:hAnsi="宋体"/>
        </w:rPr>
        <w:t>32.5对不属于《资格性审查表》和《符合性审查表》所列的其他情形，除专用条款另有规定和32.4条款所列情形外，不得作为投标无效的理由。</w:t>
      </w:r>
    </w:p>
    <w:p w14:paraId="09D04463">
      <w:pPr>
        <w:rPr>
          <w:rFonts w:hint="eastAsia" w:ascii="黑体" w:hAnsi="宋体" w:eastAsia="黑体"/>
          <w:sz w:val="24"/>
        </w:rPr>
      </w:pPr>
      <w:r>
        <w:rPr>
          <w:rFonts w:hint="eastAsia" w:ascii="黑体" w:hAnsi="宋体" w:eastAsia="黑体"/>
          <w:sz w:val="24"/>
        </w:rPr>
        <w:t>33．澄清有关问题</w:t>
      </w:r>
    </w:p>
    <w:p w14:paraId="163C3153">
      <w:pPr>
        <w:ind w:firstLine="411" w:firstLineChars="196"/>
        <w:rPr>
          <w:rFonts w:hint="eastAsia" w:ascii="宋体" w:hAnsi="宋体"/>
        </w:rPr>
      </w:pPr>
      <w:bookmarkStart w:id="75" w:name="_Hlk71407321"/>
      <w:r>
        <w:rPr>
          <w:rFonts w:hint="eastAsia" w:ascii="宋体" w:hAnsi="宋体"/>
        </w:rPr>
        <w:t>3</w:t>
      </w:r>
      <w:r>
        <w:rPr>
          <w:rFonts w:ascii="宋体" w:hAnsi="宋体"/>
        </w:rPr>
        <w:t>3.1</w:t>
      </w:r>
      <w:r>
        <w:rPr>
          <w:rFonts w:hint="eastAsia" w:ascii="宋体" w:hAnsi="宋体"/>
        </w:rPr>
        <w:t>对招标文件中描述有歧义或前后不一致的地方（不含</w:t>
      </w:r>
      <w:r>
        <w:rPr>
          <w:szCs w:val="21"/>
        </w:rPr>
        <w:t>招标文件存在歧义、重大缺陷导致评</w:t>
      </w:r>
      <w:r>
        <w:rPr>
          <w:rFonts w:hint="eastAsia"/>
          <w:szCs w:val="21"/>
        </w:rPr>
        <w:t>审</w:t>
      </w:r>
      <w:r>
        <w:rPr>
          <w:szCs w:val="21"/>
        </w:rPr>
        <w:t>工作无法进行</w:t>
      </w:r>
      <w:r>
        <w:rPr>
          <w:rFonts w:hint="eastAsia"/>
          <w:szCs w:val="21"/>
        </w:rPr>
        <w:t>的情况）</w:t>
      </w:r>
      <w:r>
        <w:rPr>
          <w:rFonts w:hint="eastAsia" w:ascii="宋体" w:hAnsi="宋体"/>
        </w:rPr>
        <w:t>，评审委员会有权进行评判，但对同一条款的评判应适用于每个投标人。</w:t>
      </w:r>
      <w:bookmarkEnd w:id="75"/>
    </w:p>
    <w:p w14:paraId="37488666">
      <w:pPr>
        <w:ind w:firstLine="411" w:firstLineChars="196"/>
        <w:rPr>
          <w:rFonts w:hint="eastAsia" w:ascii="宋体" w:hAnsi="宋体"/>
        </w:rPr>
      </w:pPr>
      <w:r>
        <w:rPr>
          <w:rFonts w:hint="eastAsia" w:ascii="宋体" w:hAnsi="宋体"/>
        </w:rPr>
        <w:t>3</w:t>
      </w:r>
      <w:r>
        <w:rPr>
          <w:rFonts w:ascii="宋体" w:hAnsi="宋体"/>
        </w:rPr>
        <w:t>3.2</w:t>
      </w:r>
      <w:r>
        <w:rPr>
          <w:szCs w:val="21"/>
        </w:rPr>
        <w:t>评</w:t>
      </w:r>
      <w:r>
        <w:rPr>
          <w:rFonts w:hint="eastAsia"/>
          <w:szCs w:val="21"/>
        </w:rPr>
        <w:t>审</w:t>
      </w:r>
      <w:r>
        <w:rPr>
          <w:szCs w:val="21"/>
        </w:rPr>
        <w:t>委员会发现招标文件存在歧义、重大缺陷导致评</w:t>
      </w:r>
      <w:r>
        <w:rPr>
          <w:rFonts w:hint="eastAsia"/>
          <w:szCs w:val="21"/>
        </w:rPr>
        <w:t>审</w:t>
      </w:r>
      <w:r>
        <w:rPr>
          <w:szCs w:val="21"/>
        </w:rPr>
        <w:t>工作无法进行，或者招标文件内容违反国家有关强制性规定的，应当停止评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应当修改招标文件，重新组织采购活动。</w:t>
      </w:r>
    </w:p>
    <w:p w14:paraId="04BC1BA7">
      <w:pPr>
        <w:ind w:firstLine="411" w:firstLineChars="196"/>
        <w:rPr>
          <w:rFonts w:hint="eastAsia" w:ascii="宋体" w:hAnsi="宋体"/>
        </w:rPr>
      </w:pPr>
      <w:r>
        <w:rPr>
          <w:rFonts w:ascii="宋体" w:hAnsi="宋体"/>
        </w:rPr>
        <w:t>33.3</w:t>
      </w:r>
      <w:r>
        <w:rPr>
          <w:rFonts w:hint="eastAsia" w:ascii="宋体" w:hAnsi="宋体"/>
        </w:rPr>
        <w:t>对于投标文件中含义不明确、同类问题表述不一致或者有明显文字和计算错误的内容，评审委员会应当以书面形式要求投标人作出必要的澄清、说明或者补正。</w:t>
      </w:r>
    </w:p>
    <w:p w14:paraId="6DD81488">
      <w:pPr>
        <w:ind w:firstLine="411" w:firstLineChars="196"/>
        <w:rPr>
          <w:rFonts w:hint="eastAsia" w:ascii="宋体" w:hAnsi="宋体"/>
        </w:rPr>
      </w:pPr>
      <w:r>
        <w:rPr>
          <w:rFonts w:hint="eastAsia" w:ascii="宋体" w:hAnsi="宋体"/>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2270607B">
      <w:pPr>
        <w:ind w:firstLine="411" w:firstLineChars="196"/>
        <w:rPr>
          <w:rFonts w:hint="eastAsia" w:ascii="宋体" w:hAnsi="宋体"/>
          <w:szCs w:val="21"/>
        </w:rPr>
      </w:pPr>
      <w:r>
        <w:rPr>
          <w:rFonts w:hint="eastAsia" w:ascii="宋体" w:hAnsi="宋体"/>
          <w:szCs w:val="21"/>
        </w:rPr>
        <w:t>根据本通用条款第34条，凡属于评审委员会在评审中发现的算术错误进行核实的修改不在此列。</w:t>
      </w:r>
    </w:p>
    <w:p w14:paraId="3B04D8B4">
      <w:pPr>
        <w:rPr>
          <w:rFonts w:hint="eastAsia" w:ascii="黑体" w:hAnsi="宋体" w:eastAsia="黑体"/>
          <w:sz w:val="24"/>
        </w:rPr>
      </w:pPr>
      <w:bookmarkStart w:id="76" w:name="_Toc73517673"/>
      <w:bookmarkStart w:id="77" w:name="_Toc73518151"/>
      <w:bookmarkStart w:id="78" w:name="_Toc73521669"/>
      <w:bookmarkStart w:id="79" w:name="_Toc73521581"/>
      <w:bookmarkStart w:id="80" w:name="_Toc100052400"/>
      <w:r>
        <w:rPr>
          <w:rFonts w:hint="eastAsia" w:ascii="黑体" w:hAnsi="宋体" w:eastAsia="黑体"/>
          <w:sz w:val="24"/>
        </w:rPr>
        <w:t>34．错误的修正</w:t>
      </w:r>
      <w:bookmarkEnd w:id="76"/>
      <w:bookmarkEnd w:id="77"/>
      <w:bookmarkEnd w:id="78"/>
      <w:bookmarkEnd w:id="79"/>
      <w:bookmarkEnd w:id="80"/>
    </w:p>
    <w:p w14:paraId="5DD798D4">
      <w:pPr>
        <w:ind w:firstLine="411" w:firstLineChars="196"/>
        <w:rPr>
          <w:rFonts w:hint="eastAsia" w:ascii="宋体" w:hAnsi="宋体"/>
          <w:szCs w:val="21"/>
        </w:rPr>
      </w:pPr>
      <w:r>
        <w:rPr>
          <w:rFonts w:hint="eastAsia" w:ascii="宋体" w:hAnsi="宋体"/>
          <w:szCs w:val="21"/>
        </w:rPr>
        <w:t>投标文件报价出现前后不一致的，除专用条款另有规定外，按照下列规定修正：</w:t>
      </w:r>
    </w:p>
    <w:p w14:paraId="61DD515C">
      <w:pPr>
        <w:ind w:firstLine="411" w:firstLineChars="196"/>
        <w:rPr>
          <w:rFonts w:hint="eastAsia" w:ascii="宋体" w:hAnsi="宋体"/>
          <w:szCs w:val="21"/>
        </w:rPr>
      </w:pPr>
      <w:r>
        <w:rPr>
          <w:rFonts w:hint="eastAsia" w:ascii="宋体" w:hAnsi="宋体"/>
          <w:szCs w:val="21"/>
        </w:rPr>
        <w:t>34.1投标文件中开标一览表投标报价内容与投标文件中投标报价相应内容不一致的，以开标一览表为准；</w:t>
      </w:r>
    </w:p>
    <w:p w14:paraId="5EB4CFDF">
      <w:pPr>
        <w:ind w:firstLine="411" w:firstLineChars="196"/>
        <w:rPr>
          <w:rFonts w:hint="eastAsia" w:ascii="宋体" w:hAnsi="宋体"/>
          <w:szCs w:val="21"/>
        </w:rPr>
      </w:pPr>
      <w:r>
        <w:rPr>
          <w:rFonts w:hint="eastAsia" w:ascii="宋体" w:hAnsi="宋体"/>
          <w:szCs w:val="21"/>
        </w:rPr>
        <w:t>34.2大写金额和小写金额不一致的，以大写金额为准；</w:t>
      </w:r>
    </w:p>
    <w:p w14:paraId="30222E06">
      <w:pPr>
        <w:ind w:firstLine="411" w:firstLineChars="196"/>
        <w:rPr>
          <w:rFonts w:hint="eastAsia" w:ascii="宋体" w:hAnsi="宋体"/>
          <w:szCs w:val="21"/>
        </w:rPr>
      </w:pPr>
      <w:r>
        <w:rPr>
          <w:rFonts w:hint="eastAsia" w:ascii="宋体" w:hAnsi="宋体"/>
          <w:szCs w:val="21"/>
        </w:rPr>
        <w:t>34.3单价金额小数点或者百分比有明显错位，以开标一览表的总价为准，并修改单价；</w:t>
      </w:r>
    </w:p>
    <w:p w14:paraId="66E40473">
      <w:pPr>
        <w:ind w:firstLine="411" w:firstLineChars="196"/>
        <w:rPr>
          <w:rFonts w:hint="eastAsia" w:ascii="宋体" w:hAnsi="宋体"/>
          <w:szCs w:val="21"/>
        </w:rPr>
      </w:pPr>
      <w:r>
        <w:rPr>
          <w:rFonts w:hint="eastAsia" w:ascii="宋体" w:hAnsi="宋体"/>
          <w:szCs w:val="21"/>
        </w:rPr>
        <w:t>34.4总价金额与按单价汇总金额不一致的，以单价金额计算结果为准。</w:t>
      </w:r>
    </w:p>
    <w:p w14:paraId="3E313F4F">
      <w:pPr>
        <w:ind w:firstLine="411" w:firstLineChars="196"/>
        <w:rPr>
          <w:rFonts w:hint="eastAsia" w:ascii="宋体" w:hAnsi="宋体"/>
          <w:szCs w:val="21"/>
        </w:rPr>
      </w:pPr>
      <w:r>
        <w:rPr>
          <w:rFonts w:hint="eastAsia" w:ascii="宋体" w:hAnsi="宋体"/>
          <w:szCs w:val="21"/>
        </w:rPr>
        <w:t>34.5同时出现两种以上不一致的，按照前款规定的顺序修正。修正后的报价按照本通用条款33条的规定，经投标人确认后产生约束力，投标人不确认的，其投标无效。</w:t>
      </w:r>
    </w:p>
    <w:p w14:paraId="242B4FD4">
      <w:pPr>
        <w:rPr>
          <w:rFonts w:hint="eastAsia" w:ascii="黑体" w:hAnsi="宋体" w:eastAsia="黑体"/>
          <w:sz w:val="24"/>
        </w:rPr>
      </w:pPr>
      <w:r>
        <w:rPr>
          <w:rFonts w:hint="eastAsia" w:ascii="黑体" w:hAnsi="宋体" w:eastAsia="黑体"/>
          <w:sz w:val="24"/>
        </w:rPr>
        <w:t>35．投标文件的比较与评价</w:t>
      </w:r>
    </w:p>
    <w:p w14:paraId="5C5ECC26">
      <w:pPr>
        <w:ind w:firstLine="411" w:firstLineChars="196"/>
        <w:rPr>
          <w:rFonts w:hint="eastAsia" w:ascii="宋体" w:hAnsi="宋体"/>
          <w:szCs w:val="21"/>
        </w:rPr>
      </w:pPr>
      <w:r>
        <w:rPr>
          <w:rFonts w:hint="eastAsia" w:ascii="宋体" w:hAnsi="宋体"/>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14:paraId="56F56818">
      <w:pPr>
        <w:ind w:firstLine="411" w:firstLineChars="196"/>
        <w:rPr>
          <w:rFonts w:hint="eastAsia" w:ascii="宋体" w:hAnsi="宋体"/>
          <w:szCs w:val="21"/>
        </w:rPr>
      </w:pPr>
      <w:r>
        <w:rPr>
          <w:rFonts w:hint="eastAsia" w:ascii="宋体" w:hAnsi="宋体"/>
          <w:szCs w:val="21"/>
        </w:rPr>
        <w:t>评审委员会成员对需要共同认定的事项存在争议的，应当按照少数服从多数的原则作出结论。持不同意见的评审委员会成员应当书面作出说明，否则视为无异议。</w:t>
      </w:r>
    </w:p>
    <w:p w14:paraId="19A95761">
      <w:pPr>
        <w:rPr>
          <w:rFonts w:hint="eastAsia" w:ascii="黑体" w:hAnsi="宋体" w:eastAsia="黑体"/>
          <w:sz w:val="24"/>
        </w:rPr>
      </w:pPr>
      <w:r>
        <w:rPr>
          <w:rFonts w:hint="eastAsia" w:ascii="黑体" w:hAnsi="宋体" w:eastAsia="黑体"/>
          <w:sz w:val="24"/>
        </w:rPr>
        <w:t>36. 实地考察或资料查验</w:t>
      </w:r>
    </w:p>
    <w:p w14:paraId="56C71635">
      <w:pPr>
        <w:ind w:firstLine="411" w:firstLineChars="196"/>
        <w:rPr>
          <w:rFonts w:hint="eastAsia" w:ascii="宋体" w:hAnsi="宋体"/>
          <w:szCs w:val="21"/>
        </w:rPr>
      </w:pPr>
      <w:r>
        <w:rPr>
          <w:rFonts w:hint="eastAsia" w:ascii="宋体" w:hAnsi="宋体"/>
          <w:szCs w:val="21"/>
        </w:rPr>
        <w:t>36.1在评审过程中，评审委员会有权决定是否对本项目投标人进行实地考察或资料查验（原件）。投标人应随时做好接受实地考察或资料查验的准备。</w:t>
      </w:r>
    </w:p>
    <w:p w14:paraId="684D6728">
      <w:pPr>
        <w:rPr>
          <w:rFonts w:hint="eastAsia" w:ascii="黑体" w:hAnsi="宋体" w:eastAsia="黑体"/>
          <w:sz w:val="24"/>
        </w:rPr>
      </w:pPr>
      <w:r>
        <w:rPr>
          <w:rFonts w:hint="eastAsia" w:ascii="黑体" w:hAnsi="宋体" w:eastAsia="黑体"/>
          <w:sz w:val="24"/>
        </w:rPr>
        <w:t>37．评审方法</w:t>
      </w:r>
    </w:p>
    <w:p w14:paraId="5297A6A5">
      <w:pPr>
        <w:ind w:firstLine="413" w:firstLineChars="196"/>
        <w:rPr>
          <w:rFonts w:hint="eastAsia" w:ascii="宋体" w:hAnsi="宋体"/>
          <w:b/>
          <w:bCs/>
          <w:szCs w:val="21"/>
        </w:rPr>
      </w:pPr>
      <w:bookmarkStart w:id="81" w:name="_Hlk72438142"/>
      <w:r>
        <w:rPr>
          <w:rFonts w:hint="eastAsia" w:ascii="宋体" w:hAnsi="宋体"/>
          <w:b/>
          <w:bCs/>
          <w:szCs w:val="21"/>
        </w:rPr>
        <w:t>37.1.1最低价法</w:t>
      </w:r>
    </w:p>
    <w:p w14:paraId="5093A0E3">
      <w:pPr>
        <w:ind w:firstLine="411" w:firstLineChars="196"/>
        <w:rPr>
          <w:rFonts w:hint="eastAsia" w:ascii="ˎ̥" w:hAnsi="ˎ̥"/>
        </w:rPr>
      </w:pPr>
      <w:r>
        <w:rPr>
          <w:rFonts w:ascii="ˎ̥" w:hAnsi="ˎ̥"/>
        </w:rPr>
        <w:t>最低价法，</w:t>
      </w:r>
      <w:r>
        <w:rPr>
          <w:rFonts w:hint="eastAsia" w:ascii="ˎ̥" w:hAnsi="ˎ̥"/>
        </w:rPr>
        <w:t>是指投标文件满足招标文件全部实质性要求，且投标报价最低的投标人为中标候选人的评标方法。</w:t>
      </w:r>
    </w:p>
    <w:p w14:paraId="2AF102A9">
      <w:pPr>
        <w:ind w:firstLine="411" w:firstLineChars="196"/>
        <w:rPr>
          <w:rFonts w:hint="eastAsia" w:ascii="ˎ̥" w:hAnsi="ˎ̥" w:eastAsia="宋体"/>
        </w:rPr>
      </w:pPr>
      <w:r>
        <w:rPr>
          <w:rFonts w:hint="eastAsia" w:ascii="ˎ̥" w:hAnsi="ˎ̥"/>
        </w:rPr>
        <w:t>采用最低价法的，评标结果按投标报价由低到高顺序排列。投标报价相同的并列。投标文件满足招标文件全部实质性要求且投标报价最低的投标人为排名第一的中标候选人。出现投标报价相同的并列情况时，采取随机抽取的方式确定。（抽签原则：在深圳公共资源交易中心（深圳交易集团有限公司龙华分公司）的组织下，由评标委员会作为抽签小组进行随机抽签确定排序。（1）编号。抽签小组按上传投标文件的时间先后确定抽签编号，如A 公司上传投标文件的时间最早，则抽签编号为1，以此类推。（2）抽签。按抽签编号的数量在摇号机放入相应数量及对应编号的号码球，抽签小组成员随机抽取号码球，按抽出号码球的顺序，确定号码球对应的供应商排序。（3）确认结果。全体抽签小组成员签字确认抽签结果。）</w:t>
      </w:r>
    </w:p>
    <w:p w14:paraId="56B147F3">
      <w:pPr>
        <w:ind w:firstLine="413" w:firstLineChars="196"/>
        <w:rPr>
          <w:rFonts w:hint="eastAsia" w:ascii="宋体" w:hAnsi="宋体"/>
          <w:b/>
          <w:bCs/>
          <w:szCs w:val="21"/>
        </w:rPr>
      </w:pPr>
      <w:r>
        <w:rPr>
          <w:rFonts w:hint="eastAsia" w:ascii="宋体" w:hAnsi="宋体"/>
          <w:b/>
          <w:bCs/>
          <w:szCs w:val="21"/>
        </w:rPr>
        <w:t>37.1.2综合评分法</w:t>
      </w:r>
    </w:p>
    <w:p w14:paraId="5EEF07A2">
      <w:pPr>
        <w:ind w:firstLine="411" w:firstLineChars="196"/>
        <w:rPr>
          <w:rFonts w:hint="eastAsia" w:ascii="ˎ̥" w:hAnsi="ˎ̥"/>
        </w:rPr>
      </w:pPr>
      <w:r>
        <w:rPr>
          <w:rFonts w:ascii="ˎ̥" w:hAnsi="ˎ̥"/>
        </w:rPr>
        <w:t>综合评分法，是指</w:t>
      </w:r>
      <w:r>
        <w:rPr>
          <w:rFonts w:hint="eastAsia" w:ascii="ˎ̥" w:hAnsi="ˎ̥"/>
        </w:rPr>
        <w:t>在</w:t>
      </w:r>
      <w:r>
        <w:rPr>
          <w:rFonts w:ascii="ˎ̥" w:hAnsi="ˎ̥"/>
        </w:rPr>
        <w:t>满足招标文件全部实质性要求</w:t>
      </w:r>
      <w:r>
        <w:rPr>
          <w:rFonts w:hint="eastAsia" w:ascii="ˎ̥" w:hAnsi="ˎ̥"/>
        </w:rPr>
        <w:t>的前提下</w:t>
      </w:r>
      <w:r>
        <w:rPr>
          <w:rFonts w:ascii="ˎ̥" w:hAnsi="ˎ̥"/>
        </w:rPr>
        <w:t>，</w:t>
      </w:r>
      <w:r>
        <w:rPr>
          <w:rFonts w:hint="eastAsia" w:ascii="ˎ̥" w:hAnsi="ˎ̥"/>
        </w:rPr>
        <w:t>按照招标文件中规定的各项因素进行综合评审，评审总得分排名前列的投标人，作为推荐的候选中标供应商。</w:t>
      </w:r>
    </w:p>
    <w:p w14:paraId="0C2B969D">
      <w:pPr>
        <w:ind w:firstLine="411" w:firstLineChars="196"/>
        <w:rPr>
          <w:rFonts w:hint="eastAsia" w:ascii="ˎ̥" w:hAnsi="ˎ̥"/>
        </w:rPr>
      </w:pPr>
      <w:r>
        <w:rPr>
          <w:rFonts w:hint="eastAsia" w:ascii="ˎ̥" w:hAnsi="ˎ̥"/>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出现得分且投标报价相同的并列情况时，采取随机抽取的方式确定。（抽签原则：在深圳公共资源交易中心（深圳交易集团有限公司龙华分公司）的组织下，由评标委员会作为抽签小组进行随机抽签确定排序。（1）编号。抽签小组按上传投标文件的时间先后确定抽签编号，如A 公司上传投标文件的时间最早，则抽签编号为1，以此类推。（2）抽签。按抽签编号的数量在摇号机放入相应数量及对应编号的号码球，抽签小组成员随机抽取号码球，按抽出号码球的顺序，确定号码球对应的供应商排序。（3）确认结果。全体抽签小组成员签字确认抽签结果。）</w:t>
      </w:r>
      <w:bookmarkEnd w:id="81"/>
    </w:p>
    <w:p w14:paraId="3C3D61D9">
      <w:pPr>
        <w:ind w:firstLine="413" w:firstLineChars="196"/>
        <w:rPr>
          <w:rFonts w:hint="eastAsia" w:ascii="宋体" w:hAnsi="宋体"/>
          <w:b/>
          <w:bCs/>
          <w:szCs w:val="21"/>
        </w:rPr>
      </w:pPr>
      <w:r>
        <w:rPr>
          <w:rFonts w:hint="eastAsia" w:ascii="宋体" w:hAnsi="宋体"/>
          <w:b/>
          <w:bCs/>
          <w:szCs w:val="21"/>
        </w:rPr>
        <w:t>37.2 本项目采用的评审方法见本项目招标文件第一册“专用条款”的相关内容。</w:t>
      </w:r>
    </w:p>
    <w:p w14:paraId="09C540F5">
      <w:pPr>
        <w:ind w:firstLine="413" w:firstLineChars="196"/>
        <w:rPr>
          <w:rFonts w:hint="eastAsia" w:ascii="宋体" w:hAnsi="宋体"/>
          <w:b/>
          <w:bCs/>
          <w:szCs w:val="21"/>
        </w:rPr>
      </w:pPr>
      <w:r>
        <w:rPr>
          <w:rFonts w:hint="eastAsia" w:ascii="宋体" w:hAnsi="宋体"/>
          <w:b/>
          <w:bCs/>
          <w:szCs w:val="21"/>
        </w:rPr>
        <w:t>37.3重新评审的情形</w:t>
      </w:r>
    </w:p>
    <w:p w14:paraId="0295A555">
      <w:pPr>
        <w:ind w:firstLine="411" w:firstLineChars="196"/>
        <w:rPr>
          <w:rFonts w:hint="eastAsia" w:ascii="宋体" w:hAnsi="宋体"/>
          <w:b/>
          <w:bCs/>
          <w:szCs w:val="21"/>
        </w:rPr>
      </w:pPr>
      <w:r>
        <w:rPr>
          <w:rFonts w:hint="eastAsia" w:ascii="宋体" w:hAnsi="宋体" w:cs="宋体"/>
          <w:kern w:val="0"/>
          <w:szCs w:val="21"/>
        </w:rPr>
        <w:t>评审结果汇总完成后，除下列情形外，任何人不得修改评审结果：</w:t>
      </w:r>
    </w:p>
    <w:p w14:paraId="79996B58">
      <w:pPr>
        <w:ind w:firstLine="411" w:firstLineChars="196"/>
        <w:rPr>
          <w:rFonts w:hint="eastAsia" w:ascii="宋体" w:hAnsi="宋体" w:cs="宋体"/>
          <w:kern w:val="0"/>
          <w:szCs w:val="21"/>
        </w:rPr>
      </w:pPr>
      <w:r>
        <w:rPr>
          <w:rFonts w:hint="eastAsia" w:ascii="宋体" w:hAnsi="宋体" w:cs="宋体"/>
          <w:kern w:val="0"/>
          <w:szCs w:val="21"/>
        </w:rPr>
        <w:t>37.3.1分值汇总计算错误的；</w:t>
      </w:r>
    </w:p>
    <w:p w14:paraId="01F45209">
      <w:pPr>
        <w:ind w:firstLine="411" w:firstLineChars="196"/>
        <w:rPr>
          <w:rFonts w:hint="eastAsia" w:ascii="宋体" w:hAnsi="宋体" w:cs="宋体"/>
          <w:kern w:val="0"/>
          <w:szCs w:val="21"/>
        </w:rPr>
      </w:pPr>
      <w:r>
        <w:rPr>
          <w:rFonts w:hint="eastAsia" w:ascii="宋体" w:hAnsi="宋体" w:cs="宋体"/>
          <w:kern w:val="0"/>
          <w:szCs w:val="21"/>
        </w:rPr>
        <w:t>37.3.2分项评分超出评分标准范围的；</w:t>
      </w:r>
    </w:p>
    <w:p w14:paraId="45272681">
      <w:pPr>
        <w:ind w:firstLine="411" w:firstLineChars="196"/>
        <w:rPr>
          <w:rFonts w:hint="eastAsia" w:ascii="宋体" w:hAnsi="宋体" w:cs="宋体"/>
          <w:kern w:val="0"/>
          <w:szCs w:val="21"/>
        </w:rPr>
      </w:pPr>
      <w:r>
        <w:rPr>
          <w:rFonts w:hint="eastAsia" w:ascii="宋体" w:hAnsi="宋体" w:cs="宋体"/>
          <w:kern w:val="0"/>
          <w:szCs w:val="21"/>
        </w:rPr>
        <w:t>37.3.3评审委员会成员对客观评审因素评分不一致的；</w:t>
      </w:r>
    </w:p>
    <w:p w14:paraId="08EE3D71">
      <w:pPr>
        <w:ind w:firstLine="411" w:firstLineChars="196"/>
        <w:rPr>
          <w:rFonts w:hint="eastAsia" w:ascii="宋体" w:hAnsi="宋体" w:cs="宋体"/>
          <w:kern w:val="0"/>
          <w:szCs w:val="21"/>
        </w:rPr>
      </w:pPr>
      <w:r>
        <w:rPr>
          <w:rFonts w:hint="eastAsia" w:ascii="宋体" w:hAnsi="宋体" w:cs="宋体"/>
          <w:kern w:val="0"/>
          <w:szCs w:val="21"/>
        </w:rPr>
        <w:t>37.3.4经评审委员会认定评分畸高、畸低的。</w:t>
      </w:r>
    </w:p>
    <w:p w14:paraId="0EF01DBE">
      <w:pPr>
        <w:ind w:firstLine="411" w:firstLineChars="196"/>
        <w:rPr>
          <w:rFonts w:hint="eastAsia" w:ascii="宋体" w:hAnsi="宋体" w:cs="宋体"/>
          <w:kern w:val="0"/>
          <w:szCs w:val="21"/>
        </w:rPr>
      </w:pPr>
      <w:r>
        <w:rPr>
          <w:rFonts w:hint="eastAsia" w:ascii="宋体" w:hAnsi="宋体" w:cs="宋体"/>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2461AA24">
      <w:pPr>
        <w:ind w:firstLine="411" w:firstLineChars="196"/>
        <w:rPr>
          <w:rFonts w:hint="eastAsia" w:ascii="宋体" w:hAnsi="宋体" w:cs="宋体"/>
          <w:kern w:val="0"/>
          <w:szCs w:val="21"/>
        </w:rPr>
      </w:pPr>
      <w:r>
        <w:rPr>
          <w:rFonts w:hint="eastAsia" w:ascii="宋体" w:hAnsi="宋体" w:cs="宋体"/>
          <w:kern w:val="0"/>
          <w:szCs w:val="21"/>
        </w:rPr>
        <w:t>投标人对本条第一款情形提出质疑的，采购人或者采购代理机构可以组织原评审委员会进行重新评审，重新评审改变评审结果的，应当书面报告本级财政部门。</w:t>
      </w:r>
    </w:p>
    <w:p w14:paraId="424949ED">
      <w:pPr>
        <w:ind w:firstLine="413" w:firstLineChars="196"/>
        <w:rPr>
          <w:rFonts w:hint="eastAsia" w:ascii="宋体" w:hAnsi="宋体"/>
          <w:b/>
          <w:bCs/>
          <w:szCs w:val="21"/>
        </w:rPr>
      </w:pPr>
      <w:r>
        <w:rPr>
          <w:rFonts w:hint="eastAsia" w:ascii="宋体" w:hAnsi="宋体"/>
          <w:b/>
          <w:bCs/>
          <w:szCs w:val="21"/>
        </w:rPr>
        <w:t xml:space="preserve"> 37.4重新组建评审委员会的情形</w:t>
      </w:r>
    </w:p>
    <w:p w14:paraId="39B5FED7">
      <w:pPr>
        <w:ind w:firstLine="411" w:firstLineChars="196"/>
        <w:rPr>
          <w:rFonts w:hint="eastAsia" w:ascii="宋体" w:hAnsi="宋体" w:cs="宋体"/>
          <w:kern w:val="0"/>
          <w:szCs w:val="21"/>
        </w:rPr>
      </w:pPr>
      <w:r>
        <w:rPr>
          <w:rFonts w:hint="eastAsia" w:ascii="宋体" w:hAnsi="宋体" w:cs="宋体"/>
          <w:kern w:val="0"/>
          <w:szCs w:val="21"/>
        </w:rPr>
        <w:t>评审委员会或者其成员存在下列情形导致评审结果无效的，重新组建评审委员会进行评标，并书面报告本级财政部门：</w:t>
      </w:r>
    </w:p>
    <w:p w14:paraId="1D2890AC">
      <w:pPr>
        <w:ind w:firstLine="411" w:firstLineChars="196"/>
        <w:rPr>
          <w:rFonts w:hint="eastAsia" w:ascii="宋体" w:hAnsi="宋体" w:cs="宋体"/>
          <w:kern w:val="0"/>
          <w:szCs w:val="21"/>
        </w:rPr>
      </w:pPr>
      <w:r>
        <w:rPr>
          <w:rFonts w:hint="eastAsia" w:ascii="宋体" w:hAnsi="宋体" w:cs="宋体"/>
          <w:kern w:val="0"/>
          <w:szCs w:val="21"/>
        </w:rPr>
        <w:t>37.4.1评审委员会组成不符合《政府采购货物和服务招标投标管理办法》规定的；</w:t>
      </w:r>
    </w:p>
    <w:p w14:paraId="3A7DA5C8">
      <w:pPr>
        <w:ind w:firstLine="411" w:firstLineChars="196"/>
        <w:rPr>
          <w:rFonts w:hint="eastAsia" w:ascii="宋体" w:hAnsi="宋体" w:cs="宋体"/>
          <w:kern w:val="0"/>
          <w:szCs w:val="21"/>
        </w:rPr>
      </w:pPr>
      <w:r>
        <w:rPr>
          <w:rFonts w:hint="eastAsia" w:ascii="宋体" w:hAnsi="宋体" w:cs="宋体"/>
          <w:kern w:val="0"/>
          <w:szCs w:val="21"/>
        </w:rPr>
        <w:t>37.4.2有《政府采购货物和服务招标投标管理办法》第六十二条第一至五项情形的；</w:t>
      </w:r>
    </w:p>
    <w:p w14:paraId="5DA93318">
      <w:pPr>
        <w:ind w:firstLine="411" w:firstLineChars="196"/>
        <w:rPr>
          <w:rFonts w:hint="eastAsia" w:ascii="宋体" w:hAnsi="宋体" w:cs="宋体"/>
          <w:kern w:val="0"/>
          <w:szCs w:val="21"/>
        </w:rPr>
      </w:pPr>
      <w:r>
        <w:rPr>
          <w:rFonts w:hint="eastAsia" w:ascii="宋体" w:hAnsi="宋体" w:cs="宋体"/>
          <w:kern w:val="0"/>
          <w:szCs w:val="21"/>
        </w:rPr>
        <w:t>37.4.3评审委员会及其成员独立评标受到非法干预的；</w:t>
      </w:r>
    </w:p>
    <w:p w14:paraId="4EEF6E78">
      <w:pPr>
        <w:ind w:firstLine="411" w:firstLineChars="196"/>
        <w:rPr>
          <w:rFonts w:hint="eastAsia" w:ascii="宋体" w:hAnsi="宋体" w:cs="宋体"/>
          <w:kern w:val="0"/>
          <w:szCs w:val="21"/>
        </w:rPr>
      </w:pPr>
      <w:r>
        <w:rPr>
          <w:rFonts w:hint="eastAsia" w:ascii="宋体" w:hAnsi="宋体" w:cs="宋体"/>
          <w:kern w:val="0"/>
          <w:szCs w:val="21"/>
        </w:rPr>
        <w:t>37.4.4有政府采购法实施条例第七十五条规定的违法行为的。</w:t>
      </w:r>
    </w:p>
    <w:p w14:paraId="29661D85">
      <w:pPr>
        <w:ind w:firstLine="411" w:firstLineChars="196"/>
        <w:rPr>
          <w:rFonts w:hint="eastAsia" w:ascii="宋体" w:hAnsi="宋体" w:cs="宋体"/>
          <w:kern w:val="0"/>
          <w:szCs w:val="21"/>
        </w:rPr>
      </w:pPr>
      <w:r>
        <w:rPr>
          <w:rFonts w:hint="eastAsia" w:ascii="宋体" w:hAnsi="宋体" w:cs="宋体"/>
          <w:kern w:val="0"/>
          <w:szCs w:val="21"/>
        </w:rPr>
        <w:t>有违法违规行为的原评审委员会成员不得参加重新组建的评审委员会。</w:t>
      </w:r>
    </w:p>
    <w:p w14:paraId="7CACE7B1">
      <w:pPr>
        <w:ind w:firstLine="411" w:firstLineChars="196"/>
        <w:rPr>
          <w:rFonts w:hint="eastAsia" w:ascii="宋体" w:hAnsi="宋体"/>
          <w:szCs w:val="21"/>
        </w:rPr>
      </w:pPr>
    </w:p>
    <w:p w14:paraId="010C811A">
      <w:pPr>
        <w:pStyle w:val="3"/>
        <w:numPr>
          <w:ilvl w:val="0"/>
          <w:numId w:val="15"/>
        </w:numPr>
        <w:spacing w:before="156" w:beforeLines="50" w:after="156" w:afterLines="50"/>
        <w:ind w:left="562" w:hanging="562"/>
        <w:rPr>
          <w:sz w:val="28"/>
          <w:szCs w:val="28"/>
        </w:rPr>
      </w:pPr>
      <w:r>
        <w:rPr>
          <w:rFonts w:hint="eastAsia"/>
          <w:sz w:val="28"/>
          <w:szCs w:val="28"/>
        </w:rPr>
        <w:t>定标及公示</w:t>
      </w:r>
    </w:p>
    <w:p w14:paraId="782B6E25">
      <w:pPr>
        <w:rPr>
          <w:rFonts w:hint="eastAsia" w:ascii="黑体" w:hAnsi="宋体" w:eastAsia="黑体"/>
          <w:sz w:val="24"/>
        </w:rPr>
      </w:pPr>
      <w:r>
        <w:rPr>
          <w:rFonts w:hint="eastAsia" w:ascii="黑体" w:hAnsi="宋体" w:eastAsia="黑体"/>
          <w:sz w:val="24"/>
        </w:rPr>
        <w:t>38．定标方法</w:t>
      </w:r>
    </w:p>
    <w:p w14:paraId="4C9A2CC8">
      <w:pPr>
        <w:ind w:firstLine="411" w:firstLineChars="196"/>
        <w:rPr>
          <w:rFonts w:hint="eastAsia" w:ascii="宋体" w:hAnsi="宋体"/>
          <w:szCs w:val="21"/>
        </w:rPr>
      </w:pPr>
      <w:bookmarkStart w:id="82" w:name="_Hlk73782795"/>
      <w:r>
        <w:rPr>
          <w:rFonts w:hint="eastAsia" w:ascii="宋体" w:hAnsi="宋体"/>
          <w:szCs w:val="21"/>
        </w:rPr>
        <w:t>38.1非评定分离项目定标方法</w:t>
      </w:r>
    </w:p>
    <w:p w14:paraId="7E9EE237">
      <w:pPr>
        <w:ind w:firstLine="411" w:firstLineChars="196"/>
        <w:rPr>
          <w:rFonts w:hint="eastAsia" w:ascii="宋体" w:hAnsi="宋体"/>
          <w:szCs w:val="21"/>
        </w:rPr>
      </w:pPr>
      <w:r>
        <w:rPr>
          <w:rFonts w:hint="eastAsia" w:ascii="宋体" w:hAnsi="宋体"/>
          <w:szCs w:val="21"/>
        </w:rPr>
        <w:t>38</w:t>
      </w:r>
      <w:r>
        <w:rPr>
          <w:rFonts w:ascii="宋体" w:hAnsi="宋体"/>
          <w:szCs w:val="21"/>
        </w:rPr>
        <w:t>.</w:t>
      </w:r>
      <w:r>
        <w:rPr>
          <w:rFonts w:hint="eastAsia" w:ascii="宋体" w:hAnsi="宋体"/>
          <w:szCs w:val="21"/>
        </w:rPr>
        <w:t>1.1评审委员会依据本项目招标文件所约定的评审方法进行评审和比较，向政府集中采购机构提交书面评审报告，并根据评审方法比较评价结果从优到劣进行排序，确定候选中标供应商。</w:t>
      </w:r>
    </w:p>
    <w:p w14:paraId="0603A239">
      <w:pPr>
        <w:ind w:firstLine="411" w:firstLineChars="196"/>
        <w:rPr>
          <w:rFonts w:hint="eastAsia" w:ascii="ˎ̥" w:hAnsi="ˎ̥"/>
        </w:rPr>
      </w:pPr>
      <w:r>
        <w:rPr>
          <w:rFonts w:hint="eastAsia" w:ascii="ˎ̥" w:hAnsi="ˎ̥"/>
        </w:rPr>
        <w:t>38.1.2采用最低价法的，评审结果按投标报价由低到高顺序排列。投标报价相同的并列。投标文件满足招标文件全部实质性要求且投标报价最低的投标人为中标供应商（排名第二的投标人为第一替补中标候选人、排名第三的投标人为第二替补中标候选人）。出现投标报价相同的并列情况时，采取随机抽取的方式确定。（抽签原则：在深圳公共资源交易中心（深圳交易集团有限公司龙华分公司）的组织下，由评标委员会作为抽签小组进行随机抽签确定排序。（1）编号。抽签小组按上传投标文件的时间先后确定抽签编号，如A 公司上传投标文件的时间最早，则抽签编号为1，以此类推。（2）抽签。按抽签编号的数量在摇号机放入相应数量及对应编号的号码球，抽签小组成员随机抽取号码球，按抽出号码球的顺序，确定号码球对应的供应商排序。（3）确认结果。全体抽签小组成员签字确认抽签结果。）</w:t>
      </w:r>
    </w:p>
    <w:p w14:paraId="4D4BE37F">
      <w:pPr>
        <w:ind w:firstLine="411" w:firstLineChars="196"/>
        <w:rPr>
          <w:rFonts w:hint="eastAsia" w:ascii="ˎ̥" w:hAnsi="ˎ̥"/>
        </w:rPr>
      </w:pPr>
      <w:r>
        <w:rPr>
          <w:rFonts w:hint="eastAsia" w:ascii="ˎ̥" w:hAnsi="ˎ̥"/>
        </w:rPr>
        <w:t>38.1.3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供应商（排名第二的投标人为第一替补中标候选人、排名第三的投标人为第二替补中标候选人）。出现得分且投标报价相同的并列情况时，采取随机抽取的方式确定。（抽签原则：在深圳公共资源交易中心（深圳交易集团有限公司龙华分公司）的组织下，由评标委员会作为抽签小组进行随机抽签确定排序。（1）编号。抽签小组按上传投标文件的时间先后确定抽签编号，如A 公司上传投标文件的时间最早，则抽签编号为1，以此类推。（2）抽签。按抽签编号的数量在摇号机放入相应数量及对应编号的号码球，抽签小组成员随机抽取号码球，按抽出号码球的顺序，确定号码球对应的供应商排序。（3）确认结果。全体抽签小组成员签字确认抽签结果。）</w:t>
      </w:r>
    </w:p>
    <w:p w14:paraId="5F6809DA">
      <w:pPr>
        <w:ind w:firstLine="411" w:firstLineChars="196"/>
        <w:rPr>
          <w:rFonts w:hint="eastAsia" w:ascii="宋体" w:hAnsi="宋体"/>
          <w:szCs w:val="21"/>
        </w:rPr>
      </w:pPr>
      <w:r>
        <w:rPr>
          <w:rFonts w:hint="eastAsia" w:ascii="宋体" w:hAnsi="宋体"/>
          <w:szCs w:val="21"/>
        </w:rPr>
        <w:t>38.2评定分离项目定标方法</w:t>
      </w:r>
    </w:p>
    <w:p w14:paraId="7ACAD7A2">
      <w:pPr>
        <w:ind w:firstLine="411" w:firstLineChars="196"/>
        <w:rPr>
          <w:rFonts w:hint="eastAsia" w:ascii="宋体" w:hAnsi="宋体"/>
          <w:szCs w:val="21"/>
        </w:rPr>
      </w:pPr>
      <w:r>
        <w:rPr>
          <w:rFonts w:hint="eastAsia" w:ascii="宋体" w:hAnsi="宋体"/>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14:paraId="22A34384">
      <w:pPr>
        <w:ind w:firstLine="411" w:firstLineChars="196"/>
      </w:pPr>
      <w:r>
        <w:rPr>
          <w:rFonts w:ascii="宋体" w:hAnsi="宋体"/>
          <w:szCs w:val="21"/>
        </w:rPr>
        <w:t xml:space="preserve">38.2.2 </w:t>
      </w:r>
      <w:bookmarkStart w:id="83" w:name="_Hlk71469733"/>
      <w:r>
        <w:t>适用评定分离的政府采购项目，采用综合评分法评</w:t>
      </w:r>
      <w:r>
        <w:rPr>
          <w:rFonts w:hint="eastAsia"/>
        </w:rPr>
        <w:t>审。</w:t>
      </w:r>
      <w:r>
        <w:rPr>
          <w:rFonts w:hint="eastAsia" w:ascii="宋体" w:hAnsi="宋体"/>
          <w:szCs w:val="21"/>
        </w:rPr>
        <w:t>评审委员会按照评审结果，推荐</w:t>
      </w:r>
      <w:r>
        <w:t>三个合格的候选中标供应商。</w:t>
      </w:r>
    </w:p>
    <w:p w14:paraId="4A9866E9">
      <w:pPr>
        <w:ind w:firstLine="411" w:firstLineChars="196"/>
        <w:rPr>
          <w:rFonts w:hint="eastAsia" w:ascii="宋体" w:hAnsi="宋体"/>
          <w:szCs w:val="21"/>
        </w:rPr>
      </w:pPr>
      <w:r>
        <w:rPr>
          <w:rFonts w:hint="eastAsia" w:ascii="宋体" w:hAnsi="宋体"/>
          <w:szCs w:val="21"/>
        </w:rPr>
        <w:t>38.2.3</w:t>
      </w:r>
      <w:bookmarkStart w:id="84" w:name="_Hlk71469688"/>
      <w:r>
        <w:t>适用评定分离的政府采购项目，</w:t>
      </w:r>
      <w:r>
        <w:rPr>
          <w:rFonts w:hint="eastAsia" w:ascii="宋体" w:hAnsi="宋体"/>
          <w:szCs w:val="21"/>
        </w:rPr>
        <w:t>按照自定法确定中标供应商：自定法是指采购人组织定标委员会，由定标委员会在三家候选中标供应商中确定中标供应商。</w:t>
      </w:r>
      <w:bookmarkEnd w:id="83"/>
      <w:bookmarkEnd w:id="84"/>
    </w:p>
    <w:p w14:paraId="28D91580">
      <w:pPr>
        <w:ind w:firstLine="411" w:firstLineChars="196"/>
        <w:rPr>
          <w:rFonts w:hint="eastAsia" w:ascii="宋体" w:hAnsi="宋体"/>
          <w:szCs w:val="21"/>
        </w:rPr>
      </w:pPr>
      <w:r>
        <w:rPr>
          <w:rFonts w:ascii="宋体" w:hAnsi="宋体"/>
          <w:szCs w:val="21"/>
        </w:rPr>
        <w:t>38.2.4</w:t>
      </w:r>
      <w:r>
        <w:rPr>
          <w:rFonts w:hint="eastAsia" w:ascii="宋体" w:hAnsi="宋体"/>
          <w:szCs w:val="21"/>
        </w:rPr>
        <w:t>政府集中采购机构</w:t>
      </w:r>
      <w:r>
        <w:t>应当自评审结束之日起两个工作日内将候选中标供应商名单及其投标文件、评审报告送交采购人</w:t>
      </w:r>
      <w:r>
        <w:rPr>
          <w:rFonts w:hint="eastAsia" w:ascii="宋体" w:hAnsi="宋体"/>
          <w:szCs w:val="21"/>
        </w:rPr>
        <w:t>。</w:t>
      </w:r>
      <w:r>
        <w:t>采购人应当安排专人对定标过程进行书面记录，形成定标报告，作为采购文件的组成部分存档，并及时将定标结果反馈</w:t>
      </w:r>
      <w:r>
        <w:rPr>
          <w:rFonts w:hint="eastAsia"/>
        </w:rPr>
        <w:t>政府集中采购机构。具体定标程序及相关要求以按照《</w:t>
      </w:r>
      <w:r>
        <w:t>深圳市财政局关于印发</w:t>
      </w:r>
      <w:r>
        <w:rPr>
          <w:rFonts w:hint="eastAsia" w:ascii="宋体" w:hAnsi="宋体"/>
        </w:rPr>
        <w:t>〈</w:t>
      </w:r>
      <w:r>
        <w:t>深圳市政府采购评标定标分离管理办法</w:t>
      </w:r>
      <w:r>
        <w:rPr>
          <w:rFonts w:hint="eastAsia" w:ascii="宋体" w:hAnsi="宋体"/>
        </w:rPr>
        <w:t>〉</w:t>
      </w:r>
      <w:r>
        <w:t>的通知</w:t>
      </w:r>
      <w:r>
        <w:rPr>
          <w:rFonts w:hint="eastAsia"/>
        </w:rPr>
        <w:t>》（深财规【2</w:t>
      </w:r>
      <w:r>
        <w:t>020</w:t>
      </w:r>
      <w:r>
        <w:rPr>
          <w:rFonts w:hint="eastAsia"/>
        </w:rPr>
        <w:t>】1号）执行。</w:t>
      </w:r>
    </w:p>
    <w:p w14:paraId="45627B55">
      <w:pPr>
        <w:ind w:firstLine="411" w:firstLineChars="196"/>
        <w:rPr>
          <w:rFonts w:hint="eastAsia" w:ascii="宋体" w:hAnsi="宋体"/>
          <w:szCs w:val="21"/>
        </w:rPr>
      </w:pPr>
      <w:r>
        <w:rPr>
          <w:rFonts w:hint="eastAsia" w:ascii="宋体" w:hAnsi="宋体"/>
          <w:szCs w:val="21"/>
        </w:rPr>
        <w:t>说明：采购人及投标供应商应按照上述方法提前做好相关准备。</w:t>
      </w:r>
    </w:p>
    <w:p w14:paraId="771445EA">
      <w:pPr>
        <w:ind w:firstLine="411" w:firstLineChars="196"/>
        <w:rPr>
          <w:rFonts w:hint="eastAsia" w:ascii="宋体" w:hAnsi="宋体"/>
          <w:szCs w:val="21"/>
        </w:rPr>
      </w:pPr>
      <w:r>
        <w:rPr>
          <w:rFonts w:hint="eastAsia" w:ascii="宋体" w:hAnsi="宋体"/>
          <w:szCs w:val="21"/>
        </w:rPr>
        <w:t>38.3专用条款另有规定的，按专用条款相关要求定标。</w:t>
      </w:r>
      <w:bookmarkEnd w:id="82"/>
    </w:p>
    <w:p w14:paraId="0FDBC4E8">
      <w:pPr>
        <w:rPr>
          <w:rFonts w:hint="eastAsia" w:ascii="黑体" w:hAnsi="宋体" w:eastAsia="黑体"/>
          <w:sz w:val="24"/>
        </w:rPr>
      </w:pPr>
      <w:r>
        <w:rPr>
          <w:rFonts w:hint="eastAsia" w:ascii="黑体" w:hAnsi="宋体" w:eastAsia="黑体"/>
          <w:sz w:val="24"/>
        </w:rPr>
        <w:t>39．编写评审报告</w:t>
      </w:r>
    </w:p>
    <w:p w14:paraId="14513C43">
      <w:pPr>
        <w:ind w:firstLine="411" w:firstLineChars="196"/>
        <w:rPr>
          <w:rFonts w:hint="eastAsia" w:ascii="宋体" w:hAnsi="宋体"/>
          <w:szCs w:val="21"/>
        </w:rPr>
      </w:pPr>
      <w:r>
        <w:rPr>
          <w:rFonts w:hint="eastAsia" w:ascii="宋体" w:hAnsi="宋体"/>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038E3AE4">
      <w:pPr>
        <w:rPr>
          <w:rFonts w:hint="eastAsia" w:ascii="黑体" w:hAnsi="宋体" w:eastAsia="黑体"/>
          <w:sz w:val="24"/>
        </w:rPr>
      </w:pPr>
      <w:r>
        <w:rPr>
          <w:rFonts w:hint="eastAsia" w:ascii="黑体" w:hAnsi="宋体" w:eastAsia="黑体"/>
          <w:sz w:val="24"/>
        </w:rPr>
        <w:t>40．中标公告</w:t>
      </w:r>
    </w:p>
    <w:p w14:paraId="3D065B5A">
      <w:pPr>
        <w:ind w:firstLine="411" w:firstLineChars="196"/>
        <w:rPr>
          <w:rFonts w:hint="eastAsia" w:ascii="宋体" w:hAnsi="宋体"/>
          <w:szCs w:val="21"/>
        </w:rPr>
      </w:pPr>
      <w:r>
        <w:rPr>
          <w:rFonts w:hint="eastAsia" w:ascii="宋体" w:hAnsi="宋体"/>
          <w:szCs w:val="21"/>
        </w:rPr>
        <w:t>40.1</w:t>
      </w:r>
      <w:bookmarkStart w:id="85" w:name="_Hlk72438709"/>
      <w:r>
        <w:rPr>
          <w:rFonts w:hint="eastAsia" w:ascii="宋体" w:hAnsi="宋体"/>
          <w:szCs w:val="21"/>
        </w:rPr>
        <w:t>为体现“公开、公平、公正”的原则，评审结束后经采购人确认（确定）评审结果，政府集中采购机构将在</w:t>
      </w:r>
      <w:r>
        <w:rPr>
          <w:rFonts w:hint="eastAsia" w:ascii="宋体" w:hAnsi="宋体"/>
          <w:b/>
          <w:bCs/>
        </w:rPr>
        <w:t>深圳政府采购自行采购系统</w:t>
      </w:r>
      <w:r>
        <w:rPr>
          <w:rFonts w:hint="eastAsia" w:ascii="宋体" w:hAnsi="宋体"/>
          <w:b/>
          <w:bCs/>
          <w:szCs w:val="21"/>
        </w:rPr>
        <w:t>（https://zxcg.szggzy.com/home/index.html）</w:t>
      </w:r>
      <w:r>
        <w:rPr>
          <w:rFonts w:hint="eastAsia" w:ascii="宋体" w:hAnsi="宋体"/>
          <w:szCs w:val="21"/>
        </w:rPr>
        <w:t>上发布中标结果公告。</w:t>
      </w:r>
      <w:bookmarkEnd w:id="85"/>
      <w:bookmarkStart w:id="86" w:name="_Hlk72438751"/>
      <w:r>
        <w:rPr>
          <w:rFonts w:hint="eastAsia" w:ascii="宋体" w:hAnsi="宋体"/>
          <w:szCs w:val="21"/>
        </w:rPr>
        <w:t>供应商如对评审结果有异议，</w:t>
      </w:r>
      <w:r>
        <w:rPr>
          <w:rFonts w:ascii="宋体" w:hAnsi="宋体"/>
          <w:szCs w:val="21"/>
        </w:rPr>
        <w:t>可在发布公示日期起</w:t>
      </w:r>
      <w:r>
        <w:rPr>
          <w:rFonts w:hint="eastAsia" w:ascii="宋体" w:hAnsi="宋体"/>
          <w:szCs w:val="21"/>
        </w:rPr>
        <w:t>七</w:t>
      </w:r>
      <w:r>
        <w:rPr>
          <w:rFonts w:ascii="宋体" w:hAnsi="宋体"/>
          <w:szCs w:val="21"/>
        </w:rPr>
        <w:t>个工作日内向</w:t>
      </w:r>
      <w:r>
        <w:rPr>
          <w:rFonts w:hint="eastAsia" w:ascii="宋体" w:hAnsi="宋体"/>
          <w:szCs w:val="21"/>
        </w:rPr>
        <w:t>政府集中采购机构</w:t>
      </w:r>
      <w:r>
        <w:rPr>
          <w:rFonts w:ascii="宋体" w:hAnsi="宋体"/>
          <w:szCs w:val="21"/>
        </w:rPr>
        <w:t>提出。 监督电话：0755-83948143。</w:t>
      </w:r>
      <w:r>
        <w:rPr>
          <w:rFonts w:hint="eastAsia" w:ascii="宋体" w:hAnsi="宋体"/>
          <w:szCs w:val="21"/>
        </w:rPr>
        <w:t>若在公示期内未提出质疑，则视为认同该评审结果。</w:t>
      </w:r>
    </w:p>
    <w:bookmarkEnd w:id="86"/>
    <w:p w14:paraId="25EC062F">
      <w:pPr>
        <w:ind w:firstLine="411" w:firstLineChars="196"/>
        <w:rPr>
          <w:rFonts w:hint="eastAsia" w:ascii="宋体" w:hAnsi="宋体"/>
          <w:szCs w:val="21"/>
        </w:rPr>
      </w:pPr>
      <w:r>
        <w:rPr>
          <w:rFonts w:hint="eastAsia" w:ascii="宋体" w:hAnsi="宋体"/>
          <w:szCs w:val="21"/>
        </w:rPr>
        <w:t>40.2质疑、投诉供应商应保证质疑、投诉内容的真实性和可靠性，并承担相应的法律责任。</w:t>
      </w:r>
    </w:p>
    <w:p w14:paraId="1F095142">
      <w:pPr>
        <w:rPr>
          <w:rFonts w:hint="eastAsia" w:ascii="黑体" w:hAnsi="宋体" w:eastAsia="黑体"/>
          <w:sz w:val="24"/>
        </w:rPr>
      </w:pPr>
      <w:r>
        <w:rPr>
          <w:rFonts w:hint="eastAsia" w:ascii="黑体" w:hAnsi="宋体" w:eastAsia="黑体"/>
          <w:sz w:val="24"/>
        </w:rPr>
        <w:t>41．中标通知书</w:t>
      </w:r>
    </w:p>
    <w:p w14:paraId="12784705">
      <w:pPr>
        <w:ind w:firstLine="411" w:firstLineChars="196"/>
        <w:rPr>
          <w:rFonts w:hint="eastAsia" w:ascii="宋体" w:hAnsi="宋体"/>
          <w:szCs w:val="21"/>
        </w:rPr>
      </w:pPr>
      <w:r>
        <w:rPr>
          <w:rFonts w:hint="eastAsia" w:ascii="宋体" w:hAnsi="宋体"/>
          <w:szCs w:val="21"/>
        </w:rPr>
        <w:t>41</w:t>
      </w:r>
      <w:r>
        <w:rPr>
          <w:rFonts w:ascii="宋体" w:hAnsi="宋体"/>
          <w:szCs w:val="21"/>
        </w:rPr>
        <w:t>.</w:t>
      </w:r>
      <w:r>
        <w:rPr>
          <w:rFonts w:hint="eastAsia" w:ascii="宋体" w:hAnsi="宋体"/>
          <w:szCs w:val="21"/>
        </w:rPr>
        <w:t>1</w:t>
      </w:r>
      <w:bookmarkStart w:id="87" w:name="_Hlk72438863"/>
      <w:r>
        <w:rPr>
          <w:rFonts w:hint="eastAsia" w:ascii="宋体" w:hAnsi="宋体"/>
          <w:szCs w:val="21"/>
        </w:rPr>
        <w:t>中标公告公布以后无异常的情况下,中标供应商和采购人可自行登录</w:t>
      </w:r>
      <w:r>
        <w:rPr>
          <w:rFonts w:hint="eastAsia" w:ascii="宋体" w:hAnsi="宋体"/>
          <w:b/>
          <w:bCs/>
          <w:szCs w:val="21"/>
        </w:rPr>
        <w:t>“</w:t>
      </w:r>
      <w:r>
        <w:rPr>
          <w:rFonts w:hint="eastAsia" w:ascii="宋体" w:hAnsi="宋体"/>
        </w:rPr>
        <w:t>深圳政府采购自行采购系统（https://trade.szggzy.com/ggzy/center/#/login）</w:t>
      </w:r>
      <w:r>
        <w:rPr>
          <w:rFonts w:hint="eastAsia" w:ascii="宋体" w:hAnsi="宋体"/>
          <w:b/>
          <w:bCs/>
          <w:szCs w:val="21"/>
        </w:rPr>
        <w:t>”</w:t>
      </w:r>
      <w:r>
        <w:rPr>
          <w:rFonts w:hint="eastAsia" w:ascii="宋体" w:hAnsi="宋体"/>
          <w:szCs w:val="21"/>
        </w:rPr>
        <w:t>上打印</w:t>
      </w:r>
      <w:r>
        <w:rPr>
          <w:rFonts w:hint="eastAsia" w:ascii="宋体" w:hAnsi="宋体"/>
          <w:b/>
          <w:szCs w:val="21"/>
        </w:rPr>
        <w:t>《数字中标通知书》</w:t>
      </w:r>
      <w:r>
        <w:rPr>
          <w:rFonts w:hint="eastAsia" w:ascii="宋体" w:hAnsi="宋体"/>
          <w:szCs w:val="21"/>
        </w:rPr>
        <w:t>。</w:t>
      </w:r>
      <w:bookmarkEnd w:id="87"/>
    </w:p>
    <w:p w14:paraId="676CCFEE">
      <w:pPr>
        <w:ind w:firstLine="411" w:firstLineChars="196"/>
        <w:rPr>
          <w:rFonts w:hint="eastAsia" w:ascii="宋体" w:hAnsi="宋体"/>
          <w:szCs w:val="21"/>
        </w:rPr>
      </w:pPr>
      <w:r>
        <w:rPr>
          <w:rFonts w:hint="eastAsia" w:ascii="宋体" w:hAnsi="宋体"/>
          <w:szCs w:val="21"/>
        </w:rPr>
        <w:t>41</w:t>
      </w:r>
      <w:r>
        <w:rPr>
          <w:rFonts w:ascii="宋体" w:hAnsi="宋体"/>
          <w:szCs w:val="21"/>
        </w:rPr>
        <w:t>.2</w:t>
      </w:r>
      <w:r>
        <w:rPr>
          <w:rFonts w:hint="eastAsia" w:ascii="宋体" w:hAnsi="宋体"/>
          <w:szCs w:val="21"/>
        </w:rPr>
        <w:t>中标通知书是合同的重要组成部分。</w:t>
      </w:r>
    </w:p>
    <w:p w14:paraId="4F5C9FF2">
      <w:pPr>
        <w:ind w:firstLine="411" w:firstLineChars="196"/>
        <w:rPr>
          <w:rFonts w:hint="eastAsia" w:ascii="宋体" w:hAnsi="宋体"/>
          <w:szCs w:val="21"/>
        </w:rPr>
      </w:pPr>
      <w:bookmarkStart w:id="88" w:name="_Hlk71407340"/>
      <w:r>
        <w:rPr>
          <w:rFonts w:hint="eastAsia" w:ascii="宋体" w:hAnsi="宋体"/>
          <w:szCs w:val="21"/>
        </w:rPr>
        <w:t>41.3因质疑投诉或其它原因导致项目结果变更或采购终止的，政府集中采购机构有权吊销中标通知书。</w:t>
      </w:r>
    </w:p>
    <w:bookmarkEnd w:id="88"/>
    <w:p w14:paraId="2CA7B90F">
      <w:pPr>
        <w:ind w:firstLine="411" w:firstLineChars="196"/>
        <w:rPr>
          <w:rFonts w:hint="eastAsia" w:ascii="宋体" w:hAnsi="宋体"/>
          <w:szCs w:val="21"/>
        </w:rPr>
      </w:pPr>
    </w:p>
    <w:p w14:paraId="03817F7D">
      <w:pPr>
        <w:pStyle w:val="3"/>
        <w:numPr>
          <w:ilvl w:val="0"/>
          <w:numId w:val="15"/>
        </w:numPr>
        <w:spacing w:before="156" w:beforeLines="50" w:after="156" w:afterLines="50"/>
        <w:ind w:left="562" w:hanging="562"/>
        <w:rPr>
          <w:sz w:val="28"/>
          <w:szCs w:val="28"/>
        </w:rPr>
      </w:pPr>
      <w:r>
        <w:rPr>
          <w:rFonts w:hint="eastAsia"/>
          <w:sz w:val="28"/>
          <w:szCs w:val="28"/>
        </w:rPr>
        <w:t>公开招标失败的后续处理</w:t>
      </w:r>
    </w:p>
    <w:p w14:paraId="6E8070A4">
      <w:pPr>
        <w:rPr>
          <w:rFonts w:hint="eastAsia" w:ascii="黑体" w:hAnsi="宋体" w:eastAsia="黑体"/>
          <w:sz w:val="24"/>
        </w:rPr>
      </w:pPr>
      <w:r>
        <w:rPr>
          <w:rFonts w:hint="eastAsia" w:ascii="黑体" w:hAnsi="宋体" w:eastAsia="黑体"/>
          <w:sz w:val="24"/>
        </w:rPr>
        <w:t>42．公开招标失败的处理</w:t>
      </w:r>
    </w:p>
    <w:p w14:paraId="463509D1">
      <w:pPr>
        <w:ind w:firstLine="411" w:firstLineChars="196"/>
        <w:rPr>
          <w:rFonts w:hint="eastAsia" w:ascii="宋体" w:hAnsi="宋体"/>
        </w:rPr>
      </w:pPr>
      <w:r>
        <w:rPr>
          <w:rFonts w:hint="eastAsia" w:ascii="宋体" w:hAnsi="宋体"/>
          <w:szCs w:val="21"/>
        </w:rPr>
        <w:t>42.1本项目公开招标过程中若由于投标截止后</w:t>
      </w:r>
      <w:r>
        <w:rPr>
          <w:rFonts w:hint="eastAsia" w:ascii="宋体" w:hAnsi="宋体"/>
        </w:rPr>
        <w:t>实际递交</w:t>
      </w:r>
      <w:r>
        <w:rPr>
          <w:rFonts w:ascii="宋体" w:hAnsi="宋体"/>
        </w:rPr>
        <w:t>投标</w:t>
      </w:r>
      <w:r>
        <w:rPr>
          <w:rFonts w:hint="eastAsia" w:ascii="宋体" w:hAnsi="宋体"/>
        </w:rPr>
        <w:t>文件的供应商数量不足、经</w:t>
      </w:r>
      <w:r>
        <w:rPr>
          <w:rFonts w:hint="eastAsia" w:ascii="宋体" w:hAnsi="宋体"/>
          <w:szCs w:val="21"/>
        </w:rPr>
        <w:t>评审委员会</w:t>
      </w:r>
      <w:r>
        <w:rPr>
          <w:rFonts w:hint="eastAsia" w:ascii="宋体" w:hAnsi="宋体"/>
        </w:rPr>
        <w:t>评审对招标文件作实质响应的供应商不足等原因造成公开招标失败，可由</w:t>
      </w:r>
      <w:r>
        <w:rPr>
          <w:rFonts w:hint="eastAsia" w:ascii="宋体" w:hAnsi="宋体" w:cs="宋体"/>
        </w:rPr>
        <w:t>政府集中采购机构</w:t>
      </w:r>
      <w:r>
        <w:rPr>
          <w:rFonts w:hint="eastAsia" w:ascii="宋体" w:hAnsi="宋体"/>
        </w:rPr>
        <w:t>重新组织采购。</w:t>
      </w:r>
    </w:p>
    <w:p w14:paraId="47CDFEF0">
      <w:pPr>
        <w:ind w:firstLine="411" w:firstLineChars="196"/>
        <w:rPr>
          <w:rFonts w:hint="eastAsia" w:ascii="宋体" w:hAnsi="宋体"/>
          <w:szCs w:val="21"/>
        </w:rPr>
      </w:pPr>
      <w:r>
        <w:rPr>
          <w:rFonts w:hint="eastAsia" w:ascii="宋体" w:hAnsi="宋体"/>
          <w:szCs w:val="21"/>
        </w:rPr>
        <w:t>42.2对公开招标失败的项目，评审委员会在出具该项目招标失败结论的同时，可以提出重新采购组织形式的建议，以及进一步完善招标文件的资格、技术、商务要求的修改建议。</w:t>
      </w:r>
    </w:p>
    <w:p w14:paraId="78A9D988">
      <w:pPr>
        <w:ind w:firstLine="411" w:firstLineChars="196"/>
        <w:rPr>
          <w:rFonts w:hint="eastAsia" w:ascii="宋体" w:hAnsi="宋体"/>
          <w:szCs w:val="21"/>
        </w:rPr>
      </w:pPr>
      <w:r>
        <w:rPr>
          <w:rFonts w:hint="eastAsia" w:ascii="宋体" w:hAnsi="宋体"/>
          <w:szCs w:val="21"/>
        </w:rPr>
        <w:t>42.3重新组织采购有以下两种组织形式：</w:t>
      </w:r>
    </w:p>
    <w:p w14:paraId="6B9FA319">
      <w:pPr>
        <w:ind w:firstLine="411" w:firstLineChars="196"/>
        <w:rPr>
          <w:rFonts w:hint="eastAsia" w:ascii="宋体" w:hAnsi="宋体"/>
        </w:rPr>
      </w:pPr>
      <w:r>
        <w:rPr>
          <w:rFonts w:hint="eastAsia" w:ascii="宋体" w:hAnsi="宋体"/>
        </w:rPr>
        <w:t>（1）由政府集中采购机构重新组织公开招标；</w:t>
      </w:r>
    </w:p>
    <w:p w14:paraId="7F4FDAE4">
      <w:pPr>
        <w:ind w:firstLine="411" w:firstLineChars="196"/>
        <w:rPr>
          <w:rFonts w:hint="eastAsia" w:ascii="宋体" w:hAnsi="宋体"/>
        </w:rPr>
      </w:pPr>
      <w:r>
        <w:rPr>
          <w:rFonts w:hint="eastAsia" w:ascii="宋体" w:hAnsi="宋体"/>
        </w:rPr>
        <w:t>（2）根据实际情况需要向同级财政部门提出非公开招标方式申请，经同级财政部门批准，公开招标失败采购项目可转为竞争性谈判或单一来源谈判方式采购。</w:t>
      </w:r>
    </w:p>
    <w:p w14:paraId="29735292">
      <w:pPr>
        <w:ind w:firstLine="411" w:firstLineChars="196"/>
        <w:rPr>
          <w:rFonts w:hint="eastAsia" w:ascii="宋体" w:hAnsi="宋体"/>
        </w:rPr>
      </w:pPr>
      <w:r>
        <w:rPr>
          <w:rFonts w:hint="eastAsia" w:ascii="宋体" w:hAnsi="宋体"/>
        </w:rPr>
        <w:t>42.4公开招标失败的采购项目重新组织公开招标，由政府集中采购机构重新按公开招标流程组织采购活动。</w:t>
      </w:r>
    </w:p>
    <w:p w14:paraId="4847C74A">
      <w:pPr>
        <w:rPr>
          <w:rFonts w:hint="eastAsia" w:ascii="宋体" w:hAnsi="宋体"/>
        </w:rPr>
      </w:pPr>
      <w:r>
        <w:rPr>
          <w:rFonts w:hint="eastAsia" w:ascii="黑体" w:hAnsi="宋体" w:eastAsia="黑体"/>
          <w:sz w:val="24"/>
        </w:rPr>
        <w:t xml:space="preserve">    </w:t>
      </w:r>
      <w:r>
        <w:rPr>
          <w:rFonts w:hint="eastAsia" w:ascii="宋体" w:hAnsi="宋体"/>
        </w:rPr>
        <w:t>42.5公开招标失败的采购项目经同级财政部门批准转为竞争性谈判或单一来源谈判方式采购的，按规定要求组织政府采购工作。</w:t>
      </w:r>
    </w:p>
    <w:p w14:paraId="38250645">
      <w:pPr>
        <w:rPr>
          <w:rFonts w:hint="eastAsia" w:ascii="黑体" w:hAnsi="宋体" w:eastAsia="黑体"/>
          <w:sz w:val="24"/>
        </w:rPr>
      </w:pPr>
    </w:p>
    <w:p w14:paraId="7E4B89BA">
      <w:pPr>
        <w:pStyle w:val="3"/>
        <w:numPr>
          <w:ilvl w:val="0"/>
          <w:numId w:val="15"/>
        </w:numPr>
        <w:spacing w:before="156" w:beforeLines="50" w:after="156" w:afterLines="50"/>
        <w:ind w:left="562" w:hanging="562"/>
        <w:rPr>
          <w:sz w:val="28"/>
          <w:szCs w:val="28"/>
        </w:rPr>
      </w:pPr>
      <w:bookmarkStart w:id="89" w:name="_Hlk72439043"/>
      <w:r>
        <w:rPr>
          <w:rFonts w:hint="eastAsia"/>
          <w:sz w:val="28"/>
          <w:szCs w:val="28"/>
        </w:rPr>
        <w:t>合同的授予与备案</w:t>
      </w:r>
      <w:bookmarkEnd w:id="89"/>
    </w:p>
    <w:p w14:paraId="0D486303">
      <w:pPr>
        <w:rPr>
          <w:rFonts w:hint="eastAsia" w:ascii="黑体" w:hAnsi="宋体" w:eastAsia="黑体"/>
          <w:sz w:val="24"/>
        </w:rPr>
      </w:pPr>
      <w:bookmarkStart w:id="90" w:name="_Toc73518157"/>
      <w:bookmarkStart w:id="91" w:name="_Toc100052408"/>
      <w:bookmarkStart w:id="92" w:name="_Toc73521586"/>
      <w:bookmarkStart w:id="93" w:name="_Toc73517679"/>
      <w:bookmarkStart w:id="94" w:name="_Toc73521674"/>
      <w:bookmarkStart w:id="95" w:name="_Hlk72439088"/>
      <w:r>
        <w:rPr>
          <w:rFonts w:hint="eastAsia" w:ascii="黑体" w:hAnsi="宋体" w:eastAsia="黑体"/>
          <w:sz w:val="24"/>
        </w:rPr>
        <w:t>43．合同授予标准</w:t>
      </w:r>
      <w:bookmarkEnd w:id="90"/>
      <w:bookmarkEnd w:id="91"/>
      <w:bookmarkEnd w:id="92"/>
      <w:bookmarkEnd w:id="93"/>
      <w:bookmarkEnd w:id="94"/>
    </w:p>
    <w:p w14:paraId="309A8A4F">
      <w:pPr>
        <w:ind w:firstLine="411" w:firstLineChars="196"/>
        <w:rPr>
          <w:rFonts w:hint="eastAsia" w:ascii="宋体" w:hAnsi="宋体"/>
          <w:szCs w:val="21"/>
        </w:rPr>
      </w:pPr>
      <w:r>
        <w:rPr>
          <w:rFonts w:hint="eastAsia" w:ascii="宋体" w:hAnsi="宋体"/>
          <w:szCs w:val="21"/>
        </w:rPr>
        <w:t>本项目的合同将授予经本招标文件规定评审确定的中标供应商。</w:t>
      </w:r>
    </w:p>
    <w:p w14:paraId="413B5E6D">
      <w:pPr>
        <w:rPr>
          <w:rFonts w:hint="eastAsia" w:ascii="黑体" w:hAnsi="宋体" w:eastAsia="黑体"/>
          <w:sz w:val="24"/>
        </w:rPr>
      </w:pPr>
      <w:bookmarkStart w:id="96" w:name="_Toc73518158"/>
      <w:bookmarkStart w:id="97" w:name="_Toc73517680"/>
      <w:bookmarkStart w:id="98" w:name="_Toc100052409"/>
      <w:bookmarkStart w:id="99" w:name="_Toc73521587"/>
      <w:bookmarkStart w:id="100" w:name="_Toc73521675"/>
      <w:r>
        <w:rPr>
          <w:rFonts w:hint="eastAsia" w:ascii="黑体" w:hAnsi="宋体" w:eastAsia="黑体"/>
          <w:sz w:val="24"/>
        </w:rPr>
        <w:t>44．</w:t>
      </w:r>
      <w:bookmarkEnd w:id="96"/>
      <w:bookmarkEnd w:id="97"/>
      <w:bookmarkEnd w:id="98"/>
      <w:bookmarkEnd w:id="99"/>
      <w:bookmarkEnd w:id="100"/>
      <w:r>
        <w:rPr>
          <w:rFonts w:hint="eastAsia" w:ascii="黑体" w:hAnsi="宋体" w:eastAsia="黑体"/>
          <w:sz w:val="24"/>
        </w:rPr>
        <w:t>接受和拒绝任何或所有投标的权力</w:t>
      </w:r>
    </w:p>
    <w:p w14:paraId="43A87AC4">
      <w:pPr>
        <w:ind w:firstLine="411" w:firstLineChars="196"/>
        <w:rPr>
          <w:rFonts w:hint="eastAsia" w:ascii="宋体" w:hAnsi="宋体"/>
          <w:szCs w:val="21"/>
        </w:rPr>
      </w:pPr>
      <w:r>
        <w:rPr>
          <w:rFonts w:hint="eastAsia" w:ascii="宋体" w:hAnsi="宋体"/>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14:paraId="2967EB05">
      <w:pPr>
        <w:rPr>
          <w:rFonts w:hint="eastAsia" w:ascii="黑体" w:hAnsi="宋体" w:eastAsia="黑体"/>
          <w:sz w:val="24"/>
        </w:rPr>
      </w:pPr>
      <w:bookmarkStart w:id="101" w:name="_Toc73517682"/>
      <w:bookmarkStart w:id="102" w:name="_Toc73521677"/>
      <w:bookmarkStart w:id="103" w:name="_Toc100052410"/>
      <w:bookmarkStart w:id="104" w:name="_Toc73521589"/>
      <w:bookmarkStart w:id="105" w:name="_Toc73518160"/>
      <w:r>
        <w:rPr>
          <w:rFonts w:hint="eastAsia" w:ascii="黑体" w:hAnsi="宋体" w:eastAsia="黑体"/>
          <w:sz w:val="24"/>
        </w:rPr>
        <w:t>45．合同的签订</w:t>
      </w:r>
      <w:bookmarkEnd w:id="101"/>
      <w:bookmarkEnd w:id="102"/>
      <w:bookmarkEnd w:id="103"/>
      <w:bookmarkEnd w:id="104"/>
      <w:bookmarkEnd w:id="105"/>
    </w:p>
    <w:p w14:paraId="5BA53FF3">
      <w:pPr>
        <w:ind w:firstLine="411" w:firstLineChars="196"/>
        <w:rPr>
          <w:rFonts w:hint="eastAsia" w:ascii="宋体" w:hAnsi="宋体"/>
          <w:szCs w:val="21"/>
        </w:rPr>
      </w:pPr>
      <w:r>
        <w:rPr>
          <w:rFonts w:hint="eastAsia" w:ascii="宋体" w:hAnsi="宋体"/>
          <w:szCs w:val="21"/>
        </w:rPr>
        <w:t>45.1中标人将于中标通知书发出之日起十个工作日内，按照采购文件（招标文件和投标文件等）内容与采购人签订政府采购合同；合同的实质性内容应当符合招标文件的规定；</w:t>
      </w:r>
    </w:p>
    <w:p w14:paraId="051A66B4">
      <w:pPr>
        <w:ind w:firstLine="411" w:firstLineChars="196"/>
        <w:rPr>
          <w:rFonts w:hint="eastAsia" w:ascii="宋体" w:hAnsi="宋体"/>
          <w:szCs w:val="21"/>
        </w:rPr>
      </w:pPr>
      <w:r>
        <w:rPr>
          <w:rFonts w:hint="eastAsia" w:ascii="宋体" w:hAnsi="宋体"/>
          <w:szCs w:val="21"/>
        </w:rPr>
        <w:t>45.2中标人如不按本通用条款第45</w:t>
      </w:r>
      <w:r>
        <w:rPr>
          <w:rFonts w:ascii="宋体" w:hAnsi="宋体"/>
          <w:szCs w:val="21"/>
        </w:rPr>
        <w:t>.1</w:t>
      </w:r>
      <w:r>
        <w:rPr>
          <w:rFonts w:hint="eastAsia" w:ascii="宋体" w:hAnsi="宋体"/>
          <w:szCs w:val="21"/>
        </w:rPr>
        <w:t>款的规定与采购人签订合同，</w:t>
      </w:r>
      <w:r>
        <w:rPr>
          <w:rFonts w:ascii="宋体" w:hAnsi="宋体" w:cs="宋体"/>
          <w:kern w:val="0"/>
          <w:szCs w:val="21"/>
        </w:rPr>
        <w:t>情节严重的，由</w:t>
      </w:r>
      <w:r>
        <w:rPr>
          <w:rFonts w:hint="eastAsia" w:ascii="宋体" w:hAnsi="宋体" w:cs="宋体"/>
          <w:kern w:val="0"/>
          <w:szCs w:val="21"/>
        </w:rPr>
        <w:t>同级财政</w:t>
      </w:r>
      <w:r>
        <w:rPr>
          <w:rFonts w:ascii="宋体" w:hAnsi="宋体" w:cs="宋体"/>
          <w:kern w:val="0"/>
          <w:szCs w:val="21"/>
        </w:rPr>
        <w:t>部门记入供应商诚信档案，予以通报</w:t>
      </w:r>
      <w:r>
        <w:rPr>
          <w:rFonts w:hint="eastAsia" w:ascii="宋体" w:hAnsi="宋体"/>
          <w:szCs w:val="21"/>
        </w:rPr>
        <w:t>；</w:t>
      </w:r>
    </w:p>
    <w:p w14:paraId="2137507C">
      <w:pPr>
        <w:ind w:firstLine="411" w:firstLineChars="196"/>
        <w:rPr>
          <w:rFonts w:hint="eastAsia" w:ascii="宋体" w:hAnsi="宋体"/>
          <w:szCs w:val="21"/>
        </w:rPr>
      </w:pPr>
      <w:r>
        <w:rPr>
          <w:rFonts w:hint="eastAsia" w:ascii="宋体" w:hAnsi="宋体"/>
          <w:szCs w:val="21"/>
        </w:rPr>
        <w:t>45.3中标人应当按照合同约定履行义务，完成中标项目，不得将中标项目转让（转包）给他人。</w:t>
      </w:r>
    </w:p>
    <w:p w14:paraId="5237C0B1">
      <w:pPr>
        <w:rPr>
          <w:rFonts w:hint="eastAsia" w:ascii="黑体" w:hAnsi="宋体" w:eastAsia="黑体"/>
          <w:sz w:val="24"/>
        </w:rPr>
      </w:pPr>
      <w:bookmarkStart w:id="106" w:name="_Toc73517683"/>
      <w:bookmarkStart w:id="107" w:name="_Toc73521590"/>
      <w:bookmarkStart w:id="108" w:name="_Toc73518161"/>
      <w:bookmarkStart w:id="109" w:name="_Toc100052411"/>
      <w:bookmarkStart w:id="110" w:name="_Toc73521678"/>
      <w:r>
        <w:rPr>
          <w:rFonts w:hint="eastAsia" w:ascii="黑体" w:hAnsi="宋体" w:eastAsia="黑体"/>
          <w:sz w:val="24"/>
        </w:rPr>
        <w:t>46．履约担保</w:t>
      </w:r>
      <w:bookmarkEnd w:id="106"/>
      <w:bookmarkEnd w:id="107"/>
      <w:bookmarkEnd w:id="108"/>
      <w:bookmarkEnd w:id="109"/>
      <w:bookmarkEnd w:id="110"/>
    </w:p>
    <w:p w14:paraId="018F5895">
      <w:pPr>
        <w:ind w:firstLine="411" w:firstLineChars="196"/>
        <w:rPr>
          <w:rFonts w:hint="eastAsia" w:ascii="宋体" w:hAnsi="宋体"/>
          <w:szCs w:val="21"/>
        </w:rPr>
      </w:pPr>
      <w:r>
        <w:rPr>
          <w:rFonts w:hint="eastAsia" w:ascii="宋体" w:hAnsi="宋体"/>
          <w:szCs w:val="21"/>
        </w:rPr>
        <w:t>46.1在签订项目合同的同时，中标人应按“对通用条款的补充内容”中规定的金额向采购人提交履约担保；</w:t>
      </w:r>
    </w:p>
    <w:p w14:paraId="6FA84FF0">
      <w:pPr>
        <w:ind w:firstLine="411" w:firstLineChars="196"/>
        <w:rPr>
          <w:rFonts w:hint="eastAsia" w:ascii="宋体" w:hAnsi="宋体"/>
          <w:szCs w:val="21"/>
        </w:rPr>
      </w:pPr>
      <w:r>
        <w:rPr>
          <w:rFonts w:hint="eastAsia" w:ascii="宋体" w:hAnsi="宋体"/>
          <w:szCs w:val="21"/>
        </w:rPr>
        <w:t>46.2，允许供应商自主选择以支票、汇票、本票、保函等非现金方式提交履约担保；</w:t>
      </w:r>
      <w:r>
        <w:t>中标</w:t>
      </w:r>
      <w:r>
        <w:rPr>
          <w:rFonts w:hint="eastAsia"/>
        </w:rPr>
        <w:t>人</w:t>
      </w:r>
      <w:r>
        <w:t>提交履约</w:t>
      </w:r>
      <w:r>
        <w:rPr>
          <w:rFonts w:hint="eastAsia"/>
        </w:rPr>
        <w:t>担保不是</w:t>
      </w:r>
      <w:r>
        <w:t>合同签订的</w:t>
      </w:r>
      <w:r>
        <w:rPr>
          <w:rFonts w:hint="eastAsia"/>
        </w:rPr>
        <w:t>前提</w:t>
      </w:r>
      <w:r>
        <w:t>条件，不要求中标</w:t>
      </w:r>
      <w:r>
        <w:rPr>
          <w:rFonts w:hint="eastAsia"/>
        </w:rPr>
        <w:t>人</w:t>
      </w:r>
      <w:r>
        <w:t>提供除法律、法规明确规定外的其他担保</w:t>
      </w:r>
      <w:r>
        <w:rPr>
          <w:rFonts w:hint="eastAsia"/>
        </w:rPr>
        <w:t>。</w:t>
      </w:r>
    </w:p>
    <w:p w14:paraId="5CD79650">
      <w:pPr>
        <w:rPr>
          <w:rFonts w:hint="eastAsia" w:ascii="黑体" w:hAnsi="宋体" w:eastAsia="黑体"/>
          <w:sz w:val="24"/>
        </w:rPr>
      </w:pPr>
      <w:r>
        <w:rPr>
          <w:rFonts w:hint="eastAsia" w:ascii="黑体" w:hAnsi="宋体" w:eastAsia="黑体"/>
          <w:sz w:val="24"/>
        </w:rPr>
        <w:t>47. 合同备案</w:t>
      </w:r>
    </w:p>
    <w:p w14:paraId="572CB316">
      <w:pPr>
        <w:rPr>
          <w:rFonts w:hint="eastAsia" w:ascii="黑体" w:hAnsi="宋体" w:eastAsia="黑体"/>
          <w:sz w:val="24"/>
        </w:rPr>
      </w:pPr>
      <w:r>
        <w:rPr>
          <w:rFonts w:hint="eastAsia" w:ascii="宋体" w:hAnsi="宋体" w:eastAsia="宋体" w:cs="Times New Roman"/>
          <w:szCs w:val="21"/>
          <w:lang w:eastAsia="zh-Hans"/>
        </w:rPr>
        <w:t>采购人与中标供应商自中标通知书发出之日起10个工作日内签订政府采购合同，</w:t>
      </w:r>
      <w:r>
        <w:rPr>
          <w:rFonts w:hint="eastAsia" w:ascii="宋体" w:hAnsi="宋体" w:eastAsia="宋体" w:cs="Times New Roman"/>
          <w:szCs w:val="21"/>
        </w:rPr>
        <w:t>并按财政部门规定提交备案。</w:t>
      </w:r>
      <w:r>
        <w:rPr>
          <w:rFonts w:hint="eastAsia" w:ascii="黑体" w:hAnsi="宋体" w:eastAsia="黑体"/>
          <w:sz w:val="24"/>
        </w:rPr>
        <w:t>48. 合同变更</w:t>
      </w:r>
    </w:p>
    <w:p w14:paraId="1D9F715A">
      <w:pPr>
        <w:ind w:firstLine="411" w:firstLineChars="196"/>
        <w:rPr>
          <w:rFonts w:hint="eastAsia" w:ascii="宋体" w:hAnsi="宋体"/>
          <w:szCs w:val="21"/>
        </w:rPr>
      </w:pPr>
      <w:r>
        <w:rPr>
          <w:rFonts w:hint="eastAsia" w:ascii="宋体" w:hAnsi="宋体"/>
          <w:szCs w:val="21"/>
        </w:rPr>
        <w:t>合同变更事宜按《深圳市财政局关于优化政府采购合同备案的通知》（深财发保〔2022〕2号）相关规定执行。</w:t>
      </w:r>
    </w:p>
    <w:p w14:paraId="4E8E188F">
      <w:pPr>
        <w:rPr>
          <w:rFonts w:hint="eastAsia" w:ascii="黑体" w:hAnsi="宋体" w:eastAsia="黑体"/>
          <w:sz w:val="24"/>
        </w:rPr>
      </w:pPr>
      <w:r>
        <w:rPr>
          <w:rFonts w:hint="eastAsia" w:ascii="黑体" w:hAnsi="宋体" w:eastAsia="黑体"/>
          <w:sz w:val="24"/>
        </w:rPr>
        <w:t>49. 项目验收</w:t>
      </w:r>
    </w:p>
    <w:p w14:paraId="7C0BEA02">
      <w:pPr>
        <w:widowControl/>
        <w:ind w:right="176" w:firstLine="420"/>
        <w:jc w:val="left"/>
        <w:rPr>
          <w:rFonts w:hint="eastAsia" w:ascii="宋体" w:hAnsi="宋体"/>
        </w:rPr>
      </w:pPr>
      <w:r>
        <w:rPr>
          <w:rFonts w:hint="eastAsia" w:ascii="宋体" w:hAnsi="宋体"/>
        </w:rPr>
        <w:t>49.1采购人应当按照招标文件和合同规定的标准和方法，及时组织验收。</w:t>
      </w:r>
      <w:r>
        <w:rPr>
          <w:rFonts w:ascii="宋体" w:hAnsi="宋体"/>
        </w:rPr>
        <w:t xml:space="preserve"> </w:t>
      </w:r>
    </w:p>
    <w:p w14:paraId="205C70F0">
      <w:pPr>
        <w:rPr>
          <w:rFonts w:hint="eastAsia" w:ascii="黑体" w:hAnsi="宋体" w:eastAsia="黑体"/>
          <w:sz w:val="24"/>
        </w:rPr>
      </w:pPr>
      <w:r>
        <w:rPr>
          <w:rFonts w:hint="eastAsia" w:ascii="黑体" w:hAnsi="宋体" w:eastAsia="黑体"/>
          <w:sz w:val="24"/>
        </w:rPr>
        <w:t>50. 宣传</w:t>
      </w:r>
    </w:p>
    <w:p w14:paraId="63586564">
      <w:pPr>
        <w:ind w:left="210" w:leftChars="100" w:firstLine="411" w:firstLineChars="196"/>
        <w:rPr>
          <w:rFonts w:hint="eastAsia" w:ascii="宋体" w:hAnsi="宋体"/>
        </w:rPr>
      </w:pPr>
      <w:r>
        <w:rPr>
          <w:rFonts w:hint="eastAsia" w:ascii="宋体" w:hAnsi="宋体"/>
        </w:rPr>
        <w:t>凡与政府采购活动有关的宣传或广告，若当中提及政府采购，</w:t>
      </w:r>
      <w:r>
        <w:rPr>
          <w:rFonts w:ascii="宋体" w:hAnsi="宋体"/>
        </w:rPr>
        <w:t>必须事先将具体对外宣传方案报</w:t>
      </w:r>
      <w:r>
        <w:rPr>
          <w:rFonts w:hint="eastAsia" w:ascii="宋体" w:hAnsi="宋体"/>
        </w:rPr>
        <w:t>同级财政部门</w:t>
      </w:r>
      <w:r>
        <w:rPr>
          <w:rFonts w:ascii="宋体" w:hAnsi="宋体"/>
        </w:rPr>
        <w:t>和</w:t>
      </w:r>
      <w:r>
        <w:rPr>
          <w:rFonts w:hint="eastAsia" w:ascii="宋体" w:hAnsi="宋体"/>
        </w:rPr>
        <w:t>政府集中采购机构</w:t>
      </w:r>
      <w:r>
        <w:rPr>
          <w:rFonts w:ascii="宋体" w:hAnsi="宋体"/>
        </w:rPr>
        <w:t>，并征得其同意。对外市场宣传包括但不限于以下形式：</w:t>
      </w:r>
    </w:p>
    <w:p w14:paraId="12B3D376">
      <w:pPr>
        <w:ind w:left="210" w:leftChars="100" w:firstLine="411" w:firstLineChars="196"/>
        <w:rPr>
          <w:rFonts w:hint="eastAsia" w:ascii="宋体" w:hAnsi="宋体"/>
        </w:rPr>
      </w:pPr>
      <w:r>
        <w:rPr>
          <w:rFonts w:ascii="宋体" w:hAnsi="宋体"/>
        </w:rPr>
        <w:t>a.名片、宣传册、广告标语等；</w:t>
      </w:r>
    </w:p>
    <w:p w14:paraId="7CCCC962">
      <w:pPr>
        <w:ind w:left="210" w:leftChars="100" w:firstLine="411" w:firstLineChars="196"/>
        <w:rPr>
          <w:rFonts w:hint="eastAsia" w:ascii="宋体" w:hAnsi="宋体"/>
        </w:rPr>
      </w:pPr>
      <w:r>
        <w:rPr>
          <w:rFonts w:ascii="宋体" w:hAnsi="宋体"/>
        </w:rPr>
        <w:t>b.案例介绍、推广等；</w:t>
      </w:r>
    </w:p>
    <w:p w14:paraId="7141245B">
      <w:pPr>
        <w:ind w:left="210" w:leftChars="100" w:firstLine="411" w:firstLineChars="196"/>
        <w:rPr>
          <w:rFonts w:hint="eastAsia" w:ascii="宋体" w:hAnsi="宋体"/>
        </w:rPr>
      </w:pPr>
      <w:r>
        <w:rPr>
          <w:rFonts w:hint="eastAsia" w:ascii="宋体" w:hAnsi="宋体"/>
        </w:rPr>
        <w:t>c.工作</w:t>
      </w:r>
      <w:r>
        <w:rPr>
          <w:rFonts w:ascii="宋体" w:hAnsi="宋体"/>
        </w:rPr>
        <w:t>人员向其他消费群体宣传。</w:t>
      </w:r>
    </w:p>
    <w:p w14:paraId="520E8EA1">
      <w:pPr>
        <w:rPr>
          <w:rFonts w:hint="eastAsia" w:ascii="黑体" w:hAnsi="宋体" w:eastAsia="黑体"/>
          <w:sz w:val="24"/>
        </w:rPr>
      </w:pPr>
      <w:r>
        <w:rPr>
          <w:rFonts w:hint="eastAsia" w:ascii="黑体" w:hAnsi="宋体" w:eastAsia="黑体"/>
          <w:sz w:val="24"/>
        </w:rPr>
        <w:t>51. 供应商违法责任</w:t>
      </w:r>
    </w:p>
    <w:p w14:paraId="0350F9F1">
      <w:pPr>
        <w:ind w:firstLine="411" w:firstLineChars="196"/>
        <w:rPr>
          <w:rFonts w:hint="eastAsia" w:ascii="宋体" w:hAnsi="宋体"/>
          <w:szCs w:val="21"/>
        </w:rPr>
      </w:pPr>
      <w:r>
        <w:rPr>
          <w:rFonts w:hint="eastAsia" w:ascii="宋体" w:hAnsi="宋体"/>
          <w:szCs w:val="21"/>
        </w:rPr>
        <w:t>5</w:t>
      </w:r>
      <w:r>
        <w:rPr>
          <w:rFonts w:ascii="宋体" w:hAnsi="宋体"/>
          <w:szCs w:val="21"/>
        </w:rPr>
        <w:t>1.1</w:t>
      </w:r>
      <w:r>
        <w:rPr>
          <w:rFonts w:hint="eastAsia" w:ascii="宋体" w:hAnsi="宋体"/>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7C37A5D8">
      <w:pPr>
        <w:ind w:firstLine="411" w:firstLineChars="196"/>
        <w:rPr>
          <w:rFonts w:hint="eastAsia" w:ascii="宋体" w:hAnsi="宋体"/>
          <w:szCs w:val="21"/>
        </w:rPr>
      </w:pPr>
      <w:r>
        <w:rPr>
          <w:rFonts w:hint="eastAsia" w:ascii="宋体" w:hAnsi="宋体"/>
          <w:szCs w:val="21"/>
        </w:rPr>
        <w:t>（1）在采购活动中应当回避而未回避的；</w:t>
      </w:r>
    </w:p>
    <w:p w14:paraId="4322B6B9">
      <w:pPr>
        <w:ind w:firstLine="411" w:firstLineChars="196"/>
        <w:rPr>
          <w:rFonts w:hint="eastAsia" w:ascii="宋体" w:hAnsi="宋体"/>
          <w:szCs w:val="21"/>
        </w:rPr>
      </w:pPr>
      <w:r>
        <w:rPr>
          <w:rFonts w:hint="eastAsia" w:ascii="宋体" w:hAnsi="宋体"/>
          <w:szCs w:val="21"/>
        </w:rPr>
        <w:t>（2）未按本条例规定签订、履行采购合同，造成严重后果的；</w:t>
      </w:r>
    </w:p>
    <w:p w14:paraId="3FAF76BF">
      <w:pPr>
        <w:ind w:firstLine="411" w:firstLineChars="196"/>
        <w:rPr>
          <w:rFonts w:hint="eastAsia" w:ascii="宋体" w:hAnsi="宋体"/>
          <w:szCs w:val="21"/>
        </w:rPr>
      </w:pPr>
      <w:r>
        <w:rPr>
          <w:rFonts w:hint="eastAsia" w:ascii="宋体" w:hAnsi="宋体"/>
          <w:szCs w:val="21"/>
        </w:rPr>
        <w:t>（3）隐瞒真实情况，提供虚假资料的；</w:t>
      </w:r>
    </w:p>
    <w:p w14:paraId="0B4281E4">
      <w:pPr>
        <w:ind w:firstLine="411" w:firstLineChars="196"/>
        <w:rPr>
          <w:rFonts w:hint="eastAsia" w:ascii="宋体" w:hAnsi="宋体"/>
          <w:szCs w:val="21"/>
        </w:rPr>
      </w:pPr>
      <w:r>
        <w:rPr>
          <w:rFonts w:hint="eastAsia" w:ascii="宋体" w:hAnsi="宋体"/>
          <w:szCs w:val="21"/>
        </w:rPr>
        <w:t>（4）以非法手段排斥其他供应商参与竞争的；</w:t>
      </w:r>
    </w:p>
    <w:p w14:paraId="2BCD284B">
      <w:pPr>
        <w:ind w:firstLine="411" w:firstLineChars="196"/>
        <w:rPr>
          <w:rFonts w:hint="eastAsia" w:ascii="宋体" w:hAnsi="宋体"/>
          <w:szCs w:val="21"/>
        </w:rPr>
      </w:pPr>
      <w:r>
        <w:rPr>
          <w:rFonts w:hint="eastAsia" w:ascii="宋体" w:hAnsi="宋体"/>
          <w:szCs w:val="21"/>
        </w:rPr>
        <w:t>（5）与其他采购参加人串通投标的；</w:t>
      </w:r>
    </w:p>
    <w:p w14:paraId="20EFAB3B">
      <w:pPr>
        <w:ind w:firstLine="411" w:firstLineChars="196"/>
        <w:rPr>
          <w:rFonts w:hint="eastAsia" w:ascii="宋体" w:hAnsi="宋体"/>
          <w:szCs w:val="21"/>
        </w:rPr>
      </w:pPr>
      <w:r>
        <w:rPr>
          <w:rFonts w:hint="eastAsia" w:ascii="宋体" w:hAnsi="宋体"/>
          <w:szCs w:val="21"/>
        </w:rPr>
        <w:t>（6）恶意投诉的；</w:t>
      </w:r>
    </w:p>
    <w:p w14:paraId="7C784ACF">
      <w:pPr>
        <w:ind w:firstLine="411" w:firstLineChars="196"/>
        <w:rPr>
          <w:rFonts w:hint="eastAsia" w:ascii="宋体" w:hAnsi="宋体"/>
          <w:szCs w:val="21"/>
        </w:rPr>
      </w:pPr>
      <w:r>
        <w:rPr>
          <w:rFonts w:hint="eastAsia" w:ascii="宋体" w:hAnsi="宋体"/>
          <w:szCs w:val="21"/>
        </w:rPr>
        <w:t>（7）向采购项目相关人行贿或者提供其他不当利益的；</w:t>
      </w:r>
    </w:p>
    <w:p w14:paraId="17C40B6B">
      <w:pPr>
        <w:ind w:firstLine="411" w:firstLineChars="196"/>
        <w:rPr>
          <w:rFonts w:hint="eastAsia" w:ascii="宋体" w:hAnsi="宋体"/>
          <w:szCs w:val="21"/>
        </w:rPr>
      </w:pPr>
      <w:r>
        <w:rPr>
          <w:rFonts w:hint="eastAsia" w:ascii="宋体" w:hAnsi="宋体"/>
          <w:szCs w:val="21"/>
        </w:rPr>
        <w:t>（8）阻碍、抗拒主管部门监督检查的；</w:t>
      </w:r>
    </w:p>
    <w:p w14:paraId="4A1AD80E">
      <w:pPr>
        <w:ind w:firstLine="411" w:firstLineChars="196"/>
        <w:rPr>
          <w:rFonts w:hint="eastAsia" w:ascii="宋体" w:hAnsi="宋体"/>
          <w:szCs w:val="21"/>
        </w:rPr>
      </w:pPr>
      <w:r>
        <w:rPr>
          <w:rFonts w:hint="eastAsia" w:ascii="宋体" w:hAnsi="宋体"/>
          <w:szCs w:val="21"/>
        </w:rPr>
        <w:t>（9）其他违反本条例规定的行为。</w:t>
      </w:r>
    </w:p>
    <w:p w14:paraId="6023E26F">
      <w:pPr>
        <w:ind w:firstLine="411" w:firstLineChars="196"/>
        <w:rPr>
          <w:rFonts w:hint="eastAsia" w:ascii="宋体" w:hAnsi="宋体"/>
          <w:szCs w:val="21"/>
        </w:rPr>
      </w:pPr>
      <w:r>
        <w:rPr>
          <w:rFonts w:hint="eastAsia" w:ascii="宋体" w:hAnsi="宋体"/>
          <w:szCs w:val="21"/>
        </w:rPr>
        <w:t>5</w:t>
      </w:r>
      <w:r>
        <w:rPr>
          <w:rFonts w:ascii="宋体" w:hAnsi="宋体"/>
          <w:szCs w:val="21"/>
        </w:rPr>
        <w:t xml:space="preserve">1.2 </w:t>
      </w:r>
      <w:r>
        <w:rPr>
          <w:rFonts w:hint="eastAsia" w:ascii="宋体" w:hAnsi="宋体"/>
          <w:szCs w:val="21"/>
        </w:rPr>
        <w:t>根据《深圳市财政局关于调整政府采购投标（响应）保证金管理政策的通知 》（深财购〔2021〕51 号）的要求，供应商在政府采购活动中出现《深圳经济特区政府采购条例实施细则》第八十条所列情形的，</w:t>
      </w:r>
      <w:bookmarkStart w:id="111" w:name="_Hlk72440769"/>
      <w:r>
        <w:rPr>
          <w:rFonts w:hint="eastAsia" w:ascii="宋体" w:hAnsi="宋体"/>
          <w:szCs w:val="21"/>
        </w:rPr>
        <w:t>政府集中采购机构或采购人不予退还其交纳的谈判保证金，情节严重的，并由主管部门</w:t>
      </w:r>
      <w:bookmarkEnd w:id="111"/>
      <w:r>
        <w:rPr>
          <w:rFonts w:hint="eastAsia" w:ascii="宋体" w:hAnsi="宋体"/>
          <w:szCs w:val="21"/>
        </w:rPr>
        <w:t>记入供应商诚信档案，予以通报：</w:t>
      </w:r>
    </w:p>
    <w:p w14:paraId="34F7BA2C">
      <w:pPr>
        <w:ind w:firstLine="411" w:firstLineChars="196"/>
        <w:rPr>
          <w:rFonts w:hint="eastAsia" w:ascii="宋体" w:hAnsi="宋体"/>
          <w:szCs w:val="21"/>
        </w:rPr>
      </w:pPr>
      <w:r>
        <w:rPr>
          <w:rFonts w:hint="eastAsia" w:ascii="宋体" w:hAnsi="宋体"/>
          <w:szCs w:val="21"/>
        </w:rPr>
        <w:t>（1</w:t>
      </w:r>
      <w:r>
        <w:rPr>
          <w:rFonts w:ascii="宋体" w:hAnsi="宋体"/>
          <w:szCs w:val="21"/>
        </w:rPr>
        <w:t>）投标截止后，撤销投标的；</w:t>
      </w:r>
    </w:p>
    <w:p w14:paraId="3A321A8A">
      <w:pPr>
        <w:ind w:firstLine="411" w:firstLineChars="196"/>
        <w:rPr>
          <w:rFonts w:hint="eastAsia" w:ascii="宋体" w:hAnsi="宋体"/>
          <w:szCs w:val="21"/>
        </w:rPr>
      </w:pPr>
      <w:r>
        <w:rPr>
          <w:rFonts w:ascii="宋体" w:hAnsi="宋体"/>
          <w:szCs w:val="21"/>
        </w:rPr>
        <w:t>（</w:t>
      </w:r>
      <w:r>
        <w:rPr>
          <w:rFonts w:hint="eastAsia" w:ascii="宋体" w:hAnsi="宋体"/>
          <w:szCs w:val="21"/>
        </w:rPr>
        <w:t>2</w:t>
      </w:r>
      <w:r>
        <w:rPr>
          <w:rFonts w:ascii="宋体" w:hAnsi="宋体"/>
          <w:szCs w:val="21"/>
        </w:rPr>
        <w:t>）中标后无正当理由未在规定期限内签订合同的；</w:t>
      </w:r>
    </w:p>
    <w:p w14:paraId="086E3B9C">
      <w:pPr>
        <w:ind w:firstLine="411" w:firstLineChars="196"/>
        <w:rPr>
          <w:rFonts w:hint="eastAsia" w:ascii="宋体" w:hAnsi="宋体"/>
          <w:szCs w:val="21"/>
        </w:rPr>
      </w:pPr>
      <w:r>
        <w:rPr>
          <w:rFonts w:ascii="宋体" w:hAnsi="宋体"/>
          <w:szCs w:val="21"/>
        </w:rPr>
        <w:t>（</w:t>
      </w:r>
      <w:r>
        <w:rPr>
          <w:rFonts w:hint="eastAsia" w:ascii="宋体" w:hAnsi="宋体"/>
          <w:szCs w:val="21"/>
        </w:rPr>
        <w:t>3</w:t>
      </w:r>
      <w:r>
        <w:rPr>
          <w:rFonts w:ascii="宋体" w:hAnsi="宋体"/>
          <w:szCs w:val="21"/>
        </w:rPr>
        <w:t>）将中标项目转让给他人、或者在投标文件中未说明且未经采购人、采购招标机构同意，将中标项目分包给他人的；</w:t>
      </w:r>
    </w:p>
    <w:p w14:paraId="0C5457CE">
      <w:pPr>
        <w:ind w:firstLine="411" w:firstLineChars="196"/>
        <w:rPr>
          <w:rFonts w:hint="eastAsia" w:ascii="宋体" w:hAnsi="宋体"/>
          <w:szCs w:val="21"/>
        </w:rPr>
      </w:pPr>
      <w:r>
        <w:rPr>
          <w:rFonts w:ascii="宋体" w:hAnsi="宋体"/>
          <w:szCs w:val="21"/>
        </w:rPr>
        <w:t>（</w:t>
      </w:r>
      <w:r>
        <w:rPr>
          <w:rFonts w:hint="eastAsia" w:ascii="宋体" w:hAnsi="宋体"/>
          <w:szCs w:val="21"/>
        </w:rPr>
        <w:t>4</w:t>
      </w:r>
      <w:r>
        <w:rPr>
          <w:rFonts w:ascii="宋体" w:hAnsi="宋体"/>
          <w:szCs w:val="21"/>
        </w:rPr>
        <w:t>）拒绝履行合同义务的</w:t>
      </w:r>
      <w:r>
        <w:rPr>
          <w:rFonts w:hint="eastAsia" w:ascii="宋体" w:hAnsi="宋体"/>
          <w:szCs w:val="21"/>
        </w:rPr>
        <w:t>。</w:t>
      </w:r>
    </w:p>
    <w:bookmarkEnd w:id="95"/>
    <w:p w14:paraId="7E765356">
      <w:pPr>
        <w:pStyle w:val="3"/>
        <w:numPr>
          <w:ilvl w:val="0"/>
          <w:numId w:val="15"/>
        </w:numPr>
        <w:spacing w:before="156" w:beforeLines="50" w:after="156" w:afterLines="50"/>
        <w:ind w:left="562" w:hanging="562"/>
        <w:rPr>
          <w:sz w:val="28"/>
          <w:szCs w:val="28"/>
        </w:rPr>
      </w:pPr>
      <w:r>
        <w:rPr>
          <w:rFonts w:hint="eastAsia"/>
          <w:sz w:val="28"/>
          <w:szCs w:val="28"/>
        </w:rPr>
        <w:t>质疑处理</w:t>
      </w:r>
    </w:p>
    <w:p w14:paraId="4216B54A">
      <w:pPr>
        <w:rPr>
          <w:rFonts w:hint="eastAsia" w:ascii="黑体" w:hAnsi="宋体" w:eastAsia="黑体"/>
          <w:sz w:val="24"/>
        </w:rPr>
      </w:pPr>
      <w:r>
        <w:rPr>
          <w:rFonts w:hint="eastAsia" w:ascii="黑体" w:hAnsi="宋体" w:eastAsia="黑体"/>
          <w:sz w:val="24"/>
        </w:rPr>
        <w:t>52.质疑提出与答复</w:t>
      </w:r>
    </w:p>
    <w:p w14:paraId="3F3CEA71">
      <w:pPr>
        <w:rPr>
          <w:rFonts w:hint="eastAsia" w:ascii="宋体" w:hAnsi="宋体"/>
          <w:szCs w:val="21"/>
        </w:rPr>
      </w:pPr>
      <w:r>
        <w:rPr>
          <w:rFonts w:hint="eastAsia" w:ascii="宋体" w:hAnsi="宋体"/>
          <w:szCs w:val="21"/>
        </w:rPr>
        <w:t xml:space="preserve">    52.1提出质疑</w:t>
      </w:r>
    </w:p>
    <w:p w14:paraId="23215C7A">
      <w:pPr>
        <w:rPr>
          <w:rFonts w:hint="eastAsia" w:ascii="宋体" w:hAnsi="宋体"/>
          <w:szCs w:val="21"/>
        </w:rPr>
      </w:pPr>
      <w:r>
        <w:rPr>
          <w:rFonts w:hint="eastAsia" w:ascii="宋体" w:hAnsi="宋体"/>
          <w:szCs w:val="21"/>
        </w:rPr>
        <w:t xml:space="preserve">    参与政府采购活动的供应商认为自己的权益在采购活动中受到损害的，应当自知道或者应当知道其权益受到损害之日起七个工作日内向采购人、政府集中采购机构以书面形式提出质疑。</w:t>
      </w:r>
    </w:p>
    <w:p w14:paraId="789069EC">
      <w:pPr>
        <w:rPr>
          <w:rFonts w:hint="eastAsia" w:ascii="宋体" w:hAnsi="宋体"/>
          <w:szCs w:val="21"/>
        </w:rPr>
      </w:pPr>
      <w:r>
        <w:rPr>
          <w:rFonts w:hint="eastAsia" w:ascii="宋体" w:hAnsi="宋体"/>
          <w:szCs w:val="21"/>
        </w:rPr>
        <w:t xml:space="preserve">    52.2</w:t>
      </w:r>
      <w:r>
        <w:rPr>
          <w:rFonts w:ascii="宋体" w:hAnsi="宋体"/>
          <w:szCs w:val="21"/>
        </w:rPr>
        <w:t>法律依据</w:t>
      </w:r>
    </w:p>
    <w:p w14:paraId="0E806F72">
      <w:pPr>
        <w:rPr>
          <w:rFonts w:hint="eastAsia" w:ascii="宋体" w:hAnsi="宋体"/>
          <w:szCs w:val="21"/>
        </w:rPr>
      </w:pPr>
      <w:r>
        <w:rPr>
          <w:rFonts w:hint="eastAsia" w:ascii="宋体" w:hAnsi="宋体"/>
          <w:szCs w:val="21"/>
        </w:rPr>
        <w:t xml:space="preserve">    《中华人民共和国政府采购法》、《中华人民共和国政府采购法实施条例》、</w:t>
      </w:r>
      <w:r>
        <w:rPr>
          <w:rFonts w:ascii="宋体" w:hAnsi="宋体"/>
          <w:szCs w:val="21"/>
        </w:rPr>
        <w:t>《</w:t>
      </w:r>
      <w:r>
        <w:rPr>
          <w:rFonts w:hint="eastAsia" w:ascii="宋体" w:hAnsi="宋体"/>
          <w:szCs w:val="21"/>
        </w:rPr>
        <w:t>深圳经济特区政府采购</w:t>
      </w:r>
      <w:r>
        <w:rPr>
          <w:rFonts w:ascii="宋体" w:hAnsi="宋体"/>
          <w:szCs w:val="21"/>
        </w:rPr>
        <w:t>条例</w:t>
      </w:r>
      <w:r>
        <w:rPr>
          <w:rFonts w:hint="eastAsia" w:ascii="宋体" w:hAnsi="宋体"/>
          <w:szCs w:val="21"/>
        </w:rPr>
        <w:t>》、《深圳经济特区政府采购条例实施细则》、《政府采购质疑和投诉办法》（财政部令第94号）和其他有关法律法规规定。</w:t>
      </w:r>
    </w:p>
    <w:p w14:paraId="0040664F">
      <w:pPr>
        <w:rPr>
          <w:rFonts w:hint="eastAsia" w:ascii="宋体" w:hAnsi="宋体"/>
          <w:szCs w:val="21"/>
        </w:rPr>
      </w:pPr>
      <w:r>
        <w:rPr>
          <w:rFonts w:hint="eastAsia" w:ascii="宋体" w:hAnsi="宋体"/>
          <w:szCs w:val="21"/>
        </w:rPr>
        <w:t xml:space="preserve">  </w:t>
      </w:r>
      <w:r>
        <w:rPr>
          <w:rFonts w:hint="eastAsia" w:ascii="宋体" w:hAnsi="宋体"/>
          <w:color w:val="FF0000"/>
          <w:szCs w:val="21"/>
        </w:rPr>
        <w:t xml:space="preserve">  </w:t>
      </w:r>
      <w:r>
        <w:rPr>
          <w:rFonts w:hint="eastAsia" w:ascii="宋体" w:hAnsi="宋体"/>
          <w:szCs w:val="21"/>
        </w:rPr>
        <w:t>52.3质疑条件</w:t>
      </w:r>
    </w:p>
    <w:p w14:paraId="302234BA">
      <w:pPr>
        <w:rPr>
          <w:rFonts w:hint="eastAsia" w:ascii="宋体" w:hAnsi="宋体"/>
          <w:szCs w:val="21"/>
        </w:rPr>
      </w:pPr>
      <w:r>
        <w:rPr>
          <w:rFonts w:hint="eastAsia" w:ascii="宋体" w:hAnsi="宋体"/>
          <w:szCs w:val="21"/>
        </w:rPr>
        <w:t xml:space="preserve">    52.3.1提出质疑的供应商应当是参与所质疑项目采购活动的供应商；</w:t>
      </w:r>
      <w:bookmarkStart w:id="112" w:name="_Hlk75374941"/>
      <w:r>
        <w:rPr>
          <w:rFonts w:hint="eastAsia" w:ascii="宋体" w:hAnsi="宋体"/>
          <w:szCs w:val="21"/>
        </w:rPr>
        <w:t>以联合体形式参与的，质疑应当由组成联合体的所有成员共同提出</w:t>
      </w:r>
      <w:bookmarkEnd w:id="112"/>
      <w:r>
        <w:rPr>
          <w:rFonts w:hint="eastAsia" w:ascii="宋体" w:hAnsi="宋体"/>
          <w:szCs w:val="21"/>
        </w:rPr>
        <w:t>；</w:t>
      </w:r>
    </w:p>
    <w:p w14:paraId="0FD4E2F2">
      <w:pPr>
        <w:rPr>
          <w:rFonts w:hint="eastAsia" w:ascii="宋体" w:hAnsi="宋体"/>
          <w:szCs w:val="21"/>
        </w:rPr>
      </w:pPr>
      <w:r>
        <w:rPr>
          <w:rFonts w:hint="eastAsia" w:ascii="宋体" w:hAnsi="宋体"/>
          <w:szCs w:val="21"/>
        </w:rPr>
        <w:t xml:space="preserve">    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14:paraId="1A9AC60C">
      <w:pPr>
        <w:ind w:firstLine="420"/>
        <w:rPr>
          <w:rFonts w:hint="eastAsia" w:ascii="宋体" w:hAnsi="宋体"/>
          <w:szCs w:val="21"/>
        </w:rPr>
      </w:pPr>
      <w:r>
        <w:rPr>
          <w:rFonts w:hint="eastAsia" w:ascii="宋体" w:hAnsi="宋体"/>
          <w:szCs w:val="21"/>
        </w:rPr>
        <w:t>52.3.3应提交书面质疑函，质疑函应当包括以下内容：</w:t>
      </w:r>
      <w:r>
        <w:rPr>
          <w:rFonts w:ascii="宋体" w:hAnsi="宋体"/>
          <w:szCs w:val="21"/>
        </w:rPr>
        <w:t xml:space="preserve"> </w:t>
      </w:r>
    </w:p>
    <w:p w14:paraId="7D9E09B8">
      <w:pPr>
        <w:ind w:firstLine="420"/>
        <w:rPr>
          <w:rFonts w:hint="eastAsia" w:ascii="宋体" w:hAnsi="宋体"/>
          <w:szCs w:val="21"/>
        </w:rPr>
      </w:pPr>
      <w:r>
        <w:rPr>
          <w:rFonts w:hint="eastAsia" w:ascii="宋体" w:hAnsi="宋体"/>
          <w:szCs w:val="21"/>
        </w:rPr>
        <w:t>（1）供应商的名称（或者姓名）、地址、邮编、邮箱、联系人及联系电话；</w:t>
      </w:r>
    </w:p>
    <w:p w14:paraId="7DB33EAA">
      <w:pPr>
        <w:ind w:firstLine="420" w:firstLineChars="200"/>
        <w:rPr>
          <w:rFonts w:hint="eastAsia" w:ascii="宋体" w:hAnsi="宋体"/>
          <w:szCs w:val="21"/>
        </w:rPr>
      </w:pPr>
      <w:r>
        <w:rPr>
          <w:rFonts w:hint="eastAsia" w:ascii="宋体" w:hAnsi="宋体"/>
          <w:szCs w:val="21"/>
        </w:rPr>
        <w:t>（2）质疑项目的名称、编号；</w:t>
      </w:r>
    </w:p>
    <w:p w14:paraId="323DC6EF">
      <w:pPr>
        <w:ind w:firstLine="420" w:firstLineChars="200"/>
        <w:rPr>
          <w:rFonts w:hint="eastAsia" w:ascii="宋体" w:hAnsi="宋体"/>
          <w:szCs w:val="21"/>
        </w:rPr>
      </w:pPr>
      <w:r>
        <w:rPr>
          <w:rFonts w:hint="eastAsia" w:ascii="宋体" w:hAnsi="宋体"/>
          <w:szCs w:val="21"/>
        </w:rPr>
        <w:t>（3）具体、明确的质疑对象、质疑事项和质疑请求；</w:t>
      </w:r>
    </w:p>
    <w:p w14:paraId="1C8690D1">
      <w:pPr>
        <w:ind w:firstLine="420" w:firstLineChars="200"/>
        <w:rPr>
          <w:rFonts w:hint="eastAsia" w:ascii="宋体" w:hAnsi="宋体"/>
          <w:szCs w:val="21"/>
        </w:rPr>
      </w:pPr>
      <w:r>
        <w:rPr>
          <w:rFonts w:hint="eastAsia" w:ascii="宋体" w:hAnsi="宋体"/>
          <w:szCs w:val="21"/>
        </w:rPr>
        <w:t>（4）因质疑事项而受损害的权益；</w:t>
      </w:r>
    </w:p>
    <w:p w14:paraId="5DD89744">
      <w:pPr>
        <w:ind w:firstLine="420" w:firstLineChars="200"/>
        <w:rPr>
          <w:rFonts w:hint="eastAsia" w:ascii="宋体" w:hAnsi="宋体"/>
          <w:szCs w:val="21"/>
        </w:rPr>
      </w:pPr>
      <w:r>
        <w:rPr>
          <w:rFonts w:hint="eastAsia" w:ascii="宋体" w:hAnsi="宋体"/>
          <w:szCs w:val="21"/>
        </w:rPr>
        <w:t>（5）事实依据；</w:t>
      </w:r>
    </w:p>
    <w:p w14:paraId="5FE488B3">
      <w:pPr>
        <w:ind w:firstLine="420" w:firstLineChars="200"/>
        <w:rPr>
          <w:rFonts w:hint="eastAsia" w:ascii="宋体" w:hAnsi="宋体"/>
          <w:szCs w:val="21"/>
        </w:rPr>
      </w:pPr>
      <w:r>
        <w:rPr>
          <w:rFonts w:hint="eastAsia" w:ascii="宋体" w:hAnsi="宋体"/>
          <w:szCs w:val="21"/>
        </w:rPr>
        <w:t>（6）必要的法律依据；</w:t>
      </w:r>
    </w:p>
    <w:p w14:paraId="163ADDC4">
      <w:pPr>
        <w:ind w:firstLine="420" w:firstLineChars="200"/>
        <w:rPr>
          <w:rFonts w:hint="eastAsia" w:ascii="宋体" w:hAnsi="宋体"/>
          <w:szCs w:val="21"/>
        </w:rPr>
      </w:pPr>
      <w:r>
        <w:rPr>
          <w:rFonts w:hint="eastAsia" w:ascii="宋体" w:hAnsi="宋体"/>
          <w:szCs w:val="21"/>
        </w:rPr>
        <w:t>（7）提出质疑的日期。</w:t>
      </w:r>
    </w:p>
    <w:p w14:paraId="4F3B5715">
      <w:pPr>
        <w:ind w:firstLine="420" w:firstLineChars="200"/>
        <w:rPr>
          <w:rFonts w:hint="eastAsia" w:ascii="宋体" w:hAnsi="宋体"/>
          <w:szCs w:val="21"/>
        </w:rPr>
      </w:pPr>
      <w:r>
        <w:rPr>
          <w:rFonts w:hint="eastAsia" w:ascii="宋体" w:hAnsi="宋体"/>
          <w:szCs w:val="21"/>
        </w:rPr>
        <w:t>供应商为自然人的，应当由本人签字；供应商为法人或者其他组织的，应当由法定代表人（负责人），或者其授权代理人签字或者盖章，并加盖公章。</w:t>
      </w:r>
    </w:p>
    <w:p w14:paraId="11BD861A">
      <w:pPr>
        <w:ind w:firstLine="420" w:firstLineChars="200"/>
        <w:rPr>
          <w:rFonts w:hint="eastAsia" w:ascii="宋体" w:hAnsi="宋体"/>
          <w:szCs w:val="21"/>
        </w:rPr>
      </w:pPr>
      <w:r>
        <w:rPr>
          <w:rFonts w:hint="eastAsia" w:ascii="宋体" w:hAnsi="宋体"/>
          <w:szCs w:val="21"/>
        </w:rPr>
        <w:t>52.4提交</w:t>
      </w:r>
      <w:r>
        <w:rPr>
          <w:rFonts w:ascii="宋体" w:hAnsi="宋体"/>
          <w:szCs w:val="21"/>
        </w:rPr>
        <w:t>材料</w:t>
      </w:r>
    </w:p>
    <w:p w14:paraId="32258F93">
      <w:pPr>
        <w:ind w:firstLine="420" w:firstLineChars="200"/>
        <w:rPr>
          <w:rFonts w:hint="eastAsia" w:ascii="宋体" w:hAnsi="宋体"/>
          <w:szCs w:val="21"/>
        </w:rPr>
      </w:pPr>
      <w:r>
        <w:rPr>
          <w:rFonts w:hint="eastAsia" w:ascii="宋体" w:hAnsi="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3760DA61">
      <w:pPr>
        <w:ind w:firstLine="420" w:firstLineChars="200"/>
        <w:rPr>
          <w:rFonts w:hint="eastAsia" w:ascii="宋体" w:hAnsi="宋体"/>
          <w:szCs w:val="21"/>
        </w:rPr>
      </w:pPr>
      <w:r>
        <w:rPr>
          <w:rFonts w:hint="eastAsia" w:ascii="宋体" w:hAnsi="宋体"/>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3E7E4F41">
      <w:pPr>
        <w:ind w:firstLine="420" w:firstLineChars="200"/>
        <w:rPr>
          <w:rFonts w:hint="eastAsia" w:ascii="宋体" w:hAnsi="宋体"/>
          <w:szCs w:val="21"/>
        </w:rPr>
      </w:pPr>
      <w:r>
        <w:rPr>
          <w:rFonts w:hint="eastAsia" w:ascii="宋体" w:hAnsi="宋体"/>
          <w:szCs w:val="21"/>
        </w:rPr>
        <w:t>52.5收文地点</w:t>
      </w:r>
    </w:p>
    <w:p w14:paraId="4E523BDF">
      <w:pPr>
        <w:ind w:firstLine="422" w:firstLineChars="200"/>
        <w:rPr>
          <w:rFonts w:hint="eastAsia" w:ascii="宋体" w:hAnsi="宋体"/>
          <w:b/>
          <w:bCs/>
          <w:szCs w:val="21"/>
        </w:rPr>
      </w:pPr>
      <w:r>
        <w:rPr>
          <w:rFonts w:hint="eastAsia" w:ascii="宋体" w:hAnsi="宋体"/>
          <w:b/>
          <w:bCs/>
          <w:szCs w:val="21"/>
        </w:rPr>
        <w:t>地址：深圳公共资源交易中心（深圳交易集团有限公司龙华分公司）（地址：深圳市龙华区观湖街道大和社区大和路288号宝观城锦鲤大厦办公楼22楼）。</w:t>
      </w:r>
    </w:p>
    <w:p w14:paraId="28316484">
      <w:pPr>
        <w:ind w:firstLine="420" w:firstLineChars="200"/>
        <w:rPr>
          <w:rFonts w:hint="eastAsia" w:ascii="宋体" w:hAnsi="宋体"/>
          <w:szCs w:val="21"/>
        </w:rPr>
      </w:pPr>
      <w:r>
        <w:rPr>
          <w:rFonts w:hint="eastAsia" w:ascii="宋体" w:hAnsi="宋体"/>
          <w:szCs w:val="21"/>
        </w:rPr>
        <w:t>52.6收文办理</w:t>
      </w:r>
      <w:r>
        <w:rPr>
          <w:rFonts w:ascii="宋体" w:hAnsi="宋体"/>
          <w:szCs w:val="21"/>
        </w:rPr>
        <w:t>程序</w:t>
      </w:r>
    </w:p>
    <w:p w14:paraId="30F53473">
      <w:pPr>
        <w:ind w:firstLine="420" w:firstLineChars="200"/>
        <w:rPr>
          <w:rFonts w:hint="eastAsia" w:ascii="宋体" w:hAnsi="宋体"/>
          <w:szCs w:val="21"/>
        </w:rPr>
      </w:pPr>
      <w:r>
        <w:rPr>
          <w:rFonts w:hint="eastAsia" w:ascii="宋体" w:hAnsi="宋体"/>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14:paraId="1D386DBA">
      <w:pPr>
        <w:ind w:firstLine="420" w:firstLineChars="200"/>
        <w:rPr>
          <w:rFonts w:hint="eastAsia" w:ascii="仿宋" w:hAnsi="仿宋" w:eastAsia="仿宋"/>
          <w:sz w:val="28"/>
          <w:szCs w:val="28"/>
        </w:rPr>
      </w:pPr>
      <w:r>
        <w:rPr>
          <w:rFonts w:hint="eastAsia" w:ascii="宋体" w:hAnsi="宋体"/>
          <w:szCs w:val="21"/>
        </w:rPr>
        <w:t>52.6.2供应商提交的质疑材料不符合质疑条件的，视情况处理：</w:t>
      </w:r>
    </w:p>
    <w:p w14:paraId="4845DB4A">
      <w:pPr>
        <w:ind w:firstLine="420" w:firstLineChars="200"/>
        <w:rPr>
          <w:rFonts w:hint="eastAsia" w:ascii="宋体" w:hAnsi="宋体"/>
          <w:szCs w:val="21"/>
        </w:rPr>
      </w:pPr>
      <w:r>
        <w:rPr>
          <w:rFonts w:hint="eastAsia" w:ascii="宋体" w:hAnsi="宋体"/>
          <w:szCs w:val="21"/>
        </w:rPr>
        <w:t>供应商提交的质疑材料不全或者未按要求签字或者盖章的，政府集中采购机构应当一次性告知供应商需补正的内容和补正期限。</w:t>
      </w:r>
    </w:p>
    <w:p w14:paraId="35671E75">
      <w:pPr>
        <w:ind w:firstLine="420" w:firstLineChars="200"/>
        <w:rPr>
          <w:rFonts w:hint="eastAsia" w:ascii="宋体" w:hAnsi="宋体"/>
          <w:szCs w:val="21"/>
        </w:rPr>
      </w:pPr>
      <w:r>
        <w:rPr>
          <w:rFonts w:hint="eastAsia" w:ascii="宋体" w:hAnsi="宋体"/>
          <w:szCs w:val="21"/>
        </w:rPr>
        <w:t>供应商提交的质疑存在下列情形之一的，不予受理：</w:t>
      </w:r>
    </w:p>
    <w:p w14:paraId="65DB8EA7">
      <w:pPr>
        <w:ind w:firstLine="420" w:firstLineChars="200"/>
        <w:rPr>
          <w:rFonts w:hint="eastAsia" w:ascii="宋体" w:hAnsi="宋体"/>
          <w:szCs w:val="21"/>
        </w:rPr>
      </w:pPr>
      <w:r>
        <w:rPr>
          <w:rFonts w:hint="eastAsia" w:ascii="宋体" w:hAnsi="宋体"/>
          <w:szCs w:val="21"/>
        </w:rPr>
        <w:t>（1）质疑主体不满足要求的；</w:t>
      </w:r>
    </w:p>
    <w:p w14:paraId="18707FEE">
      <w:pPr>
        <w:ind w:firstLine="420" w:firstLineChars="200"/>
        <w:rPr>
          <w:rFonts w:hint="eastAsia" w:ascii="宋体" w:hAnsi="宋体"/>
          <w:szCs w:val="21"/>
        </w:rPr>
      </w:pPr>
      <w:r>
        <w:rPr>
          <w:rFonts w:hint="eastAsia" w:ascii="宋体" w:hAnsi="宋体"/>
          <w:szCs w:val="21"/>
        </w:rPr>
        <w:t>（2）供应商自身权益未受到损害的；</w:t>
      </w:r>
    </w:p>
    <w:p w14:paraId="20C29E31">
      <w:pPr>
        <w:ind w:firstLine="420" w:firstLineChars="200"/>
        <w:rPr>
          <w:rFonts w:hint="eastAsia" w:ascii="宋体" w:hAnsi="宋体"/>
          <w:szCs w:val="21"/>
        </w:rPr>
      </w:pPr>
      <w:r>
        <w:rPr>
          <w:rFonts w:hint="eastAsia" w:ascii="宋体" w:hAnsi="宋体"/>
          <w:szCs w:val="21"/>
        </w:rPr>
        <w:t>（3）供应商未在法定质疑期限内提出质疑的；</w:t>
      </w:r>
    </w:p>
    <w:p w14:paraId="111B4B18">
      <w:pPr>
        <w:ind w:firstLine="420" w:firstLineChars="200"/>
        <w:rPr>
          <w:rFonts w:hint="eastAsia" w:ascii="宋体" w:hAnsi="宋体"/>
          <w:szCs w:val="21"/>
        </w:rPr>
      </w:pPr>
      <w:r>
        <w:rPr>
          <w:rFonts w:hint="eastAsia" w:ascii="宋体" w:hAnsi="宋体"/>
          <w:szCs w:val="21"/>
        </w:rPr>
        <w:t>（4）质疑材料不全或者未按要求签字或者盖章的情况下，要求补正后，逾期未补正或者补正后仍不符合规定的；</w:t>
      </w:r>
    </w:p>
    <w:p w14:paraId="5F56E351">
      <w:pPr>
        <w:ind w:firstLine="420" w:firstLineChars="200"/>
        <w:rPr>
          <w:rFonts w:hint="eastAsia" w:ascii="宋体" w:hAnsi="宋体"/>
          <w:szCs w:val="21"/>
        </w:rPr>
      </w:pPr>
      <w:r>
        <w:rPr>
          <w:rFonts w:hint="eastAsia" w:ascii="宋体" w:hAnsi="宋体"/>
          <w:szCs w:val="21"/>
        </w:rPr>
        <w:t>（5）其他不符合受理条件情形的。</w:t>
      </w:r>
    </w:p>
    <w:p w14:paraId="32E9A434">
      <w:pPr>
        <w:ind w:firstLine="420" w:firstLineChars="200"/>
        <w:rPr>
          <w:rFonts w:hint="eastAsia" w:ascii="宋体" w:hAnsi="宋体"/>
          <w:szCs w:val="21"/>
        </w:rPr>
      </w:pPr>
      <w:r>
        <w:rPr>
          <w:rFonts w:hint="eastAsia" w:ascii="宋体" w:hAnsi="宋体"/>
          <w:szCs w:val="21"/>
        </w:rPr>
        <w:t>质疑事项不予受理的，政府集中采购机构应当向供应商出具不符合质疑条件告知书。</w:t>
      </w:r>
    </w:p>
    <w:p w14:paraId="0E6255B9">
      <w:pPr>
        <w:rPr>
          <w:rFonts w:hint="eastAsia" w:ascii="宋体" w:hAnsi="宋体"/>
          <w:szCs w:val="21"/>
        </w:rPr>
      </w:pPr>
      <w:r>
        <w:rPr>
          <w:rFonts w:hint="eastAsia" w:ascii="宋体" w:hAnsi="宋体"/>
          <w:color w:val="FF0000"/>
          <w:szCs w:val="21"/>
        </w:rPr>
        <w:t xml:space="preserve">  </w:t>
      </w:r>
      <w:r>
        <w:rPr>
          <w:rFonts w:hint="eastAsia" w:ascii="宋体" w:hAnsi="宋体"/>
          <w:szCs w:val="21"/>
        </w:rPr>
        <w:t xml:space="preserve">  52.7质疑答复时限</w:t>
      </w:r>
    </w:p>
    <w:p w14:paraId="7B1BB19D">
      <w:pPr>
        <w:rPr>
          <w:rFonts w:hint="eastAsia" w:ascii="宋体" w:hAnsi="宋体"/>
          <w:szCs w:val="21"/>
        </w:rPr>
      </w:pPr>
      <w:r>
        <w:rPr>
          <w:rFonts w:hint="eastAsia" w:ascii="宋体" w:hAnsi="宋体"/>
          <w:szCs w:val="21"/>
        </w:rPr>
        <w:t xml:space="preserve">    自收文之日起七个工作日内。</w:t>
      </w:r>
    </w:p>
    <w:p w14:paraId="27C1B98A">
      <w:pPr>
        <w:rPr>
          <w:rFonts w:hint="eastAsia" w:ascii="宋体" w:hAnsi="宋体"/>
          <w:szCs w:val="21"/>
        </w:rPr>
      </w:pPr>
      <w:r>
        <w:rPr>
          <w:rFonts w:hint="eastAsia" w:ascii="宋体" w:hAnsi="宋体"/>
          <w:szCs w:val="21"/>
        </w:rPr>
        <w:t xml:space="preserve">    52.8投诉</w:t>
      </w:r>
    </w:p>
    <w:p w14:paraId="0A24F82B">
      <w:pPr>
        <w:rPr>
          <w:rFonts w:hint="eastAsia" w:ascii="宋体" w:hAnsi="宋体"/>
          <w:szCs w:val="21"/>
        </w:rPr>
      </w:pPr>
      <w:r>
        <w:rPr>
          <w:rFonts w:hint="eastAsia" w:ascii="宋体" w:hAnsi="宋体"/>
          <w:szCs w:val="21"/>
        </w:rPr>
        <w:t xml:space="preserve">    对质疑答复不满意或者未在规定时间内答复的，提出质疑的供应商可以在答复期满后15个工作日内向本项目预算主管单位投诉。</w:t>
      </w:r>
    </w:p>
    <w:p w14:paraId="349CC321">
      <w:pPr>
        <w:rPr>
          <w:rFonts w:hint="eastAsia" w:ascii="黑体" w:hAnsi="宋体" w:eastAsia="黑体"/>
          <w:sz w:val="24"/>
        </w:rPr>
      </w:pPr>
      <w:r>
        <w:rPr>
          <w:rFonts w:hint="eastAsia" w:ascii="黑体" w:hAnsi="宋体" w:eastAsia="黑体"/>
          <w:sz w:val="24"/>
        </w:rPr>
        <w:t>53. 质疑后续处理</w:t>
      </w:r>
    </w:p>
    <w:p w14:paraId="4327DB6A">
      <w:pPr>
        <w:rPr>
          <w:rFonts w:hint="eastAsia" w:ascii="宋体" w:hAnsi="宋体"/>
          <w:szCs w:val="21"/>
        </w:rPr>
      </w:pPr>
      <w:r>
        <w:rPr>
          <w:rFonts w:hint="eastAsia" w:ascii="宋体" w:hAnsi="宋体"/>
          <w:szCs w:val="21"/>
        </w:rPr>
        <w:t xml:space="preserve">    53.1供应商质疑不成立，或者成立但未对中标、成交结果构成影响的，继续开展采购活动。</w:t>
      </w:r>
    </w:p>
    <w:p w14:paraId="2DA0BD19">
      <w:pPr>
        <w:jc w:val="center"/>
      </w:pPr>
      <w:r>
        <w:rPr>
          <w:rFonts w:hint="eastAsia" w:ascii="宋体" w:hAnsi="宋体"/>
          <w:szCs w:val="21"/>
        </w:rPr>
        <w:t xml:space="preserve">    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r>
        <w:t>---- END ----</w:t>
      </w:r>
    </w:p>
    <w:p w14:paraId="3E206AE2">
      <w:pPr>
        <w:jc w:val="center"/>
        <w:rPr>
          <w:rFonts w:ascii="Times New Roman" w:hAnsi="Times New Roman" w:eastAsia="宋体" w:cs="Times New Roman"/>
          <w:szCs w:val="24"/>
        </w:rPr>
      </w:pPr>
      <w:r>
        <w:rPr>
          <w:rFonts w:ascii="Times New Roman" w:hAnsi="Times New Roman" w:eastAsia="宋体" w:cs="Times New Roman"/>
          <w:szCs w:val="24"/>
        </w:rPr>
        <w:t>---- END ----</w:t>
      </w:r>
      <w:bookmarkEnd w:id="59"/>
    </w:p>
    <w:p w14:paraId="6891AF29">
      <w:pPr>
        <w:rPr>
          <w:b/>
          <w:color w:val="FF0000"/>
          <w:sz w:val="52"/>
          <w:szCs w:val="52"/>
        </w:rPr>
      </w:pPr>
    </w:p>
    <w:p w14:paraId="269AEC26">
      <w:pPr>
        <w:rPr>
          <w:rFonts w:hint="eastAsia" w:ascii="宋体" w:hAnsi="宋体" w:eastAsia="黑体" w:cs="Times New Roman"/>
          <w:b/>
          <w:bCs/>
          <w:color w:val="0000FF"/>
          <w:kern w:val="44"/>
          <w:sz w:val="36"/>
          <w:szCs w:val="44"/>
        </w:rPr>
      </w:pPr>
    </w:p>
    <w:sectPr>
      <w:headerReference r:id="rId10" w:type="first"/>
      <w:footerReference r:id="rId13" w:type="first"/>
      <w:headerReference r:id="rId8" w:type="default"/>
      <w:footerReference r:id="rId11" w:type="default"/>
      <w:headerReference r:id="rId9" w:type="even"/>
      <w:footerReference r:id="rId12" w:type="even"/>
      <w:pgSz w:w="11906" w:h="16838"/>
      <w:pgMar w:top="1440" w:right="1417" w:bottom="1440" w:left="141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5F" w:usb2="00000000" w:usb3="00000000" w:csb0="2000019F"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6204F">
    <w:pPr>
      <w:pStyle w:val="12"/>
      <w:framePr w:wrap="around" w:vAnchor="text" w:hAnchor="margin" w:xAlign="center" w:y="1"/>
      <w:rPr>
        <w:rStyle w:val="21"/>
      </w:rPr>
    </w:pPr>
    <w:r>
      <w:t xml:space="preserve">- </w:t>
    </w:r>
    <w:r>
      <w:fldChar w:fldCharType="begin"/>
    </w:r>
    <w:r>
      <w:instrText xml:space="preserve"> PAGE </w:instrText>
    </w:r>
    <w:r>
      <w:fldChar w:fldCharType="separate"/>
    </w:r>
    <w:r>
      <w:t>29</w:t>
    </w:r>
    <w:r>
      <w:fldChar w:fldCharType="end"/>
    </w:r>
    <w:r>
      <w:t xml:space="preserve"> -</w:t>
    </w:r>
  </w:p>
  <w:p w14:paraId="066A60D8">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DA061">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14:paraId="5E46EE16">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AC640">
    <w:pPr>
      <w:tabs>
        <w:tab w:val="center" w:pos="4153"/>
        <w:tab w:val="right" w:pos="8306"/>
      </w:tabs>
      <w:snapToGrid w:val="0"/>
      <w:jc w:val="left"/>
      <w:rPr>
        <w:rFonts w:ascii="Times New Roman" w:hAnsi="Times New Roman" w:eastAsia="宋体" w:cs="Times New Roman"/>
        <w:sz w:val="18"/>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2060"/>
    </w:sdtPr>
    <w:sdtContent>
      <w:p w14:paraId="60CA69C8">
        <w:pPr>
          <w:pStyle w:val="12"/>
          <w:jc w:val="center"/>
        </w:pPr>
        <w:r>
          <w:fldChar w:fldCharType="begin"/>
        </w:r>
        <w:r>
          <w:instrText xml:space="preserve"> PAGE   \* MERGEFORMAT </w:instrText>
        </w:r>
        <w:r>
          <w:fldChar w:fldCharType="separate"/>
        </w:r>
        <w:r>
          <w:rPr>
            <w:lang w:val="zh-CN"/>
          </w:rPr>
          <w:t>29</w:t>
        </w:r>
        <w:r>
          <w:rPr>
            <w:lang w:val="zh-CN"/>
          </w:rPr>
          <w:fldChar w:fldCharType="end"/>
        </w:r>
      </w:p>
    </w:sdtContent>
  </w:sdt>
  <w:p w14:paraId="099E6F6F">
    <w:pPr>
      <w:pStyle w:val="12"/>
      <w:spacing w:after="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50567">
    <w:pPr>
      <w:pStyle w:val="12"/>
      <w:spacing w:after="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67757">
    <w:pPr>
      <w:pStyle w:val="12"/>
      <w:spacing w:after="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4B046">
    <w:pPr>
      <w:pStyle w:val="13"/>
      <w:pBdr>
        <w:top w:val="none" w:color="auto" w:sz="0" w:space="0"/>
        <w:left w:val="none" w:color="auto" w:sz="0" w:space="0"/>
        <w:bottom w:val="none" w:color="auto" w:sz="0" w:space="1"/>
        <w:right w:val="none" w:color="auto" w:sz="0" w:space="0"/>
        <w:between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89362A">
    <w:pPr>
      <w:pBdr>
        <w:top w:val="none" w:color="auto" w:sz="0" w:space="1"/>
        <w:left w:val="none" w:color="auto" w:sz="0" w:space="4"/>
        <w:bottom w:val="none" w:color="auto" w:sz="0" w:space="1"/>
        <w:right w:val="none" w:color="auto" w:sz="0" w:space="4"/>
      </w:pBdr>
      <w:tabs>
        <w:tab w:val="center" w:pos="4153"/>
        <w:tab w:val="right" w:pos="8306"/>
      </w:tabs>
      <w:snapToGrid w:val="0"/>
      <w:rPr>
        <w:rFonts w:ascii="Times New Roman" w:hAnsi="Times New Roman" w:eastAsia="宋体" w:cs="Times New Roman"/>
        <w:sz w:val="18"/>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26EBB">
    <w:pPr>
      <w:pStyle w:val="13"/>
      <w:spacing w:after="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DD378">
    <w:pPr>
      <w:pStyle w:val="13"/>
      <w:spacing w:after="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B8F649">
    <w:pPr>
      <w:pStyle w:val="13"/>
      <w:spacing w:after="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09221C"/>
    <w:multiLevelType w:val="singleLevel"/>
    <w:tmpl w:val="B609221C"/>
    <w:lvl w:ilvl="0" w:tentative="0">
      <w:start w:val="1"/>
      <w:numFmt w:val="decimal"/>
      <w:suff w:val="nothing"/>
      <w:lvlText w:val="%1、"/>
      <w:lvlJc w:val="left"/>
    </w:lvl>
  </w:abstractNum>
  <w:abstractNum w:abstractNumId="1">
    <w:nsid w:val="B9358C2E"/>
    <w:multiLevelType w:val="singleLevel"/>
    <w:tmpl w:val="B9358C2E"/>
    <w:lvl w:ilvl="0" w:tentative="0">
      <w:start w:val="2"/>
      <w:numFmt w:val="decimal"/>
      <w:suff w:val="nothing"/>
      <w:lvlText w:val="%1、"/>
      <w:lvlJc w:val="left"/>
    </w:lvl>
  </w:abstractNum>
  <w:abstractNum w:abstractNumId="2">
    <w:nsid w:val="BF6BC116"/>
    <w:multiLevelType w:val="singleLevel"/>
    <w:tmpl w:val="BF6BC116"/>
    <w:lvl w:ilvl="0" w:tentative="0">
      <w:start w:val="16"/>
      <w:numFmt w:val="decimal"/>
      <w:suff w:val="space"/>
      <w:lvlText w:val="%1."/>
      <w:lvlJc w:val="left"/>
    </w:lvl>
  </w:abstractNum>
  <w:abstractNum w:abstractNumId="3">
    <w:nsid w:val="CA5CEBE3"/>
    <w:multiLevelType w:val="singleLevel"/>
    <w:tmpl w:val="CA5CEBE3"/>
    <w:lvl w:ilvl="0" w:tentative="0">
      <w:start w:val="2"/>
      <w:numFmt w:val="decimal"/>
      <w:lvlText w:val="%1."/>
      <w:lvlJc w:val="left"/>
      <w:pPr>
        <w:tabs>
          <w:tab w:val="left" w:pos="312"/>
        </w:tabs>
      </w:pPr>
    </w:lvl>
  </w:abstractNum>
  <w:abstractNum w:abstractNumId="4">
    <w:nsid w:val="CFE7C3F8"/>
    <w:multiLevelType w:val="singleLevel"/>
    <w:tmpl w:val="CFE7C3F8"/>
    <w:lvl w:ilvl="0" w:tentative="0">
      <w:start w:val="1"/>
      <w:numFmt w:val="decimal"/>
      <w:suff w:val="nothing"/>
      <w:lvlText w:val="（%1）"/>
      <w:lvlJc w:val="left"/>
    </w:lvl>
  </w:abstractNum>
  <w:abstractNum w:abstractNumId="5">
    <w:nsid w:val="D0686203"/>
    <w:multiLevelType w:val="singleLevel"/>
    <w:tmpl w:val="D0686203"/>
    <w:lvl w:ilvl="0" w:tentative="0">
      <w:start w:val="2"/>
      <w:numFmt w:val="decimal"/>
      <w:suff w:val="nothing"/>
      <w:lvlText w:val="%1、"/>
      <w:lvlJc w:val="left"/>
    </w:lvl>
  </w:abstractNum>
  <w:abstractNum w:abstractNumId="6">
    <w:nsid w:val="DDECD3BC"/>
    <w:multiLevelType w:val="singleLevel"/>
    <w:tmpl w:val="DDECD3BC"/>
    <w:lvl w:ilvl="0" w:tentative="0">
      <w:start w:val="6"/>
      <w:numFmt w:val="decimal"/>
      <w:suff w:val="space"/>
      <w:lvlText w:val="%1."/>
      <w:lvlJc w:val="left"/>
    </w:lvl>
  </w:abstractNum>
  <w:abstractNum w:abstractNumId="7">
    <w:nsid w:val="DE759F4B"/>
    <w:multiLevelType w:val="singleLevel"/>
    <w:tmpl w:val="DE759F4B"/>
    <w:lvl w:ilvl="0" w:tentative="0">
      <w:start w:val="2"/>
      <w:numFmt w:val="decimal"/>
      <w:suff w:val="space"/>
      <w:lvlText w:val="%1."/>
      <w:lvlJc w:val="left"/>
    </w:lvl>
  </w:abstractNum>
  <w:abstractNum w:abstractNumId="8">
    <w:nsid w:val="DEABE1DB"/>
    <w:multiLevelType w:val="singleLevel"/>
    <w:tmpl w:val="DEABE1DB"/>
    <w:lvl w:ilvl="0" w:tentative="0">
      <w:start w:val="23"/>
      <w:numFmt w:val="decimal"/>
      <w:suff w:val="space"/>
      <w:lvlText w:val="%1."/>
      <w:lvlJc w:val="left"/>
    </w:lvl>
  </w:abstractNum>
  <w:abstractNum w:abstractNumId="9">
    <w:nsid w:val="E408D65A"/>
    <w:multiLevelType w:val="singleLevel"/>
    <w:tmpl w:val="E408D65A"/>
    <w:lvl w:ilvl="0" w:tentative="0">
      <w:start w:val="1"/>
      <w:numFmt w:val="decimal"/>
      <w:suff w:val="nothing"/>
      <w:lvlText w:val="%1、"/>
      <w:lvlJc w:val="left"/>
    </w:lvl>
  </w:abstractNum>
  <w:abstractNum w:abstractNumId="10">
    <w:nsid w:val="E8FE3EA3"/>
    <w:multiLevelType w:val="singleLevel"/>
    <w:tmpl w:val="E8FE3EA3"/>
    <w:lvl w:ilvl="0" w:tentative="0">
      <w:start w:val="5"/>
      <w:numFmt w:val="decimal"/>
      <w:suff w:val="nothing"/>
      <w:lvlText w:val="%1、"/>
      <w:lvlJc w:val="left"/>
    </w:lvl>
  </w:abstractNum>
  <w:abstractNum w:abstractNumId="11">
    <w:nsid w:val="FFEFC674"/>
    <w:multiLevelType w:val="singleLevel"/>
    <w:tmpl w:val="FFEFC674"/>
    <w:lvl w:ilvl="0" w:tentative="0">
      <w:start w:val="1"/>
      <w:numFmt w:val="decimal"/>
      <w:suff w:val="nothing"/>
      <w:lvlText w:val="（%1）"/>
      <w:lvlJc w:val="left"/>
    </w:lvl>
  </w:abstractNum>
  <w:abstractNum w:abstractNumId="12">
    <w:nsid w:val="09F81FD3"/>
    <w:multiLevelType w:val="multilevel"/>
    <w:tmpl w:val="09F81FD3"/>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34416252"/>
    <w:multiLevelType w:val="multilevel"/>
    <w:tmpl w:val="34416252"/>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7A0F6431"/>
    <w:multiLevelType w:val="singleLevel"/>
    <w:tmpl w:val="7A0F6431"/>
    <w:lvl w:ilvl="0" w:tentative="0">
      <w:start w:val="1"/>
      <w:numFmt w:val="decimal"/>
      <w:suff w:val="space"/>
      <w:lvlText w:val="%1."/>
      <w:lvlJc w:val="left"/>
    </w:lvl>
  </w:abstractNum>
  <w:num w:numId="1">
    <w:abstractNumId w:val="3"/>
  </w:num>
  <w:num w:numId="2">
    <w:abstractNumId w:val="5"/>
  </w:num>
  <w:num w:numId="3">
    <w:abstractNumId w:val="9"/>
  </w:num>
  <w:num w:numId="4">
    <w:abstractNumId w:val="10"/>
  </w:num>
  <w:num w:numId="5">
    <w:abstractNumId w:val="0"/>
  </w:num>
  <w:num w:numId="6">
    <w:abstractNumId w:val="1"/>
  </w:num>
  <w:num w:numId="7">
    <w:abstractNumId w:val="14"/>
  </w:num>
  <w:num w:numId="8">
    <w:abstractNumId w:val="4"/>
  </w:num>
  <w:num w:numId="9">
    <w:abstractNumId w:val="11"/>
  </w:num>
  <w:num w:numId="10">
    <w:abstractNumId w:val="7"/>
  </w:num>
  <w:num w:numId="11">
    <w:abstractNumId w:val="6"/>
  </w:num>
  <w:num w:numId="12">
    <w:abstractNumId w:val="2"/>
  </w:num>
  <w:num w:numId="13">
    <w:abstractNumId w:val="8"/>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1MDk5MWI1M2ZiZDkzYWFiOTFhMDJiNTBiNDJjNjcifQ=="/>
  </w:docVars>
  <w:rsids>
    <w:rsidRoot w:val="002B296E"/>
    <w:rsid w:val="00005740"/>
    <w:rsid w:val="00005B4D"/>
    <w:rsid w:val="0000723B"/>
    <w:rsid w:val="000102B3"/>
    <w:rsid w:val="00012263"/>
    <w:rsid w:val="00012DCA"/>
    <w:rsid w:val="00015451"/>
    <w:rsid w:val="00015C20"/>
    <w:rsid w:val="000165A0"/>
    <w:rsid w:val="00017ECC"/>
    <w:rsid w:val="000227FD"/>
    <w:rsid w:val="00024DCF"/>
    <w:rsid w:val="00027E40"/>
    <w:rsid w:val="00030B9F"/>
    <w:rsid w:val="00033591"/>
    <w:rsid w:val="00035243"/>
    <w:rsid w:val="00036C4D"/>
    <w:rsid w:val="00036CC4"/>
    <w:rsid w:val="0004487D"/>
    <w:rsid w:val="0004655D"/>
    <w:rsid w:val="00046AE3"/>
    <w:rsid w:val="00047161"/>
    <w:rsid w:val="00047F90"/>
    <w:rsid w:val="0005162F"/>
    <w:rsid w:val="00051863"/>
    <w:rsid w:val="000520B1"/>
    <w:rsid w:val="00055C90"/>
    <w:rsid w:val="000579F6"/>
    <w:rsid w:val="00071DC8"/>
    <w:rsid w:val="000722BF"/>
    <w:rsid w:val="00073BE1"/>
    <w:rsid w:val="000762AC"/>
    <w:rsid w:val="00076F24"/>
    <w:rsid w:val="00082568"/>
    <w:rsid w:val="00083BC2"/>
    <w:rsid w:val="00086895"/>
    <w:rsid w:val="0009130D"/>
    <w:rsid w:val="00094FCC"/>
    <w:rsid w:val="000A08E3"/>
    <w:rsid w:val="000A7A9D"/>
    <w:rsid w:val="000B3AC3"/>
    <w:rsid w:val="000B4D4A"/>
    <w:rsid w:val="000B587C"/>
    <w:rsid w:val="000B7A0E"/>
    <w:rsid w:val="000C0E1A"/>
    <w:rsid w:val="000C2BCB"/>
    <w:rsid w:val="000C4236"/>
    <w:rsid w:val="000C64E7"/>
    <w:rsid w:val="000C689A"/>
    <w:rsid w:val="000C7808"/>
    <w:rsid w:val="000D123C"/>
    <w:rsid w:val="000D5B9F"/>
    <w:rsid w:val="000E0D11"/>
    <w:rsid w:val="000E23D7"/>
    <w:rsid w:val="000E7DAA"/>
    <w:rsid w:val="000F1063"/>
    <w:rsid w:val="000F1328"/>
    <w:rsid w:val="000F2DF3"/>
    <w:rsid w:val="00102CAD"/>
    <w:rsid w:val="001031B0"/>
    <w:rsid w:val="00105092"/>
    <w:rsid w:val="0010582A"/>
    <w:rsid w:val="001075AD"/>
    <w:rsid w:val="00110CBD"/>
    <w:rsid w:val="00122477"/>
    <w:rsid w:val="001232EC"/>
    <w:rsid w:val="00123E98"/>
    <w:rsid w:val="00123EB7"/>
    <w:rsid w:val="00125B86"/>
    <w:rsid w:val="00125EA7"/>
    <w:rsid w:val="00133F32"/>
    <w:rsid w:val="00134804"/>
    <w:rsid w:val="00135452"/>
    <w:rsid w:val="00135D16"/>
    <w:rsid w:val="001423E8"/>
    <w:rsid w:val="0014403A"/>
    <w:rsid w:val="00145A2D"/>
    <w:rsid w:val="00147326"/>
    <w:rsid w:val="001477E0"/>
    <w:rsid w:val="001523C7"/>
    <w:rsid w:val="00152E85"/>
    <w:rsid w:val="001559D5"/>
    <w:rsid w:val="00157D5E"/>
    <w:rsid w:val="00160312"/>
    <w:rsid w:val="001604FE"/>
    <w:rsid w:val="00164113"/>
    <w:rsid w:val="00164DF0"/>
    <w:rsid w:val="00174F2C"/>
    <w:rsid w:val="001776D1"/>
    <w:rsid w:val="00183B03"/>
    <w:rsid w:val="00184F4C"/>
    <w:rsid w:val="00186AD1"/>
    <w:rsid w:val="00190D4E"/>
    <w:rsid w:val="00192AD1"/>
    <w:rsid w:val="00196ADD"/>
    <w:rsid w:val="001A0653"/>
    <w:rsid w:val="001A62A4"/>
    <w:rsid w:val="001B150F"/>
    <w:rsid w:val="001B3DCD"/>
    <w:rsid w:val="001B77F3"/>
    <w:rsid w:val="001C1026"/>
    <w:rsid w:val="001C146D"/>
    <w:rsid w:val="001C164F"/>
    <w:rsid w:val="001C1957"/>
    <w:rsid w:val="001C3631"/>
    <w:rsid w:val="001D0EB9"/>
    <w:rsid w:val="001D1A0E"/>
    <w:rsid w:val="001D4E88"/>
    <w:rsid w:val="001D5427"/>
    <w:rsid w:val="001D6F99"/>
    <w:rsid w:val="001E7D92"/>
    <w:rsid w:val="001F2FF4"/>
    <w:rsid w:val="001F4DAC"/>
    <w:rsid w:val="0020017A"/>
    <w:rsid w:val="0020780A"/>
    <w:rsid w:val="00210364"/>
    <w:rsid w:val="0021479B"/>
    <w:rsid w:val="00215571"/>
    <w:rsid w:val="00225BA9"/>
    <w:rsid w:val="00231E55"/>
    <w:rsid w:val="00234B58"/>
    <w:rsid w:val="0023517A"/>
    <w:rsid w:val="002360AF"/>
    <w:rsid w:val="002373AF"/>
    <w:rsid w:val="0024137C"/>
    <w:rsid w:val="002425D6"/>
    <w:rsid w:val="002428AB"/>
    <w:rsid w:val="00244C00"/>
    <w:rsid w:val="00245B43"/>
    <w:rsid w:val="00250418"/>
    <w:rsid w:val="002505A6"/>
    <w:rsid w:val="002549D4"/>
    <w:rsid w:val="0026325C"/>
    <w:rsid w:val="0026418F"/>
    <w:rsid w:val="0026450A"/>
    <w:rsid w:val="002709A8"/>
    <w:rsid w:val="00270C27"/>
    <w:rsid w:val="00271D87"/>
    <w:rsid w:val="00272EB2"/>
    <w:rsid w:val="002746A1"/>
    <w:rsid w:val="00280C2F"/>
    <w:rsid w:val="002823CE"/>
    <w:rsid w:val="00285DE2"/>
    <w:rsid w:val="00290910"/>
    <w:rsid w:val="00293B10"/>
    <w:rsid w:val="002961D1"/>
    <w:rsid w:val="002966B6"/>
    <w:rsid w:val="0029795C"/>
    <w:rsid w:val="002A0ED3"/>
    <w:rsid w:val="002A29E5"/>
    <w:rsid w:val="002A758C"/>
    <w:rsid w:val="002B296E"/>
    <w:rsid w:val="002B5C22"/>
    <w:rsid w:val="002B6A5A"/>
    <w:rsid w:val="002C3DA7"/>
    <w:rsid w:val="002C3F0A"/>
    <w:rsid w:val="002C500F"/>
    <w:rsid w:val="002C6B4A"/>
    <w:rsid w:val="002D2996"/>
    <w:rsid w:val="002D36C4"/>
    <w:rsid w:val="002D5EB6"/>
    <w:rsid w:val="002D63FF"/>
    <w:rsid w:val="002E0BE7"/>
    <w:rsid w:val="002E1005"/>
    <w:rsid w:val="002E4C9D"/>
    <w:rsid w:val="002E5DA1"/>
    <w:rsid w:val="002E63F0"/>
    <w:rsid w:val="002E6F35"/>
    <w:rsid w:val="002F006C"/>
    <w:rsid w:val="002F019C"/>
    <w:rsid w:val="002F403D"/>
    <w:rsid w:val="002F4FC9"/>
    <w:rsid w:val="002F54BE"/>
    <w:rsid w:val="00305131"/>
    <w:rsid w:val="00305CE7"/>
    <w:rsid w:val="00305DA0"/>
    <w:rsid w:val="003075D2"/>
    <w:rsid w:val="003103D1"/>
    <w:rsid w:val="00311E94"/>
    <w:rsid w:val="00315035"/>
    <w:rsid w:val="00321622"/>
    <w:rsid w:val="0032311B"/>
    <w:rsid w:val="00323813"/>
    <w:rsid w:val="00324CB2"/>
    <w:rsid w:val="00326B43"/>
    <w:rsid w:val="003277CD"/>
    <w:rsid w:val="0033310F"/>
    <w:rsid w:val="0033356C"/>
    <w:rsid w:val="00335A76"/>
    <w:rsid w:val="003402FF"/>
    <w:rsid w:val="00341AAD"/>
    <w:rsid w:val="00345849"/>
    <w:rsid w:val="00350F69"/>
    <w:rsid w:val="00353939"/>
    <w:rsid w:val="003553CD"/>
    <w:rsid w:val="00356426"/>
    <w:rsid w:val="00356A28"/>
    <w:rsid w:val="00362D56"/>
    <w:rsid w:val="0037109F"/>
    <w:rsid w:val="003710C6"/>
    <w:rsid w:val="003731BF"/>
    <w:rsid w:val="00373CC6"/>
    <w:rsid w:val="0037772B"/>
    <w:rsid w:val="003811DD"/>
    <w:rsid w:val="00384FDC"/>
    <w:rsid w:val="00387363"/>
    <w:rsid w:val="0039233C"/>
    <w:rsid w:val="003936FA"/>
    <w:rsid w:val="00395B93"/>
    <w:rsid w:val="003960E2"/>
    <w:rsid w:val="003A0898"/>
    <w:rsid w:val="003A13DC"/>
    <w:rsid w:val="003A22B2"/>
    <w:rsid w:val="003A283F"/>
    <w:rsid w:val="003A3EA6"/>
    <w:rsid w:val="003A5619"/>
    <w:rsid w:val="003B4BF9"/>
    <w:rsid w:val="003B627E"/>
    <w:rsid w:val="003C55EB"/>
    <w:rsid w:val="003D016D"/>
    <w:rsid w:val="003D1101"/>
    <w:rsid w:val="003D2AD2"/>
    <w:rsid w:val="003E32F8"/>
    <w:rsid w:val="003F0159"/>
    <w:rsid w:val="003F0EBF"/>
    <w:rsid w:val="003F1A85"/>
    <w:rsid w:val="0040232B"/>
    <w:rsid w:val="00411AD4"/>
    <w:rsid w:val="004142D5"/>
    <w:rsid w:val="004155CD"/>
    <w:rsid w:val="004159E6"/>
    <w:rsid w:val="00420DE3"/>
    <w:rsid w:val="00421174"/>
    <w:rsid w:val="00422460"/>
    <w:rsid w:val="004303AA"/>
    <w:rsid w:val="004308A1"/>
    <w:rsid w:val="00430AF8"/>
    <w:rsid w:val="00432891"/>
    <w:rsid w:val="0043317D"/>
    <w:rsid w:val="00434018"/>
    <w:rsid w:val="00435930"/>
    <w:rsid w:val="004370D7"/>
    <w:rsid w:val="004432FE"/>
    <w:rsid w:val="004437AE"/>
    <w:rsid w:val="004454D9"/>
    <w:rsid w:val="00446748"/>
    <w:rsid w:val="004468B4"/>
    <w:rsid w:val="0045104F"/>
    <w:rsid w:val="00460807"/>
    <w:rsid w:val="00460ABA"/>
    <w:rsid w:val="00460E5B"/>
    <w:rsid w:val="00461030"/>
    <w:rsid w:val="004621E5"/>
    <w:rsid w:val="00463D37"/>
    <w:rsid w:val="00471274"/>
    <w:rsid w:val="00471E81"/>
    <w:rsid w:val="00472409"/>
    <w:rsid w:val="00480F0D"/>
    <w:rsid w:val="00486E73"/>
    <w:rsid w:val="004A0C96"/>
    <w:rsid w:val="004A19DD"/>
    <w:rsid w:val="004A20E5"/>
    <w:rsid w:val="004A27E3"/>
    <w:rsid w:val="004A5261"/>
    <w:rsid w:val="004A7791"/>
    <w:rsid w:val="004B0CD6"/>
    <w:rsid w:val="004B3152"/>
    <w:rsid w:val="004B5FA8"/>
    <w:rsid w:val="004C3ADD"/>
    <w:rsid w:val="004D1052"/>
    <w:rsid w:val="004D7F2E"/>
    <w:rsid w:val="004E098B"/>
    <w:rsid w:val="004E2AEC"/>
    <w:rsid w:val="004E3FBD"/>
    <w:rsid w:val="004E41AC"/>
    <w:rsid w:val="004E5F5E"/>
    <w:rsid w:val="004E7B5C"/>
    <w:rsid w:val="004F1DAC"/>
    <w:rsid w:val="00501787"/>
    <w:rsid w:val="00501E4E"/>
    <w:rsid w:val="005038E9"/>
    <w:rsid w:val="00506897"/>
    <w:rsid w:val="00511618"/>
    <w:rsid w:val="00516147"/>
    <w:rsid w:val="0052007E"/>
    <w:rsid w:val="00524AB1"/>
    <w:rsid w:val="00530432"/>
    <w:rsid w:val="00532047"/>
    <w:rsid w:val="00535134"/>
    <w:rsid w:val="0053774E"/>
    <w:rsid w:val="00542088"/>
    <w:rsid w:val="0054303D"/>
    <w:rsid w:val="005436FB"/>
    <w:rsid w:val="0055085C"/>
    <w:rsid w:val="0055090F"/>
    <w:rsid w:val="005543A6"/>
    <w:rsid w:val="005554AD"/>
    <w:rsid w:val="005568B0"/>
    <w:rsid w:val="00557C1B"/>
    <w:rsid w:val="005668BA"/>
    <w:rsid w:val="00572D56"/>
    <w:rsid w:val="0057738E"/>
    <w:rsid w:val="00583993"/>
    <w:rsid w:val="00586861"/>
    <w:rsid w:val="0058780A"/>
    <w:rsid w:val="005901F0"/>
    <w:rsid w:val="005912AD"/>
    <w:rsid w:val="00591B30"/>
    <w:rsid w:val="00591BAF"/>
    <w:rsid w:val="00594982"/>
    <w:rsid w:val="005962CA"/>
    <w:rsid w:val="005A0B67"/>
    <w:rsid w:val="005A1E16"/>
    <w:rsid w:val="005A43AB"/>
    <w:rsid w:val="005A482C"/>
    <w:rsid w:val="005A579C"/>
    <w:rsid w:val="005A5B03"/>
    <w:rsid w:val="005B0170"/>
    <w:rsid w:val="005B1875"/>
    <w:rsid w:val="005B1FAC"/>
    <w:rsid w:val="005B3AB8"/>
    <w:rsid w:val="005B5597"/>
    <w:rsid w:val="005B629B"/>
    <w:rsid w:val="005B7B25"/>
    <w:rsid w:val="005C09EC"/>
    <w:rsid w:val="005C2223"/>
    <w:rsid w:val="005E513F"/>
    <w:rsid w:val="005E6307"/>
    <w:rsid w:val="005F0B55"/>
    <w:rsid w:val="005F0EA2"/>
    <w:rsid w:val="005F464F"/>
    <w:rsid w:val="00602045"/>
    <w:rsid w:val="006137B4"/>
    <w:rsid w:val="00622334"/>
    <w:rsid w:val="00623B5C"/>
    <w:rsid w:val="0062431E"/>
    <w:rsid w:val="0063178E"/>
    <w:rsid w:val="00634CA8"/>
    <w:rsid w:val="00634D11"/>
    <w:rsid w:val="006357F8"/>
    <w:rsid w:val="00637736"/>
    <w:rsid w:val="00642E74"/>
    <w:rsid w:val="0064411E"/>
    <w:rsid w:val="00650F5B"/>
    <w:rsid w:val="006530D0"/>
    <w:rsid w:val="00660418"/>
    <w:rsid w:val="00666B5D"/>
    <w:rsid w:val="00666D92"/>
    <w:rsid w:val="006706B4"/>
    <w:rsid w:val="0067242A"/>
    <w:rsid w:val="00673CED"/>
    <w:rsid w:val="00674722"/>
    <w:rsid w:val="006749FE"/>
    <w:rsid w:val="006762D5"/>
    <w:rsid w:val="006801A9"/>
    <w:rsid w:val="0068296E"/>
    <w:rsid w:val="00685EAE"/>
    <w:rsid w:val="006900CE"/>
    <w:rsid w:val="00690C3A"/>
    <w:rsid w:val="00693B11"/>
    <w:rsid w:val="00693C62"/>
    <w:rsid w:val="00693D42"/>
    <w:rsid w:val="00697AEC"/>
    <w:rsid w:val="006A4089"/>
    <w:rsid w:val="006A5F3A"/>
    <w:rsid w:val="006A6F0A"/>
    <w:rsid w:val="006B00E1"/>
    <w:rsid w:val="006B0A36"/>
    <w:rsid w:val="006B1275"/>
    <w:rsid w:val="006B1578"/>
    <w:rsid w:val="006B1F77"/>
    <w:rsid w:val="006B4428"/>
    <w:rsid w:val="006B56AA"/>
    <w:rsid w:val="006B6BCB"/>
    <w:rsid w:val="006B6F2B"/>
    <w:rsid w:val="006C4C6F"/>
    <w:rsid w:val="006C5C8C"/>
    <w:rsid w:val="006D0314"/>
    <w:rsid w:val="006D1AD5"/>
    <w:rsid w:val="006D20BD"/>
    <w:rsid w:val="006D4663"/>
    <w:rsid w:val="006D66CE"/>
    <w:rsid w:val="006D77F1"/>
    <w:rsid w:val="006E37A8"/>
    <w:rsid w:val="006E4B2D"/>
    <w:rsid w:val="006E4D4C"/>
    <w:rsid w:val="006F75CA"/>
    <w:rsid w:val="00701086"/>
    <w:rsid w:val="00701EE1"/>
    <w:rsid w:val="007031C1"/>
    <w:rsid w:val="007037E0"/>
    <w:rsid w:val="007046E4"/>
    <w:rsid w:val="0070524E"/>
    <w:rsid w:val="00721A12"/>
    <w:rsid w:val="00726CBC"/>
    <w:rsid w:val="00731E2A"/>
    <w:rsid w:val="00734FD4"/>
    <w:rsid w:val="0074155C"/>
    <w:rsid w:val="00744A0C"/>
    <w:rsid w:val="0074718B"/>
    <w:rsid w:val="00750BEB"/>
    <w:rsid w:val="00751194"/>
    <w:rsid w:val="00752F41"/>
    <w:rsid w:val="007553E2"/>
    <w:rsid w:val="00755821"/>
    <w:rsid w:val="00760711"/>
    <w:rsid w:val="00760C63"/>
    <w:rsid w:val="007612BB"/>
    <w:rsid w:val="00761E34"/>
    <w:rsid w:val="00763D77"/>
    <w:rsid w:val="00764256"/>
    <w:rsid w:val="0076454F"/>
    <w:rsid w:val="00771537"/>
    <w:rsid w:val="007746E5"/>
    <w:rsid w:val="007764F5"/>
    <w:rsid w:val="0078066F"/>
    <w:rsid w:val="00783694"/>
    <w:rsid w:val="0079172F"/>
    <w:rsid w:val="00791F91"/>
    <w:rsid w:val="00792E1B"/>
    <w:rsid w:val="00793C07"/>
    <w:rsid w:val="00794DAC"/>
    <w:rsid w:val="007958AE"/>
    <w:rsid w:val="0079703B"/>
    <w:rsid w:val="0079727B"/>
    <w:rsid w:val="007A2280"/>
    <w:rsid w:val="007A5B9B"/>
    <w:rsid w:val="007A6674"/>
    <w:rsid w:val="007A7C7A"/>
    <w:rsid w:val="007B3C6D"/>
    <w:rsid w:val="007B48FC"/>
    <w:rsid w:val="007B743A"/>
    <w:rsid w:val="007C3FAA"/>
    <w:rsid w:val="007D1F29"/>
    <w:rsid w:val="007D2D0F"/>
    <w:rsid w:val="007D31C8"/>
    <w:rsid w:val="007D38B1"/>
    <w:rsid w:val="007D3AB6"/>
    <w:rsid w:val="007D4637"/>
    <w:rsid w:val="007D4C6C"/>
    <w:rsid w:val="007D4EC4"/>
    <w:rsid w:val="007D5983"/>
    <w:rsid w:val="007D65BA"/>
    <w:rsid w:val="007D72FB"/>
    <w:rsid w:val="007E4C94"/>
    <w:rsid w:val="007E5F04"/>
    <w:rsid w:val="007F1677"/>
    <w:rsid w:val="007F2C2A"/>
    <w:rsid w:val="007F5169"/>
    <w:rsid w:val="007F647E"/>
    <w:rsid w:val="007F7EC0"/>
    <w:rsid w:val="00801A38"/>
    <w:rsid w:val="00803B40"/>
    <w:rsid w:val="00806F28"/>
    <w:rsid w:val="00807B69"/>
    <w:rsid w:val="00810E85"/>
    <w:rsid w:val="00812244"/>
    <w:rsid w:val="00812D31"/>
    <w:rsid w:val="0081372D"/>
    <w:rsid w:val="008138A3"/>
    <w:rsid w:val="008140E8"/>
    <w:rsid w:val="008166D4"/>
    <w:rsid w:val="00817DB8"/>
    <w:rsid w:val="0082057C"/>
    <w:rsid w:val="008223B6"/>
    <w:rsid w:val="00830E2C"/>
    <w:rsid w:val="00835FB6"/>
    <w:rsid w:val="008363CE"/>
    <w:rsid w:val="00841109"/>
    <w:rsid w:val="00845602"/>
    <w:rsid w:val="00846672"/>
    <w:rsid w:val="00847127"/>
    <w:rsid w:val="00853091"/>
    <w:rsid w:val="00856054"/>
    <w:rsid w:val="00856105"/>
    <w:rsid w:val="0086614D"/>
    <w:rsid w:val="00867F98"/>
    <w:rsid w:val="0087225E"/>
    <w:rsid w:val="00872B38"/>
    <w:rsid w:val="00872CDB"/>
    <w:rsid w:val="008801A3"/>
    <w:rsid w:val="0088330C"/>
    <w:rsid w:val="00883AA8"/>
    <w:rsid w:val="008853B1"/>
    <w:rsid w:val="008859FC"/>
    <w:rsid w:val="00885C49"/>
    <w:rsid w:val="0089165B"/>
    <w:rsid w:val="008920BC"/>
    <w:rsid w:val="00896917"/>
    <w:rsid w:val="008976C8"/>
    <w:rsid w:val="008A1016"/>
    <w:rsid w:val="008A402F"/>
    <w:rsid w:val="008A73D1"/>
    <w:rsid w:val="008B2078"/>
    <w:rsid w:val="008B641C"/>
    <w:rsid w:val="008B6A92"/>
    <w:rsid w:val="008B6F21"/>
    <w:rsid w:val="008B7807"/>
    <w:rsid w:val="008C2951"/>
    <w:rsid w:val="008C4241"/>
    <w:rsid w:val="008C50F1"/>
    <w:rsid w:val="008C6819"/>
    <w:rsid w:val="008D3759"/>
    <w:rsid w:val="008D5DDF"/>
    <w:rsid w:val="008E2B32"/>
    <w:rsid w:val="008E6B4B"/>
    <w:rsid w:val="008F0E1B"/>
    <w:rsid w:val="008F59CA"/>
    <w:rsid w:val="008F615A"/>
    <w:rsid w:val="008F7FE5"/>
    <w:rsid w:val="00900B57"/>
    <w:rsid w:val="00904713"/>
    <w:rsid w:val="009059F6"/>
    <w:rsid w:val="00905D0E"/>
    <w:rsid w:val="00912406"/>
    <w:rsid w:val="009136FB"/>
    <w:rsid w:val="0091459A"/>
    <w:rsid w:val="00914845"/>
    <w:rsid w:val="00921A8A"/>
    <w:rsid w:val="009220BF"/>
    <w:rsid w:val="00922256"/>
    <w:rsid w:val="0092669F"/>
    <w:rsid w:val="00933427"/>
    <w:rsid w:val="009356F2"/>
    <w:rsid w:val="00937148"/>
    <w:rsid w:val="00940369"/>
    <w:rsid w:val="009454F4"/>
    <w:rsid w:val="00946EFC"/>
    <w:rsid w:val="00946F59"/>
    <w:rsid w:val="00950E98"/>
    <w:rsid w:val="0095203B"/>
    <w:rsid w:val="009537E3"/>
    <w:rsid w:val="00957952"/>
    <w:rsid w:val="009612CA"/>
    <w:rsid w:val="00962F8A"/>
    <w:rsid w:val="00963D52"/>
    <w:rsid w:val="00965A51"/>
    <w:rsid w:val="00970EA5"/>
    <w:rsid w:val="00973CA7"/>
    <w:rsid w:val="009757C4"/>
    <w:rsid w:val="0097679F"/>
    <w:rsid w:val="00987D22"/>
    <w:rsid w:val="009929A4"/>
    <w:rsid w:val="00993BB4"/>
    <w:rsid w:val="009974A8"/>
    <w:rsid w:val="009A0EA8"/>
    <w:rsid w:val="009A1BDE"/>
    <w:rsid w:val="009A6E5F"/>
    <w:rsid w:val="009B170E"/>
    <w:rsid w:val="009B1762"/>
    <w:rsid w:val="009B4107"/>
    <w:rsid w:val="009B6F40"/>
    <w:rsid w:val="009C1E9F"/>
    <w:rsid w:val="009C4AF0"/>
    <w:rsid w:val="009C75DB"/>
    <w:rsid w:val="009D062B"/>
    <w:rsid w:val="009D39E4"/>
    <w:rsid w:val="009D4278"/>
    <w:rsid w:val="009E444A"/>
    <w:rsid w:val="009E50FB"/>
    <w:rsid w:val="009E5DEE"/>
    <w:rsid w:val="009E66C2"/>
    <w:rsid w:val="009E6EF2"/>
    <w:rsid w:val="009F76F8"/>
    <w:rsid w:val="00A027FE"/>
    <w:rsid w:val="00A049ED"/>
    <w:rsid w:val="00A06F79"/>
    <w:rsid w:val="00A13404"/>
    <w:rsid w:val="00A13C69"/>
    <w:rsid w:val="00A13FD3"/>
    <w:rsid w:val="00A15662"/>
    <w:rsid w:val="00A15B4D"/>
    <w:rsid w:val="00A17A05"/>
    <w:rsid w:val="00A20B5D"/>
    <w:rsid w:val="00A21678"/>
    <w:rsid w:val="00A21934"/>
    <w:rsid w:val="00A249CD"/>
    <w:rsid w:val="00A26BE9"/>
    <w:rsid w:val="00A3093B"/>
    <w:rsid w:val="00A30D3A"/>
    <w:rsid w:val="00A32364"/>
    <w:rsid w:val="00A33CFD"/>
    <w:rsid w:val="00A40BCE"/>
    <w:rsid w:val="00A50064"/>
    <w:rsid w:val="00A51785"/>
    <w:rsid w:val="00A52400"/>
    <w:rsid w:val="00A53AEC"/>
    <w:rsid w:val="00A55EDA"/>
    <w:rsid w:val="00A57355"/>
    <w:rsid w:val="00A610B1"/>
    <w:rsid w:val="00A63E72"/>
    <w:rsid w:val="00A665D9"/>
    <w:rsid w:val="00A66F56"/>
    <w:rsid w:val="00A675A0"/>
    <w:rsid w:val="00A7451A"/>
    <w:rsid w:val="00A83A06"/>
    <w:rsid w:val="00A925B1"/>
    <w:rsid w:val="00A92A0C"/>
    <w:rsid w:val="00A95ABA"/>
    <w:rsid w:val="00AA0D1E"/>
    <w:rsid w:val="00AA1328"/>
    <w:rsid w:val="00AA42D3"/>
    <w:rsid w:val="00AA470C"/>
    <w:rsid w:val="00AA5E0D"/>
    <w:rsid w:val="00AA6718"/>
    <w:rsid w:val="00AB0EAD"/>
    <w:rsid w:val="00AB2F6A"/>
    <w:rsid w:val="00AB6537"/>
    <w:rsid w:val="00AC01BC"/>
    <w:rsid w:val="00AC108C"/>
    <w:rsid w:val="00AC6148"/>
    <w:rsid w:val="00AD25EB"/>
    <w:rsid w:val="00AD273D"/>
    <w:rsid w:val="00AD3773"/>
    <w:rsid w:val="00AD6720"/>
    <w:rsid w:val="00AD732E"/>
    <w:rsid w:val="00AE1C0F"/>
    <w:rsid w:val="00AE2AFA"/>
    <w:rsid w:val="00AE7D66"/>
    <w:rsid w:val="00AF1DF5"/>
    <w:rsid w:val="00AF7704"/>
    <w:rsid w:val="00AF79C5"/>
    <w:rsid w:val="00B13D11"/>
    <w:rsid w:val="00B1422D"/>
    <w:rsid w:val="00B1504B"/>
    <w:rsid w:val="00B16D72"/>
    <w:rsid w:val="00B17FE0"/>
    <w:rsid w:val="00B20EEA"/>
    <w:rsid w:val="00B21464"/>
    <w:rsid w:val="00B27CA4"/>
    <w:rsid w:val="00B31267"/>
    <w:rsid w:val="00B35B9A"/>
    <w:rsid w:val="00B35E87"/>
    <w:rsid w:val="00B372CB"/>
    <w:rsid w:val="00B37D32"/>
    <w:rsid w:val="00B41ECA"/>
    <w:rsid w:val="00B45AD9"/>
    <w:rsid w:val="00B46B50"/>
    <w:rsid w:val="00B51FC7"/>
    <w:rsid w:val="00B532E2"/>
    <w:rsid w:val="00B55775"/>
    <w:rsid w:val="00B600C1"/>
    <w:rsid w:val="00B61F3D"/>
    <w:rsid w:val="00B63142"/>
    <w:rsid w:val="00B63FE9"/>
    <w:rsid w:val="00B66E98"/>
    <w:rsid w:val="00B70040"/>
    <w:rsid w:val="00B70889"/>
    <w:rsid w:val="00B75E35"/>
    <w:rsid w:val="00B762CF"/>
    <w:rsid w:val="00B7694F"/>
    <w:rsid w:val="00B810FB"/>
    <w:rsid w:val="00B85510"/>
    <w:rsid w:val="00B86F8C"/>
    <w:rsid w:val="00B87097"/>
    <w:rsid w:val="00B935F7"/>
    <w:rsid w:val="00B94787"/>
    <w:rsid w:val="00B96CF9"/>
    <w:rsid w:val="00B97368"/>
    <w:rsid w:val="00B97861"/>
    <w:rsid w:val="00BA0C36"/>
    <w:rsid w:val="00BA2DFA"/>
    <w:rsid w:val="00BA5985"/>
    <w:rsid w:val="00BA6DCA"/>
    <w:rsid w:val="00BB2E37"/>
    <w:rsid w:val="00BB3B9D"/>
    <w:rsid w:val="00BB475D"/>
    <w:rsid w:val="00BB612C"/>
    <w:rsid w:val="00BB74E8"/>
    <w:rsid w:val="00BC0022"/>
    <w:rsid w:val="00BC2E32"/>
    <w:rsid w:val="00BC3702"/>
    <w:rsid w:val="00BC3723"/>
    <w:rsid w:val="00BC3A0B"/>
    <w:rsid w:val="00BC4367"/>
    <w:rsid w:val="00BC79A5"/>
    <w:rsid w:val="00BD1749"/>
    <w:rsid w:val="00BD19A7"/>
    <w:rsid w:val="00BD4173"/>
    <w:rsid w:val="00BD7D8C"/>
    <w:rsid w:val="00BE2354"/>
    <w:rsid w:val="00BE5E00"/>
    <w:rsid w:val="00BE7E28"/>
    <w:rsid w:val="00BF134C"/>
    <w:rsid w:val="00BF53C2"/>
    <w:rsid w:val="00BF55BD"/>
    <w:rsid w:val="00C036E1"/>
    <w:rsid w:val="00C06DAA"/>
    <w:rsid w:val="00C13727"/>
    <w:rsid w:val="00C148C6"/>
    <w:rsid w:val="00C14B6A"/>
    <w:rsid w:val="00C15825"/>
    <w:rsid w:val="00C174A1"/>
    <w:rsid w:val="00C24AC7"/>
    <w:rsid w:val="00C25258"/>
    <w:rsid w:val="00C255CE"/>
    <w:rsid w:val="00C26177"/>
    <w:rsid w:val="00C27633"/>
    <w:rsid w:val="00C27BEA"/>
    <w:rsid w:val="00C35401"/>
    <w:rsid w:val="00C3712E"/>
    <w:rsid w:val="00C435E6"/>
    <w:rsid w:val="00C443E4"/>
    <w:rsid w:val="00C446EE"/>
    <w:rsid w:val="00C51F32"/>
    <w:rsid w:val="00C520EF"/>
    <w:rsid w:val="00C5244A"/>
    <w:rsid w:val="00C56E41"/>
    <w:rsid w:val="00C609D6"/>
    <w:rsid w:val="00C622B3"/>
    <w:rsid w:val="00C67553"/>
    <w:rsid w:val="00C676A9"/>
    <w:rsid w:val="00C67EFD"/>
    <w:rsid w:val="00C719FB"/>
    <w:rsid w:val="00C71C81"/>
    <w:rsid w:val="00C71F2E"/>
    <w:rsid w:val="00C720B8"/>
    <w:rsid w:val="00C72488"/>
    <w:rsid w:val="00C741BF"/>
    <w:rsid w:val="00C746A8"/>
    <w:rsid w:val="00C77F0C"/>
    <w:rsid w:val="00C835AC"/>
    <w:rsid w:val="00C85BA9"/>
    <w:rsid w:val="00C867A5"/>
    <w:rsid w:val="00C86A3C"/>
    <w:rsid w:val="00C87A3B"/>
    <w:rsid w:val="00C87D50"/>
    <w:rsid w:val="00C901A7"/>
    <w:rsid w:val="00C9117D"/>
    <w:rsid w:val="00C91D5D"/>
    <w:rsid w:val="00CA1F6D"/>
    <w:rsid w:val="00CA5ACE"/>
    <w:rsid w:val="00CB2684"/>
    <w:rsid w:val="00CB7888"/>
    <w:rsid w:val="00CB7DE1"/>
    <w:rsid w:val="00CD0810"/>
    <w:rsid w:val="00CD0871"/>
    <w:rsid w:val="00CD15AC"/>
    <w:rsid w:val="00CD3BC6"/>
    <w:rsid w:val="00CD7D7E"/>
    <w:rsid w:val="00CE00DF"/>
    <w:rsid w:val="00CE0851"/>
    <w:rsid w:val="00CE2815"/>
    <w:rsid w:val="00CE52DC"/>
    <w:rsid w:val="00CF1384"/>
    <w:rsid w:val="00CF2476"/>
    <w:rsid w:val="00CF31A3"/>
    <w:rsid w:val="00CF53F3"/>
    <w:rsid w:val="00D0005C"/>
    <w:rsid w:val="00D01223"/>
    <w:rsid w:val="00D0531F"/>
    <w:rsid w:val="00D0649F"/>
    <w:rsid w:val="00D06A2B"/>
    <w:rsid w:val="00D07388"/>
    <w:rsid w:val="00D101DB"/>
    <w:rsid w:val="00D137A0"/>
    <w:rsid w:val="00D14DA8"/>
    <w:rsid w:val="00D152BD"/>
    <w:rsid w:val="00D17566"/>
    <w:rsid w:val="00D20765"/>
    <w:rsid w:val="00D22980"/>
    <w:rsid w:val="00D23242"/>
    <w:rsid w:val="00D23D28"/>
    <w:rsid w:val="00D3713E"/>
    <w:rsid w:val="00D40D69"/>
    <w:rsid w:val="00D43946"/>
    <w:rsid w:val="00D463F3"/>
    <w:rsid w:val="00D46E2E"/>
    <w:rsid w:val="00D526AB"/>
    <w:rsid w:val="00D54B44"/>
    <w:rsid w:val="00D65A9A"/>
    <w:rsid w:val="00D6748D"/>
    <w:rsid w:val="00D67EFB"/>
    <w:rsid w:val="00D8046B"/>
    <w:rsid w:val="00D825BB"/>
    <w:rsid w:val="00D9165B"/>
    <w:rsid w:val="00DA03A3"/>
    <w:rsid w:val="00DA044F"/>
    <w:rsid w:val="00DA0F19"/>
    <w:rsid w:val="00DA1172"/>
    <w:rsid w:val="00DA4D0F"/>
    <w:rsid w:val="00DA72AF"/>
    <w:rsid w:val="00DB05CE"/>
    <w:rsid w:val="00DB09FD"/>
    <w:rsid w:val="00DB214F"/>
    <w:rsid w:val="00DC0B27"/>
    <w:rsid w:val="00DC0DC3"/>
    <w:rsid w:val="00DC5979"/>
    <w:rsid w:val="00DC683E"/>
    <w:rsid w:val="00DD7ACC"/>
    <w:rsid w:val="00DD7C86"/>
    <w:rsid w:val="00DE210F"/>
    <w:rsid w:val="00DE6729"/>
    <w:rsid w:val="00DE780F"/>
    <w:rsid w:val="00DF005C"/>
    <w:rsid w:val="00DF193F"/>
    <w:rsid w:val="00DF25E1"/>
    <w:rsid w:val="00DF45C1"/>
    <w:rsid w:val="00DF63D3"/>
    <w:rsid w:val="00E01277"/>
    <w:rsid w:val="00E0373F"/>
    <w:rsid w:val="00E07FC2"/>
    <w:rsid w:val="00E10C3F"/>
    <w:rsid w:val="00E1277C"/>
    <w:rsid w:val="00E16381"/>
    <w:rsid w:val="00E16BE0"/>
    <w:rsid w:val="00E20FDC"/>
    <w:rsid w:val="00E21413"/>
    <w:rsid w:val="00E22D57"/>
    <w:rsid w:val="00E278B7"/>
    <w:rsid w:val="00E30D44"/>
    <w:rsid w:val="00E329CC"/>
    <w:rsid w:val="00E35F37"/>
    <w:rsid w:val="00E426CB"/>
    <w:rsid w:val="00E4477C"/>
    <w:rsid w:val="00E53672"/>
    <w:rsid w:val="00E5578E"/>
    <w:rsid w:val="00E604F1"/>
    <w:rsid w:val="00E61DE2"/>
    <w:rsid w:val="00E71B7C"/>
    <w:rsid w:val="00E72E33"/>
    <w:rsid w:val="00E7592D"/>
    <w:rsid w:val="00E826CD"/>
    <w:rsid w:val="00E8442D"/>
    <w:rsid w:val="00E854A1"/>
    <w:rsid w:val="00E93D2E"/>
    <w:rsid w:val="00E9738B"/>
    <w:rsid w:val="00E97895"/>
    <w:rsid w:val="00E97ED5"/>
    <w:rsid w:val="00EA233A"/>
    <w:rsid w:val="00EA6339"/>
    <w:rsid w:val="00EB051B"/>
    <w:rsid w:val="00EB0F3C"/>
    <w:rsid w:val="00EB2414"/>
    <w:rsid w:val="00EB4289"/>
    <w:rsid w:val="00EB44C9"/>
    <w:rsid w:val="00EB5B32"/>
    <w:rsid w:val="00EB75BE"/>
    <w:rsid w:val="00EC1A0F"/>
    <w:rsid w:val="00EC2883"/>
    <w:rsid w:val="00EC3753"/>
    <w:rsid w:val="00EC40A2"/>
    <w:rsid w:val="00EC4659"/>
    <w:rsid w:val="00EC4D83"/>
    <w:rsid w:val="00EC69E5"/>
    <w:rsid w:val="00ED4FC7"/>
    <w:rsid w:val="00ED59E6"/>
    <w:rsid w:val="00EE126C"/>
    <w:rsid w:val="00EE2C1D"/>
    <w:rsid w:val="00EF10A6"/>
    <w:rsid w:val="00EF1CEA"/>
    <w:rsid w:val="00EF299F"/>
    <w:rsid w:val="00EF31F9"/>
    <w:rsid w:val="00EF4E8F"/>
    <w:rsid w:val="00EF5AA6"/>
    <w:rsid w:val="00EF6432"/>
    <w:rsid w:val="00EF6661"/>
    <w:rsid w:val="00F013C6"/>
    <w:rsid w:val="00F035C6"/>
    <w:rsid w:val="00F04A50"/>
    <w:rsid w:val="00F0516B"/>
    <w:rsid w:val="00F05E51"/>
    <w:rsid w:val="00F0669D"/>
    <w:rsid w:val="00F17533"/>
    <w:rsid w:val="00F21003"/>
    <w:rsid w:val="00F211FE"/>
    <w:rsid w:val="00F21E92"/>
    <w:rsid w:val="00F238BB"/>
    <w:rsid w:val="00F23BD1"/>
    <w:rsid w:val="00F246C6"/>
    <w:rsid w:val="00F43EFC"/>
    <w:rsid w:val="00F446EB"/>
    <w:rsid w:val="00F4506A"/>
    <w:rsid w:val="00F508E5"/>
    <w:rsid w:val="00F571BE"/>
    <w:rsid w:val="00F5795E"/>
    <w:rsid w:val="00F57B77"/>
    <w:rsid w:val="00F6136F"/>
    <w:rsid w:val="00F6601D"/>
    <w:rsid w:val="00F67588"/>
    <w:rsid w:val="00F70F28"/>
    <w:rsid w:val="00F72CA9"/>
    <w:rsid w:val="00F739A8"/>
    <w:rsid w:val="00F742EC"/>
    <w:rsid w:val="00F8221A"/>
    <w:rsid w:val="00F87390"/>
    <w:rsid w:val="00F940B3"/>
    <w:rsid w:val="00F95BD0"/>
    <w:rsid w:val="00FA593E"/>
    <w:rsid w:val="00FB45E4"/>
    <w:rsid w:val="00FC18D7"/>
    <w:rsid w:val="00FC62F9"/>
    <w:rsid w:val="00FC6BE7"/>
    <w:rsid w:val="00FD2FD3"/>
    <w:rsid w:val="00FD5E8F"/>
    <w:rsid w:val="00FE26CC"/>
    <w:rsid w:val="00FE48A3"/>
    <w:rsid w:val="00FE692E"/>
    <w:rsid w:val="00FE78A2"/>
    <w:rsid w:val="00FF3E28"/>
    <w:rsid w:val="01031527"/>
    <w:rsid w:val="012C1C02"/>
    <w:rsid w:val="014063FE"/>
    <w:rsid w:val="01721FEB"/>
    <w:rsid w:val="01722330"/>
    <w:rsid w:val="01CA5CC8"/>
    <w:rsid w:val="02226211"/>
    <w:rsid w:val="0293255D"/>
    <w:rsid w:val="02987B74"/>
    <w:rsid w:val="02E25F12"/>
    <w:rsid w:val="030516AD"/>
    <w:rsid w:val="038A3F97"/>
    <w:rsid w:val="03993BA4"/>
    <w:rsid w:val="03A66B69"/>
    <w:rsid w:val="03E017D2"/>
    <w:rsid w:val="042C4F6C"/>
    <w:rsid w:val="04446205"/>
    <w:rsid w:val="047255F5"/>
    <w:rsid w:val="048C54B6"/>
    <w:rsid w:val="049A4077"/>
    <w:rsid w:val="05130EC4"/>
    <w:rsid w:val="05452235"/>
    <w:rsid w:val="055A330C"/>
    <w:rsid w:val="05A21435"/>
    <w:rsid w:val="06127C3D"/>
    <w:rsid w:val="06215480"/>
    <w:rsid w:val="062E1176"/>
    <w:rsid w:val="063E255E"/>
    <w:rsid w:val="065D710A"/>
    <w:rsid w:val="069468A4"/>
    <w:rsid w:val="06AB5681"/>
    <w:rsid w:val="06D86E6E"/>
    <w:rsid w:val="06E710CA"/>
    <w:rsid w:val="06E94E42"/>
    <w:rsid w:val="07101435"/>
    <w:rsid w:val="072B0FB7"/>
    <w:rsid w:val="07724E37"/>
    <w:rsid w:val="07B37245"/>
    <w:rsid w:val="07EC1177"/>
    <w:rsid w:val="08A54D99"/>
    <w:rsid w:val="08D916F2"/>
    <w:rsid w:val="08E33B14"/>
    <w:rsid w:val="09B4074E"/>
    <w:rsid w:val="09B47989"/>
    <w:rsid w:val="09CB6A81"/>
    <w:rsid w:val="0A0106F5"/>
    <w:rsid w:val="0A0F43A2"/>
    <w:rsid w:val="0A522CFE"/>
    <w:rsid w:val="0A537E82"/>
    <w:rsid w:val="0A670558"/>
    <w:rsid w:val="0AD31B13"/>
    <w:rsid w:val="0B1F1512"/>
    <w:rsid w:val="0B5C3158"/>
    <w:rsid w:val="0B845139"/>
    <w:rsid w:val="0B913B41"/>
    <w:rsid w:val="0BB023D2"/>
    <w:rsid w:val="0BC027C4"/>
    <w:rsid w:val="0BC750CE"/>
    <w:rsid w:val="0BE16F32"/>
    <w:rsid w:val="0C204376"/>
    <w:rsid w:val="0C254A1B"/>
    <w:rsid w:val="0C526FE5"/>
    <w:rsid w:val="0C6875C2"/>
    <w:rsid w:val="0C9866B9"/>
    <w:rsid w:val="0CA77331"/>
    <w:rsid w:val="0CB16402"/>
    <w:rsid w:val="0CEC0DE7"/>
    <w:rsid w:val="0D0227BA"/>
    <w:rsid w:val="0D5F19BA"/>
    <w:rsid w:val="0D605732"/>
    <w:rsid w:val="0D844388"/>
    <w:rsid w:val="0DEE34CD"/>
    <w:rsid w:val="0E0B7D94"/>
    <w:rsid w:val="0E230C39"/>
    <w:rsid w:val="0E607F86"/>
    <w:rsid w:val="0E8A0CB9"/>
    <w:rsid w:val="0E9C279A"/>
    <w:rsid w:val="0EB421D9"/>
    <w:rsid w:val="0ECF2A4F"/>
    <w:rsid w:val="0F142273"/>
    <w:rsid w:val="0F5B4403"/>
    <w:rsid w:val="0F5D008C"/>
    <w:rsid w:val="0F6627A1"/>
    <w:rsid w:val="0F9A5CF8"/>
    <w:rsid w:val="0FD3114F"/>
    <w:rsid w:val="0FEE5EBF"/>
    <w:rsid w:val="108300B5"/>
    <w:rsid w:val="108654B0"/>
    <w:rsid w:val="108C64EF"/>
    <w:rsid w:val="10BE733F"/>
    <w:rsid w:val="10CA1840"/>
    <w:rsid w:val="10CF3F1B"/>
    <w:rsid w:val="10D97CD5"/>
    <w:rsid w:val="10FC5772"/>
    <w:rsid w:val="11093651"/>
    <w:rsid w:val="11662604"/>
    <w:rsid w:val="11796EDC"/>
    <w:rsid w:val="118B0DEE"/>
    <w:rsid w:val="119D5A3B"/>
    <w:rsid w:val="121C00A4"/>
    <w:rsid w:val="12635AA8"/>
    <w:rsid w:val="127840D2"/>
    <w:rsid w:val="12900790"/>
    <w:rsid w:val="12900868"/>
    <w:rsid w:val="13280779"/>
    <w:rsid w:val="134F24D1"/>
    <w:rsid w:val="13AA7707"/>
    <w:rsid w:val="13FF3EF7"/>
    <w:rsid w:val="144E2788"/>
    <w:rsid w:val="14806439"/>
    <w:rsid w:val="149C1746"/>
    <w:rsid w:val="14E4477F"/>
    <w:rsid w:val="15BD1BCA"/>
    <w:rsid w:val="15FB113C"/>
    <w:rsid w:val="16105DC5"/>
    <w:rsid w:val="166E7112"/>
    <w:rsid w:val="16730284"/>
    <w:rsid w:val="16753FFC"/>
    <w:rsid w:val="16B965DF"/>
    <w:rsid w:val="170E68D9"/>
    <w:rsid w:val="1741793A"/>
    <w:rsid w:val="1743234C"/>
    <w:rsid w:val="17933E49"/>
    <w:rsid w:val="17966F3F"/>
    <w:rsid w:val="179901BE"/>
    <w:rsid w:val="17C24EE1"/>
    <w:rsid w:val="17C27715"/>
    <w:rsid w:val="17C57205"/>
    <w:rsid w:val="17E4768B"/>
    <w:rsid w:val="17FC3BA5"/>
    <w:rsid w:val="182513C0"/>
    <w:rsid w:val="18397E11"/>
    <w:rsid w:val="18735E22"/>
    <w:rsid w:val="194505FE"/>
    <w:rsid w:val="19687E48"/>
    <w:rsid w:val="196B1CEA"/>
    <w:rsid w:val="198E1EAE"/>
    <w:rsid w:val="19E05949"/>
    <w:rsid w:val="19FB3499"/>
    <w:rsid w:val="1A24288D"/>
    <w:rsid w:val="1B1B5294"/>
    <w:rsid w:val="1B356450"/>
    <w:rsid w:val="1B434F04"/>
    <w:rsid w:val="1B9C14FB"/>
    <w:rsid w:val="1BEB4F4B"/>
    <w:rsid w:val="1BEF4851"/>
    <w:rsid w:val="1BFE3C79"/>
    <w:rsid w:val="1C2C01A7"/>
    <w:rsid w:val="1C3154D0"/>
    <w:rsid w:val="1C4F3541"/>
    <w:rsid w:val="1C584649"/>
    <w:rsid w:val="1C792E22"/>
    <w:rsid w:val="1CB01607"/>
    <w:rsid w:val="1CB57848"/>
    <w:rsid w:val="1CBF2475"/>
    <w:rsid w:val="1CF4323C"/>
    <w:rsid w:val="1D2D5631"/>
    <w:rsid w:val="1D345E0F"/>
    <w:rsid w:val="1D581D92"/>
    <w:rsid w:val="1D880AB9"/>
    <w:rsid w:val="1DAE2109"/>
    <w:rsid w:val="1DB9452C"/>
    <w:rsid w:val="1DDE5424"/>
    <w:rsid w:val="1DE33F41"/>
    <w:rsid w:val="1DE71C83"/>
    <w:rsid w:val="1E206809"/>
    <w:rsid w:val="1E5A0F1E"/>
    <w:rsid w:val="1E5A29B0"/>
    <w:rsid w:val="1E71779F"/>
    <w:rsid w:val="1E8A6AB3"/>
    <w:rsid w:val="1EBC700B"/>
    <w:rsid w:val="1EFB3211"/>
    <w:rsid w:val="1F103EA9"/>
    <w:rsid w:val="1F1D7927"/>
    <w:rsid w:val="1F784B5D"/>
    <w:rsid w:val="1FB14636"/>
    <w:rsid w:val="1FCA3C17"/>
    <w:rsid w:val="1FDB296A"/>
    <w:rsid w:val="1FE909DC"/>
    <w:rsid w:val="1FF42436"/>
    <w:rsid w:val="204333BD"/>
    <w:rsid w:val="20457135"/>
    <w:rsid w:val="20631369"/>
    <w:rsid w:val="20755F4B"/>
    <w:rsid w:val="20AF152F"/>
    <w:rsid w:val="21431371"/>
    <w:rsid w:val="2149055F"/>
    <w:rsid w:val="21513626"/>
    <w:rsid w:val="215C64E4"/>
    <w:rsid w:val="215D225D"/>
    <w:rsid w:val="219537A4"/>
    <w:rsid w:val="21C36564"/>
    <w:rsid w:val="21DF0EC4"/>
    <w:rsid w:val="221C055F"/>
    <w:rsid w:val="22525E8C"/>
    <w:rsid w:val="228D0920"/>
    <w:rsid w:val="230A7A8F"/>
    <w:rsid w:val="23290736"/>
    <w:rsid w:val="23362D65"/>
    <w:rsid w:val="236E5E5F"/>
    <w:rsid w:val="2378337E"/>
    <w:rsid w:val="239A32F4"/>
    <w:rsid w:val="23A61C99"/>
    <w:rsid w:val="23C5440E"/>
    <w:rsid w:val="23F30C56"/>
    <w:rsid w:val="24266C7C"/>
    <w:rsid w:val="244A2F6C"/>
    <w:rsid w:val="246A64EC"/>
    <w:rsid w:val="248E0882"/>
    <w:rsid w:val="24AB04CD"/>
    <w:rsid w:val="24B85FE4"/>
    <w:rsid w:val="24D67678"/>
    <w:rsid w:val="251417B8"/>
    <w:rsid w:val="2524556B"/>
    <w:rsid w:val="252E63EA"/>
    <w:rsid w:val="25440C67"/>
    <w:rsid w:val="25493224"/>
    <w:rsid w:val="25551BC9"/>
    <w:rsid w:val="256533FF"/>
    <w:rsid w:val="25714E00"/>
    <w:rsid w:val="25A53D6F"/>
    <w:rsid w:val="25E847EB"/>
    <w:rsid w:val="267047E0"/>
    <w:rsid w:val="26793FA2"/>
    <w:rsid w:val="270F7B55"/>
    <w:rsid w:val="272532E2"/>
    <w:rsid w:val="273B6B9C"/>
    <w:rsid w:val="27427F2B"/>
    <w:rsid w:val="276C3345"/>
    <w:rsid w:val="276F2332"/>
    <w:rsid w:val="27857F9B"/>
    <w:rsid w:val="2795721C"/>
    <w:rsid w:val="27A641C3"/>
    <w:rsid w:val="27A6670B"/>
    <w:rsid w:val="27C546B8"/>
    <w:rsid w:val="282633A8"/>
    <w:rsid w:val="284461F5"/>
    <w:rsid w:val="286F1880"/>
    <w:rsid w:val="28A10C81"/>
    <w:rsid w:val="28BD0522"/>
    <w:rsid w:val="28DB6828"/>
    <w:rsid w:val="28EC2844"/>
    <w:rsid w:val="29114058"/>
    <w:rsid w:val="29745A9F"/>
    <w:rsid w:val="29895F6F"/>
    <w:rsid w:val="298E5CC2"/>
    <w:rsid w:val="29995DFC"/>
    <w:rsid w:val="29AC6F9B"/>
    <w:rsid w:val="29B91807"/>
    <w:rsid w:val="29C97866"/>
    <w:rsid w:val="29E821D3"/>
    <w:rsid w:val="29F75268"/>
    <w:rsid w:val="2A930A9D"/>
    <w:rsid w:val="2A967EB2"/>
    <w:rsid w:val="2AD417E1"/>
    <w:rsid w:val="2B065713"/>
    <w:rsid w:val="2B0D2CED"/>
    <w:rsid w:val="2B2871E7"/>
    <w:rsid w:val="2B9057FA"/>
    <w:rsid w:val="2BA9299F"/>
    <w:rsid w:val="2BF832AE"/>
    <w:rsid w:val="2BFE65C2"/>
    <w:rsid w:val="2C02412C"/>
    <w:rsid w:val="2C1665B8"/>
    <w:rsid w:val="2C295297"/>
    <w:rsid w:val="2C493B09"/>
    <w:rsid w:val="2C6E17C2"/>
    <w:rsid w:val="2D205D35"/>
    <w:rsid w:val="2D7F69DE"/>
    <w:rsid w:val="2DB16F26"/>
    <w:rsid w:val="2DB3388B"/>
    <w:rsid w:val="2DC0604D"/>
    <w:rsid w:val="2DCA6ECC"/>
    <w:rsid w:val="2E0A056F"/>
    <w:rsid w:val="2E815E80"/>
    <w:rsid w:val="2E954277"/>
    <w:rsid w:val="2ED53A12"/>
    <w:rsid w:val="2EDF69A7"/>
    <w:rsid w:val="2F1A79DF"/>
    <w:rsid w:val="2F2A413F"/>
    <w:rsid w:val="2F363171"/>
    <w:rsid w:val="2F487431"/>
    <w:rsid w:val="30311375"/>
    <w:rsid w:val="30473F91"/>
    <w:rsid w:val="306058C5"/>
    <w:rsid w:val="30B023A9"/>
    <w:rsid w:val="30C714A1"/>
    <w:rsid w:val="311772A4"/>
    <w:rsid w:val="31186537"/>
    <w:rsid w:val="31B92B8B"/>
    <w:rsid w:val="32326CFB"/>
    <w:rsid w:val="324D032D"/>
    <w:rsid w:val="3257574A"/>
    <w:rsid w:val="329E21EF"/>
    <w:rsid w:val="32FB3683"/>
    <w:rsid w:val="32FD564D"/>
    <w:rsid w:val="3328091C"/>
    <w:rsid w:val="338F3097"/>
    <w:rsid w:val="33A51F6D"/>
    <w:rsid w:val="33C06DA7"/>
    <w:rsid w:val="342509B8"/>
    <w:rsid w:val="34297F29"/>
    <w:rsid w:val="344A5876"/>
    <w:rsid w:val="348E47AF"/>
    <w:rsid w:val="34AE6BFF"/>
    <w:rsid w:val="34CA3E45"/>
    <w:rsid w:val="34D34153"/>
    <w:rsid w:val="355E745E"/>
    <w:rsid w:val="359202CF"/>
    <w:rsid w:val="359758E5"/>
    <w:rsid w:val="359D5EEA"/>
    <w:rsid w:val="35BA1D81"/>
    <w:rsid w:val="35D02BA5"/>
    <w:rsid w:val="35D46B3A"/>
    <w:rsid w:val="35E8637E"/>
    <w:rsid w:val="35FC7E3E"/>
    <w:rsid w:val="361B0127"/>
    <w:rsid w:val="363C3B17"/>
    <w:rsid w:val="36474247"/>
    <w:rsid w:val="365612FD"/>
    <w:rsid w:val="3677309A"/>
    <w:rsid w:val="36AD2EE7"/>
    <w:rsid w:val="36F40B16"/>
    <w:rsid w:val="370C52DF"/>
    <w:rsid w:val="370C5E5F"/>
    <w:rsid w:val="374B6987"/>
    <w:rsid w:val="374D6BA3"/>
    <w:rsid w:val="375A306E"/>
    <w:rsid w:val="37AA6440"/>
    <w:rsid w:val="37AF0A14"/>
    <w:rsid w:val="37CE1367"/>
    <w:rsid w:val="37D746BF"/>
    <w:rsid w:val="37E528A4"/>
    <w:rsid w:val="38085F26"/>
    <w:rsid w:val="38426065"/>
    <w:rsid w:val="38C84008"/>
    <w:rsid w:val="38CA5FD2"/>
    <w:rsid w:val="38EB0F04"/>
    <w:rsid w:val="39411452"/>
    <w:rsid w:val="397B72CC"/>
    <w:rsid w:val="397C49C3"/>
    <w:rsid w:val="39B22FFA"/>
    <w:rsid w:val="39BA7DF4"/>
    <w:rsid w:val="39C15930"/>
    <w:rsid w:val="3A173499"/>
    <w:rsid w:val="3A30022F"/>
    <w:rsid w:val="3A371445"/>
    <w:rsid w:val="3A886145"/>
    <w:rsid w:val="3A8D72B7"/>
    <w:rsid w:val="3AB900AC"/>
    <w:rsid w:val="3AC52EF5"/>
    <w:rsid w:val="3AC91083"/>
    <w:rsid w:val="3B007A89"/>
    <w:rsid w:val="3B027CA5"/>
    <w:rsid w:val="3B0A5A2B"/>
    <w:rsid w:val="3B2E2848"/>
    <w:rsid w:val="3B5D4EDB"/>
    <w:rsid w:val="3B81506E"/>
    <w:rsid w:val="3BA60D07"/>
    <w:rsid w:val="3BA6272A"/>
    <w:rsid w:val="3BB22833"/>
    <w:rsid w:val="3BC4775F"/>
    <w:rsid w:val="3BE27C97"/>
    <w:rsid w:val="3BE473AB"/>
    <w:rsid w:val="3C9A513B"/>
    <w:rsid w:val="3CCD2793"/>
    <w:rsid w:val="3CFA57E4"/>
    <w:rsid w:val="3D0221DE"/>
    <w:rsid w:val="3D1E60DF"/>
    <w:rsid w:val="3DE2791A"/>
    <w:rsid w:val="3E053B4B"/>
    <w:rsid w:val="3E151A9D"/>
    <w:rsid w:val="3E375EB7"/>
    <w:rsid w:val="3E38205E"/>
    <w:rsid w:val="3E9E5F37"/>
    <w:rsid w:val="3EA47C68"/>
    <w:rsid w:val="3ED03C16"/>
    <w:rsid w:val="3EEB27FE"/>
    <w:rsid w:val="3EF25F54"/>
    <w:rsid w:val="3F3423F7"/>
    <w:rsid w:val="3F8E1B07"/>
    <w:rsid w:val="40161AFD"/>
    <w:rsid w:val="401D10DD"/>
    <w:rsid w:val="403326AF"/>
    <w:rsid w:val="408B6047"/>
    <w:rsid w:val="40AF442B"/>
    <w:rsid w:val="40E165AE"/>
    <w:rsid w:val="411C75E7"/>
    <w:rsid w:val="41540B2E"/>
    <w:rsid w:val="415E333C"/>
    <w:rsid w:val="418F600A"/>
    <w:rsid w:val="419B5FD1"/>
    <w:rsid w:val="419E1DAA"/>
    <w:rsid w:val="420D5851"/>
    <w:rsid w:val="424B3CDF"/>
    <w:rsid w:val="426D19F0"/>
    <w:rsid w:val="42D31F27"/>
    <w:rsid w:val="42D33CD5"/>
    <w:rsid w:val="42FC5208"/>
    <w:rsid w:val="43341596"/>
    <w:rsid w:val="436F7EA2"/>
    <w:rsid w:val="43860D47"/>
    <w:rsid w:val="43ED0DC6"/>
    <w:rsid w:val="43FB4652"/>
    <w:rsid w:val="43FF1225"/>
    <w:rsid w:val="4410457F"/>
    <w:rsid w:val="44265D5C"/>
    <w:rsid w:val="445F4788"/>
    <w:rsid w:val="449633BF"/>
    <w:rsid w:val="44B32884"/>
    <w:rsid w:val="44D94857"/>
    <w:rsid w:val="44E73A68"/>
    <w:rsid w:val="45223845"/>
    <w:rsid w:val="45290298"/>
    <w:rsid w:val="45B51211"/>
    <w:rsid w:val="45BD6D52"/>
    <w:rsid w:val="45BF5F80"/>
    <w:rsid w:val="45E94130"/>
    <w:rsid w:val="45EF52CA"/>
    <w:rsid w:val="46276812"/>
    <w:rsid w:val="462A4554"/>
    <w:rsid w:val="46517D32"/>
    <w:rsid w:val="465377A4"/>
    <w:rsid w:val="46753001"/>
    <w:rsid w:val="46821C9A"/>
    <w:rsid w:val="46E51A75"/>
    <w:rsid w:val="46F84891"/>
    <w:rsid w:val="473A07C7"/>
    <w:rsid w:val="47762C36"/>
    <w:rsid w:val="477C0DDF"/>
    <w:rsid w:val="480212E4"/>
    <w:rsid w:val="482B73A4"/>
    <w:rsid w:val="48C04CFB"/>
    <w:rsid w:val="48FF5824"/>
    <w:rsid w:val="49266FC3"/>
    <w:rsid w:val="492B03C7"/>
    <w:rsid w:val="493C6A78"/>
    <w:rsid w:val="49425710"/>
    <w:rsid w:val="494D38A5"/>
    <w:rsid w:val="498E5824"/>
    <w:rsid w:val="49DE053E"/>
    <w:rsid w:val="4A201EF6"/>
    <w:rsid w:val="4A49107C"/>
    <w:rsid w:val="4A625D30"/>
    <w:rsid w:val="4A767D68"/>
    <w:rsid w:val="4B475260"/>
    <w:rsid w:val="4B4B65BB"/>
    <w:rsid w:val="4B4C2876"/>
    <w:rsid w:val="4B9E1324"/>
    <w:rsid w:val="4BBF201F"/>
    <w:rsid w:val="4BE17463"/>
    <w:rsid w:val="4CA26BF2"/>
    <w:rsid w:val="4CEE1E37"/>
    <w:rsid w:val="4D145F92"/>
    <w:rsid w:val="4D330192"/>
    <w:rsid w:val="4D461C73"/>
    <w:rsid w:val="4E092CA1"/>
    <w:rsid w:val="4E111A5A"/>
    <w:rsid w:val="4E4156DB"/>
    <w:rsid w:val="4E93713A"/>
    <w:rsid w:val="4F1456D4"/>
    <w:rsid w:val="4F754A92"/>
    <w:rsid w:val="4F9905AE"/>
    <w:rsid w:val="4FC33F25"/>
    <w:rsid w:val="4FD001C7"/>
    <w:rsid w:val="4FFF6109"/>
    <w:rsid w:val="500B71A4"/>
    <w:rsid w:val="502E60F8"/>
    <w:rsid w:val="50334005"/>
    <w:rsid w:val="50572C95"/>
    <w:rsid w:val="505E4B9C"/>
    <w:rsid w:val="50A30487"/>
    <w:rsid w:val="50DD1804"/>
    <w:rsid w:val="51A52CE0"/>
    <w:rsid w:val="520D262F"/>
    <w:rsid w:val="52195EFA"/>
    <w:rsid w:val="529674E9"/>
    <w:rsid w:val="52B1378F"/>
    <w:rsid w:val="535D3873"/>
    <w:rsid w:val="53876B42"/>
    <w:rsid w:val="54153BAB"/>
    <w:rsid w:val="543E18F6"/>
    <w:rsid w:val="546B1FBF"/>
    <w:rsid w:val="54996B2C"/>
    <w:rsid w:val="54FA7CE1"/>
    <w:rsid w:val="550A7A2A"/>
    <w:rsid w:val="554A7E27"/>
    <w:rsid w:val="555E1B24"/>
    <w:rsid w:val="556A04C9"/>
    <w:rsid w:val="558F102F"/>
    <w:rsid w:val="559E5653"/>
    <w:rsid w:val="55AB3C2F"/>
    <w:rsid w:val="55EC35D4"/>
    <w:rsid w:val="560E52F8"/>
    <w:rsid w:val="561A4621"/>
    <w:rsid w:val="56383CF3"/>
    <w:rsid w:val="56455CD4"/>
    <w:rsid w:val="565C42B5"/>
    <w:rsid w:val="56AE76A6"/>
    <w:rsid w:val="56D4209E"/>
    <w:rsid w:val="56DB2C2D"/>
    <w:rsid w:val="56E4418B"/>
    <w:rsid w:val="57064221"/>
    <w:rsid w:val="5773022F"/>
    <w:rsid w:val="57770C7B"/>
    <w:rsid w:val="57DF277D"/>
    <w:rsid w:val="57E50495"/>
    <w:rsid w:val="580A1AEF"/>
    <w:rsid w:val="58776655"/>
    <w:rsid w:val="58B74216"/>
    <w:rsid w:val="58C16652"/>
    <w:rsid w:val="590752B6"/>
    <w:rsid w:val="591F15CA"/>
    <w:rsid w:val="596D67DA"/>
    <w:rsid w:val="59760D08"/>
    <w:rsid w:val="599E6993"/>
    <w:rsid w:val="59A60DC8"/>
    <w:rsid w:val="59AC5554"/>
    <w:rsid w:val="5A564466"/>
    <w:rsid w:val="5A902780"/>
    <w:rsid w:val="5A9F4737"/>
    <w:rsid w:val="5AAE2C06"/>
    <w:rsid w:val="5AE8436A"/>
    <w:rsid w:val="5AF80325"/>
    <w:rsid w:val="5B6339F0"/>
    <w:rsid w:val="5BF6561B"/>
    <w:rsid w:val="5BFA4C14"/>
    <w:rsid w:val="5C2A6C04"/>
    <w:rsid w:val="5C3543D2"/>
    <w:rsid w:val="5C406532"/>
    <w:rsid w:val="5C4E69BE"/>
    <w:rsid w:val="5CE36031"/>
    <w:rsid w:val="5CFC5838"/>
    <w:rsid w:val="5DB26EB1"/>
    <w:rsid w:val="5DBA559D"/>
    <w:rsid w:val="5DFE3EA4"/>
    <w:rsid w:val="5E465887"/>
    <w:rsid w:val="5E473A9D"/>
    <w:rsid w:val="5E804CC0"/>
    <w:rsid w:val="5E8425FB"/>
    <w:rsid w:val="5EE50BC0"/>
    <w:rsid w:val="5F181B76"/>
    <w:rsid w:val="5F463D55"/>
    <w:rsid w:val="5FD4389C"/>
    <w:rsid w:val="5FEC48FC"/>
    <w:rsid w:val="6013374F"/>
    <w:rsid w:val="60B116A2"/>
    <w:rsid w:val="60B42F40"/>
    <w:rsid w:val="60B7767B"/>
    <w:rsid w:val="60CC348A"/>
    <w:rsid w:val="61221DAA"/>
    <w:rsid w:val="61696F59"/>
    <w:rsid w:val="61D672CA"/>
    <w:rsid w:val="61E63AF5"/>
    <w:rsid w:val="626A2DAC"/>
    <w:rsid w:val="62784498"/>
    <w:rsid w:val="62A86D6B"/>
    <w:rsid w:val="63293771"/>
    <w:rsid w:val="637C0DF3"/>
    <w:rsid w:val="637C7D45"/>
    <w:rsid w:val="639808F7"/>
    <w:rsid w:val="64565496"/>
    <w:rsid w:val="645F2960"/>
    <w:rsid w:val="64654C7D"/>
    <w:rsid w:val="646C7950"/>
    <w:rsid w:val="64BD496D"/>
    <w:rsid w:val="64BE25DF"/>
    <w:rsid w:val="64C44758"/>
    <w:rsid w:val="64F93617"/>
    <w:rsid w:val="65246D5E"/>
    <w:rsid w:val="655D3BA6"/>
    <w:rsid w:val="65655387"/>
    <w:rsid w:val="659A6BA8"/>
    <w:rsid w:val="65A50F20"/>
    <w:rsid w:val="65EF58FA"/>
    <w:rsid w:val="65FE7BFD"/>
    <w:rsid w:val="66AF4C3B"/>
    <w:rsid w:val="66EC6F90"/>
    <w:rsid w:val="66F2031E"/>
    <w:rsid w:val="67AA7E58"/>
    <w:rsid w:val="67AB0BF9"/>
    <w:rsid w:val="67E662B3"/>
    <w:rsid w:val="68077DF9"/>
    <w:rsid w:val="680F6F74"/>
    <w:rsid w:val="68382663"/>
    <w:rsid w:val="686314D3"/>
    <w:rsid w:val="6888718C"/>
    <w:rsid w:val="68E5527F"/>
    <w:rsid w:val="69A578CA"/>
    <w:rsid w:val="6A7343B6"/>
    <w:rsid w:val="6AB029CA"/>
    <w:rsid w:val="6AB40090"/>
    <w:rsid w:val="6ADE7537"/>
    <w:rsid w:val="6AE34B4E"/>
    <w:rsid w:val="6B1F6200"/>
    <w:rsid w:val="6B4A3375"/>
    <w:rsid w:val="6B825FC3"/>
    <w:rsid w:val="6B8359E9"/>
    <w:rsid w:val="6B9D0892"/>
    <w:rsid w:val="6C613F7C"/>
    <w:rsid w:val="6C631880"/>
    <w:rsid w:val="6C6D16B4"/>
    <w:rsid w:val="6C806253"/>
    <w:rsid w:val="6CB542C8"/>
    <w:rsid w:val="6CD74FCF"/>
    <w:rsid w:val="6CF748E0"/>
    <w:rsid w:val="6D15191A"/>
    <w:rsid w:val="6D52620C"/>
    <w:rsid w:val="6D7D3037"/>
    <w:rsid w:val="6D8E14DE"/>
    <w:rsid w:val="6D934609"/>
    <w:rsid w:val="6DAE50AD"/>
    <w:rsid w:val="6DD624F7"/>
    <w:rsid w:val="6DDA2238"/>
    <w:rsid w:val="6E0E1EE1"/>
    <w:rsid w:val="6E5A21EA"/>
    <w:rsid w:val="6EB8009F"/>
    <w:rsid w:val="6EC72090"/>
    <w:rsid w:val="6F0A3093"/>
    <w:rsid w:val="6F834B73"/>
    <w:rsid w:val="6F857F81"/>
    <w:rsid w:val="6F883155"/>
    <w:rsid w:val="6FC6124D"/>
    <w:rsid w:val="6FC62348"/>
    <w:rsid w:val="6FE10E18"/>
    <w:rsid w:val="6FEC14A9"/>
    <w:rsid w:val="6FEC6252"/>
    <w:rsid w:val="702E23C7"/>
    <w:rsid w:val="70A15EF2"/>
    <w:rsid w:val="70C96037"/>
    <w:rsid w:val="70CB230C"/>
    <w:rsid w:val="71B752F6"/>
    <w:rsid w:val="721E46BD"/>
    <w:rsid w:val="72271FEC"/>
    <w:rsid w:val="722E41C4"/>
    <w:rsid w:val="72655E48"/>
    <w:rsid w:val="72824C4C"/>
    <w:rsid w:val="728A3B01"/>
    <w:rsid w:val="72D93738"/>
    <w:rsid w:val="73434202"/>
    <w:rsid w:val="734819F2"/>
    <w:rsid w:val="735B7378"/>
    <w:rsid w:val="737A608E"/>
    <w:rsid w:val="73A806E2"/>
    <w:rsid w:val="73BC418E"/>
    <w:rsid w:val="741D2E7E"/>
    <w:rsid w:val="74A16CBA"/>
    <w:rsid w:val="74CB28DA"/>
    <w:rsid w:val="74D53759"/>
    <w:rsid w:val="74F33BDF"/>
    <w:rsid w:val="750556C0"/>
    <w:rsid w:val="752B5D11"/>
    <w:rsid w:val="752C70F1"/>
    <w:rsid w:val="75387844"/>
    <w:rsid w:val="753903C8"/>
    <w:rsid w:val="75CC2E8E"/>
    <w:rsid w:val="75DC4AB5"/>
    <w:rsid w:val="75EF406B"/>
    <w:rsid w:val="76391AC6"/>
    <w:rsid w:val="765B7C8E"/>
    <w:rsid w:val="76707B96"/>
    <w:rsid w:val="76726D86"/>
    <w:rsid w:val="768D36C7"/>
    <w:rsid w:val="76C3504D"/>
    <w:rsid w:val="770422FE"/>
    <w:rsid w:val="7746449A"/>
    <w:rsid w:val="775546DD"/>
    <w:rsid w:val="778C3E77"/>
    <w:rsid w:val="7796215A"/>
    <w:rsid w:val="77E31CE9"/>
    <w:rsid w:val="78376C25"/>
    <w:rsid w:val="785B7ACE"/>
    <w:rsid w:val="78746DE5"/>
    <w:rsid w:val="789932F4"/>
    <w:rsid w:val="78A72AF0"/>
    <w:rsid w:val="78A8319C"/>
    <w:rsid w:val="790F6B0E"/>
    <w:rsid w:val="79134850"/>
    <w:rsid w:val="79200163"/>
    <w:rsid w:val="79261AEA"/>
    <w:rsid w:val="7956473D"/>
    <w:rsid w:val="798661F3"/>
    <w:rsid w:val="799314ED"/>
    <w:rsid w:val="79DC4F1F"/>
    <w:rsid w:val="79EE2C15"/>
    <w:rsid w:val="7A6C7707"/>
    <w:rsid w:val="7A7206F1"/>
    <w:rsid w:val="7AA46F38"/>
    <w:rsid w:val="7B467F1D"/>
    <w:rsid w:val="7BA7772C"/>
    <w:rsid w:val="7BAB331D"/>
    <w:rsid w:val="7C0924C9"/>
    <w:rsid w:val="7C507B69"/>
    <w:rsid w:val="7C711A95"/>
    <w:rsid w:val="7C8D4919"/>
    <w:rsid w:val="7CBA4FE2"/>
    <w:rsid w:val="7CD24A22"/>
    <w:rsid w:val="7D121F1E"/>
    <w:rsid w:val="7D2F777E"/>
    <w:rsid w:val="7D5660EF"/>
    <w:rsid w:val="7D574D28"/>
    <w:rsid w:val="7D5F0561"/>
    <w:rsid w:val="7D60202E"/>
    <w:rsid w:val="7D6458CE"/>
    <w:rsid w:val="7D8555F0"/>
    <w:rsid w:val="7D916095"/>
    <w:rsid w:val="7DB14637"/>
    <w:rsid w:val="7DC51E91"/>
    <w:rsid w:val="7E141A72"/>
    <w:rsid w:val="7E703977"/>
    <w:rsid w:val="7E963DC6"/>
    <w:rsid w:val="7EF02F3D"/>
    <w:rsid w:val="7F1B1599"/>
    <w:rsid w:val="7F5F65D1"/>
    <w:rsid w:val="7F606315"/>
    <w:rsid w:val="7F6210EB"/>
    <w:rsid w:val="7F8B73C1"/>
    <w:rsid w:val="7F961D37"/>
    <w:rsid w:val="7FAC33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1"/>
    <w:qFormat/>
    <w:uiPriority w:val="0"/>
    <w:pPr>
      <w:keepNext/>
      <w:keepLines/>
      <w:spacing w:before="340" w:afterLines="25" w:line="578" w:lineRule="auto"/>
      <w:outlineLvl w:val="0"/>
    </w:pPr>
    <w:rPr>
      <w:rFonts w:ascii="Arial" w:hAnsi="Arial" w:eastAsia="宋体" w:cs="Times New Roman"/>
      <w:b/>
      <w:bCs/>
      <w:kern w:val="44"/>
      <w:sz w:val="44"/>
      <w:szCs w:val="44"/>
    </w:rPr>
  </w:style>
  <w:style w:type="paragraph" w:styleId="3">
    <w:name w:val="heading 2"/>
    <w:basedOn w:val="4"/>
    <w:next w:val="5"/>
    <w:link w:val="34"/>
    <w:semiHidden/>
    <w:unhideWhenUsed/>
    <w:qFormat/>
    <w:uiPriority w:val="9"/>
    <w:pPr>
      <w:spacing w:line="416" w:lineRule="auto"/>
      <w:outlineLvl w:val="1"/>
    </w:pPr>
    <w:rPr>
      <w:rFonts w:asciiTheme="majorHAnsi" w:hAnsiTheme="majorHAnsi" w:eastAsiaTheme="majorEastAsia" w:cstheme="majorBidi"/>
      <w:sz w:val="32"/>
    </w:rPr>
  </w:style>
  <w:style w:type="paragraph" w:styleId="4">
    <w:name w:val="heading 3"/>
    <w:basedOn w:val="5"/>
    <w:next w:val="1"/>
    <w:qFormat/>
    <w:uiPriority w:val="9"/>
    <w:pPr>
      <w:spacing w:before="260" w:after="260" w:line="240" w:lineRule="auto"/>
      <w:outlineLvl w:val="2"/>
    </w:pPr>
    <w:rPr>
      <w:rFonts w:ascii="宋体" w:hAnsi="宋体" w:eastAsia="宋体"/>
      <w:szCs w:val="32"/>
    </w:rPr>
  </w:style>
  <w:style w:type="paragraph" w:styleId="5">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pPr>
    <w:rPr>
      <w:szCs w:val="20"/>
    </w:rPr>
  </w:style>
  <w:style w:type="paragraph" w:styleId="7">
    <w:name w:val="Document Map"/>
    <w:basedOn w:val="1"/>
    <w:link w:val="33"/>
    <w:semiHidden/>
    <w:unhideWhenUsed/>
    <w:qFormat/>
    <w:uiPriority w:val="99"/>
    <w:rPr>
      <w:rFonts w:ascii="宋体" w:eastAsia="宋体"/>
      <w:sz w:val="18"/>
      <w:szCs w:val="18"/>
    </w:rPr>
  </w:style>
  <w:style w:type="paragraph" w:styleId="8">
    <w:name w:val="annotation text"/>
    <w:basedOn w:val="1"/>
    <w:link w:val="35"/>
    <w:unhideWhenUsed/>
    <w:qFormat/>
    <w:uiPriority w:val="99"/>
    <w:pPr>
      <w:jc w:val="left"/>
    </w:pPr>
  </w:style>
  <w:style w:type="paragraph" w:styleId="9">
    <w:name w:val="Body Text"/>
    <w:basedOn w:val="1"/>
    <w:next w:val="10"/>
    <w:qFormat/>
    <w:uiPriority w:val="0"/>
    <w:pPr>
      <w:spacing w:line="360" w:lineRule="auto"/>
    </w:pPr>
    <w:rPr>
      <w:b/>
      <w:bCs/>
      <w:sz w:val="24"/>
    </w:rPr>
  </w:style>
  <w:style w:type="paragraph" w:styleId="10">
    <w:name w:val="Body Text 2"/>
    <w:basedOn w:val="1"/>
    <w:qFormat/>
    <w:uiPriority w:val="0"/>
    <w:pPr>
      <w:spacing w:line="360" w:lineRule="auto"/>
    </w:pPr>
    <w:rPr>
      <w:sz w:val="24"/>
    </w:rPr>
  </w:style>
  <w:style w:type="paragraph" w:styleId="11">
    <w:name w:val="Balloon Text"/>
    <w:basedOn w:val="1"/>
    <w:link w:val="29"/>
    <w:semiHidden/>
    <w:unhideWhenUsed/>
    <w:qFormat/>
    <w:uiPriority w:val="99"/>
    <w:rPr>
      <w:sz w:val="18"/>
      <w:szCs w:val="18"/>
    </w:rPr>
  </w:style>
  <w:style w:type="paragraph" w:styleId="12">
    <w:name w:val="footer"/>
    <w:basedOn w:val="1"/>
    <w:link w:val="28"/>
    <w:unhideWhenUsed/>
    <w:qFormat/>
    <w:uiPriority w:val="99"/>
    <w:pPr>
      <w:tabs>
        <w:tab w:val="center" w:pos="4153"/>
        <w:tab w:val="right" w:pos="8306"/>
      </w:tabs>
      <w:snapToGrid w:val="0"/>
      <w:jc w:val="left"/>
    </w:pPr>
    <w:rPr>
      <w:sz w:val="18"/>
      <w:szCs w:val="18"/>
    </w:rPr>
  </w:style>
  <w:style w:type="paragraph" w:styleId="13">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Normal (Web)"/>
    <w:basedOn w:val="1"/>
    <w:link w:val="30"/>
    <w:qFormat/>
    <w:uiPriority w:val="99"/>
    <w:pPr>
      <w:widowControl/>
      <w:spacing w:before="100" w:beforeAutospacing="1" w:afterAutospacing="1"/>
      <w:jc w:val="left"/>
    </w:pPr>
    <w:rPr>
      <w:rFonts w:ascii="宋体" w:hAnsi="宋体"/>
      <w:sz w:val="24"/>
      <w:szCs w:val="24"/>
    </w:rPr>
  </w:style>
  <w:style w:type="paragraph" w:styleId="15">
    <w:name w:val="Title"/>
    <w:basedOn w:val="1"/>
    <w:next w:val="1"/>
    <w:qFormat/>
    <w:uiPriority w:val="0"/>
    <w:pPr>
      <w:spacing w:before="240" w:after="60"/>
      <w:jc w:val="center"/>
      <w:outlineLvl w:val="0"/>
    </w:pPr>
    <w:rPr>
      <w:rFonts w:ascii="Arial" w:hAnsi="Arial" w:eastAsia="隶书" w:cs="Arial"/>
      <w:b/>
      <w:bCs/>
      <w:sz w:val="32"/>
      <w:szCs w:val="32"/>
    </w:rPr>
  </w:style>
  <w:style w:type="paragraph" w:styleId="16">
    <w:name w:val="annotation subject"/>
    <w:basedOn w:val="8"/>
    <w:next w:val="8"/>
    <w:link w:val="37"/>
    <w:semiHidden/>
    <w:unhideWhenUsed/>
    <w:qFormat/>
    <w:uiPriority w:val="99"/>
    <w:rPr>
      <w:b/>
      <w:bCs/>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qFormat/>
    <w:uiPriority w:val="0"/>
    <w:rPr>
      <w:b/>
      <w:bCs/>
    </w:rPr>
  </w:style>
  <w:style w:type="character" w:styleId="21">
    <w:name w:val="page number"/>
    <w:basedOn w:val="19"/>
    <w:qFormat/>
    <w:uiPriority w:val="0"/>
  </w:style>
  <w:style w:type="character" w:styleId="22">
    <w:name w:val="FollowedHyperlink"/>
    <w:basedOn w:val="19"/>
    <w:semiHidden/>
    <w:unhideWhenUsed/>
    <w:qFormat/>
    <w:uiPriority w:val="99"/>
    <w:rPr>
      <w:color w:val="800080" w:themeColor="followedHyperlink"/>
      <w:u w:val="single"/>
      <w14:textFill>
        <w14:solidFill>
          <w14:schemeClr w14:val="folHlink"/>
        </w14:solidFill>
      </w14:textFill>
    </w:rPr>
  </w:style>
  <w:style w:type="character" w:styleId="23">
    <w:name w:val="Hyperlink"/>
    <w:basedOn w:val="19"/>
    <w:unhideWhenUsed/>
    <w:qFormat/>
    <w:uiPriority w:val="99"/>
    <w:rPr>
      <w:color w:val="0000FF" w:themeColor="hyperlink"/>
      <w:u w:val="single"/>
      <w14:textFill>
        <w14:solidFill>
          <w14:schemeClr w14:val="hlink"/>
        </w14:solidFill>
      </w14:textFill>
    </w:rPr>
  </w:style>
  <w:style w:type="character" w:styleId="24">
    <w:name w:val="annotation reference"/>
    <w:basedOn w:val="19"/>
    <w:semiHidden/>
    <w:unhideWhenUsed/>
    <w:qFormat/>
    <w:uiPriority w:val="99"/>
    <w:rPr>
      <w:sz w:val="21"/>
      <w:szCs w:val="21"/>
    </w:rPr>
  </w:style>
  <w:style w:type="paragraph" w:customStyle="1" w:styleId="25">
    <w:name w:val="正文内容格式"/>
    <w:basedOn w:val="1"/>
    <w:qFormat/>
    <w:uiPriority w:val="0"/>
    <w:pPr>
      <w:widowControl/>
      <w:ind w:firstLine="482"/>
      <w:textAlignment w:val="baseline"/>
    </w:pPr>
    <w:rPr>
      <w:rFonts w:eastAsia="仿宋_GB2312"/>
      <w:kern w:val="0"/>
      <w:sz w:val="28"/>
    </w:rPr>
  </w:style>
  <w:style w:type="paragraph" w:styleId="26">
    <w:name w:val="Quote"/>
    <w:next w:val="1"/>
    <w:qFormat/>
    <w:uiPriority w:val="29"/>
    <w:pPr>
      <w:widowControl w:val="0"/>
      <w:jc w:val="both"/>
    </w:pPr>
    <w:rPr>
      <w:rFonts w:ascii="Calibri" w:hAnsi="Calibri" w:cs="Calibri" w:eastAsiaTheme="minorEastAsia"/>
      <w:i/>
      <w:iCs/>
      <w:color w:val="000000"/>
      <w:kern w:val="2"/>
      <w:sz w:val="22"/>
      <w:szCs w:val="22"/>
      <w:lang w:val="en-US" w:eastAsia="zh-CN" w:bidi="ar-SA"/>
    </w:rPr>
  </w:style>
  <w:style w:type="character" w:customStyle="1" w:styleId="27">
    <w:name w:val="页眉 字符"/>
    <w:basedOn w:val="19"/>
    <w:link w:val="13"/>
    <w:qFormat/>
    <w:uiPriority w:val="99"/>
    <w:rPr>
      <w:sz w:val="18"/>
      <w:szCs w:val="18"/>
    </w:rPr>
  </w:style>
  <w:style w:type="character" w:customStyle="1" w:styleId="28">
    <w:name w:val="页脚 字符"/>
    <w:basedOn w:val="19"/>
    <w:link w:val="12"/>
    <w:qFormat/>
    <w:uiPriority w:val="99"/>
    <w:rPr>
      <w:sz w:val="18"/>
      <w:szCs w:val="18"/>
    </w:rPr>
  </w:style>
  <w:style w:type="character" w:customStyle="1" w:styleId="29">
    <w:name w:val="批注框文本 字符"/>
    <w:basedOn w:val="19"/>
    <w:link w:val="11"/>
    <w:semiHidden/>
    <w:qFormat/>
    <w:uiPriority w:val="99"/>
    <w:rPr>
      <w:sz w:val="18"/>
      <w:szCs w:val="18"/>
    </w:rPr>
  </w:style>
  <w:style w:type="character" w:customStyle="1" w:styleId="30">
    <w:name w:val="普通(网站) 字符"/>
    <w:link w:val="14"/>
    <w:qFormat/>
    <w:uiPriority w:val="99"/>
    <w:rPr>
      <w:rFonts w:ascii="宋体" w:hAnsi="宋体"/>
      <w:sz w:val="24"/>
      <w:szCs w:val="24"/>
    </w:rPr>
  </w:style>
  <w:style w:type="character" w:customStyle="1" w:styleId="31">
    <w:name w:val="标题 1 字符"/>
    <w:basedOn w:val="19"/>
    <w:link w:val="2"/>
    <w:qFormat/>
    <w:uiPriority w:val="0"/>
    <w:rPr>
      <w:rFonts w:ascii="Arial" w:hAnsi="Arial" w:eastAsia="宋体" w:cs="Times New Roman"/>
      <w:b/>
      <w:bCs/>
      <w:kern w:val="44"/>
      <w:sz w:val="44"/>
      <w:szCs w:val="44"/>
    </w:rPr>
  </w:style>
  <w:style w:type="paragraph" w:styleId="32">
    <w:name w:val="List Paragraph"/>
    <w:basedOn w:val="1"/>
    <w:qFormat/>
    <w:uiPriority w:val="34"/>
    <w:pPr>
      <w:ind w:firstLine="420" w:firstLineChars="200"/>
    </w:pPr>
  </w:style>
  <w:style w:type="character" w:customStyle="1" w:styleId="33">
    <w:name w:val="文档结构图 字符"/>
    <w:basedOn w:val="19"/>
    <w:link w:val="7"/>
    <w:semiHidden/>
    <w:qFormat/>
    <w:uiPriority w:val="99"/>
    <w:rPr>
      <w:rFonts w:ascii="宋体" w:eastAsia="宋体"/>
      <w:sz w:val="18"/>
      <w:szCs w:val="18"/>
    </w:rPr>
  </w:style>
  <w:style w:type="character" w:customStyle="1" w:styleId="34">
    <w:name w:val="标题 2 字符"/>
    <w:basedOn w:val="19"/>
    <w:link w:val="3"/>
    <w:semiHidden/>
    <w:qFormat/>
    <w:uiPriority w:val="9"/>
    <w:rPr>
      <w:rFonts w:asciiTheme="majorHAnsi" w:hAnsiTheme="majorHAnsi" w:eastAsiaTheme="majorEastAsia" w:cstheme="majorBidi"/>
      <w:b/>
      <w:bCs/>
      <w:sz w:val="32"/>
      <w:szCs w:val="32"/>
    </w:rPr>
  </w:style>
  <w:style w:type="character" w:customStyle="1" w:styleId="35">
    <w:name w:val="批注文字 字符"/>
    <w:basedOn w:val="19"/>
    <w:link w:val="8"/>
    <w:qFormat/>
    <w:uiPriority w:val="99"/>
  </w:style>
  <w:style w:type="character" w:customStyle="1" w:styleId="36">
    <w:name w:val="标题 3 Char"/>
    <w:qFormat/>
    <w:uiPriority w:val="0"/>
    <w:rPr>
      <w:rFonts w:ascii="黑体" w:eastAsia="黑体"/>
      <w:bCs/>
      <w:sz w:val="30"/>
    </w:rPr>
  </w:style>
  <w:style w:type="character" w:customStyle="1" w:styleId="37">
    <w:name w:val="批注主题 字符"/>
    <w:basedOn w:val="35"/>
    <w:link w:val="16"/>
    <w:semiHidden/>
    <w:qFormat/>
    <w:uiPriority w:val="99"/>
    <w:rPr>
      <w:b/>
      <w:bCs/>
    </w:rPr>
  </w:style>
  <w:style w:type="table" w:customStyle="1" w:styleId="38">
    <w:name w:val="网格型1"/>
    <w:basedOn w:val="17"/>
    <w:qFormat/>
    <w:uiPriority w:val="39"/>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9">
    <w:name w:val="Table Paragraph"/>
    <w:qFormat/>
    <w:uiPriority w:val="1"/>
    <w:pPr>
      <w:widowControl w:val="0"/>
      <w:jc w:val="both"/>
    </w:pPr>
    <w:rPr>
      <w:rFonts w:ascii="宋体" w:hAnsi="宋体" w:eastAsia="宋体" w:cs="宋体"/>
      <w:kern w:val="2"/>
      <w:sz w:val="21"/>
      <w:szCs w:val="24"/>
      <w:lang w:val="zh-CN" w:eastAsia="zh-CN" w:bidi="zh-CN"/>
    </w:rPr>
  </w:style>
  <w:style w:type="paragraph" w:customStyle="1" w:styleId="40">
    <w:name w:val="Normal_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1">
    <w:name w:val="修订1"/>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42">
    <w:name w:val="修订2"/>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43">
    <w:name w:val="修订3"/>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44">
    <w:name w:val="font21"/>
    <w:basedOn w:val="19"/>
    <w:qFormat/>
    <w:uiPriority w:val="0"/>
    <w:rPr>
      <w:rFonts w:hint="eastAsia" w:ascii="宋体" w:hAnsi="宋体" w:eastAsia="宋体" w:cs="宋体"/>
      <w:color w:val="000000"/>
      <w:sz w:val="22"/>
      <w:szCs w:val="22"/>
      <w:u w:val="none"/>
    </w:rPr>
  </w:style>
  <w:style w:type="character" w:customStyle="1" w:styleId="45">
    <w:name w:val="font31"/>
    <w:basedOn w:val="19"/>
    <w:qFormat/>
    <w:uiPriority w:val="0"/>
    <w:rPr>
      <w:rFonts w:hint="eastAsia" w:ascii="宋体" w:hAnsi="宋体" w:eastAsia="宋体" w:cs="宋体"/>
      <w:color w:val="000000"/>
      <w:sz w:val="22"/>
      <w:szCs w:val="22"/>
      <w:u w:val="none"/>
    </w:rPr>
  </w:style>
  <w:style w:type="character" w:customStyle="1" w:styleId="46">
    <w:name w:val="font51"/>
    <w:basedOn w:val="19"/>
    <w:qFormat/>
    <w:uiPriority w:val="0"/>
    <w:rPr>
      <w:rFonts w:hint="eastAsia" w:ascii="宋体" w:hAnsi="宋体" w:eastAsia="宋体" w:cs="宋体"/>
      <w:color w:val="000000"/>
      <w:sz w:val="21"/>
      <w:szCs w:val="21"/>
      <w:u w:val="none"/>
    </w:rPr>
  </w:style>
  <w:style w:type="character" w:customStyle="1" w:styleId="47">
    <w:name w:val="font61"/>
    <w:basedOn w:val="19"/>
    <w:qFormat/>
    <w:uiPriority w:val="0"/>
    <w:rPr>
      <w:rFonts w:hint="default" w:ascii="Times New Roman" w:hAnsi="Times New Roman" w:cs="Times New Roman"/>
      <w:color w:val="000000"/>
      <w:sz w:val="21"/>
      <w:szCs w:val="21"/>
      <w:u w:val="none"/>
    </w:rPr>
  </w:style>
  <w:style w:type="paragraph" w:customStyle="1" w:styleId="48">
    <w:name w:val="pf0"/>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49">
    <w:name w:val="font41"/>
    <w:qFormat/>
    <w:uiPriority w:val="0"/>
    <w:rPr>
      <w:rFonts w:hint="eastAsia" w:ascii="宋体" w:hAnsi="宋体" w:eastAsia="宋体"/>
      <w:color w:val="000000"/>
      <w:kern w:val="2"/>
      <w:sz w:val="18"/>
      <w:u w:val="none"/>
    </w:rPr>
  </w:style>
  <w:style w:type="paragraph" w:styleId="50">
    <w:name w:val="No Spacing"/>
    <w:qFormat/>
    <w:uiPriority w:val="1"/>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80</Pages>
  <Words>64869</Words>
  <Characters>69765</Characters>
  <Lines>470</Lines>
  <Paragraphs>132</Paragraphs>
  <TotalTime>14</TotalTime>
  <ScaleCrop>false</ScaleCrop>
  <LinksUpToDate>false</LinksUpToDate>
  <CharactersWithSpaces>73556</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2024-07-18T08:53:00Z</dcterms:created>
  <dc:creator>win7-1</dc:creator>
  <cp:lastModifiedBy>陈聪</cp:lastModifiedBy>
  <cp:lastPrinted>2021-01-15T01:17:00Z</cp:lastPrinted>
  <dcterms:modified xsi:type="dcterms:W3CDTF">2025-03-20T07:41:34Z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76B82E144768413DB6478A3E93F5B61B_13</vt:lpwstr>
  </property>
</Properties>
</file>