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2EF2">
      <w:pPr>
        <w:pStyle w:val="2"/>
        <w:rPr>
          <w:rFonts w:hint="eastAsia" w:ascii="宋体" w:hAnsi="宋体" w:eastAsia="宋体" w:cs="宋体"/>
          <w:highlight w:val="none"/>
        </w:rPr>
      </w:pPr>
    </w:p>
    <w:p w14:paraId="01733364">
      <w:pPr>
        <w:rPr>
          <w:rFonts w:hint="eastAsia" w:ascii="宋体" w:hAnsi="宋体" w:eastAsia="宋体" w:cs="宋体"/>
          <w:highlight w:val="none"/>
        </w:rPr>
      </w:pPr>
    </w:p>
    <w:p w14:paraId="6D80D465">
      <w:pPr>
        <w:pStyle w:val="35"/>
        <w:ind w:firstLine="480"/>
        <w:rPr>
          <w:rFonts w:hint="eastAsia" w:ascii="宋体" w:hAnsi="宋体" w:eastAsia="宋体" w:cs="宋体"/>
          <w:highlight w:val="none"/>
        </w:rPr>
      </w:pPr>
    </w:p>
    <w:p w14:paraId="7411DD84">
      <w:pPr>
        <w:snapToGrid w:val="0"/>
        <w:spacing w:before="156" w:beforeLines="50" w:line="360" w:lineRule="auto"/>
        <w:jc w:val="center"/>
        <w:rPr>
          <w:rFonts w:hint="eastAsia" w:ascii="宋体" w:hAnsi="宋体" w:eastAsia="宋体" w:cs="宋体"/>
          <w:b/>
          <w:sz w:val="96"/>
          <w:szCs w:val="96"/>
          <w:highlight w:val="none"/>
        </w:rPr>
      </w:pPr>
      <w:r>
        <w:rPr>
          <w:rFonts w:hint="eastAsia" w:ascii="宋体" w:hAnsi="宋体" w:eastAsia="宋体" w:cs="宋体"/>
          <w:b/>
          <w:sz w:val="44"/>
          <w:szCs w:val="44"/>
          <w:highlight w:val="none"/>
          <w:lang w:val="en-US" w:eastAsia="zh-CN"/>
        </w:rPr>
        <w:t>自行</w:t>
      </w:r>
      <w:r>
        <w:rPr>
          <w:rFonts w:hint="eastAsia" w:ascii="宋体" w:hAnsi="宋体" w:eastAsia="宋体" w:cs="宋体"/>
          <w:b/>
          <w:sz w:val="44"/>
          <w:szCs w:val="44"/>
          <w:highlight w:val="none"/>
        </w:rPr>
        <w:t>采购</w:t>
      </w:r>
      <w:r>
        <w:rPr>
          <w:rFonts w:hint="eastAsia" w:ascii="宋体" w:hAnsi="宋体" w:eastAsia="宋体" w:cs="宋体"/>
          <w:b/>
          <w:sz w:val="44"/>
          <w:szCs w:val="44"/>
          <w:highlight w:val="none"/>
          <w:lang w:val="en-US" w:eastAsia="zh-CN"/>
        </w:rPr>
        <w:t>工程</w:t>
      </w:r>
      <w:r>
        <w:rPr>
          <w:rFonts w:hint="eastAsia" w:ascii="宋体" w:hAnsi="宋体" w:eastAsia="宋体" w:cs="宋体"/>
          <w:b/>
          <w:sz w:val="44"/>
          <w:szCs w:val="44"/>
          <w:highlight w:val="none"/>
        </w:rPr>
        <w:t>公开招标项目</w:t>
      </w:r>
      <w:r>
        <w:rPr>
          <w:rFonts w:hint="eastAsia" w:ascii="宋体" w:hAnsi="宋体" w:eastAsia="宋体" w:cs="宋体"/>
          <w:b/>
          <w:sz w:val="96"/>
          <w:szCs w:val="96"/>
          <w:highlight w:val="none"/>
        </w:rPr>
        <w:t xml:space="preserve"> </w:t>
      </w:r>
    </w:p>
    <w:p w14:paraId="4CED387B">
      <w:pPr>
        <w:snapToGrid w:val="0"/>
        <w:spacing w:before="156" w:beforeLines="50" w:line="360" w:lineRule="auto"/>
        <w:jc w:val="center"/>
        <w:rPr>
          <w:rFonts w:hint="eastAsia" w:ascii="宋体" w:hAnsi="宋体" w:eastAsia="宋体" w:cs="宋体"/>
          <w:b/>
          <w:sz w:val="96"/>
          <w:szCs w:val="96"/>
          <w:highlight w:val="none"/>
        </w:rPr>
      </w:pPr>
      <w:r>
        <w:rPr>
          <w:rFonts w:hint="eastAsia" w:ascii="宋体" w:hAnsi="宋体" w:eastAsia="宋体" w:cs="宋体"/>
          <w:b/>
          <w:sz w:val="96"/>
          <w:szCs w:val="96"/>
          <w:highlight w:val="none"/>
        </w:rPr>
        <w:t>招 标 文 件</w:t>
      </w:r>
    </w:p>
    <w:p w14:paraId="2593819C">
      <w:pPr>
        <w:pStyle w:val="2"/>
        <w:jc w:val="center"/>
        <w:rPr>
          <w:rFonts w:hint="eastAsia" w:ascii="宋体" w:hAnsi="宋体" w:eastAsia="宋体" w:cs="宋体"/>
          <w:highlight w:val="none"/>
        </w:rPr>
      </w:pPr>
    </w:p>
    <w:p w14:paraId="6BD5AA6B">
      <w:pPr>
        <w:pStyle w:val="2"/>
        <w:snapToGrid w:val="0"/>
        <w:jc w:val="center"/>
        <w:rPr>
          <w:rFonts w:hint="eastAsia" w:ascii="宋体" w:hAnsi="宋体" w:eastAsia="宋体" w:cs="宋体"/>
          <w:sz w:val="36"/>
          <w:szCs w:val="36"/>
          <w:highlight w:val="none"/>
          <w:lang w:eastAsia="zh-CN"/>
        </w:rPr>
      </w:pPr>
      <w:r>
        <w:rPr>
          <w:rFonts w:hint="eastAsia" w:ascii="宋体" w:hAnsi="宋体" w:eastAsia="宋体" w:cs="宋体"/>
          <w:sz w:val="36"/>
          <w:szCs w:val="36"/>
          <w:highlight w:val="none"/>
        </w:rPr>
        <w:t>项目名称：</w:t>
      </w:r>
      <w:r>
        <w:rPr>
          <w:rFonts w:hint="eastAsia" w:ascii="宋体" w:hAnsi="宋体" w:eastAsia="宋体" w:cs="宋体"/>
          <w:sz w:val="36"/>
          <w:szCs w:val="36"/>
          <w:highlight w:val="none"/>
          <w:lang w:eastAsia="zh-CN"/>
        </w:rPr>
        <w:t>学校运动操场改造工程</w:t>
      </w:r>
    </w:p>
    <w:p w14:paraId="3343B9B4">
      <w:pPr>
        <w:pStyle w:val="2"/>
        <w:snapToGrid w:val="0"/>
        <w:jc w:val="center"/>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rPr>
        <w:t>项目编号：</w:t>
      </w:r>
      <w:r>
        <w:rPr>
          <w:rFonts w:hint="eastAsia" w:ascii="宋体" w:hAnsi="宋体" w:eastAsia="宋体" w:cs="宋体"/>
          <w:sz w:val="36"/>
          <w:szCs w:val="36"/>
          <w:highlight w:val="none"/>
          <w:lang w:eastAsia="zh-CN"/>
        </w:rPr>
        <w:t>LHAZXDL-2024-00062（3324-DH2432G3217）</w:t>
      </w:r>
    </w:p>
    <w:p w14:paraId="6E6568D4">
      <w:pPr>
        <w:pStyle w:val="2"/>
        <w:snapToGrid w:val="0"/>
        <w:jc w:val="center"/>
        <w:rPr>
          <w:rFonts w:hint="eastAsia" w:ascii="宋体" w:hAnsi="宋体" w:eastAsia="宋体" w:cs="宋体"/>
          <w:sz w:val="36"/>
          <w:szCs w:val="36"/>
          <w:highlight w:val="none"/>
        </w:rPr>
      </w:pPr>
    </w:p>
    <w:p w14:paraId="2F366DC3">
      <w:pPr>
        <w:snapToGrid w:val="0"/>
        <w:spacing w:before="156" w:beforeLines="50" w:line="360" w:lineRule="auto"/>
        <w:jc w:val="both"/>
        <w:rPr>
          <w:rFonts w:hint="eastAsia" w:ascii="宋体" w:hAnsi="宋体" w:eastAsia="宋体" w:cs="宋体"/>
          <w:b/>
          <w:bCs/>
          <w:sz w:val="72"/>
          <w:szCs w:val="72"/>
          <w:highlight w:val="none"/>
        </w:rPr>
      </w:pPr>
    </w:p>
    <w:p w14:paraId="26F2EF88">
      <w:pPr>
        <w:spacing w:line="360" w:lineRule="auto"/>
        <w:rPr>
          <w:rFonts w:hint="eastAsia" w:ascii="宋体" w:hAnsi="宋体" w:eastAsia="宋体" w:cs="宋体"/>
          <w:sz w:val="30"/>
          <w:highlight w:val="none"/>
        </w:rPr>
      </w:pPr>
    </w:p>
    <w:p w14:paraId="06233046">
      <w:pPr>
        <w:pStyle w:val="2"/>
        <w:rPr>
          <w:rFonts w:hint="eastAsia" w:ascii="宋体" w:hAnsi="宋体" w:eastAsia="宋体" w:cs="宋体"/>
          <w:sz w:val="30"/>
          <w:highlight w:val="none"/>
        </w:rPr>
      </w:pPr>
    </w:p>
    <w:p w14:paraId="296F879C">
      <w:pPr>
        <w:pStyle w:val="17"/>
        <w:spacing w:line="360" w:lineRule="auto"/>
        <w:jc w:val="both"/>
        <w:outlineLvl w:val="9"/>
        <w:rPr>
          <w:rFonts w:hint="eastAsia" w:ascii="宋体" w:hAnsi="宋体" w:eastAsia="宋体" w:cs="宋体"/>
          <w:highlight w:val="none"/>
        </w:rPr>
      </w:pPr>
    </w:p>
    <w:p w14:paraId="573F8C05">
      <w:pPr>
        <w:spacing w:line="360" w:lineRule="auto"/>
        <w:rPr>
          <w:rFonts w:hint="eastAsia" w:ascii="宋体" w:hAnsi="宋体" w:eastAsia="宋体" w:cs="宋体"/>
          <w:highlight w:val="none"/>
        </w:rPr>
      </w:pPr>
    </w:p>
    <w:p w14:paraId="20FFF9D5">
      <w:pPr>
        <w:pStyle w:val="11"/>
        <w:spacing w:line="360" w:lineRule="auto"/>
        <w:rPr>
          <w:rFonts w:hint="eastAsia" w:ascii="宋体" w:hAnsi="宋体" w:eastAsia="宋体" w:cs="宋体"/>
          <w:highlight w:val="none"/>
        </w:rPr>
      </w:pPr>
    </w:p>
    <w:p w14:paraId="2EC6C926">
      <w:pPr>
        <w:snapToGrid w:val="0"/>
        <w:spacing w:before="156" w:beforeLines="50" w:line="360" w:lineRule="auto"/>
        <w:jc w:val="center"/>
        <w:rPr>
          <w:rFonts w:hint="eastAsia" w:ascii="宋体" w:hAnsi="宋体" w:eastAsia="宋体" w:cs="宋体"/>
          <w:sz w:val="20"/>
          <w:szCs w:val="22"/>
          <w:highlight w:val="none"/>
          <w:lang w:eastAsia="zh-CN"/>
        </w:rPr>
      </w:pPr>
      <w:r>
        <w:rPr>
          <w:rFonts w:hint="eastAsia" w:ascii="宋体" w:hAnsi="宋体" w:eastAsia="宋体" w:cs="宋体"/>
          <w:b/>
          <w:sz w:val="40"/>
          <w:szCs w:val="40"/>
          <w:highlight w:val="none"/>
          <w:lang w:eastAsia="zh-CN"/>
        </w:rPr>
        <w:t>深圳市东海国际招标有限公司</w:t>
      </w:r>
    </w:p>
    <w:p w14:paraId="4CF4E39F">
      <w:pPr>
        <w:jc w:val="center"/>
        <w:rPr>
          <w:rFonts w:hint="eastAsia" w:ascii="宋体" w:hAnsi="宋体" w:eastAsia="宋体" w:cs="宋体"/>
          <w:sz w:val="28"/>
          <w:szCs w:val="28"/>
          <w:highlight w:val="none"/>
        </w:rPr>
      </w:pPr>
      <w:r>
        <w:rPr>
          <w:rFonts w:hint="eastAsia" w:ascii="宋体" w:hAnsi="宋体" w:eastAsia="宋体" w:cs="宋体"/>
          <w:b/>
          <w:sz w:val="36"/>
          <w:szCs w:val="36"/>
          <w:highlight w:val="none"/>
        </w:rPr>
        <w:t>二〇二四年 · 中国深圳</w:t>
      </w:r>
    </w:p>
    <w:p w14:paraId="1ECE3E0A">
      <w:pPr>
        <w:jc w:val="center"/>
        <w:rPr>
          <w:rStyle w:val="36"/>
          <w:rFonts w:hint="eastAsia" w:ascii="宋体" w:hAnsi="宋体" w:eastAsia="宋体" w:cs="宋体"/>
          <w:sz w:val="52"/>
          <w:szCs w:val="44"/>
          <w:highlight w:val="none"/>
        </w:rPr>
        <w:sectPr>
          <w:pgSz w:w="11906" w:h="16838"/>
          <w:pgMar w:top="1440" w:right="1800" w:bottom="1440" w:left="1800" w:header="851" w:footer="992" w:gutter="0"/>
          <w:cols w:space="425" w:num="1"/>
          <w:docGrid w:type="lines" w:linePitch="312" w:charSpace="0"/>
        </w:sectPr>
      </w:pPr>
    </w:p>
    <w:p w14:paraId="23EEA9BA">
      <w:pPr>
        <w:jc w:val="center"/>
        <w:rPr>
          <w:rStyle w:val="43"/>
          <w:rFonts w:hint="eastAsia" w:ascii="宋体" w:hAnsi="宋体" w:eastAsia="宋体" w:cs="宋体"/>
          <w:highlight w:val="none"/>
        </w:rPr>
      </w:pPr>
      <w:r>
        <w:rPr>
          <w:rStyle w:val="36"/>
          <w:rFonts w:hint="eastAsia" w:ascii="宋体" w:hAnsi="宋体" w:eastAsia="宋体" w:cs="宋体"/>
          <w:sz w:val="52"/>
          <w:szCs w:val="44"/>
          <w:highlight w:val="none"/>
        </w:rPr>
        <w:t>警示条款</w:t>
      </w:r>
    </w:p>
    <w:p w14:paraId="7AAA3B4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b/>
          <w:bCs/>
          <w:highlight w:val="none"/>
        </w:rPr>
        <w:t>《深圳经济特区政府采购条例》第五十七条</w:t>
      </w:r>
      <w:r>
        <w:rPr>
          <w:rFonts w:hint="eastAsia" w:ascii="宋体" w:hAnsi="宋体" w:eastAsia="宋体" w:cs="宋体"/>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BB94EE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（一）在采购活动中应当回避而未回避的；</w:t>
      </w:r>
    </w:p>
    <w:p w14:paraId="26C52A8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（二）未按本条例规定签订、履行采购合同，造成严重后果的；</w:t>
      </w:r>
    </w:p>
    <w:p w14:paraId="2E67A78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（三）隐瞒真实情况，提供虚假资料的；</w:t>
      </w:r>
    </w:p>
    <w:p w14:paraId="001CA3A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（四）以非法手段排斥其他供应商参与竞争的；</w:t>
      </w:r>
    </w:p>
    <w:p w14:paraId="54F32EB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（五）与其他采购参加人串通投标的；</w:t>
      </w:r>
    </w:p>
    <w:p w14:paraId="5C83E7D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（六）恶意投诉的；</w:t>
      </w:r>
    </w:p>
    <w:p w14:paraId="5AD91A1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（七）向采购项目相关人行贿或者提供其他不当利益的；</w:t>
      </w:r>
    </w:p>
    <w:p w14:paraId="277BAFB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（八）阻碍、抗拒主管部门监督检查的；</w:t>
      </w:r>
    </w:p>
    <w:p w14:paraId="3F947E3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（九）其他违反本条例规定的行为。</w:t>
      </w:r>
    </w:p>
    <w:p w14:paraId="6E40DDFF">
      <w:pPr>
        <w:spacing w:line="360" w:lineRule="auto"/>
        <w:ind w:firstLine="482" w:firstLineChars="200"/>
        <w:rPr>
          <w:rFonts w:hint="eastAsia" w:ascii="宋体" w:hAnsi="宋体" w:eastAsia="宋体" w:cs="宋体"/>
          <w:highlight w:val="none"/>
        </w:rPr>
      </w:pPr>
      <w:r>
        <w:rPr>
          <w:rFonts w:hint="eastAsia" w:ascii="宋体" w:hAnsi="宋体" w:eastAsia="宋体" w:cs="宋体"/>
          <w:b/>
          <w:bCs/>
          <w:highlight w:val="none"/>
        </w:rPr>
        <w:t>二、《深圳经济特区政府采购条例实施细则》第七十五条 </w:t>
      </w:r>
      <w:r>
        <w:rPr>
          <w:rFonts w:hint="eastAsia" w:ascii="宋体" w:hAnsi="宋体" w:eastAsia="宋体" w:cs="宋体"/>
          <w:highlight w:val="none"/>
        </w:rPr>
        <w:t>供应商有下列情形的，属于采购条例所称的串通投标行为，按照采购条例第五十七条有关规定处理：</w:t>
      </w:r>
    </w:p>
    <w:p w14:paraId="7CBAB04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（一）投标供应商之间相互约定给予未中标的供应商利益补偿；</w:t>
      </w:r>
    </w:p>
    <w:p w14:paraId="4C72DD5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（二）不同投标供应商的法定代表人、主要经营负责人、项目投标授权代表人、项目负责人、主要技术人员为同一人、属同一单位或者在同一单位缴纳社会保险；</w:t>
      </w:r>
    </w:p>
    <w:p w14:paraId="11391A7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（三）不同投标供应商的投标文件由同一单位或者同一人编制，或者由同一人分阶段参与编制的；</w:t>
      </w:r>
    </w:p>
    <w:p w14:paraId="4702711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（四）不同投标供应商的投标文件或部分投标文件相互混装；</w:t>
      </w:r>
    </w:p>
    <w:p w14:paraId="2504362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（五）不同投标供应商的投标文件内容存在非正常一致；</w:t>
      </w:r>
    </w:p>
    <w:p w14:paraId="39149C1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（六）由同一单位工作人员为两家以上（含两家）供应商进行同一项投标活动的；</w:t>
      </w:r>
    </w:p>
    <w:p w14:paraId="1C8A9C9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（七）主管部门依照法律、法规认定的其他情形。</w:t>
      </w:r>
    </w:p>
    <w:p w14:paraId="1A0458F2">
      <w:pPr>
        <w:spacing w:line="360" w:lineRule="auto"/>
        <w:ind w:firstLine="482" w:firstLineChars="200"/>
        <w:rPr>
          <w:rFonts w:hint="eastAsia" w:ascii="宋体" w:hAnsi="宋体" w:eastAsia="宋体" w:cs="宋体"/>
          <w:highlight w:val="none"/>
        </w:rPr>
      </w:pPr>
      <w:r>
        <w:rPr>
          <w:rFonts w:hint="eastAsia" w:ascii="宋体" w:hAnsi="宋体" w:eastAsia="宋体" w:cs="宋体"/>
          <w:b/>
          <w:bCs/>
          <w:highlight w:val="none"/>
        </w:rPr>
        <w:t>三、《深圳经济特区政府采购条例实施细则》第七十七条 </w:t>
      </w:r>
      <w:r>
        <w:rPr>
          <w:rFonts w:hint="eastAsia" w:ascii="宋体" w:hAnsi="宋体" w:eastAsia="宋体" w:cs="宋体"/>
          <w:highlight w:val="none"/>
        </w:rPr>
        <w:t>供应商有下列情形之一的，属于隐瞒真实情况，提供虚假资料，按照采购条例第五十七的有关规定处理：</w:t>
      </w:r>
    </w:p>
    <w:p w14:paraId="1D6C404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（一）通过转让或者租借等方式从其他单位获取资格或者资质证书投标的；</w:t>
      </w:r>
    </w:p>
    <w:p w14:paraId="04A71FC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（二）由其他单位或者其他单位负责人在投标供应商编制的投标文件上加盖印章或者签字的；</w:t>
      </w:r>
    </w:p>
    <w:p w14:paraId="1AC3DDD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（三）项目负责人或者主要技术人员不是本单位人员的；</w:t>
      </w:r>
    </w:p>
    <w:p w14:paraId="70B9427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（四）投标保证金不是从投标供应商基本账户转出的；</w:t>
      </w:r>
    </w:p>
    <w:p w14:paraId="751511F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（五）其他隐瞒真实情况、提供虚假资料的行为。</w:t>
      </w:r>
    </w:p>
    <w:p w14:paraId="452A907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投标供应商不能提供项目负责人或者主要技术人员的劳动合同、社会保险等劳动关系证明材料的，视为存在前款第（三）项规定的情形。</w:t>
      </w:r>
    </w:p>
    <w:p w14:paraId="0D4D7047">
      <w:pPr>
        <w:spacing w:line="360" w:lineRule="auto"/>
        <w:ind w:firstLine="482" w:firstLineChars="200"/>
        <w:rPr>
          <w:rFonts w:hint="eastAsia" w:ascii="宋体" w:hAnsi="宋体" w:eastAsia="宋体" w:cs="宋体"/>
          <w:highlight w:val="none"/>
        </w:rPr>
      </w:pPr>
      <w:r>
        <w:rPr>
          <w:rFonts w:hint="eastAsia" w:ascii="宋体" w:hAnsi="宋体" w:eastAsia="宋体" w:cs="宋体"/>
          <w:b/>
          <w:bCs/>
          <w:color w:val="FF0000"/>
          <w:highlight w:val="none"/>
          <w:lang w:val="en-US" w:eastAsia="zh-CN"/>
        </w:rPr>
        <w:t>四、请投标供应商阅读《政府采购违法行为风险知悉确认书》（内容详见“投标文件正文”）， 并经各投标供应商负责人或投标授权代表签字并加盖单位公章后，扫描上传至投标文件一并提 交。注：该风险知悉确认书用于对供应商违法行为的警示，不作为供应商资格性审查及符合性审查条件。</w:t>
      </w:r>
      <w:r>
        <w:rPr>
          <w:rFonts w:hint="eastAsia" w:ascii="宋体" w:hAnsi="宋体" w:eastAsia="宋体" w:cs="宋体"/>
          <w:highlight w:val="none"/>
          <w:lang w:val="en-US" w:eastAsia="zh-CN"/>
        </w:rPr>
        <w:t xml:space="preserve"> </w:t>
      </w:r>
    </w:p>
    <w:p w14:paraId="35C34A52">
      <w:pPr>
        <w:ind w:firstLine="480" w:firstLineChars="200"/>
        <w:rPr>
          <w:rFonts w:hint="eastAsia" w:ascii="宋体" w:hAnsi="宋体" w:eastAsia="宋体" w:cs="宋体"/>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7DF423E9">
      <w:pPr>
        <w:ind w:firstLine="480" w:firstLineChars="200"/>
        <w:rPr>
          <w:rFonts w:hint="eastAsia" w:ascii="宋体" w:hAnsi="宋体" w:eastAsia="宋体" w:cs="宋体"/>
          <w:highlight w:val="none"/>
        </w:rPr>
      </w:pPr>
    </w:p>
    <w:p w14:paraId="545A7879">
      <w:pPr>
        <w:jc w:val="center"/>
        <w:outlineLvl w:val="0"/>
        <w:rPr>
          <w:rStyle w:val="36"/>
          <w:rFonts w:hint="eastAsia" w:ascii="宋体" w:hAnsi="宋体" w:eastAsia="宋体" w:cs="宋体"/>
          <w:sz w:val="52"/>
          <w:szCs w:val="44"/>
          <w:highlight w:val="none"/>
        </w:rPr>
      </w:pPr>
      <w:r>
        <w:rPr>
          <w:rStyle w:val="36"/>
          <w:rFonts w:hint="eastAsia" w:ascii="宋体" w:hAnsi="宋体" w:eastAsia="宋体" w:cs="宋体"/>
          <w:sz w:val="52"/>
          <w:szCs w:val="44"/>
          <w:highlight w:val="none"/>
        </w:rPr>
        <w:t>关键信息</w:t>
      </w:r>
    </w:p>
    <w:tbl>
      <w:tblPr>
        <w:tblStyle w:val="18"/>
        <w:tblW w:w="8598" w:type="dxa"/>
        <w:jc w:val="center"/>
        <w:tblCellSpacing w:w="0" w:type="dxa"/>
        <w:tblLayout w:type="fixed"/>
        <w:tblCellMar>
          <w:top w:w="45" w:type="dxa"/>
          <w:left w:w="45" w:type="dxa"/>
          <w:bottom w:w="45" w:type="dxa"/>
          <w:right w:w="45" w:type="dxa"/>
        </w:tblCellMar>
      </w:tblPr>
      <w:tblGrid>
        <w:gridCol w:w="2949"/>
        <w:gridCol w:w="5649"/>
      </w:tblGrid>
      <w:tr w14:paraId="0F372E81">
        <w:tblPrEx>
          <w:tblCellMar>
            <w:top w:w="45" w:type="dxa"/>
            <w:left w:w="45" w:type="dxa"/>
            <w:bottom w:w="45" w:type="dxa"/>
            <w:right w:w="45" w:type="dxa"/>
          </w:tblCellMar>
        </w:tblPrEx>
        <w:trPr>
          <w:trHeight w:val="737" w:hRule="atLeast"/>
          <w:tblCellSpacing w:w="0" w:type="dxa"/>
          <w:jc w:val="center"/>
        </w:trPr>
        <w:tc>
          <w:tcPr>
            <w:tcW w:w="2949" w:type="dxa"/>
            <w:vAlign w:val="center"/>
          </w:tcPr>
          <w:p w14:paraId="3AE74992">
            <w:pPr>
              <w:jc w:val="right"/>
              <w:rPr>
                <w:rFonts w:hint="eastAsia" w:ascii="宋体" w:hAnsi="宋体" w:eastAsia="宋体" w:cs="宋体"/>
                <w:sz w:val="30"/>
                <w:szCs w:val="30"/>
                <w:highlight w:val="none"/>
              </w:rPr>
            </w:pPr>
            <w:r>
              <w:rPr>
                <w:rFonts w:hint="eastAsia" w:ascii="宋体" w:hAnsi="宋体" w:eastAsia="宋体" w:cs="宋体"/>
                <w:sz w:val="30"/>
                <w:szCs w:val="30"/>
                <w:highlight w:val="none"/>
              </w:rPr>
              <w:t>项目名称：</w:t>
            </w:r>
          </w:p>
        </w:tc>
        <w:tc>
          <w:tcPr>
            <w:tcW w:w="5649" w:type="dxa"/>
            <w:vAlign w:val="center"/>
          </w:tcPr>
          <w:p w14:paraId="0B783FBB">
            <w:pPr>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学校运动操场改造工程</w:t>
            </w:r>
          </w:p>
        </w:tc>
      </w:tr>
      <w:tr w14:paraId="759F59F5">
        <w:tblPrEx>
          <w:tblCellMar>
            <w:top w:w="45" w:type="dxa"/>
            <w:left w:w="45" w:type="dxa"/>
            <w:bottom w:w="45" w:type="dxa"/>
            <w:right w:w="45" w:type="dxa"/>
          </w:tblCellMar>
        </w:tblPrEx>
        <w:trPr>
          <w:trHeight w:val="737" w:hRule="atLeast"/>
          <w:tblCellSpacing w:w="0" w:type="dxa"/>
          <w:jc w:val="center"/>
        </w:trPr>
        <w:tc>
          <w:tcPr>
            <w:tcW w:w="2949" w:type="dxa"/>
            <w:vAlign w:val="center"/>
          </w:tcPr>
          <w:p w14:paraId="56FCBBCA">
            <w:pPr>
              <w:jc w:val="right"/>
              <w:rPr>
                <w:rFonts w:hint="eastAsia" w:ascii="宋体" w:hAnsi="宋体" w:eastAsia="宋体" w:cs="宋体"/>
                <w:sz w:val="30"/>
                <w:szCs w:val="30"/>
                <w:highlight w:val="none"/>
              </w:rPr>
            </w:pPr>
            <w:r>
              <w:rPr>
                <w:rFonts w:hint="eastAsia" w:ascii="宋体" w:hAnsi="宋体" w:eastAsia="宋体" w:cs="宋体"/>
                <w:sz w:val="30"/>
                <w:szCs w:val="30"/>
                <w:highlight w:val="none"/>
              </w:rPr>
              <w:t>项目编号：</w:t>
            </w:r>
          </w:p>
        </w:tc>
        <w:tc>
          <w:tcPr>
            <w:tcW w:w="5649" w:type="dxa"/>
            <w:vAlign w:val="center"/>
          </w:tcPr>
          <w:p w14:paraId="4148E53F">
            <w:pPr>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LHAZXDL-2024-00062（3324-DH2432G3217）</w:t>
            </w:r>
          </w:p>
        </w:tc>
      </w:tr>
      <w:tr w14:paraId="4A373E5A">
        <w:tblPrEx>
          <w:tblCellMar>
            <w:top w:w="45" w:type="dxa"/>
            <w:left w:w="45" w:type="dxa"/>
            <w:bottom w:w="45" w:type="dxa"/>
            <w:right w:w="45" w:type="dxa"/>
          </w:tblCellMar>
        </w:tblPrEx>
        <w:trPr>
          <w:trHeight w:val="737" w:hRule="atLeast"/>
          <w:tblCellSpacing w:w="0" w:type="dxa"/>
          <w:jc w:val="center"/>
        </w:trPr>
        <w:tc>
          <w:tcPr>
            <w:tcW w:w="2949" w:type="dxa"/>
            <w:vAlign w:val="center"/>
          </w:tcPr>
          <w:p w14:paraId="5837A639">
            <w:pPr>
              <w:jc w:val="right"/>
              <w:rPr>
                <w:rFonts w:hint="eastAsia" w:ascii="宋体" w:hAnsi="宋体" w:eastAsia="宋体" w:cs="宋体"/>
                <w:sz w:val="30"/>
                <w:szCs w:val="30"/>
                <w:highlight w:val="none"/>
              </w:rPr>
            </w:pPr>
            <w:r>
              <w:rPr>
                <w:rFonts w:hint="eastAsia" w:ascii="宋体" w:hAnsi="宋体" w:eastAsia="宋体" w:cs="宋体"/>
                <w:sz w:val="30"/>
                <w:szCs w:val="30"/>
                <w:highlight w:val="none"/>
              </w:rPr>
              <w:t>采购单位：</w:t>
            </w:r>
          </w:p>
        </w:tc>
        <w:tc>
          <w:tcPr>
            <w:tcW w:w="5649" w:type="dxa"/>
            <w:vAlign w:val="center"/>
          </w:tcPr>
          <w:p w14:paraId="620BF43B">
            <w:pPr>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 xml:space="preserve"> 华东师范大学附属深圳龙华学校教育集团   </w:t>
            </w:r>
          </w:p>
        </w:tc>
      </w:tr>
      <w:tr w14:paraId="5F0C5C0E">
        <w:tblPrEx>
          <w:tblCellMar>
            <w:top w:w="45" w:type="dxa"/>
            <w:left w:w="45" w:type="dxa"/>
            <w:bottom w:w="45" w:type="dxa"/>
            <w:right w:w="45" w:type="dxa"/>
          </w:tblCellMar>
        </w:tblPrEx>
        <w:trPr>
          <w:trHeight w:val="737" w:hRule="atLeast"/>
          <w:tblCellSpacing w:w="0" w:type="dxa"/>
          <w:jc w:val="center"/>
        </w:trPr>
        <w:tc>
          <w:tcPr>
            <w:tcW w:w="2949" w:type="dxa"/>
            <w:vAlign w:val="center"/>
          </w:tcPr>
          <w:p w14:paraId="1FB4C8C0">
            <w:pPr>
              <w:jc w:val="right"/>
              <w:rPr>
                <w:rFonts w:hint="eastAsia" w:ascii="宋体" w:hAnsi="宋体" w:eastAsia="宋体" w:cs="宋体"/>
                <w:sz w:val="30"/>
                <w:szCs w:val="30"/>
                <w:highlight w:val="none"/>
              </w:rPr>
            </w:pPr>
            <w:r>
              <w:rPr>
                <w:rFonts w:hint="eastAsia" w:ascii="宋体" w:hAnsi="宋体" w:eastAsia="宋体" w:cs="宋体"/>
                <w:sz w:val="30"/>
                <w:szCs w:val="30"/>
                <w:highlight w:val="none"/>
              </w:rPr>
              <w:t>包 号：</w:t>
            </w:r>
          </w:p>
        </w:tc>
        <w:tc>
          <w:tcPr>
            <w:tcW w:w="5649" w:type="dxa"/>
            <w:vAlign w:val="center"/>
          </w:tcPr>
          <w:p w14:paraId="0F1C545E">
            <w:pPr>
              <w:rPr>
                <w:rFonts w:hint="eastAsia" w:ascii="宋体" w:hAnsi="宋体" w:eastAsia="宋体" w:cs="宋体"/>
                <w:sz w:val="30"/>
                <w:szCs w:val="30"/>
                <w:highlight w:val="none"/>
              </w:rPr>
            </w:pPr>
            <w:r>
              <w:rPr>
                <w:rFonts w:hint="eastAsia" w:ascii="宋体" w:hAnsi="宋体" w:eastAsia="宋体" w:cs="宋体"/>
                <w:sz w:val="30"/>
                <w:szCs w:val="30"/>
                <w:highlight w:val="none"/>
              </w:rPr>
              <w:t>A包</w:t>
            </w:r>
          </w:p>
        </w:tc>
      </w:tr>
      <w:tr w14:paraId="3C722869">
        <w:tblPrEx>
          <w:tblCellMar>
            <w:top w:w="45" w:type="dxa"/>
            <w:left w:w="45" w:type="dxa"/>
            <w:bottom w:w="45" w:type="dxa"/>
            <w:right w:w="45" w:type="dxa"/>
          </w:tblCellMar>
        </w:tblPrEx>
        <w:trPr>
          <w:trHeight w:val="737" w:hRule="atLeast"/>
          <w:tblCellSpacing w:w="0" w:type="dxa"/>
          <w:jc w:val="center"/>
        </w:trPr>
        <w:tc>
          <w:tcPr>
            <w:tcW w:w="2949" w:type="dxa"/>
            <w:vAlign w:val="center"/>
          </w:tcPr>
          <w:p w14:paraId="73D4D6FC">
            <w:pPr>
              <w:jc w:val="right"/>
              <w:rPr>
                <w:rFonts w:hint="eastAsia" w:ascii="宋体" w:hAnsi="宋体" w:eastAsia="宋体" w:cs="宋体"/>
                <w:sz w:val="30"/>
                <w:szCs w:val="30"/>
                <w:highlight w:val="none"/>
              </w:rPr>
            </w:pPr>
            <w:r>
              <w:rPr>
                <w:rFonts w:hint="eastAsia" w:ascii="宋体" w:hAnsi="宋体" w:eastAsia="宋体" w:cs="宋体"/>
                <w:sz w:val="30"/>
                <w:szCs w:val="30"/>
                <w:highlight w:val="none"/>
              </w:rPr>
              <w:t>项目类型：</w:t>
            </w:r>
          </w:p>
        </w:tc>
        <w:tc>
          <w:tcPr>
            <w:tcW w:w="5649" w:type="dxa"/>
            <w:vAlign w:val="center"/>
          </w:tcPr>
          <w:p w14:paraId="3E6819A7">
            <w:pPr>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工程</w:t>
            </w:r>
            <w:r>
              <w:rPr>
                <w:rFonts w:hint="eastAsia" w:ascii="宋体" w:hAnsi="宋体" w:eastAsia="宋体" w:cs="宋体"/>
                <w:sz w:val="30"/>
                <w:szCs w:val="30"/>
                <w:highlight w:val="none"/>
              </w:rPr>
              <w:t>类</w:t>
            </w:r>
          </w:p>
        </w:tc>
      </w:tr>
      <w:tr w14:paraId="5A6973E4">
        <w:tblPrEx>
          <w:tblCellMar>
            <w:top w:w="45" w:type="dxa"/>
            <w:left w:w="45" w:type="dxa"/>
            <w:bottom w:w="45" w:type="dxa"/>
            <w:right w:w="45" w:type="dxa"/>
          </w:tblCellMar>
        </w:tblPrEx>
        <w:trPr>
          <w:trHeight w:val="737" w:hRule="atLeast"/>
          <w:tblCellSpacing w:w="0" w:type="dxa"/>
          <w:jc w:val="center"/>
        </w:trPr>
        <w:tc>
          <w:tcPr>
            <w:tcW w:w="2949" w:type="dxa"/>
            <w:vAlign w:val="center"/>
          </w:tcPr>
          <w:p w14:paraId="6EF1C0B9">
            <w:pPr>
              <w:jc w:val="right"/>
              <w:rPr>
                <w:rFonts w:hint="eastAsia" w:ascii="宋体" w:hAnsi="宋体" w:eastAsia="宋体" w:cs="宋体"/>
                <w:sz w:val="30"/>
                <w:szCs w:val="30"/>
                <w:highlight w:val="none"/>
              </w:rPr>
            </w:pPr>
            <w:r>
              <w:rPr>
                <w:rFonts w:hint="eastAsia" w:ascii="宋体" w:hAnsi="宋体" w:eastAsia="宋体" w:cs="宋体"/>
                <w:sz w:val="30"/>
                <w:szCs w:val="30"/>
                <w:highlight w:val="none"/>
              </w:rPr>
              <w:t>采购方式：</w:t>
            </w:r>
          </w:p>
        </w:tc>
        <w:tc>
          <w:tcPr>
            <w:tcW w:w="5649" w:type="dxa"/>
            <w:vAlign w:val="center"/>
          </w:tcPr>
          <w:p w14:paraId="7ACB3EB1">
            <w:pPr>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公开招标</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自行采购</w:t>
            </w:r>
            <w:r>
              <w:rPr>
                <w:rFonts w:hint="eastAsia" w:ascii="宋体" w:hAnsi="宋体" w:eastAsia="宋体" w:cs="宋体"/>
                <w:sz w:val="30"/>
                <w:szCs w:val="30"/>
                <w:highlight w:val="none"/>
                <w:lang w:eastAsia="zh-CN"/>
              </w:rPr>
              <w:t>）</w:t>
            </w:r>
          </w:p>
        </w:tc>
      </w:tr>
      <w:tr w14:paraId="4214635A">
        <w:tblPrEx>
          <w:tblCellMar>
            <w:top w:w="45" w:type="dxa"/>
            <w:left w:w="45" w:type="dxa"/>
            <w:bottom w:w="45" w:type="dxa"/>
            <w:right w:w="45" w:type="dxa"/>
          </w:tblCellMar>
        </w:tblPrEx>
        <w:trPr>
          <w:trHeight w:val="737" w:hRule="atLeast"/>
          <w:tblCellSpacing w:w="0" w:type="dxa"/>
          <w:jc w:val="center"/>
        </w:trPr>
        <w:tc>
          <w:tcPr>
            <w:tcW w:w="2949" w:type="dxa"/>
            <w:vAlign w:val="center"/>
          </w:tcPr>
          <w:p w14:paraId="0DBBE543">
            <w:pPr>
              <w:jc w:val="right"/>
              <w:rPr>
                <w:rFonts w:hint="eastAsia" w:ascii="宋体" w:hAnsi="宋体" w:eastAsia="宋体" w:cs="宋体"/>
                <w:sz w:val="30"/>
                <w:szCs w:val="30"/>
                <w:highlight w:val="none"/>
              </w:rPr>
            </w:pPr>
            <w:r>
              <w:rPr>
                <w:rFonts w:hint="eastAsia" w:ascii="宋体" w:hAnsi="宋体" w:eastAsia="宋体" w:cs="宋体"/>
                <w:sz w:val="30"/>
                <w:szCs w:val="30"/>
                <w:highlight w:val="none"/>
              </w:rPr>
              <w:t>货币类型：</w:t>
            </w:r>
          </w:p>
        </w:tc>
        <w:tc>
          <w:tcPr>
            <w:tcW w:w="5649" w:type="dxa"/>
            <w:vAlign w:val="center"/>
          </w:tcPr>
          <w:p w14:paraId="069B96F2">
            <w:pPr>
              <w:rPr>
                <w:rFonts w:hint="eastAsia" w:ascii="宋体" w:hAnsi="宋体" w:eastAsia="宋体" w:cs="宋体"/>
                <w:sz w:val="30"/>
                <w:szCs w:val="30"/>
                <w:highlight w:val="none"/>
              </w:rPr>
            </w:pPr>
            <w:r>
              <w:rPr>
                <w:rFonts w:hint="eastAsia" w:ascii="宋体" w:hAnsi="宋体" w:eastAsia="宋体" w:cs="宋体"/>
                <w:sz w:val="30"/>
                <w:szCs w:val="30"/>
                <w:highlight w:val="none"/>
              </w:rPr>
              <w:t>人民币</w:t>
            </w:r>
          </w:p>
        </w:tc>
      </w:tr>
      <w:tr w14:paraId="453E4309">
        <w:tblPrEx>
          <w:tblCellMar>
            <w:top w:w="45" w:type="dxa"/>
            <w:left w:w="45" w:type="dxa"/>
            <w:bottom w:w="45" w:type="dxa"/>
            <w:right w:w="45" w:type="dxa"/>
          </w:tblCellMar>
        </w:tblPrEx>
        <w:trPr>
          <w:trHeight w:val="737" w:hRule="atLeast"/>
          <w:tblCellSpacing w:w="0" w:type="dxa"/>
          <w:jc w:val="center"/>
        </w:trPr>
        <w:tc>
          <w:tcPr>
            <w:tcW w:w="2949" w:type="dxa"/>
            <w:vAlign w:val="center"/>
          </w:tcPr>
          <w:p w14:paraId="56793564">
            <w:pPr>
              <w:jc w:val="both"/>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资格入围及</w:t>
            </w:r>
            <w:r>
              <w:rPr>
                <w:rFonts w:hint="eastAsia" w:ascii="宋体" w:hAnsi="宋体" w:eastAsia="宋体" w:cs="宋体"/>
                <w:sz w:val="30"/>
                <w:szCs w:val="30"/>
                <w:highlight w:val="none"/>
              </w:rPr>
              <w:t>评标方法：</w:t>
            </w:r>
          </w:p>
        </w:tc>
        <w:tc>
          <w:tcPr>
            <w:tcW w:w="5649" w:type="dxa"/>
            <w:vAlign w:val="center"/>
          </w:tcPr>
          <w:p w14:paraId="26D203D3">
            <w:pPr>
              <w:jc w:val="both"/>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抽签+综合评审</w:t>
            </w:r>
          </w:p>
        </w:tc>
      </w:tr>
    </w:tbl>
    <w:p w14:paraId="588A903F">
      <w:pPr>
        <w:pStyle w:val="2"/>
        <w:rPr>
          <w:rFonts w:hint="eastAsia" w:ascii="宋体" w:hAnsi="宋体" w:eastAsia="宋体" w:cs="宋体"/>
          <w:highlight w:val="none"/>
        </w:rPr>
      </w:pPr>
    </w:p>
    <w:p w14:paraId="7FD1F48D">
      <w:pPr>
        <w:rPr>
          <w:rFonts w:hint="eastAsia" w:ascii="宋体" w:hAnsi="宋体" w:eastAsia="宋体" w:cs="宋体"/>
          <w:highlight w:val="none"/>
        </w:rPr>
      </w:pPr>
    </w:p>
    <w:p w14:paraId="02011FC0">
      <w:pPr>
        <w:pStyle w:val="2"/>
        <w:rPr>
          <w:rFonts w:hint="eastAsia" w:ascii="宋体" w:hAnsi="宋体" w:eastAsia="宋体" w:cs="宋体"/>
          <w:highlight w:val="none"/>
        </w:rPr>
      </w:pPr>
    </w:p>
    <w:p w14:paraId="39F4CAD9">
      <w:pPr>
        <w:rPr>
          <w:rFonts w:hint="eastAsia" w:ascii="宋体" w:hAnsi="宋体" w:eastAsia="宋体" w:cs="宋体"/>
          <w:highlight w:val="none"/>
        </w:rPr>
      </w:pPr>
    </w:p>
    <w:p w14:paraId="464AF6CC">
      <w:pPr>
        <w:pStyle w:val="2"/>
        <w:rPr>
          <w:rFonts w:hint="eastAsia" w:ascii="宋体" w:hAnsi="宋体" w:eastAsia="宋体" w:cs="宋体"/>
          <w:highlight w:val="none"/>
        </w:rPr>
      </w:pPr>
    </w:p>
    <w:p w14:paraId="10B265AE">
      <w:pPr>
        <w:rPr>
          <w:rFonts w:hint="eastAsia" w:ascii="宋体" w:hAnsi="宋体" w:eastAsia="宋体" w:cs="宋体"/>
          <w:highlight w:val="none"/>
        </w:rPr>
      </w:pPr>
    </w:p>
    <w:p w14:paraId="479CEC27">
      <w:pPr>
        <w:pStyle w:val="2"/>
        <w:rPr>
          <w:rFonts w:hint="eastAsia" w:ascii="宋体" w:hAnsi="宋体" w:eastAsia="宋体" w:cs="宋体"/>
          <w:highlight w:val="none"/>
        </w:rPr>
      </w:pPr>
    </w:p>
    <w:p w14:paraId="01BF6936">
      <w:pPr>
        <w:rPr>
          <w:rFonts w:hint="eastAsia" w:ascii="宋体" w:hAnsi="宋体" w:eastAsia="宋体" w:cs="宋体"/>
          <w:highlight w:val="none"/>
        </w:rPr>
      </w:pPr>
    </w:p>
    <w:p w14:paraId="2CEF0E8B">
      <w:pPr>
        <w:pStyle w:val="2"/>
        <w:rPr>
          <w:rFonts w:hint="eastAsia" w:ascii="宋体" w:hAnsi="宋体" w:eastAsia="宋体" w:cs="宋体"/>
          <w:highlight w:val="none"/>
        </w:rPr>
      </w:pPr>
    </w:p>
    <w:p w14:paraId="657BAE7B">
      <w:pPr>
        <w:rPr>
          <w:rFonts w:hint="eastAsia" w:ascii="宋体" w:hAnsi="宋体" w:eastAsia="宋体" w:cs="宋体"/>
          <w:highlight w:val="none"/>
        </w:rPr>
      </w:pPr>
    </w:p>
    <w:p w14:paraId="5F5731D2">
      <w:pPr>
        <w:pStyle w:val="2"/>
        <w:rPr>
          <w:rFonts w:hint="eastAsia" w:ascii="宋体" w:hAnsi="宋体" w:eastAsia="宋体" w:cs="宋体"/>
          <w:highlight w:val="none"/>
        </w:rPr>
      </w:pPr>
    </w:p>
    <w:p w14:paraId="0E896F85">
      <w:pPr>
        <w:rPr>
          <w:rFonts w:hint="eastAsia" w:ascii="宋体" w:hAnsi="宋体" w:eastAsia="宋体" w:cs="宋体"/>
          <w:highlight w:val="none"/>
        </w:rPr>
      </w:pPr>
    </w:p>
    <w:p w14:paraId="0A760386">
      <w:pPr>
        <w:pStyle w:val="2"/>
        <w:rPr>
          <w:rFonts w:hint="eastAsia" w:ascii="宋体" w:hAnsi="宋体" w:eastAsia="宋体" w:cs="宋体"/>
          <w:highlight w:val="none"/>
        </w:rPr>
      </w:pPr>
    </w:p>
    <w:p w14:paraId="6EB66FB3">
      <w:pPr>
        <w:pStyle w:val="2"/>
        <w:rPr>
          <w:rFonts w:hint="eastAsia" w:ascii="宋体" w:hAnsi="宋体" w:eastAsia="宋体" w:cs="宋体"/>
          <w:highlight w:val="none"/>
        </w:rPr>
      </w:pPr>
    </w:p>
    <w:p w14:paraId="39E3F2C2">
      <w:pPr>
        <w:pStyle w:val="3"/>
        <w:rPr>
          <w:rFonts w:hint="eastAsia" w:ascii="宋体" w:hAnsi="宋体" w:eastAsia="宋体" w:cs="宋体"/>
          <w:sz w:val="48"/>
          <w:szCs w:val="48"/>
          <w:highlight w:val="none"/>
        </w:rPr>
      </w:pPr>
      <w:r>
        <w:rPr>
          <w:rFonts w:hint="eastAsia" w:ascii="宋体" w:hAnsi="宋体" w:eastAsia="宋体" w:cs="宋体"/>
          <w:sz w:val="48"/>
          <w:szCs w:val="48"/>
          <w:highlight w:val="none"/>
        </w:rPr>
        <w:t>资格性审查表</w:t>
      </w:r>
    </w:p>
    <w:tbl>
      <w:tblPr>
        <w:tblStyle w:val="18"/>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333"/>
      </w:tblGrid>
      <w:tr w14:paraId="72FE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0" w:type="dxa"/>
            <w:shd w:val="clear" w:color="auto" w:fill="B8CCE4"/>
            <w:vAlign w:val="center"/>
          </w:tcPr>
          <w:p w14:paraId="05FF127E">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序号</w:t>
            </w:r>
          </w:p>
        </w:tc>
        <w:tc>
          <w:tcPr>
            <w:tcW w:w="8333" w:type="dxa"/>
            <w:shd w:val="clear" w:color="auto" w:fill="B8CCE4"/>
            <w:vAlign w:val="center"/>
          </w:tcPr>
          <w:p w14:paraId="215E4416">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内容</w:t>
            </w:r>
          </w:p>
        </w:tc>
      </w:tr>
      <w:tr w14:paraId="2ACD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94B9BE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8333" w:type="dxa"/>
            <w:vAlign w:val="center"/>
          </w:tcPr>
          <w:p w14:paraId="435C788C">
            <w:pPr>
              <w:rPr>
                <w:rFonts w:hint="eastAsia" w:ascii="宋体" w:hAnsi="宋体" w:eastAsia="宋体" w:cs="宋体"/>
                <w:sz w:val="22"/>
                <w:szCs w:val="22"/>
                <w:highlight w:val="none"/>
              </w:rPr>
            </w:pPr>
            <w:r>
              <w:rPr>
                <w:rFonts w:hint="eastAsia" w:ascii="宋体" w:hAnsi="宋体" w:eastAsia="宋体" w:cs="宋体"/>
                <w:sz w:val="22"/>
                <w:szCs w:val="22"/>
                <w:highlight w:val="none"/>
              </w:rPr>
              <w:t>投标人不具备招标文件所列的资格要求，或未提交相应的资格证明资料（详见招标公告 投标人资格要求）；</w:t>
            </w:r>
          </w:p>
        </w:tc>
      </w:tr>
    </w:tbl>
    <w:p w14:paraId="3146C485">
      <w:pPr>
        <w:jc w:val="both"/>
        <w:rPr>
          <w:rFonts w:hint="eastAsia" w:ascii="宋体" w:hAnsi="宋体" w:eastAsia="宋体" w:cs="宋体"/>
          <w:b/>
          <w:bCs/>
          <w:sz w:val="36"/>
          <w:szCs w:val="20"/>
          <w:highlight w:val="none"/>
        </w:rPr>
      </w:pPr>
    </w:p>
    <w:p w14:paraId="6F0C2CFC">
      <w:pPr>
        <w:pStyle w:val="3"/>
        <w:spacing w:before="0" w:after="0"/>
        <w:rPr>
          <w:rFonts w:hint="eastAsia" w:ascii="宋体" w:hAnsi="宋体" w:eastAsia="宋体" w:cs="宋体"/>
          <w:sz w:val="48"/>
          <w:szCs w:val="48"/>
          <w:highlight w:val="none"/>
        </w:rPr>
      </w:pPr>
      <w:r>
        <w:rPr>
          <w:rFonts w:hint="eastAsia" w:ascii="宋体" w:hAnsi="宋体" w:eastAsia="宋体" w:cs="宋体"/>
          <w:sz w:val="48"/>
          <w:szCs w:val="48"/>
          <w:highlight w:val="none"/>
        </w:rPr>
        <w:t>符合性审查表</w:t>
      </w:r>
    </w:p>
    <w:p w14:paraId="5500B3C0">
      <w:pPr>
        <w:rPr>
          <w:rFonts w:hint="eastAsia" w:ascii="宋体" w:hAnsi="宋体" w:eastAsia="宋体" w:cs="宋体"/>
          <w:szCs w:val="32"/>
          <w:highlight w:val="none"/>
        </w:rPr>
      </w:pPr>
    </w:p>
    <w:tbl>
      <w:tblPr>
        <w:tblStyle w:val="54"/>
        <w:tblW w:w="90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2"/>
        <w:gridCol w:w="8280"/>
      </w:tblGrid>
      <w:tr w14:paraId="5E338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jc w:val="center"/>
        </w:trPr>
        <w:tc>
          <w:tcPr>
            <w:tcW w:w="802" w:type="dxa"/>
            <w:shd w:val="clear" w:color="auto" w:fill="E6EFFA"/>
            <w:vAlign w:val="top"/>
          </w:tcPr>
          <w:p w14:paraId="68EAF67A">
            <w:pPr>
              <w:pStyle w:val="55"/>
              <w:spacing w:before="196" w:line="222" w:lineRule="auto"/>
              <w:ind w:left="121"/>
              <w:rPr>
                <w:rFonts w:hint="eastAsia" w:ascii="宋体" w:hAnsi="宋体" w:eastAsia="宋体" w:cs="宋体"/>
                <w:b/>
                <w:bCs/>
                <w:sz w:val="22"/>
                <w:szCs w:val="22"/>
                <w:highlight w:val="none"/>
                <w:lang w:val="en-US" w:eastAsia="zh-CN" w:bidi="ar-SA"/>
              </w:rPr>
            </w:pPr>
            <w:r>
              <w:rPr>
                <w:rFonts w:hint="eastAsia" w:ascii="宋体" w:hAnsi="宋体" w:eastAsia="宋体" w:cs="宋体"/>
                <w:b/>
                <w:bCs/>
                <w:sz w:val="22"/>
                <w:szCs w:val="22"/>
                <w:highlight w:val="none"/>
                <w:lang w:val="en-US" w:eastAsia="zh-CN" w:bidi="ar-SA"/>
              </w:rPr>
              <w:t>序号</w:t>
            </w:r>
          </w:p>
        </w:tc>
        <w:tc>
          <w:tcPr>
            <w:tcW w:w="8280" w:type="dxa"/>
            <w:shd w:val="clear" w:color="auto" w:fill="E6EFFA"/>
            <w:vAlign w:val="top"/>
          </w:tcPr>
          <w:p w14:paraId="0402FADF">
            <w:pPr>
              <w:pStyle w:val="55"/>
              <w:spacing w:before="196" w:line="221" w:lineRule="auto"/>
              <w:ind w:left="3893"/>
              <w:rPr>
                <w:rFonts w:hint="eastAsia" w:ascii="宋体" w:hAnsi="宋体" w:eastAsia="宋体" w:cs="宋体"/>
                <w:b/>
                <w:bCs/>
                <w:sz w:val="22"/>
                <w:szCs w:val="22"/>
                <w:highlight w:val="none"/>
                <w:lang w:val="en-US" w:eastAsia="zh-CN" w:bidi="ar-SA"/>
              </w:rPr>
            </w:pPr>
            <w:r>
              <w:rPr>
                <w:rFonts w:hint="eastAsia" w:ascii="宋体" w:hAnsi="宋体" w:eastAsia="宋体" w:cs="宋体"/>
                <w:b/>
                <w:bCs/>
                <w:sz w:val="22"/>
                <w:szCs w:val="22"/>
                <w:highlight w:val="none"/>
                <w:lang w:val="en-US" w:eastAsia="zh-CN" w:bidi="ar-SA"/>
              </w:rPr>
              <w:t>内容</w:t>
            </w:r>
          </w:p>
        </w:tc>
      </w:tr>
      <w:tr w14:paraId="66AA4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jc w:val="center"/>
        </w:trPr>
        <w:tc>
          <w:tcPr>
            <w:tcW w:w="802" w:type="dxa"/>
            <w:vAlign w:val="top"/>
          </w:tcPr>
          <w:p w14:paraId="2372329F">
            <w:pPr>
              <w:pStyle w:val="55"/>
              <w:spacing w:before="101" w:line="189" w:lineRule="auto"/>
              <w:ind w:left="361"/>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1</w:t>
            </w:r>
          </w:p>
        </w:tc>
        <w:tc>
          <w:tcPr>
            <w:tcW w:w="8280" w:type="dxa"/>
            <w:vAlign w:val="top"/>
          </w:tcPr>
          <w:p w14:paraId="37A167F6">
            <w:pPr>
              <w:pStyle w:val="55"/>
              <w:spacing w:before="69" w:line="228" w:lineRule="auto"/>
              <w:ind w:left="106"/>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不得将一个包的内容拆开投标；</w:t>
            </w:r>
          </w:p>
        </w:tc>
      </w:tr>
      <w:tr w14:paraId="1AAA4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802" w:type="dxa"/>
            <w:vAlign w:val="top"/>
          </w:tcPr>
          <w:p w14:paraId="5E3F30C1">
            <w:pPr>
              <w:pStyle w:val="55"/>
              <w:spacing w:before="102" w:line="189" w:lineRule="auto"/>
              <w:ind w:left="348"/>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2</w:t>
            </w:r>
          </w:p>
        </w:tc>
        <w:tc>
          <w:tcPr>
            <w:tcW w:w="8280" w:type="dxa"/>
            <w:vAlign w:val="top"/>
          </w:tcPr>
          <w:p w14:paraId="72C3DDC6">
            <w:pPr>
              <w:pStyle w:val="55"/>
              <w:spacing w:before="69" w:line="228" w:lineRule="auto"/>
              <w:ind w:left="101"/>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对同一项目投标时，不得提供两套以上的投标方案（招标文件另有规定的除外）；</w:t>
            </w:r>
          </w:p>
        </w:tc>
      </w:tr>
      <w:tr w14:paraId="6768C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802" w:type="dxa"/>
            <w:vAlign w:val="top"/>
          </w:tcPr>
          <w:p w14:paraId="6804D6F0">
            <w:pPr>
              <w:pStyle w:val="55"/>
              <w:spacing w:before="104" w:line="189" w:lineRule="auto"/>
              <w:ind w:left="349"/>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3</w:t>
            </w:r>
          </w:p>
        </w:tc>
        <w:tc>
          <w:tcPr>
            <w:tcW w:w="8280" w:type="dxa"/>
            <w:vAlign w:val="top"/>
          </w:tcPr>
          <w:p w14:paraId="3B0D41A8">
            <w:pPr>
              <w:pStyle w:val="55"/>
              <w:spacing w:before="72" w:line="227" w:lineRule="auto"/>
              <w:ind w:left="105"/>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分项报价或投标总价不得高于相应预算金额（或设定的预算金额下的最高限价）；</w:t>
            </w:r>
          </w:p>
        </w:tc>
      </w:tr>
      <w:tr w14:paraId="261FC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99" w:hRule="atLeast"/>
          <w:jc w:val="center"/>
        </w:trPr>
        <w:tc>
          <w:tcPr>
            <w:tcW w:w="802" w:type="dxa"/>
            <w:vAlign w:val="top"/>
          </w:tcPr>
          <w:p w14:paraId="750D3966">
            <w:pPr>
              <w:spacing w:line="330" w:lineRule="auto"/>
              <w:rPr>
                <w:rFonts w:hint="eastAsia" w:ascii="宋体" w:hAnsi="宋体" w:eastAsia="宋体" w:cs="宋体"/>
                <w:sz w:val="22"/>
                <w:szCs w:val="22"/>
                <w:highlight w:val="none"/>
                <w:lang w:val="en-US" w:eastAsia="zh-CN" w:bidi="ar-SA"/>
              </w:rPr>
            </w:pPr>
          </w:p>
          <w:p w14:paraId="6E9A150D">
            <w:pPr>
              <w:spacing w:line="331" w:lineRule="auto"/>
              <w:rPr>
                <w:rFonts w:hint="eastAsia" w:ascii="宋体" w:hAnsi="宋体" w:eastAsia="宋体" w:cs="宋体"/>
                <w:sz w:val="22"/>
                <w:szCs w:val="22"/>
                <w:highlight w:val="none"/>
                <w:lang w:val="en-US" w:eastAsia="zh-CN" w:bidi="ar-SA"/>
              </w:rPr>
            </w:pPr>
          </w:p>
          <w:p w14:paraId="24F211CC">
            <w:pPr>
              <w:pStyle w:val="55"/>
              <w:spacing w:before="65" w:line="189" w:lineRule="auto"/>
              <w:ind w:left="344"/>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4</w:t>
            </w:r>
          </w:p>
        </w:tc>
        <w:tc>
          <w:tcPr>
            <w:tcW w:w="8280" w:type="dxa"/>
            <w:vAlign w:val="top"/>
          </w:tcPr>
          <w:p w14:paraId="7DA5E3AC">
            <w:pPr>
              <w:pStyle w:val="55"/>
              <w:spacing w:before="72" w:line="280" w:lineRule="auto"/>
              <w:ind w:left="101" w:right="192"/>
              <w:jc w:val="both"/>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 成员对投标人提供的说明材料判断不一致的，按照“少数服从多数 ”的原则确定评审委 员会的意见）；</w:t>
            </w:r>
          </w:p>
        </w:tc>
      </w:tr>
      <w:tr w14:paraId="743D9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02" w:type="dxa"/>
            <w:vAlign w:val="top"/>
          </w:tcPr>
          <w:p w14:paraId="672455C8">
            <w:pPr>
              <w:pStyle w:val="55"/>
              <w:spacing w:before="115" w:line="187" w:lineRule="auto"/>
              <w:ind w:left="349"/>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5</w:t>
            </w:r>
          </w:p>
        </w:tc>
        <w:tc>
          <w:tcPr>
            <w:tcW w:w="8280" w:type="dxa"/>
            <w:shd w:val="clear" w:color="auto" w:fill="auto"/>
            <w:vAlign w:val="top"/>
          </w:tcPr>
          <w:p w14:paraId="0619BED9">
            <w:pPr>
              <w:widowControl/>
              <w:jc w:val="left"/>
              <w:textAlignment w:val="top"/>
              <w:rPr>
                <w:rFonts w:hint="eastAsia" w:ascii="Times New Roman" w:hAnsi="Times New Roman" w:eastAsia="Times New Roman" w:cs="Times New Roman"/>
                <w:sz w:val="24"/>
                <w:szCs w:val="21"/>
                <w:lang w:val="en-US" w:eastAsia="zh-CN" w:bidi="ar-SA"/>
              </w:rPr>
            </w:pPr>
            <w:r>
              <w:rPr>
                <w:rFonts w:hint="eastAsia" w:ascii="宋体" w:hAnsi="宋体" w:eastAsia="宋体" w:cs="宋体"/>
                <w:sz w:val="22"/>
                <w:szCs w:val="22"/>
                <w:highlight w:val="none"/>
                <w:lang w:val="en-US" w:eastAsia="zh-CN" w:bidi="ar-SA"/>
              </w:rPr>
              <w:t>所投工程、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62AD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02" w:type="dxa"/>
            <w:vAlign w:val="top"/>
          </w:tcPr>
          <w:p w14:paraId="7C7DB9C6">
            <w:pPr>
              <w:pStyle w:val="55"/>
              <w:spacing w:before="257" w:line="189" w:lineRule="auto"/>
              <w:ind w:left="347"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6</w:t>
            </w:r>
          </w:p>
        </w:tc>
        <w:tc>
          <w:tcPr>
            <w:tcW w:w="8280" w:type="dxa"/>
            <w:vAlign w:val="top"/>
          </w:tcPr>
          <w:p w14:paraId="0D58A8B5">
            <w:pPr>
              <w:pStyle w:val="55"/>
              <w:spacing w:before="68" w:line="271" w:lineRule="auto"/>
              <w:ind w:left="106" w:leftChars="0" w:right="192" w:righ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未按招标文件所提供的样式填写《投标函》；未按招标文件所提供的《龙华区教育局自行采购投标及履约承诺函》进行承诺；未按招标文件对投标文件组成的要求提供投标文件；</w:t>
            </w:r>
          </w:p>
        </w:tc>
      </w:tr>
      <w:tr w14:paraId="6A5CA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02" w:type="dxa"/>
            <w:vAlign w:val="top"/>
          </w:tcPr>
          <w:p w14:paraId="26CE3135">
            <w:pPr>
              <w:spacing w:before="270" w:line="184" w:lineRule="auto"/>
              <w:ind w:left="347"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7</w:t>
            </w:r>
          </w:p>
        </w:tc>
        <w:tc>
          <w:tcPr>
            <w:tcW w:w="8280" w:type="dxa"/>
            <w:vAlign w:val="top"/>
          </w:tcPr>
          <w:p w14:paraId="40844F7D">
            <w:pPr>
              <w:pStyle w:val="55"/>
              <w:spacing w:before="64" w:line="261" w:lineRule="auto"/>
              <w:ind w:left="106" w:leftChars="0" w:right="159" w:rightChars="0" w:hanging="5" w:firstLine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采购标的/所投产品/货物清单/报价等任意一类有缺漏项或响应不全，或者对招标文件规定的项目需求内容或者需求数量进行修改，评审委员会判定投标响应不满足采购需求；</w:t>
            </w:r>
          </w:p>
        </w:tc>
      </w:tr>
      <w:tr w14:paraId="57704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02" w:type="dxa"/>
            <w:vAlign w:val="top"/>
          </w:tcPr>
          <w:p w14:paraId="4207ED7E">
            <w:pPr>
              <w:pStyle w:val="55"/>
              <w:spacing w:before="107" w:line="189" w:lineRule="auto"/>
              <w:ind w:left="346"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8</w:t>
            </w:r>
          </w:p>
        </w:tc>
        <w:tc>
          <w:tcPr>
            <w:tcW w:w="8280" w:type="dxa"/>
            <w:vAlign w:val="top"/>
          </w:tcPr>
          <w:p w14:paraId="2A4A205F">
            <w:pPr>
              <w:pStyle w:val="55"/>
              <w:spacing w:before="74" w:line="228" w:lineRule="auto"/>
              <w:ind w:left="105"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投标文件存在列放位置错误，导致属于信息公开情形的没有被公开；</w:t>
            </w:r>
          </w:p>
        </w:tc>
      </w:tr>
      <w:tr w14:paraId="4B715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02" w:type="dxa"/>
            <w:vAlign w:val="top"/>
          </w:tcPr>
          <w:p w14:paraId="4585E99E">
            <w:pPr>
              <w:pStyle w:val="55"/>
              <w:spacing w:before="108" w:line="189" w:lineRule="auto"/>
              <w:ind w:left="346"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9</w:t>
            </w:r>
          </w:p>
        </w:tc>
        <w:tc>
          <w:tcPr>
            <w:tcW w:w="8280" w:type="dxa"/>
            <w:vAlign w:val="top"/>
          </w:tcPr>
          <w:p w14:paraId="0F912757">
            <w:pPr>
              <w:pStyle w:val="55"/>
              <w:spacing w:before="75" w:line="228" w:lineRule="auto"/>
              <w:ind w:left="105"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投标文件电子文档不得带病毒；</w:t>
            </w:r>
          </w:p>
        </w:tc>
      </w:tr>
      <w:tr w14:paraId="7B569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02" w:type="dxa"/>
            <w:vAlign w:val="top"/>
          </w:tcPr>
          <w:p w14:paraId="7EDF8B89">
            <w:pPr>
              <w:pStyle w:val="55"/>
              <w:spacing w:before="107" w:line="190" w:lineRule="auto"/>
              <w:ind w:left="310"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10</w:t>
            </w:r>
          </w:p>
        </w:tc>
        <w:tc>
          <w:tcPr>
            <w:tcW w:w="8280" w:type="dxa"/>
            <w:vAlign w:val="top"/>
          </w:tcPr>
          <w:p w14:paraId="5F66C4A0">
            <w:pPr>
              <w:pStyle w:val="55"/>
              <w:spacing w:before="75" w:line="228" w:lineRule="auto"/>
              <w:ind w:left="105"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投标文件用不属于本公司的电子密钥或电子营业执照进行加密的；</w:t>
            </w:r>
          </w:p>
        </w:tc>
      </w:tr>
      <w:tr w14:paraId="208AC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02" w:type="dxa"/>
            <w:vAlign w:val="top"/>
          </w:tcPr>
          <w:p w14:paraId="5EA0DB36">
            <w:pPr>
              <w:spacing w:before="119" w:line="185" w:lineRule="auto"/>
              <w:ind w:left="302"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11</w:t>
            </w:r>
          </w:p>
        </w:tc>
        <w:tc>
          <w:tcPr>
            <w:tcW w:w="8280" w:type="dxa"/>
            <w:vAlign w:val="top"/>
          </w:tcPr>
          <w:p w14:paraId="1C9A6A31">
            <w:pPr>
              <w:pStyle w:val="55"/>
              <w:spacing w:before="76" w:line="228" w:lineRule="auto"/>
              <w:ind w:left="106"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不同投标供应商投标文件“文件制作机器码 ”一致；</w:t>
            </w:r>
          </w:p>
        </w:tc>
      </w:tr>
      <w:tr w14:paraId="57A54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02" w:type="dxa"/>
            <w:vAlign w:val="top"/>
          </w:tcPr>
          <w:p w14:paraId="313DA201">
            <w:pPr>
              <w:spacing w:before="118" w:line="187" w:lineRule="auto"/>
              <w:ind w:left="302"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12</w:t>
            </w:r>
          </w:p>
        </w:tc>
        <w:tc>
          <w:tcPr>
            <w:tcW w:w="8280" w:type="dxa"/>
            <w:vAlign w:val="top"/>
          </w:tcPr>
          <w:p w14:paraId="498FDA9E">
            <w:pPr>
              <w:pStyle w:val="55"/>
              <w:spacing w:before="77" w:line="228" w:lineRule="auto"/>
              <w:ind w:left="106"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不同投标供应商投标文件“文件创建标识码 ”一致；</w:t>
            </w:r>
          </w:p>
        </w:tc>
      </w:tr>
      <w:tr w14:paraId="41C5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802" w:type="dxa"/>
            <w:vAlign w:val="top"/>
          </w:tcPr>
          <w:p w14:paraId="54AC44D3">
            <w:pPr>
              <w:pStyle w:val="55"/>
              <w:spacing w:before="110" w:line="190" w:lineRule="auto"/>
              <w:ind w:left="310"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13</w:t>
            </w:r>
          </w:p>
        </w:tc>
        <w:tc>
          <w:tcPr>
            <w:tcW w:w="8280" w:type="dxa"/>
            <w:vAlign w:val="top"/>
          </w:tcPr>
          <w:p w14:paraId="15E15F80">
            <w:pPr>
              <w:pStyle w:val="55"/>
              <w:spacing w:before="78" w:line="228" w:lineRule="auto"/>
              <w:ind w:left="103" w:left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法律、法规、规章、规范性文件规定的其他情形。</w:t>
            </w:r>
          </w:p>
        </w:tc>
      </w:tr>
    </w:tbl>
    <w:p w14:paraId="75A44353">
      <w:pPr>
        <w:rPr>
          <w:rFonts w:hint="eastAsia" w:ascii="宋体" w:hAnsi="宋体" w:eastAsia="宋体" w:cs="宋体"/>
          <w:sz w:val="44"/>
          <w:szCs w:val="56"/>
          <w:highlight w:val="none"/>
        </w:rPr>
      </w:pPr>
      <w:r>
        <w:rPr>
          <w:rFonts w:hint="eastAsia" w:ascii="宋体" w:hAnsi="宋体" w:eastAsia="宋体" w:cs="宋体"/>
          <w:sz w:val="44"/>
          <w:szCs w:val="56"/>
          <w:highlight w:val="none"/>
        </w:rPr>
        <w:br w:type="page"/>
      </w:r>
    </w:p>
    <w:p w14:paraId="1EC3D5CF">
      <w:pPr>
        <w:pStyle w:val="3"/>
        <w:rPr>
          <w:rFonts w:hint="eastAsia" w:ascii="宋体" w:hAnsi="宋体" w:eastAsia="宋体" w:cs="宋体"/>
          <w:sz w:val="44"/>
          <w:szCs w:val="56"/>
          <w:highlight w:val="none"/>
        </w:rPr>
      </w:pPr>
      <w:r>
        <w:rPr>
          <w:rFonts w:hint="eastAsia" w:ascii="宋体" w:hAnsi="宋体" w:eastAsia="宋体" w:cs="宋体"/>
          <w:sz w:val="44"/>
          <w:szCs w:val="56"/>
          <w:highlight w:val="none"/>
        </w:rPr>
        <w:t>评标信息</w:t>
      </w:r>
    </w:p>
    <w:tbl>
      <w:tblPr>
        <w:tblStyle w:val="18"/>
        <w:tblW w:w="9538" w:type="dxa"/>
        <w:jc w:val="center"/>
        <w:tblCellSpacing w:w="0" w:type="dxa"/>
        <w:tblLayout w:type="fixed"/>
        <w:tblCellMar>
          <w:top w:w="45" w:type="dxa"/>
          <w:left w:w="45" w:type="dxa"/>
          <w:bottom w:w="45" w:type="dxa"/>
          <w:right w:w="45" w:type="dxa"/>
        </w:tblCellMar>
      </w:tblPr>
      <w:tblGrid>
        <w:gridCol w:w="9538"/>
      </w:tblGrid>
      <w:tr w14:paraId="7F38DABF">
        <w:tblPrEx>
          <w:tblCellMar>
            <w:top w:w="45" w:type="dxa"/>
            <w:left w:w="45" w:type="dxa"/>
            <w:bottom w:w="45" w:type="dxa"/>
            <w:right w:w="45" w:type="dxa"/>
          </w:tblCellMar>
        </w:tblPrEx>
        <w:trPr>
          <w:trHeight w:val="90" w:hRule="atLeast"/>
          <w:tblCellSpacing w:w="0" w:type="dxa"/>
          <w:jc w:val="center"/>
        </w:trPr>
        <w:tc>
          <w:tcPr>
            <w:tcW w:w="9538" w:type="dxa"/>
            <w:tcBorders>
              <w:top w:val="nil"/>
              <w:left w:val="nil"/>
              <w:bottom w:val="nil"/>
              <w:right w:val="nil"/>
            </w:tcBorders>
            <w:vAlign w:val="center"/>
          </w:tcPr>
          <w:p w14:paraId="42FDFCE4">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评审及定标信息</w:t>
            </w:r>
          </w:p>
        </w:tc>
      </w:tr>
      <w:tr w14:paraId="6512A5E5">
        <w:tblPrEx>
          <w:tblCellMar>
            <w:top w:w="45" w:type="dxa"/>
            <w:left w:w="45" w:type="dxa"/>
            <w:bottom w:w="45" w:type="dxa"/>
            <w:right w:w="45" w:type="dxa"/>
          </w:tblCellMar>
        </w:tblPrEx>
        <w:trPr>
          <w:trHeight w:val="90" w:hRule="atLeast"/>
          <w:tblCellSpacing w:w="0" w:type="dxa"/>
          <w:jc w:val="center"/>
        </w:trPr>
        <w:tc>
          <w:tcPr>
            <w:tcW w:w="9538" w:type="dxa"/>
            <w:tcBorders>
              <w:top w:val="nil"/>
              <w:left w:val="nil"/>
              <w:bottom w:val="nil"/>
              <w:right w:val="nil"/>
            </w:tcBorders>
            <w:vAlign w:val="center"/>
          </w:tcPr>
          <w:p w14:paraId="11FED8C8">
            <w:pPr>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入围+定标方法：</w:t>
            </w:r>
            <w:r>
              <w:rPr>
                <w:rFonts w:hint="eastAsia" w:ascii="宋体" w:hAnsi="宋体" w:eastAsia="宋体" w:cs="宋体"/>
                <w:sz w:val="24"/>
                <w:szCs w:val="24"/>
                <w:highlight w:val="none"/>
              </w:rPr>
              <w:t>抽签+综合评审+ 自定法 ，根据投标人线上投标顺序号即为签号 ，在资格审查符合的投标供应商中随机抽选 5 家单位组织开展评审会，评审专家按照招标文件要求对投标供应商进行综合评审（资格审查通过不足 3 家需重新组织采购），评审委员会按照采购文件要求进行综合评审,并按照综合得分依次推选 3 家入围候选人。采购人根据评审结果按照内控制度选取一家中标人。</w:t>
            </w:r>
          </w:p>
        </w:tc>
      </w:tr>
      <w:tr w14:paraId="159D5F4D">
        <w:tblPrEx>
          <w:tblCellMar>
            <w:top w:w="45" w:type="dxa"/>
            <w:left w:w="45" w:type="dxa"/>
            <w:bottom w:w="45" w:type="dxa"/>
            <w:right w:w="45" w:type="dxa"/>
          </w:tblCellMar>
        </w:tblPrEx>
        <w:trPr>
          <w:trHeight w:val="111" w:hRule="atLeast"/>
          <w:tblCellSpacing w:w="0" w:type="dxa"/>
          <w:jc w:val="center"/>
        </w:trPr>
        <w:tc>
          <w:tcPr>
            <w:tcW w:w="9538" w:type="dxa"/>
            <w:tcBorders>
              <w:top w:val="nil"/>
              <w:left w:val="nil"/>
              <w:bottom w:val="nil"/>
              <w:right w:val="nil"/>
            </w:tcBorders>
            <w:vAlign w:val="center"/>
          </w:tcPr>
          <w:tbl>
            <w:tblPr>
              <w:tblStyle w:val="18"/>
              <w:tblpPr w:leftFromText="180" w:rightFromText="180" w:vertAnchor="text" w:tblpXSpec="center" w:tblpY="1"/>
              <w:tblOverlap w:val="never"/>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13"/>
              <w:gridCol w:w="1319"/>
              <w:gridCol w:w="1268"/>
              <w:gridCol w:w="5179"/>
            </w:tblGrid>
            <w:tr w14:paraId="1432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noWrap w:val="0"/>
                  <w:vAlign w:val="center"/>
                </w:tcPr>
                <w:p w14:paraId="7541B450">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3309" w:type="dxa"/>
                  <w:gridSpan w:val="4"/>
                  <w:noWrap w:val="0"/>
                  <w:vAlign w:val="center"/>
                </w:tcPr>
                <w:p w14:paraId="7CBF18C3">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评分项</w:t>
                  </w:r>
                </w:p>
              </w:tc>
              <w:tc>
                <w:tcPr>
                  <w:tcW w:w="5179" w:type="dxa"/>
                  <w:noWrap w:val="0"/>
                  <w:vAlign w:val="center"/>
                </w:tcPr>
                <w:p w14:paraId="58E59A90">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权重</w:t>
                  </w:r>
                </w:p>
              </w:tc>
            </w:tr>
            <w:tr w14:paraId="34E4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92" w:type="dxa"/>
                  <w:noWrap w:val="0"/>
                  <w:vAlign w:val="center"/>
                </w:tcPr>
                <w:p w14:paraId="4C0903AB">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w:t>
                  </w:r>
                </w:p>
              </w:tc>
              <w:tc>
                <w:tcPr>
                  <w:tcW w:w="3309" w:type="dxa"/>
                  <w:gridSpan w:val="4"/>
                  <w:noWrap w:val="0"/>
                  <w:vAlign w:val="center"/>
                </w:tcPr>
                <w:p w14:paraId="67050CF7">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价格</w:t>
                  </w:r>
                </w:p>
              </w:tc>
              <w:tc>
                <w:tcPr>
                  <w:tcW w:w="5179" w:type="dxa"/>
                  <w:noWrap w:val="0"/>
                  <w:vAlign w:val="center"/>
                </w:tcPr>
                <w:p w14:paraId="5604E6FF">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w:t>
                  </w:r>
                </w:p>
              </w:tc>
            </w:tr>
            <w:tr w14:paraId="2C18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92" w:type="dxa"/>
                  <w:noWrap w:val="0"/>
                  <w:vAlign w:val="center"/>
                </w:tcPr>
                <w:p w14:paraId="2A142B1F">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w:t>
                  </w:r>
                </w:p>
              </w:tc>
              <w:tc>
                <w:tcPr>
                  <w:tcW w:w="3309" w:type="dxa"/>
                  <w:gridSpan w:val="4"/>
                  <w:noWrap w:val="0"/>
                  <w:vAlign w:val="center"/>
                </w:tcPr>
                <w:p w14:paraId="04BCD4CE">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技术评分部分</w:t>
                  </w:r>
                </w:p>
              </w:tc>
              <w:tc>
                <w:tcPr>
                  <w:tcW w:w="5179" w:type="dxa"/>
                  <w:noWrap w:val="0"/>
                  <w:vAlign w:val="center"/>
                </w:tcPr>
                <w:p w14:paraId="071F4B14">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20</w:t>
                  </w:r>
                </w:p>
              </w:tc>
            </w:tr>
            <w:tr w14:paraId="7EE7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2" w:type="dxa"/>
                  <w:vMerge w:val="restart"/>
                  <w:noWrap w:val="0"/>
                  <w:vAlign w:val="center"/>
                </w:tcPr>
                <w:p w14:paraId="5A4305C0">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rPr>
                  </w:pPr>
                </w:p>
              </w:tc>
              <w:tc>
                <w:tcPr>
                  <w:tcW w:w="709" w:type="dxa"/>
                  <w:noWrap w:val="0"/>
                  <w:vAlign w:val="center"/>
                </w:tcPr>
                <w:p w14:paraId="637311FF">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332" w:type="dxa"/>
                  <w:gridSpan w:val="2"/>
                  <w:noWrap w:val="0"/>
                  <w:vAlign w:val="center"/>
                </w:tcPr>
                <w:p w14:paraId="5D484438">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评分因素</w:t>
                  </w:r>
                </w:p>
              </w:tc>
              <w:tc>
                <w:tcPr>
                  <w:tcW w:w="1268" w:type="dxa"/>
                  <w:noWrap w:val="0"/>
                  <w:vAlign w:val="center"/>
                </w:tcPr>
                <w:p w14:paraId="2273CB2B">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权重(%)</w:t>
                  </w:r>
                </w:p>
              </w:tc>
              <w:tc>
                <w:tcPr>
                  <w:tcW w:w="5179" w:type="dxa"/>
                  <w:noWrap w:val="0"/>
                  <w:vAlign w:val="center"/>
                </w:tcPr>
                <w:p w14:paraId="0CF95BAD">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评分准则</w:t>
                  </w:r>
                </w:p>
              </w:tc>
            </w:tr>
            <w:tr w14:paraId="5590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667705B0">
                  <w:pPr>
                    <w:keepNext/>
                    <w:keepLines/>
                    <w:pageBreakBefore w:val="0"/>
                    <w:widowControl/>
                    <w:kinsoku/>
                    <w:overflowPunct/>
                    <w:topLinePunct w:val="0"/>
                    <w:autoSpaceDE/>
                    <w:autoSpaceDN/>
                    <w:bidi w:val="0"/>
                    <w:spacing w:line="240" w:lineRule="auto"/>
                    <w:jc w:val="center"/>
                    <w:outlineLvl w:val="0"/>
                    <w:rPr>
                      <w:rFonts w:hint="eastAsia" w:ascii="宋体" w:hAnsi="宋体" w:eastAsia="宋体" w:cs="宋体"/>
                      <w:color w:val="auto"/>
                      <w:sz w:val="22"/>
                      <w:szCs w:val="22"/>
                      <w:highlight w:val="none"/>
                    </w:rPr>
                  </w:pPr>
                </w:p>
              </w:tc>
              <w:tc>
                <w:tcPr>
                  <w:tcW w:w="709" w:type="dxa"/>
                  <w:noWrap w:val="0"/>
                  <w:vAlign w:val="center"/>
                </w:tcPr>
                <w:p w14:paraId="0BC33C62">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32" w:type="dxa"/>
                  <w:gridSpan w:val="2"/>
                  <w:shd w:val="clear" w:color="auto" w:fill="auto"/>
                  <w:noWrap w:val="0"/>
                  <w:vAlign w:val="center"/>
                </w:tcPr>
                <w:p w14:paraId="2C4805B6">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技术保障措施</w:t>
                  </w:r>
                </w:p>
              </w:tc>
              <w:tc>
                <w:tcPr>
                  <w:tcW w:w="1268" w:type="dxa"/>
                  <w:shd w:val="clear" w:color="auto" w:fill="auto"/>
                  <w:noWrap w:val="0"/>
                  <w:vAlign w:val="center"/>
                </w:tcPr>
                <w:p w14:paraId="721A7BDA">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20</w:t>
                  </w:r>
                </w:p>
              </w:tc>
              <w:tc>
                <w:tcPr>
                  <w:tcW w:w="5179" w:type="dxa"/>
                  <w:shd w:val="clear" w:color="auto" w:fill="auto"/>
                  <w:noWrap w:val="0"/>
                  <w:vAlign w:val="center"/>
                </w:tcPr>
                <w:p w14:paraId="2D15F5E7">
                  <w:pPr>
                    <w:keepNext w:val="0"/>
                    <w:keepLines w:val="0"/>
                    <w:pageBreakBefore w:val="0"/>
                    <w:widowControl/>
                    <w:kinsoku/>
                    <w:wordWrap w:val="0"/>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（一）评分内容：</w:t>
                  </w:r>
                </w:p>
                <w:p w14:paraId="36CEC53D">
                  <w:pPr>
                    <w:keepNext w:val="0"/>
                    <w:keepLines w:val="0"/>
                    <w:pageBreakBefore w:val="0"/>
                    <w:widowControl/>
                    <w:kinsoku/>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在投标文件中详细说明保障措施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方案内容须包括：</w:t>
                  </w:r>
                </w:p>
                <w:p w14:paraId="33CB81ED">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425" w:firstLine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技术团队</w:t>
                  </w:r>
                  <w:r>
                    <w:rPr>
                      <w:rFonts w:hint="eastAsia" w:ascii="宋体" w:hAnsi="宋体" w:eastAsia="宋体" w:cs="宋体"/>
                      <w:color w:val="auto"/>
                      <w:sz w:val="22"/>
                      <w:szCs w:val="22"/>
                      <w:highlight w:val="none"/>
                      <w:lang w:eastAsia="zh-CN"/>
                    </w:rPr>
                    <w:t>及</w:t>
                  </w:r>
                  <w:r>
                    <w:rPr>
                      <w:rFonts w:hint="eastAsia" w:ascii="宋体" w:hAnsi="宋体" w:eastAsia="宋体" w:cs="宋体"/>
                      <w:color w:val="auto"/>
                      <w:sz w:val="22"/>
                      <w:szCs w:val="22"/>
                      <w:highlight w:val="none"/>
                    </w:rPr>
                    <w:t>技术人员</w:t>
                  </w:r>
                  <w:r>
                    <w:rPr>
                      <w:rFonts w:hint="eastAsia" w:ascii="宋体" w:hAnsi="宋体" w:eastAsia="宋体" w:cs="宋体"/>
                      <w:color w:val="auto"/>
                      <w:sz w:val="22"/>
                      <w:szCs w:val="22"/>
                      <w:highlight w:val="none"/>
                      <w:lang w:eastAsia="zh-CN"/>
                    </w:rPr>
                    <w:t>；</w:t>
                  </w:r>
                </w:p>
                <w:p w14:paraId="082DE714">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425"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技术方案</w:t>
                  </w:r>
                  <w:r>
                    <w:rPr>
                      <w:rFonts w:hint="eastAsia" w:ascii="宋体" w:hAnsi="宋体" w:eastAsia="宋体" w:cs="宋体"/>
                      <w:color w:val="auto"/>
                      <w:sz w:val="22"/>
                      <w:szCs w:val="22"/>
                      <w:highlight w:val="none"/>
                      <w:lang w:eastAsia="zh-CN"/>
                    </w:rPr>
                    <w:t>；</w:t>
                  </w:r>
                </w:p>
                <w:p w14:paraId="3195DCDD">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425"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场地</w:t>
                  </w:r>
                  <w:r>
                    <w:rPr>
                      <w:rFonts w:hint="eastAsia" w:ascii="宋体" w:hAnsi="宋体" w:eastAsia="宋体" w:cs="宋体"/>
                      <w:color w:val="auto"/>
                      <w:sz w:val="22"/>
                      <w:szCs w:val="22"/>
                      <w:highlight w:val="none"/>
                      <w:lang w:eastAsia="zh-CN"/>
                    </w:rPr>
                    <w:t>；</w:t>
                  </w:r>
                </w:p>
                <w:p w14:paraId="6815C60B">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425"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车辆</w:t>
                  </w:r>
                  <w:r>
                    <w:rPr>
                      <w:rFonts w:hint="eastAsia" w:ascii="宋体" w:hAnsi="宋体" w:eastAsia="宋体" w:cs="宋体"/>
                      <w:color w:val="auto"/>
                      <w:sz w:val="22"/>
                      <w:szCs w:val="22"/>
                      <w:highlight w:val="none"/>
                      <w:lang w:eastAsia="zh-CN"/>
                    </w:rPr>
                    <w:t>；</w:t>
                  </w:r>
                </w:p>
                <w:p w14:paraId="03BA68C3">
                  <w:pPr>
                    <w:keepNext w:val="0"/>
                    <w:keepLines w:val="0"/>
                    <w:pageBreakBefore w:val="0"/>
                    <w:widowControl/>
                    <w:kinsoku/>
                    <w:wordWrap w:val="0"/>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val="en-US" w:eastAsia="zh-CN" w:bidi="ar"/>
                    </w:rPr>
                    <w:t>二</w:t>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bidi="ar"/>
                    </w:rPr>
                    <w:t>评分依据：</w:t>
                  </w:r>
                </w:p>
                <w:p w14:paraId="066C2E75">
                  <w:pPr>
                    <w:keepNext w:val="0"/>
                    <w:keepLines w:val="0"/>
                    <w:pageBreakBefore w:val="0"/>
                    <w:widowControl/>
                    <w:numPr>
                      <w:ilvl w:val="0"/>
                      <w:numId w:val="0"/>
                    </w:numPr>
                    <w:kinsoku/>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每满足以上任意一点得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分，全部满足得</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分，其他情况不得分</w:t>
                  </w:r>
                  <w:r>
                    <w:rPr>
                      <w:rFonts w:hint="eastAsia" w:ascii="宋体" w:hAnsi="宋体" w:eastAsia="宋体" w:cs="宋体"/>
                      <w:color w:val="auto"/>
                      <w:sz w:val="22"/>
                      <w:szCs w:val="22"/>
                      <w:highlight w:val="none"/>
                      <w:lang w:eastAsia="zh-CN"/>
                    </w:rPr>
                    <w:t>；</w:t>
                  </w:r>
                </w:p>
                <w:p w14:paraId="4F51B16A">
                  <w:pPr>
                    <w:keepNext w:val="0"/>
                    <w:keepLines w:val="0"/>
                    <w:pageBreakBefore w:val="0"/>
                    <w:widowControl/>
                    <w:numPr>
                      <w:ilvl w:val="0"/>
                      <w:numId w:val="0"/>
                    </w:numPr>
                    <w:kinsoku/>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2、在此基础上，评审委员会根据各投标人的具体响应情况按照以下评审标准进一步评审</w:t>
                  </w:r>
                  <w:r>
                    <w:rPr>
                      <w:rFonts w:hint="eastAsia" w:ascii="宋体" w:hAnsi="宋体" w:eastAsia="宋体" w:cs="宋体"/>
                      <w:color w:val="auto"/>
                      <w:sz w:val="22"/>
                      <w:szCs w:val="22"/>
                      <w:highlight w:val="none"/>
                      <w:lang w:eastAsia="zh-CN"/>
                    </w:rPr>
                    <w:t>；</w:t>
                  </w:r>
                </w:p>
                <w:p w14:paraId="4E9CFFF6">
                  <w:pPr>
                    <w:keepNext w:val="0"/>
                    <w:keepLines w:val="0"/>
                    <w:pageBreakBefore w:val="0"/>
                    <w:widowControl/>
                    <w:numPr>
                      <w:ilvl w:val="0"/>
                      <w:numId w:val="0"/>
                    </w:numPr>
                    <w:kinsoku/>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评审为优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技术保障措施契合项目需求、售后服务保障及时、内容具体详细、可操作性强评价为优</w:t>
                  </w:r>
                  <w:r>
                    <w:rPr>
                      <w:rFonts w:hint="eastAsia" w:ascii="宋体" w:hAnsi="宋体" w:eastAsia="宋体" w:cs="宋体"/>
                      <w:color w:val="auto"/>
                      <w:sz w:val="22"/>
                      <w:szCs w:val="22"/>
                      <w:highlight w:val="none"/>
                      <w:lang w:eastAsia="zh-CN"/>
                    </w:rPr>
                    <w:t>的加</w:t>
                  </w:r>
                  <w:r>
                    <w:rPr>
                      <w:rFonts w:hint="eastAsia" w:ascii="宋体" w:hAnsi="宋体" w:eastAsia="宋体" w:cs="宋体"/>
                      <w:color w:val="auto"/>
                      <w:sz w:val="22"/>
                      <w:szCs w:val="22"/>
                      <w:highlight w:val="none"/>
                      <w:lang w:val="en-US" w:eastAsia="zh-CN"/>
                    </w:rPr>
                    <w:t>80分</w:t>
                  </w:r>
                  <w:r>
                    <w:rPr>
                      <w:rFonts w:hint="eastAsia" w:ascii="宋体" w:hAnsi="宋体" w:eastAsia="宋体" w:cs="宋体"/>
                      <w:color w:val="auto"/>
                      <w:sz w:val="22"/>
                      <w:szCs w:val="22"/>
                      <w:highlight w:val="none"/>
                      <w:lang w:eastAsia="zh-CN"/>
                    </w:rPr>
                    <w:t>；</w:t>
                  </w:r>
                </w:p>
                <w:p w14:paraId="35E2E76A">
                  <w:pPr>
                    <w:keepNext w:val="0"/>
                    <w:keepLines w:val="0"/>
                    <w:pageBreakBefore w:val="0"/>
                    <w:widowControl/>
                    <w:numPr>
                      <w:ilvl w:val="0"/>
                      <w:numId w:val="0"/>
                    </w:numPr>
                    <w:kinsoku/>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评审为良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技术保障措施较契合项目需求、售后服务保障较及时、内容较具体详细、可操作性较强评价为良</w:t>
                  </w:r>
                  <w:r>
                    <w:rPr>
                      <w:rFonts w:hint="eastAsia" w:ascii="宋体" w:hAnsi="宋体" w:eastAsia="宋体" w:cs="宋体"/>
                      <w:color w:val="auto"/>
                      <w:sz w:val="22"/>
                      <w:szCs w:val="22"/>
                      <w:highlight w:val="none"/>
                      <w:lang w:eastAsia="zh-CN"/>
                    </w:rPr>
                    <w:t>的加</w:t>
                  </w:r>
                  <w:r>
                    <w:rPr>
                      <w:rFonts w:hint="eastAsia" w:ascii="宋体" w:hAnsi="宋体" w:eastAsia="宋体" w:cs="宋体"/>
                      <w:color w:val="auto"/>
                      <w:sz w:val="22"/>
                      <w:szCs w:val="22"/>
                      <w:highlight w:val="none"/>
                      <w:lang w:val="en-US" w:eastAsia="zh-CN"/>
                    </w:rPr>
                    <w:t>40分</w:t>
                  </w:r>
                  <w:r>
                    <w:rPr>
                      <w:rFonts w:hint="eastAsia" w:ascii="宋体" w:hAnsi="宋体" w:eastAsia="宋体" w:cs="宋体"/>
                      <w:color w:val="auto"/>
                      <w:sz w:val="22"/>
                      <w:szCs w:val="22"/>
                      <w:highlight w:val="none"/>
                      <w:lang w:eastAsia="zh-CN"/>
                    </w:rPr>
                    <w:t>；</w:t>
                  </w:r>
                </w:p>
                <w:p w14:paraId="32DF6CF7">
                  <w:pPr>
                    <w:keepNext w:val="0"/>
                    <w:keepLines w:val="0"/>
                    <w:pageBreakBefore w:val="0"/>
                    <w:widowControl/>
                    <w:numPr>
                      <w:ilvl w:val="0"/>
                      <w:numId w:val="0"/>
                    </w:numPr>
                    <w:kinsoku/>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评审为中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技术保障措施基本满足项目需求、有相应售后服务保障举措、内容不全面、可操作性一般评价为中</w:t>
                  </w:r>
                  <w:r>
                    <w:rPr>
                      <w:rFonts w:hint="eastAsia" w:ascii="宋体" w:hAnsi="宋体" w:eastAsia="宋体" w:cs="宋体"/>
                      <w:color w:val="auto"/>
                      <w:sz w:val="22"/>
                      <w:szCs w:val="22"/>
                      <w:highlight w:val="none"/>
                      <w:lang w:eastAsia="zh-CN"/>
                    </w:rPr>
                    <w:t>的加</w:t>
                  </w:r>
                  <w:r>
                    <w:rPr>
                      <w:rFonts w:hint="eastAsia" w:ascii="宋体" w:hAnsi="宋体" w:eastAsia="宋体" w:cs="宋体"/>
                      <w:color w:val="auto"/>
                      <w:sz w:val="22"/>
                      <w:szCs w:val="22"/>
                      <w:highlight w:val="none"/>
                      <w:lang w:val="en-US" w:eastAsia="zh-CN"/>
                    </w:rPr>
                    <w:t>20分</w:t>
                  </w:r>
                  <w:r>
                    <w:rPr>
                      <w:rFonts w:hint="eastAsia" w:ascii="宋体" w:hAnsi="宋体" w:eastAsia="宋体" w:cs="宋体"/>
                      <w:color w:val="auto"/>
                      <w:sz w:val="22"/>
                      <w:szCs w:val="22"/>
                      <w:highlight w:val="none"/>
                      <w:lang w:eastAsia="zh-CN"/>
                    </w:rPr>
                    <w:t>；</w:t>
                  </w:r>
                </w:p>
                <w:p w14:paraId="583BFD67">
                  <w:pPr>
                    <w:keepNext w:val="0"/>
                    <w:keepLines w:val="0"/>
                    <w:pageBreakBefore w:val="0"/>
                    <w:widowControl/>
                    <w:numPr>
                      <w:ilvl w:val="0"/>
                      <w:numId w:val="0"/>
                    </w:numPr>
                    <w:kinsoku/>
                    <w:overflowPunct/>
                    <w:topLinePunct w:val="0"/>
                    <w:autoSpaceDE/>
                    <w:autoSpaceDN/>
                    <w:bidi w:val="0"/>
                    <w:adjustRightInd/>
                    <w:snapToGrid/>
                    <w:spacing w:line="240" w:lineRule="auto"/>
                    <w:ind w:left="0" w:leftChars="0" w:firstLine="440" w:firstLineChars="200"/>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上述情况之外的评价为差</w:t>
                  </w:r>
                  <w:r>
                    <w:rPr>
                      <w:rFonts w:hint="eastAsia" w:ascii="宋体" w:hAnsi="宋体" w:eastAsia="宋体" w:cs="宋体"/>
                      <w:color w:val="auto"/>
                      <w:sz w:val="22"/>
                      <w:szCs w:val="22"/>
                      <w:highlight w:val="none"/>
                      <w:lang w:eastAsia="zh-CN"/>
                    </w:rPr>
                    <w:t>的不加分</w:t>
                  </w:r>
                  <w:r>
                    <w:rPr>
                      <w:rFonts w:hint="eastAsia" w:ascii="宋体" w:hAnsi="宋体" w:eastAsia="宋体" w:cs="宋体"/>
                      <w:color w:val="auto"/>
                      <w:sz w:val="22"/>
                      <w:szCs w:val="22"/>
                      <w:highlight w:val="none"/>
                    </w:rPr>
                    <w:t>。</w:t>
                  </w:r>
                </w:p>
              </w:tc>
            </w:tr>
            <w:tr w14:paraId="1B56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noWrap w:val="0"/>
                  <w:vAlign w:val="center"/>
                </w:tcPr>
                <w:p w14:paraId="26751ADD">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w:t>
                  </w:r>
                </w:p>
              </w:tc>
              <w:tc>
                <w:tcPr>
                  <w:tcW w:w="3309" w:type="dxa"/>
                  <w:gridSpan w:val="4"/>
                  <w:noWrap w:val="0"/>
                  <w:vAlign w:val="center"/>
                </w:tcPr>
                <w:p w14:paraId="25920C19">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商务评分部分</w:t>
                  </w:r>
                </w:p>
              </w:tc>
              <w:tc>
                <w:tcPr>
                  <w:tcW w:w="5179" w:type="dxa"/>
                  <w:noWrap w:val="0"/>
                  <w:vAlign w:val="center"/>
                </w:tcPr>
                <w:p w14:paraId="07987DB5">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80</w:t>
                  </w:r>
                </w:p>
              </w:tc>
            </w:tr>
            <w:tr w14:paraId="039D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2" w:type="dxa"/>
                  <w:vMerge w:val="restart"/>
                  <w:noWrap w:val="0"/>
                  <w:vAlign w:val="center"/>
                </w:tcPr>
                <w:p w14:paraId="6A5A1B2E">
                  <w:pPr>
                    <w:keepNext/>
                    <w:keepLines/>
                    <w:pageBreakBefore w:val="0"/>
                    <w:widowControl/>
                    <w:kinsoku/>
                    <w:overflowPunct/>
                    <w:topLinePunct w:val="0"/>
                    <w:autoSpaceDE/>
                    <w:autoSpaceDN/>
                    <w:bidi w:val="0"/>
                    <w:spacing w:line="240" w:lineRule="auto"/>
                    <w:jc w:val="center"/>
                    <w:outlineLvl w:val="0"/>
                    <w:rPr>
                      <w:rFonts w:hint="eastAsia" w:ascii="宋体" w:hAnsi="宋体" w:eastAsia="宋体" w:cs="宋体"/>
                      <w:color w:val="auto"/>
                      <w:sz w:val="22"/>
                      <w:szCs w:val="22"/>
                      <w:highlight w:val="none"/>
                    </w:rPr>
                  </w:pPr>
                </w:p>
              </w:tc>
              <w:tc>
                <w:tcPr>
                  <w:tcW w:w="722" w:type="dxa"/>
                  <w:gridSpan w:val="2"/>
                  <w:noWrap w:val="0"/>
                  <w:vAlign w:val="center"/>
                </w:tcPr>
                <w:p w14:paraId="1A9A0846">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319" w:type="dxa"/>
                  <w:noWrap w:val="0"/>
                  <w:vAlign w:val="center"/>
                </w:tcPr>
                <w:p w14:paraId="638F3AD4">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评分因素</w:t>
                  </w:r>
                </w:p>
              </w:tc>
              <w:tc>
                <w:tcPr>
                  <w:tcW w:w="1268" w:type="dxa"/>
                  <w:noWrap w:val="0"/>
                  <w:vAlign w:val="center"/>
                </w:tcPr>
                <w:p w14:paraId="3B3CDC3C">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权重</w:t>
                  </w:r>
                </w:p>
              </w:tc>
              <w:tc>
                <w:tcPr>
                  <w:tcW w:w="5179" w:type="dxa"/>
                  <w:noWrap w:val="0"/>
                  <w:vAlign w:val="center"/>
                </w:tcPr>
                <w:p w14:paraId="1F9ED050">
                  <w:pPr>
                    <w:pageBreakBefore w:val="0"/>
                    <w:widowControl/>
                    <w:kinsoku/>
                    <w:overflowPunct/>
                    <w:topLinePunct w:val="0"/>
                    <w:autoSpaceDE/>
                    <w:autoSpaceDN/>
                    <w:bidi w:val="0"/>
                    <w:spacing w:line="24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评分准则</w:t>
                  </w:r>
                </w:p>
              </w:tc>
            </w:tr>
            <w:tr w14:paraId="785E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72BF4C34">
                  <w:pPr>
                    <w:keepNext/>
                    <w:keepLines/>
                    <w:pageBreakBefore w:val="0"/>
                    <w:widowControl/>
                    <w:kinsoku/>
                    <w:overflowPunct/>
                    <w:topLinePunct w:val="0"/>
                    <w:autoSpaceDE/>
                    <w:autoSpaceDN/>
                    <w:bidi w:val="0"/>
                    <w:spacing w:line="240" w:lineRule="auto"/>
                    <w:jc w:val="center"/>
                    <w:outlineLvl w:val="0"/>
                    <w:rPr>
                      <w:rFonts w:hint="eastAsia" w:ascii="宋体" w:hAnsi="宋体" w:eastAsia="宋体" w:cs="宋体"/>
                      <w:color w:val="auto"/>
                      <w:sz w:val="22"/>
                      <w:szCs w:val="22"/>
                      <w:highlight w:val="none"/>
                    </w:rPr>
                  </w:pPr>
                </w:p>
              </w:tc>
              <w:tc>
                <w:tcPr>
                  <w:tcW w:w="722" w:type="dxa"/>
                  <w:gridSpan w:val="2"/>
                  <w:shd w:val="clear" w:color="auto" w:fill="auto"/>
                  <w:noWrap w:val="0"/>
                  <w:vAlign w:val="center"/>
                </w:tcPr>
                <w:p w14:paraId="3FA45E6A">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1</w:t>
                  </w:r>
                </w:p>
              </w:tc>
              <w:tc>
                <w:tcPr>
                  <w:tcW w:w="1319" w:type="dxa"/>
                  <w:shd w:val="clear" w:color="auto" w:fill="auto"/>
                  <w:noWrap w:val="0"/>
                  <w:vAlign w:val="center"/>
                </w:tcPr>
                <w:p w14:paraId="58C7520F">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
                    </w:rPr>
                    <w:t>同类项目业绩</w:t>
                  </w:r>
                  <w:r>
                    <w:rPr>
                      <w:rFonts w:hint="eastAsia" w:ascii="宋体" w:hAnsi="宋体" w:eastAsia="宋体" w:cs="宋体"/>
                      <w:color w:val="auto"/>
                      <w:sz w:val="22"/>
                      <w:szCs w:val="22"/>
                      <w:highlight w:val="none"/>
                    </w:rPr>
                    <w:t>偏离情况</w:t>
                  </w:r>
                </w:p>
              </w:tc>
              <w:tc>
                <w:tcPr>
                  <w:tcW w:w="1268" w:type="dxa"/>
                  <w:shd w:val="clear" w:color="auto" w:fill="auto"/>
                  <w:noWrap w:val="0"/>
                  <w:vAlign w:val="center"/>
                </w:tcPr>
                <w:p w14:paraId="23A3DCD1">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15</w:t>
                  </w:r>
                </w:p>
              </w:tc>
              <w:tc>
                <w:tcPr>
                  <w:tcW w:w="5179" w:type="dxa"/>
                  <w:shd w:val="clear" w:color="auto" w:fill="auto"/>
                  <w:noWrap w:val="0"/>
                  <w:vAlign w:val="center"/>
                </w:tcPr>
                <w:p w14:paraId="4ACC0A75">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（一）评分内容：</w:t>
                  </w:r>
                </w:p>
                <w:p w14:paraId="4BD21507">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2023年1月1日至本项目响应截止日前，具有装饰装修已完工验收工程业绩（已验收项目以竣工验收报告或完工证明时间为准），每提供一项得50分，最高得100分。</w:t>
                  </w:r>
                </w:p>
                <w:p w14:paraId="3E0B4763">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（二）评分依据：</w:t>
                  </w:r>
                </w:p>
                <w:p w14:paraId="3AE856F6">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
                    </w:rPr>
                    <w:t>证明资料为中标通知书、合同关键页扫描件（关键页须体现工程造价、工程施工主要内容、合同签订时间），已验收的提供竣工验收报告或已完工证明（完工证明需至少有业主签字盖章确认），原件备查。未提供或未按要求提供或提供不清晰导致专家无法判断的均不得分。</w:t>
                  </w:r>
                </w:p>
              </w:tc>
            </w:tr>
            <w:tr w14:paraId="5F8E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jc w:val="center"/>
              </w:trPr>
              <w:tc>
                <w:tcPr>
                  <w:tcW w:w="392" w:type="dxa"/>
                  <w:vMerge w:val="continue"/>
                  <w:noWrap w:val="0"/>
                  <w:vAlign w:val="center"/>
                </w:tcPr>
                <w:p w14:paraId="4A271A57">
                  <w:pPr>
                    <w:keepNext/>
                    <w:keepLines/>
                    <w:pageBreakBefore w:val="0"/>
                    <w:widowControl/>
                    <w:kinsoku/>
                    <w:overflowPunct/>
                    <w:topLinePunct w:val="0"/>
                    <w:autoSpaceDE/>
                    <w:autoSpaceDN/>
                    <w:bidi w:val="0"/>
                    <w:spacing w:line="240" w:lineRule="auto"/>
                    <w:jc w:val="center"/>
                    <w:outlineLvl w:val="2"/>
                    <w:rPr>
                      <w:rFonts w:hint="eastAsia" w:ascii="宋体" w:hAnsi="宋体" w:eastAsia="宋体" w:cs="宋体"/>
                      <w:color w:val="auto"/>
                      <w:sz w:val="22"/>
                      <w:szCs w:val="22"/>
                      <w:highlight w:val="none"/>
                    </w:rPr>
                  </w:pPr>
                </w:p>
              </w:tc>
              <w:tc>
                <w:tcPr>
                  <w:tcW w:w="722" w:type="dxa"/>
                  <w:gridSpan w:val="2"/>
                  <w:shd w:val="clear" w:color="auto" w:fill="auto"/>
                  <w:noWrap w:val="0"/>
                  <w:vAlign w:val="center"/>
                </w:tcPr>
                <w:p w14:paraId="184C23CB">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2</w:t>
                  </w:r>
                </w:p>
              </w:tc>
              <w:tc>
                <w:tcPr>
                  <w:tcW w:w="1319" w:type="dxa"/>
                  <w:shd w:val="clear" w:color="auto" w:fill="auto"/>
                  <w:noWrap w:val="0"/>
                  <w:vAlign w:val="center"/>
                </w:tcPr>
                <w:p w14:paraId="07BDE22B">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
                    </w:rPr>
                    <w:t>履约评价</w:t>
                  </w:r>
                </w:p>
              </w:tc>
              <w:tc>
                <w:tcPr>
                  <w:tcW w:w="1268" w:type="dxa"/>
                  <w:shd w:val="clear" w:color="auto" w:fill="auto"/>
                  <w:noWrap w:val="0"/>
                  <w:vAlign w:val="center"/>
                </w:tcPr>
                <w:p w14:paraId="089BBF5A">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15</w:t>
                  </w:r>
                </w:p>
              </w:tc>
              <w:tc>
                <w:tcPr>
                  <w:tcW w:w="5179" w:type="dxa"/>
                  <w:shd w:val="clear" w:color="auto" w:fill="auto"/>
                  <w:noWrap w:val="0"/>
                  <w:vAlign w:val="center"/>
                </w:tcPr>
                <w:p w14:paraId="18CAE845">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（一）评分内容：</w:t>
                  </w:r>
                </w:p>
                <w:p w14:paraId="2C68F6CF">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2023年1月1日至本项目响应截止日前，投标人具有上述同类项目业绩并经服务单位履约评价评价为良好或以上的每提供1项得50分，本项最高得100分。</w:t>
                  </w:r>
                </w:p>
                <w:p w14:paraId="05E2B395">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（二）评分依据：</w:t>
                  </w:r>
                </w:p>
                <w:p w14:paraId="5797F180">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提供以上项目盖有用户单位公章的履约评价报告书扫描件，原件备查。</w:t>
                  </w:r>
                </w:p>
                <w:p w14:paraId="116EFE58">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未提供或未按要求提供或提供不清晰导致专家无法判断的均不得分。</w:t>
                  </w:r>
                </w:p>
              </w:tc>
            </w:tr>
            <w:tr w14:paraId="0D4D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4E16F16E">
                  <w:pPr>
                    <w:keepNext/>
                    <w:keepLines/>
                    <w:pageBreakBefore w:val="0"/>
                    <w:widowControl/>
                    <w:kinsoku/>
                    <w:overflowPunct/>
                    <w:topLinePunct w:val="0"/>
                    <w:autoSpaceDE/>
                    <w:autoSpaceDN/>
                    <w:bidi w:val="0"/>
                    <w:spacing w:line="240" w:lineRule="auto"/>
                    <w:jc w:val="center"/>
                    <w:outlineLvl w:val="2"/>
                    <w:rPr>
                      <w:rFonts w:hint="eastAsia" w:ascii="宋体" w:hAnsi="宋体" w:eastAsia="宋体" w:cs="宋体"/>
                      <w:color w:val="auto"/>
                      <w:sz w:val="22"/>
                      <w:szCs w:val="22"/>
                      <w:highlight w:val="none"/>
                    </w:rPr>
                  </w:pPr>
                </w:p>
              </w:tc>
              <w:tc>
                <w:tcPr>
                  <w:tcW w:w="722" w:type="dxa"/>
                  <w:gridSpan w:val="2"/>
                  <w:shd w:val="clear" w:color="auto" w:fill="auto"/>
                  <w:noWrap w:val="0"/>
                  <w:vAlign w:val="center"/>
                </w:tcPr>
                <w:p w14:paraId="4155234C">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3</w:t>
                  </w:r>
                </w:p>
              </w:tc>
              <w:tc>
                <w:tcPr>
                  <w:tcW w:w="1319" w:type="dxa"/>
                  <w:shd w:val="clear" w:color="auto" w:fill="auto"/>
                  <w:noWrap w:val="0"/>
                  <w:vAlign w:val="center"/>
                </w:tcPr>
                <w:p w14:paraId="67D25BAA">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拟派项目经理（仅限一名）</w:t>
                  </w:r>
                </w:p>
              </w:tc>
              <w:tc>
                <w:tcPr>
                  <w:tcW w:w="1268" w:type="dxa"/>
                  <w:shd w:val="clear" w:color="auto" w:fill="auto"/>
                  <w:noWrap w:val="0"/>
                  <w:vAlign w:val="center"/>
                </w:tcPr>
                <w:p w14:paraId="7623A38C">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15</w:t>
                  </w:r>
                </w:p>
              </w:tc>
              <w:tc>
                <w:tcPr>
                  <w:tcW w:w="5179" w:type="dxa"/>
                  <w:shd w:val="clear" w:color="auto" w:fill="auto"/>
                  <w:noWrap w:val="0"/>
                  <w:vAlign w:val="center"/>
                </w:tcPr>
                <w:p w14:paraId="491EE839">
                  <w:pPr>
                    <w:pageBreakBefore w:val="0"/>
                    <w:widowControl/>
                    <w:numPr>
                      <w:ilvl w:val="0"/>
                      <w:numId w:val="0"/>
                    </w:numPr>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（一）评审内容：</w:t>
                  </w:r>
                </w:p>
                <w:p w14:paraId="75CC8B7F">
                  <w:pPr>
                    <w:pageBreakBefore w:val="0"/>
                    <w:widowControl/>
                    <w:numPr>
                      <w:ilvl w:val="0"/>
                      <w:numId w:val="0"/>
                    </w:numPr>
                    <w:kinsoku/>
                    <w:wordWrap w:val="0"/>
                    <w:overflowPunct/>
                    <w:topLinePunct w:val="0"/>
                    <w:autoSpaceDE/>
                    <w:autoSpaceDN/>
                    <w:bidi w:val="0"/>
                    <w:spacing w:line="240" w:lineRule="auto"/>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投标人需拟派项目经理（仅限一名）：</w:t>
                  </w:r>
                </w:p>
                <w:p w14:paraId="2CDC25C9">
                  <w:pPr>
                    <w:pageBreakBefore w:val="0"/>
                    <w:widowControl/>
                    <w:numPr>
                      <w:ilvl w:val="0"/>
                      <w:numId w:val="0"/>
                    </w:numPr>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1、项目经理具有建筑工程相关专业本科及以上学历得50分；</w:t>
                  </w:r>
                </w:p>
                <w:p w14:paraId="50F91414">
                  <w:pPr>
                    <w:pageBreakBefore w:val="0"/>
                    <w:widowControl/>
                    <w:numPr>
                      <w:ilvl w:val="0"/>
                      <w:numId w:val="0"/>
                    </w:numPr>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2、项目经理具有（建筑工程相关专业）中级或以上工程师证书得50分；</w:t>
                  </w:r>
                </w:p>
                <w:p w14:paraId="07A20832">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（二）评分依据：</w:t>
                  </w:r>
                </w:p>
                <w:p w14:paraId="15F078FD">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1、提供由投标单位为其缴交的载有社保部门公章的近3个月（2024年06月-08月）社保缴交证明材料，如开标日上一个月的社保材料因社保部门原因暂时无法取得，则可以往前顺延一个月，原件备查（如供应商为新成立单位且成立时间不足3个月的，可提供加盖公章的情况说明或者证明材料亦视为符合。）；</w:t>
                  </w:r>
                </w:p>
                <w:p w14:paraId="7AA40BAA">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2、提供学历证书扫描件以及学信网查询记录。对于较早颁发的学历证书，学信网无法查询的，除要求提供证书扫描件，需要提供其他佐证材料（如毕业院校、人力资源和社会保障部等颁发机构或监管机构等单位出具的证明）作为得分依据；在海外留学并取得学历的，学信网无法查询的，可提供教育部留学服务中心出具的国外学历认证证书扫描件以及教育部留学服务中心官网查询截图作为得分依据。</w:t>
                  </w:r>
                </w:p>
                <w:p w14:paraId="4F8C05D1">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3、提供有效的职称证书等相关证明文件扫描件。</w:t>
                  </w:r>
                </w:p>
                <w:p w14:paraId="6FF80BF8">
                  <w:pPr>
                    <w:pageBreakBefore w:val="0"/>
                    <w:widowControl/>
                    <w:kinsoku/>
                    <w:wordWrap w:val="0"/>
                    <w:overflowPunct/>
                    <w:topLinePunct w:val="0"/>
                    <w:autoSpaceDE/>
                    <w:autoSpaceDN/>
                    <w:bidi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val="en-US" w:eastAsia="zh-CN" w:bidi="ar"/>
                    </w:rPr>
                    <w:t>上述原件备查，未按要求提供或提供不清晰导致专家无法有效判断的不得分。</w:t>
                  </w:r>
                </w:p>
              </w:tc>
            </w:tr>
            <w:tr w14:paraId="3B4B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392" w:type="dxa"/>
                  <w:vMerge w:val="continue"/>
                  <w:noWrap w:val="0"/>
                  <w:vAlign w:val="center"/>
                </w:tcPr>
                <w:p w14:paraId="5818C1B4">
                  <w:pPr>
                    <w:keepNext/>
                    <w:keepLines/>
                    <w:pageBreakBefore w:val="0"/>
                    <w:widowControl/>
                    <w:kinsoku/>
                    <w:overflowPunct/>
                    <w:topLinePunct w:val="0"/>
                    <w:autoSpaceDE/>
                    <w:autoSpaceDN/>
                    <w:bidi w:val="0"/>
                    <w:spacing w:line="240" w:lineRule="auto"/>
                    <w:jc w:val="center"/>
                    <w:outlineLvl w:val="2"/>
                    <w:rPr>
                      <w:rFonts w:hint="eastAsia" w:ascii="宋体" w:hAnsi="宋体" w:eastAsia="宋体" w:cs="宋体"/>
                      <w:color w:val="auto"/>
                      <w:sz w:val="22"/>
                      <w:szCs w:val="22"/>
                      <w:highlight w:val="none"/>
                    </w:rPr>
                  </w:pPr>
                </w:p>
              </w:tc>
              <w:tc>
                <w:tcPr>
                  <w:tcW w:w="722" w:type="dxa"/>
                  <w:gridSpan w:val="2"/>
                  <w:shd w:val="clear" w:color="auto" w:fill="auto"/>
                  <w:noWrap w:val="0"/>
                  <w:vAlign w:val="center"/>
                </w:tcPr>
                <w:p w14:paraId="444BCFC0">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3</w:t>
                  </w:r>
                </w:p>
              </w:tc>
              <w:tc>
                <w:tcPr>
                  <w:tcW w:w="1319" w:type="dxa"/>
                  <w:shd w:val="clear" w:color="auto" w:fill="auto"/>
                  <w:noWrap w:val="0"/>
                  <w:vAlign w:val="center"/>
                </w:tcPr>
                <w:p w14:paraId="1BA32C6D">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
                    </w:rPr>
                    <w:t>项目管理班子人员配备情况</w:t>
                  </w:r>
                </w:p>
              </w:tc>
              <w:tc>
                <w:tcPr>
                  <w:tcW w:w="1268" w:type="dxa"/>
                  <w:shd w:val="clear" w:color="auto" w:fill="auto"/>
                  <w:noWrap w:val="0"/>
                  <w:vAlign w:val="center"/>
                </w:tcPr>
                <w:p w14:paraId="24705D65">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30</w:t>
                  </w:r>
                  <w:bookmarkStart w:id="9" w:name="_GoBack"/>
                  <w:bookmarkEnd w:id="9"/>
                </w:p>
              </w:tc>
              <w:tc>
                <w:tcPr>
                  <w:tcW w:w="5179" w:type="dxa"/>
                  <w:shd w:val="clear" w:color="auto" w:fill="auto"/>
                  <w:noWrap w:val="0"/>
                  <w:vAlign w:val="center"/>
                </w:tcPr>
                <w:p w14:paraId="195D2B84">
                  <w:pPr>
                    <w:pageBreakBefore w:val="0"/>
                    <w:widowControl/>
                    <w:kinsoku/>
                    <w:overflowPunct/>
                    <w:topLinePunct w:val="0"/>
                    <w:autoSpaceDE/>
                    <w:autoSpaceDN/>
                    <w:bidi w:val="0"/>
                    <w:snapToGrid w:val="0"/>
                    <w:spacing w:line="240" w:lineRule="auto"/>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（一）评分内容：</w:t>
                  </w:r>
                </w:p>
                <w:p w14:paraId="5898F828">
                  <w:pPr>
                    <w:pageBreakBefore w:val="0"/>
                    <w:widowControl/>
                    <w:kinsoku/>
                    <w:overflowPunct/>
                    <w:topLinePunct w:val="0"/>
                    <w:autoSpaceDE/>
                    <w:autoSpaceDN/>
                    <w:bidi w:val="0"/>
                    <w:snapToGrid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投标人至少需配备技术负责人、质量负责人、安全负责人、资料员、劳资专管员、施工员、安全员，提供上述各类人员对应的证书</w:t>
                  </w:r>
                  <w:r>
                    <w:rPr>
                      <w:rFonts w:hint="eastAsia" w:ascii="宋体" w:hAnsi="宋体" w:eastAsia="宋体" w:cs="宋体"/>
                      <w:color w:val="auto"/>
                      <w:sz w:val="22"/>
                      <w:szCs w:val="22"/>
                      <w:highlight w:val="none"/>
                      <w:lang w:val="en-US" w:eastAsia="zh-CN" w:bidi="ar"/>
                    </w:rPr>
                    <w:t>;</w:t>
                  </w:r>
                </w:p>
                <w:p w14:paraId="3403A3CF">
                  <w:pPr>
                    <w:pStyle w:val="2"/>
                    <w:pageBreakBefore w:val="0"/>
                    <w:widowControl/>
                    <w:numPr>
                      <w:ilvl w:val="0"/>
                      <w:numId w:val="0"/>
                    </w:numPr>
                    <w:kinsoku/>
                    <w:overflowPunct/>
                    <w:topLinePunct w:val="0"/>
                    <w:autoSpaceDE/>
                    <w:autoSpaceDN/>
                    <w:bidi w:val="0"/>
                    <w:spacing w:line="240" w:lineRule="auto"/>
                    <w:ind w:firstLine="440" w:firstLineChars="200"/>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1、技术负责人具有建筑类中级工程师或以上职称得 20 分；</w:t>
                  </w:r>
                </w:p>
                <w:p w14:paraId="3D3FBBBA">
                  <w:pPr>
                    <w:pStyle w:val="2"/>
                    <w:pageBreakBefore w:val="0"/>
                    <w:widowControl/>
                    <w:numPr>
                      <w:ilvl w:val="0"/>
                      <w:numId w:val="0"/>
                    </w:numPr>
                    <w:kinsoku/>
                    <w:overflowPunct/>
                    <w:topLinePunct w:val="0"/>
                    <w:autoSpaceDE/>
                    <w:autoSpaceDN/>
                    <w:bidi w:val="0"/>
                    <w:spacing w:line="240" w:lineRule="auto"/>
                    <w:ind w:firstLine="440" w:firstLineChars="200"/>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 xml:space="preserve">2、质量负责人具有质量员岗位资格证书且为装修专业得 20分； </w:t>
                  </w:r>
                </w:p>
                <w:p w14:paraId="211E38D9">
                  <w:pPr>
                    <w:pStyle w:val="2"/>
                    <w:pageBreakBefore w:val="0"/>
                    <w:widowControl/>
                    <w:numPr>
                      <w:ilvl w:val="0"/>
                      <w:numId w:val="0"/>
                    </w:numPr>
                    <w:kinsoku/>
                    <w:overflowPunct/>
                    <w:topLinePunct w:val="0"/>
                    <w:autoSpaceDE/>
                    <w:autoSpaceDN/>
                    <w:bidi w:val="0"/>
                    <w:spacing w:line="240" w:lineRule="auto"/>
                    <w:ind w:firstLine="440" w:firstLineChars="200"/>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3、安全负责人具有住房和城乡建设厅颁发的安全生产考核合格证书得 20分；</w:t>
                  </w:r>
                </w:p>
                <w:p w14:paraId="1665B23A">
                  <w:pPr>
                    <w:pStyle w:val="2"/>
                    <w:pageBreakBefore w:val="0"/>
                    <w:widowControl/>
                    <w:numPr>
                      <w:ilvl w:val="0"/>
                      <w:numId w:val="0"/>
                    </w:numPr>
                    <w:kinsoku/>
                    <w:overflowPunct/>
                    <w:topLinePunct w:val="0"/>
                    <w:autoSpaceDE/>
                    <w:autoSpaceDN/>
                    <w:bidi w:val="0"/>
                    <w:spacing w:line="240" w:lineRule="auto"/>
                    <w:ind w:firstLine="440" w:firstLineChars="200"/>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4、资料员具有资料员岗位资格证书得 10 分；</w:t>
                  </w:r>
                </w:p>
                <w:p w14:paraId="28383F5F">
                  <w:pPr>
                    <w:pStyle w:val="2"/>
                    <w:pageBreakBefore w:val="0"/>
                    <w:widowControl/>
                    <w:numPr>
                      <w:ilvl w:val="0"/>
                      <w:numId w:val="0"/>
                    </w:numPr>
                    <w:kinsoku/>
                    <w:overflowPunct/>
                    <w:topLinePunct w:val="0"/>
                    <w:autoSpaceDE/>
                    <w:autoSpaceDN/>
                    <w:bidi w:val="0"/>
                    <w:spacing w:line="240" w:lineRule="auto"/>
                    <w:ind w:firstLine="440" w:firstLineChars="200"/>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5、劳资专管员具有劳资专管员岗位资格证书得 10 分；</w:t>
                  </w:r>
                </w:p>
                <w:p w14:paraId="4929A907">
                  <w:pPr>
                    <w:pStyle w:val="2"/>
                    <w:pageBreakBefore w:val="0"/>
                    <w:widowControl/>
                    <w:numPr>
                      <w:ilvl w:val="0"/>
                      <w:numId w:val="0"/>
                    </w:numPr>
                    <w:kinsoku/>
                    <w:overflowPunct/>
                    <w:topLinePunct w:val="0"/>
                    <w:autoSpaceDE/>
                    <w:autoSpaceDN/>
                    <w:bidi w:val="0"/>
                    <w:spacing w:line="240" w:lineRule="auto"/>
                    <w:ind w:firstLine="440" w:firstLineChars="200"/>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6、施工员具有施工员岗位资格证书得 10 分。</w:t>
                  </w:r>
                </w:p>
                <w:p w14:paraId="5518665E">
                  <w:pPr>
                    <w:pStyle w:val="2"/>
                    <w:pageBreakBefore w:val="0"/>
                    <w:widowControl/>
                    <w:numPr>
                      <w:ilvl w:val="0"/>
                      <w:numId w:val="0"/>
                    </w:numPr>
                    <w:kinsoku/>
                    <w:overflowPunct/>
                    <w:topLinePunct w:val="0"/>
                    <w:autoSpaceDE/>
                    <w:autoSpaceDN/>
                    <w:bidi w:val="0"/>
                    <w:spacing w:line="240" w:lineRule="auto"/>
                    <w:ind w:firstLine="440" w:firstLineChars="200"/>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 xml:space="preserve">7、安全员具有住房和城乡建设厅颁发的安全生产考核合格证书得 10 分； </w:t>
                  </w:r>
                </w:p>
                <w:p w14:paraId="06F6923B">
                  <w:pPr>
                    <w:keepNext w:val="0"/>
                    <w:keepLines w:val="0"/>
                    <w:pageBreakBefore w:val="0"/>
                    <w:widowControl/>
                    <w:suppressLineNumbers w:val="0"/>
                    <w:kinsoku/>
                    <w:overflowPunct/>
                    <w:topLinePunct w:val="0"/>
                    <w:autoSpaceDE/>
                    <w:autoSpaceDN/>
                    <w:bidi w:val="0"/>
                    <w:spacing w:line="240" w:lineRule="auto"/>
                    <w:jc w:val="left"/>
                    <w:rPr>
                      <w:rFonts w:hint="eastAsia" w:ascii="宋体" w:hAnsi="宋体" w:eastAsia="宋体" w:cs="宋体"/>
                      <w:color w:val="auto"/>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提供上述人员证书相关证书。同一岗位不可重复计分，同一人符合多个岗位按一项计,最高得 100 分。</w:t>
                  </w:r>
                </w:p>
                <w:p w14:paraId="316D8114">
                  <w:pPr>
                    <w:pageBreakBefore w:val="0"/>
                    <w:widowControl/>
                    <w:kinsoku/>
                    <w:overflowPunct/>
                    <w:topLinePunct w:val="0"/>
                    <w:autoSpaceDE/>
                    <w:autoSpaceDN/>
                    <w:bidi w:val="0"/>
                    <w:snapToGrid w:val="0"/>
                    <w:spacing w:line="240" w:lineRule="auto"/>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（二）评分依据：</w:t>
                  </w:r>
                </w:p>
                <w:p w14:paraId="791605ED">
                  <w:pPr>
                    <w:pageBreakBefore w:val="0"/>
                    <w:widowControl/>
                    <w:kinsoku/>
                    <w:overflowPunct/>
                    <w:topLinePunct w:val="0"/>
                    <w:autoSpaceDE/>
                    <w:autoSpaceDN/>
                    <w:bidi w:val="0"/>
                    <w:snapToGrid w:val="0"/>
                    <w:spacing w:line="240" w:lineRule="auto"/>
                    <w:ind w:firstLine="440" w:firstLineChars="200"/>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bidi="ar"/>
                    </w:rPr>
                    <w:t>项目团队成员必须为</w:t>
                  </w:r>
                  <w:r>
                    <w:rPr>
                      <w:rFonts w:hint="eastAsia" w:ascii="宋体" w:hAnsi="宋体" w:eastAsia="宋体" w:cs="宋体"/>
                      <w:color w:val="auto"/>
                      <w:sz w:val="22"/>
                      <w:szCs w:val="22"/>
                      <w:highlight w:val="none"/>
                      <w:lang w:eastAsia="zh-CN" w:bidi="ar"/>
                    </w:rPr>
                    <w:t>投标人</w:t>
                  </w:r>
                  <w:r>
                    <w:rPr>
                      <w:rFonts w:hint="eastAsia" w:ascii="宋体" w:hAnsi="宋体" w:eastAsia="宋体" w:cs="宋体"/>
                      <w:color w:val="auto"/>
                      <w:sz w:val="22"/>
                      <w:szCs w:val="22"/>
                      <w:highlight w:val="none"/>
                      <w:lang w:bidi="ar"/>
                    </w:rPr>
                    <w:t>自有员工，提供</w:t>
                  </w:r>
                  <w:r>
                    <w:rPr>
                      <w:rFonts w:hint="eastAsia" w:ascii="宋体" w:hAnsi="宋体" w:eastAsia="宋体" w:cs="宋体"/>
                      <w:color w:val="auto"/>
                      <w:sz w:val="22"/>
                      <w:szCs w:val="22"/>
                      <w:highlight w:val="none"/>
                      <w:lang w:val="en-US" w:eastAsia="zh-CN" w:bidi="ar"/>
                    </w:rPr>
                    <w:t>上述</w:t>
                  </w:r>
                  <w:r>
                    <w:rPr>
                      <w:rFonts w:hint="eastAsia" w:ascii="宋体" w:hAnsi="宋体" w:eastAsia="宋体" w:cs="宋体"/>
                      <w:color w:val="auto"/>
                      <w:sz w:val="22"/>
                      <w:szCs w:val="22"/>
                      <w:highlight w:val="none"/>
                      <w:lang w:bidi="ar"/>
                    </w:rPr>
                    <w:t>人员</w:t>
                  </w:r>
                  <w:r>
                    <w:rPr>
                      <w:rFonts w:hint="eastAsia" w:ascii="宋体" w:hAnsi="宋体" w:eastAsia="宋体" w:cs="宋体"/>
                      <w:color w:val="auto"/>
                      <w:sz w:val="22"/>
                      <w:szCs w:val="22"/>
                      <w:highlight w:val="none"/>
                      <w:lang w:val="en-US" w:eastAsia="zh-CN" w:bidi="ar"/>
                    </w:rPr>
                    <w:t>相关</w:t>
                  </w:r>
                  <w:r>
                    <w:rPr>
                      <w:rFonts w:hint="eastAsia" w:ascii="宋体" w:hAnsi="宋体" w:eastAsia="宋体" w:cs="宋体"/>
                      <w:color w:val="auto"/>
                      <w:sz w:val="22"/>
                      <w:szCs w:val="22"/>
                      <w:highlight w:val="none"/>
                      <w:lang w:bidi="ar"/>
                    </w:rPr>
                    <w:t>证书</w:t>
                  </w:r>
                  <w:r>
                    <w:rPr>
                      <w:rFonts w:hint="eastAsia" w:ascii="宋体" w:hAnsi="宋体" w:eastAsia="宋体" w:cs="宋体"/>
                      <w:color w:val="auto"/>
                      <w:sz w:val="22"/>
                      <w:szCs w:val="22"/>
                      <w:highlight w:val="none"/>
                      <w:lang w:eastAsia="zh-CN" w:bidi="ar"/>
                    </w:rPr>
                    <w:t>扫描件及开标日前由投标人为其缴交的载有社保部门公章的近</w:t>
                  </w:r>
                  <w:r>
                    <w:rPr>
                      <w:rFonts w:hint="eastAsia" w:ascii="宋体" w:hAnsi="宋体" w:eastAsia="宋体" w:cs="宋体"/>
                      <w:color w:val="auto"/>
                      <w:sz w:val="22"/>
                      <w:szCs w:val="22"/>
                      <w:highlight w:val="none"/>
                      <w:lang w:val="en-US" w:eastAsia="zh-CN" w:bidi="ar"/>
                    </w:rPr>
                    <w:t>三</w:t>
                  </w:r>
                  <w:r>
                    <w:rPr>
                      <w:rFonts w:hint="eastAsia" w:ascii="宋体" w:hAnsi="宋体" w:eastAsia="宋体" w:cs="宋体"/>
                      <w:color w:val="auto"/>
                      <w:sz w:val="22"/>
                      <w:szCs w:val="22"/>
                      <w:highlight w:val="none"/>
                      <w:lang w:eastAsia="zh-CN" w:bidi="ar"/>
                    </w:rPr>
                    <w:t>个月（</w:t>
                  </w:r>
                  <w:r>
                    <w:rPr>
                      <w:rFonts w:hint="eastAsia" w:ascii="宋体" w:hAnsi="宋体" w:eastAsia="宋体" w:cs="宋体"/>
                      <w:color w:val="auto"/>
                      <w:sz w:val="22"/>
                      <w:szCs w:val="22"/>
                      <w:highlight w:val="none"/>
                      <w:lang w:val="en-US" w:eastAsia="zh-CN" w:bidi="ar"/>
                    </w:rPr>
                    <w:t>2024</w:t>
                  </w:r>
                  <w:r>
                    <w:rPr>
                      <w:rFonts w:hint="eastAsia" w:ascii="宋体" w:hAnsi="宋体" w:eastAsia="宋体" w:cs="宋体"/>
                      <w:color w:val="auto"/>
                      <w:sz w:val="22"/>
                      <w:szCs w:val="22"/>
                      <w:highlight w:val="none"/>
                      <w:lang w:eastAsia="zh-CN" w:bidi="ar"/>
                    </w:rPr>
                    <w:t>年</w:t>
                  </w:r>
                  <w:r>
                    <w:rPr>
                      <w:rFonts w:hint="eastAsia" w:ascii="宋体" w:hAnsi="宋体" w:eastAsia="宋体" w:cs="宋体"/>
                      <w:color w:val="auto"/>
                      <w:sz w:val="22"/>
                      <w:szCs w:val="22"/>
                      <w:highlight w:val="none"/>
                      <w:lang w:val="en-US" w:eastAsia="zh-CN" w:bidi="ar"/>
                    </w:rPr>
                    <w:t>6</w:t>
                  </w:r>
                  <w:r>
                    <w:rPr>
                      <w:rFonts w:hint="eastAsia" w:ascii="宋体" w:hAnsi="宋体" w:eastAsia="宋体" w:cs="宋体"/>
                      <w:color w:val="auto"/>
                      <w:sz w:val="22"/>
                      <w:szCs w:val="22"/>
                      <w:highlight w:val="none"/>
                      <w:lang w:eastAsia="zh-CN" w:bidi="ar"/>
                    </w:rPr>
                    <w:t>月至</w:t>
                  </w:r>
                  <w:r>
                    <w:rPr>
                      <w:rFonts w:hint="eastAsia" w:ascii="宋体" w:hAnsi="宋体" w:eastAsia="宋体" w:cs="宋体"/>
                      <w:color w:val="auto"/>
                      <w:sz w:val="22"/>
                      <w:szCs w:val="22"/>
                      <w:highlight w:val="none"/>
                      <w:lang w:val="en-US" w:eastAsia="zh-CN" w:bidi="ar"/>
                    </w:rPr>
                    <w:t>8</w:t>
                  </w:r>
                  <w:r>
                    <w:rPr>
                      <w:rFonts w:hint="eastAsia" w:ascii="宋体" w:hAnsi="宋体" w:eastAsia="宋体" w:cs="宋体"/>
                      <w:color w:val="auto"/>
                      <w:sz w:val="22"/>
                      <w:szCs w:val="22"/>
                      <w:highlight w:val="none"/>
                      <w:lang w:eastAsia="zh-CN" w:bidi="ar"/>
                    </w:rPr>
                    <w:t>月）社保缴交证明材料（已退休返聘人员需提供聘用合同），如开标日上一个月的社保材料因社保部门原因暂时无法取得，则可以往前顺延</w:t>
                  </w:r>
                  <w:r>
                    <w:rPr>
                      <w:rFonts w:hint="eastAsia" w:ascii="宋体" w:hAnsi="宋体" w:eastAsia="宋体" w:cs="宋体"/>
                      <w:color w:val="auto"/>
                      <w:sz w:val="22"/>
                      <w:szCs w:val="22"/>
                      <w:highlight w:val="none"/>
                      <w:lang w:val="en-US" w:eastAsia="zh-CN" w:bidi="ar"/>
                    </w:rPr>
                    <w:t>一</w:t>
                  </w:r>
                  <w:r>
                    <w:rPr>
                      <w:rFonts w:hint="eastAsia" w:ascii="宋体" w:hAnsi="宋体" w:eastAsia="宋体" w:cs="宋体"/>
                      <w:color w:val="auto"/>
                      <w:sz w:val="22"/>
                      <w:szCs w:val="22"/>
                      <w:highlight w:val="none"/>
                      <w:lang w:eastAsia="zh-CN" w:bidi="ar"/>
                    </w:rPr>
                    <w:t>个月；社保资料必须至少显示缴交养老保险</w:t>
                  </w:r>
                  <w:r>
                    <w:rPr>
                      <w:rFonts w:hint="eastAsia" w:ascii="宋体" w:hAnsi="宋体" w:eastAsia="宋体" w:cs="宋体"/>
                      <w:color w:val="auto"/>
                      <w:sz w:val="22"/>
                      <w:szCs w:val="22"/>
                      <w:highlight w:val="none"/>
                      <w:lang w:bidi="ar"/>
                    </w:rPr>
                    <w:t>信息，未显示该信息的该社保资料则不符合要求，原件备查。</w:t>
                  </w:r>
                  <w:r>
                    <w:rPr>
                      <w:rFonts w:hint="eastAsia" w:ascii="宋体" w:hAnsi="宋体" w:eastAsia="宋体" w:cs="宋体"/>
                      <w:color w:val="auto"/>
                      <w:sz w:val="22"/>
                      <w:szCs w:val="22"/>
                      <w:highlight w:val="none"/>
                      <w:lang w:val="en-US" w:eastAsia="zh-CN" w:bidi="ar"/>
                    </w:rPr>
                    <w:t>如供应商为新成立单位且成立时间不足3个月的，可提供加盖公章的情况说明或者证明材料亦视为符合。</w:t>
                  </w:r>
                </w:p>
                <w:p w14:paraId="1A4D44BC">
                  <w:pPr>
                    <w:pageBreakBefore w:val="0"/>
                    <w:widowControl/>
                    <w:kinsoku/>
                    <w:overflowPunct/>
                    <w:topLinePunct w:val="0"/>
                    <w:autoSpaceDE/>
                    <w:autoSpaceDN/>
                    <w:bidi w:val="0"/>
                    <w:snapToGrid w:val="0"/>
                    <w:spacing w:line="240" w:lineRule="auto"/>
                    <w:ind w:firstLine="440" w:firstLineChars="20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bidi="ar"/>
                    </w:rPr>
                    <w:t>未提供或</w:t>
                  </w:r>
                  <w:r>
                    <w:rPr>
                      <w:rFonts w:hint="eastAsia" w:ascii="宋体" w:hAnsi="宋体" w:eastAsia="宋体" w:cs="宋体"/>
                      <w:color w:val="auto"/>
                      <w:sz w:val="22"/>
                      <w:szCs w:val="22"/>
                      <w:highlight w:val="none"/>
                      <w:lang w:bidi="ar"/>
                    </w:rPr>
                    <w:t>未按要求提供或提供不清晰导致专家无法判断的</w:t>
                  </w:r>
                  <w:r>
                    <w:rPr>
                      <w:rFonts w:hint="eastAsia" w:ascii="宋体" w:hAnsi="宋体" w:eastAsia="宋体" w:cs="宋体"/>
                      <w:color w:val="auto"/>
                      <w:sz w:val="22"/>
                      <w:szCs w:val="22"/>
                      <w:highlight w:val="none"/>
                      <w:lang w:eastAsia="zh-CN" w:bidi="ar"/>
                    </w:rPr>
                    <w:t>均</w:t>
                  </w:r>
                  <w:r>
                    <w:rPr>
                      <w:rFonts w:hint="eastAsia" w:ascii="宋体" w:hAnsi="宋体" w:eastAsia="宋体" w:cs="宋体"/>
                      <w:color w:val="auto"/>
                      <w:sz w:val="22"/>
                      <w:szCs w:val="22"/>
                      <w:highlight w:val="none"/>
                      <w:lang w:bidi="ar"/>
                    </w:rPr>
                    <w:t>不得分</w:t>
                  </w:r>
                </w:p>
              </w:tc>
            </w:tr>
            <w:tr w14:paraId="7969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noWrap w:val="0"/>
                  <w:vAlign w:val="center"/>
                </w:tcPr>
                <w:p w14:paraId="083096F1">
                  <w:pPr>
                    <w:keepNext/>
                    <w:keepLines/>
                    <w:pageBreakBefore w:val="0"/>
                    <w:widowControl/>
                    <w:kinsoku/>
                    <w:overflowPunct/>
                    <w:topLinePunct w:val="0"/>
                    <w:autoSpaceDE/>
                    <w:autoSpaceDN/>
                    <w:bidi w:val="0"/>
                    <w:spacing w:line="240" w:lineRule="auto"/>
                    <w:jc w:val="center"/>
                    <w:outlineLvl w:val="2"/>
                    <w:rPr>
                      <w:rFonts w:hint="eastAsia" w:ascii="宋体" w:hAnsi="宋体" w:eastAsia="宋体" w:cs="宋体"/>
                      <w:color w:val="auto"/>
                      <w:sz w:val="22"/>
                      <w:szCs w:val="22"/>
                      <w:highlight w:val="none"/>
                    </w:rPr>
                  </w:pPr>
                </w:p>
              </w:tc>
              <w:tc>
                <w:tcPr>
                  <w:tcW w:w="722" w:type="dxa"/>
                  <w:gridSpan w:val="2"/>
                  <w:shd w:val="clear" w:color="auto" w:fill="auto"/>
                  <w:noWrap w:val="0"/>
                  <w:vAlign w:val="center"/>
                </w:tcPr>
                <w:p w14:paraId="76D50790">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4</w:t>
                  </w:r>
                </w:p>
              </w:tc>
              <w:tc>
                <w:tcPr>
                  <w:tcW w:w="1319" w:type="dxa"/>
                  <w:shd w:val="clear" w:color="auto" w:fill="auto"/>
                  <w:noWrap w:val="0"/>
                  <w:vAlign w:val="center"/>
                </w:tcPr>
                <w:p w14:paraId="2ADCDEA6">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
                    </w:rPr>
                    <w:t>诚信</w:t>
                  </w:r>
                  <w:r>
                    <w:rPr>
                      <w:rFonts w:hint="eastAsia" w:ascii="宋体" w:hAnsi="宋体" w:eastAsia="宋体" w:cs="宋体"/>
                      <w:color w:val="auto"/>
                      <w:sz w:val="22"/>
                      <w:szCs w:val="22"/>
                      <w:highlight w:val="none"/>
                      <w:lang w:val="en-US" w:eastAsia="zh-CN" w:bidi="ar"/>
                    </w:rPr>
                    <w:t>承诺函</w:t>
                  </w:r>
                </w:p>
              </w:tc>
              <w:tc>
                <w:tcPr>
                  <w:tcW w:w="1268" w:type="dxa"/>
                  <w:shd w:val="clear" w:color="auto" w:fill="auto"/>
                  <w:noWrap w:val="0"/>
                  <w:vAlign w:val="center"/>
                </w:tcPr>
                <w:p w14:paraId="0EDA5306">
                  <w:pPr>
                    <w:pageBreakBefore w:val="0"/>
                    <w:widowControl/>
                    <w:kinsoku/>
                    <w:overflowPunct/>
                    <w:topLinePunct w:val="0"/>
                    <w:autoSpaceDE/>
                    <w:autoSpaceDN/>
                    <w:bidi w:val="0"/>
                    <w:spacing w:line="24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
                    </w:rPr>
                    <w:t>5</w:t>
                  </w:r>
                </w:p>
              </w:tc>
              <w:tc>
                <w:tcPr>
                  <w:tcW w:w="5179" w:type="dxa"/>
                  <w:shd w:val="clear" w:color="auto" w:fill="auto"/>
                  <w:noWrap w:val="0"/>
                  <w:vAlign w:val="center"/>
                </w:tcPr>
                <w:p w14:paraId="75C05C5E">
                  <w:pPr>
                    <w:pStyle w:val="9"/>
                    <w:pageBreakBefore w:val="0"/>
                    <w:widowControl/>
                    <w:kinsoku/>
                    <w:overflowPunct/>
                    <w:topLinePunct w:val="0"/>
                    <w:autoSpaceDE/>
                    <w:autoSpaceDN/>
                    <w:bidi w:val="0"/>
                    <w:spacing w:line="240" w:lineRule="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bidi="ar"/>
                    </w:rPr>
                    <w:t>投标人</w:t>
                  </w:r>
                  <w:r>
                    <w:rPr>
                      <w:rFonts w:hint="eastAsia" w:ascii="宋体" w:hAnsi="宋体" w:eastAsia="宋体" w:cs="宋体"/>
                      <w:color w:val="auto"/>
                      <w:sz w:val="22"/>
                      <w:szCs w:val="22"/>
                      <w:highlight w:val="none"/>
                      <w:lang w:bidi="ar"/>
                    </w:rPr>
                    <w:t>承诺在参与龙华区教育局自行采购活动中</w:t>
                  </w:r>
                  <w:r>
                    <w:rPr>
                      <w:rFonts w:hint="eastAsia" w:ascii="宋体" w:hAnsi="宋体" w:eastAsia="宋体" w:cs="宋体"/>
                      <w:color w:val="auto"/>
                      <w:sz w:val="22"/>
                      <w:szCs w:val="22"/>
                      <w:highlight w:val="none"/>
                      <w:lang w:eastAsia="zh-CN" w:bidi="ar"/>
                    </w:rPr>
                    <w:t>未</w:t>
                  </w:r>
                  <w:r>
                    <w:rPr>
                      <w:rFonts w:hint="eastAsia" w:ascii="宋体" w:hAnsi="宋体" w:eastAsia="宋体" w:cs="宋体"/>
                      <w:color w:val="auto"/>
                      <w:sz w:val="22"/>
                      <w:szCs w:val="22"/>
                      <w:highlight w:val="none"/>
                      <w:lang w:bidi="ar"/>
                    </w:rPr>
                    <w:t>出现诚信或安全相关问题且</w:t>
                  </w:r>
                  <w:r>
                    <w:rPr>
                      <w:rFonts w:hint="eastAsia" w:ascii="宋体" w:hAnsi="宋体" w:eastAsia="宋体" w:cs="宋体"/>
                      <w:color w:val="auto"/>
                      <w:sz w:val="22"/>
                      <w:szCs w:val="22"/>
                      <w:highlight w:val="none"/>
                      <w:lang w:eastAsia="zh-CN" w:bidi="ar"/>
                    </w:rPr>
                    <w:t>不</w:t>
                  </w:r>
                  <w:r>
                    <w:rPr>
                      <w:rFonts w:hint="eastAsia" w:ascii="宋体" w:hAnsi="宋体" w:eastAsia="宋体" w:cs="宋体"/>
                      <w:color w:val="auto"/>
                      <w:sz w:val="22"/>
                      <w:szCs w:val="22"/>
                      <w:highlight w:val="none"/>
                      <w:lang w:bidi="ar"/>
                    </w:rPr>
                    <w:t>在相关主管部门处理措施实施期限内的本项</w:t>
                  </w:r>
                  <w:r>
                    <w:rPr>
                      <w:rFonts w:hint="eastAsia" w:ascii="宋体" w:hAnsi="宋体" w:eastAsia="宋体" w:cs="宋体"/>
                      <w:color w:val="auto"/>
                      <w:sz w:val="22"/>
                      <w:szCs w:val="22"/>
                      <w:highlight w:val="none"/>
                      <w:lang w:eastAsia="zh-CN" w:bidi="ar"/>
                    </w:rPr>
                    <w:t>得满分</w:t>
                  </w:r>
                  <w:r>
                    <w:rPr>
                      <w:rFonts w:hint="eastAsia" w:ascii="宋体" w:hAnsi="宋体" w:eastAsia="宋体" w:cs="宋体"/>
                      <w:color w:val="auto"/>
                      <w:sz w:val="22"/>
                      <w:szCs w:val="22"/>
                      <w:highlight w:val="none"/>
                      <w:lang w:val="en-US" w:eastAsia="zh-CN" w:bidi="ar"/>
                    </w:rPr>
                    <w:t>100分</w:t>
                  </w:r>
                  <w:r>
                    <w:rPr>
                      <w:rFonts w:hint="eastAsia" w:ascii="宋体" w:hAnsi="宋体" w:eastAsia="宋体" w:cs="宋体"/>
                      <w:color w:val="auto"/>
                      <w:sz w:val="22"/>
                      <w:szCs w:val="22"/>
                      <w:highlight w:val="none"/>
                      <w:lang w:bidi="ar"/>
                    </w:rPr>
                    <w:t>（若投标人投标截止日前一年内因</w:t>
                  </w:r>
                  <w:r>
                    <w:rPr>
                      <w:rFonts w:hint="eastAsia" w:ascii="宋体" w:hAnsi="宋体" w:eastAsia="宋体" w:cs="宋体"/>
                      <w:color w:val="auto"/>
                      <w:sz w:val="22"/>
                      <w:szCs w:val="22"/>
                      <w:highlight w:val="none"/>
                      <w:lang w:val="en-US" w:eastAsia="zh-CN"/>
                    </w:rPr>
                    <w:t>安全生产违法行为</w:t>
                  </w:r>
                  <w:r>
                    <w:rPr>
                      <w:rFonts w:hint="eastAsia" w:ascii="宋体" w:hAnsi="宋体" w:eastAsia="宋体" w:cs="宋体"/>
                      <w:color w:val="auto"/>
                      <w:sz w:val="22"/>
                      <w:szCs w:val="22"/>
                      <w:highlight w:val="none"/>
                      <w:lang w:bidi="ar"/>
                    </w:rPr>
                    <w:t>受到主管部门行政处罚的，本项不得分），否则</w:t>
                  </w:r>
                  <w:r>
                    <w:rPr>
                      <w:rFonts w:hint="eastAsia" w:ascii="宋体" w:hAnsi="宋体" w:eastAsia="宋体" w:cs="宋体"/>
                      <w:color w:val="auto"/>
                      <w:sz w:val="22"/>
                      <w:szCs w:val="22"/>
                      <w:highlight w:val="none"/>
                      <w:lang w:eastAsia="zh-CN" w:bidi="ar"/>
                    </w:rPr>
                    <w:t>不得分</w:t>
                  </w:r>
                  <w:r>
                    <w:rPr>
                      <w:rFonts w:hint="eastAsia" w:ascii="宋体" w:hAnsi="宋体" w:eastAsia="宋体" w:cs="宋体"/>
                      <w:color w:val="auto"/>
                      <w:sz w:val="22"/>
                      <w:szCs w:val="22"/>
                      <w:highlight w:val="none"/>
                      <w:lang w:bidi="ar"/>
                    </w:rPr>
                    <w:t>。（须提供</w:t>
                  </w:r>
                  <w:r>
                    <w:rPr>
                      <w:rFonts w:hint="eastAsia" w:ascii="宋体" w:hAnsi="宋体" w:eastAsia="宋体" w:cs="宋体"/>
                      <w:color w:val="auto"/>
                      <w:sz w:val="22"/>
                      <w:szCs w:val="22"/>
                      <w:highlight w:val="none"/>
                      <w:lang w:eastAsia="zh-CN" w:bidi="ar"/>
                    </w:rPr>
                    <w:t>加盖投标人公章的</w:t>
                  </w:r>
                  <w:r>
                    <w:rPr>
                      <w:rFonts w:hint="eastAsia" w:ascii="宋体" w:hAnsi="宋体" w:eastAsia="宋体" w:cs="宋体"/>
                      <w:color w:val="auto"/>
                      <w:sz w:val="22"/>
                      <w:szCs w:val="22"/>
                      <w:highlight w:val="none"/>
                      <w:lang w:bidi="ar"/>
                    </w:rPr>
                    <w:t>《诚信承诺函》，按采购文件格式要求提供，不提供</w:t>
                  </w:r>
                  <w:r>
                    <w:rPr>
                      <w:rFonts w:hint="eastAsia" w:ascii="宋体" w:hAnsi="宋体" w:eastAsia="宋体" w:cs="宋体"/>
                      <w:color w:val="auto"/>
                      <w:sz w:val="22"/>
                      <w:szCs w:val="22"/>
                      <w:highlight w:val="none"/>
                      <w:lang w:eastAsia="zh-CN" w:bidi="ar"/>
                    </w:rPr>
                    <w:t>或</w:t>
                  </w:r>
                  <w:r>
                    <w:rPr>
                      <w:rFonts w:hint="eastAsia" w:ascii="宋体" w:hAnsi="宋体" w:eastAsia="宋体" w:cs="宋体"/>
                      <w:color w:val="auto"/>
                      <w:sz w:val="22"/>
                      <w:szCs w:val="22"/>
                      <w:highlight w:val="none"/>
                      <w:lang w:bidi="ar"/>
                    </w:rPr>
                    <w:t>未按要求提供或提供不清晰导致专家无法判断的</w:t>
                  </w:r>
                  <w:r>
                    <w:rPr>
                      <w:rFonts w:hint="eastAsia" w:ascii="宋体" w:hAnsi="宋体" w:eastAsia="宋体" w:cs="宋体"/>
                      <w:color w:val="auto"/>
                      <w:sz w:val="22"/>
                      <w:szCs w:val="22"/>
                      <w:highlight w:val="none"/>
                      <w:lang w:eastAsia="zh-CN" w:bidi="ar"/>
                    </w:rPr>
                    <w:t>均</w:t>
                  </w:r>
                  <w:r>
                    <w:rPr>
                      <w:rFonts w:hint="eastAsia" w:ascii="宋体" w:hAnsi="宋体" w:eastAsia="宋体" w:cs="宋体"/>
                      <w:color w:val="auto"/>
                      <w:sz w:val="22"/>
                      <w:szCs w:val="22"/>
                      <w:highlight w:val="none"/>
                      <w:lang w:bidi="ar"/>
                    </w:rPr>
                    <w:t>不得分。如被认定提供的陈述与事实不符受到行政处罚的，依法追究其责任。</w:t>
                  </w:r>
                </w:p>
              </w:tc>
            </w:tr>
          </w:tbl>
          <w:p w14:paraId="3DB91F25">
            <w:pPr>
              <w:rPr>
                <w:rFonts w:hint="eastAsia" w:ascii="宋体" w:hAnsi="宋体" w:eastAsia="宋体" w:cs="宋体"/>
                <w:highlight w:val="none"/>
              </w:rPr>
            </w:pPr>
          </w:p>
        </w:tc>
      </w:tr>
    </w:tbl>
    <w:p w14:paraId="1FE48395">
      <w:pPr>
        <w:pStyle w:val="8"/>
        <w:ind w:firstLine="0"/>
        <w:rPr>
          <w:rFonts w:hint="eastAsia" w:ascii="宋体" w:hAnsi="宋体" w:eastAsia="宋体" w:cs="宋体"/>
          <w:highlight w:val="none"/>
        </w:rPr>
      </w:pPr>
    </w:p>
    <w:p w14:paraId="2018785F">
      <w:pPr>
        <w:rPr>
          <w:rFonts w:hint="eastAsia" w:ascii="宋体" w:hAnsi="宋体" w:eastAsia="宋体" w:cs="宋体"/>
          <w:highlight w:val="none"/>
        </w:rPr>
      </w:pPr>
    </w:p>
    <w:p w14:paraId="26DE7B7B">
      <w:pPr>
        <w:pStyle w:val="3"/>
        <w:rPr>
          <w:rFonts w:hint="eastAsia" w:ascii="宋体" w:hAnsi="宋体" w:eastAsia="宋体" w:cs="宋体"/>
          <w:highlight w:val="none"/>
        </w:rPr>
      </w:pPr>
    </w:p>
    <w:p w14:paraId="37BC2C67">
      <w:pPr>
        <w:rPr>
          <w:rFonts w:hint="eastAsia" w:ascii="宋体" w:hAnsi="宋体" w:eastAsia="宋体" w:cs="宋体"/>
          <w:highlight w:val="none"/>
        </w:rPr>
      </w:pPr>
    </w:p>
    <w:p w14:paraId="162DEA03">
      <w:pPr>
        <w:rPr>
          <w:rFonts w:hint="default" w:ascii="宋体" w:hAnsi="宋体" w:eastAsia="宋体" w:cs="宋体"/>
          <w:highlight w:val="none"/>
          <w:lang w:val="en-US" w:eastAsia="zh-CN"/>
        </w:rPr>
      </w:pPr>
    </w:p>
    <w:p w14:paraId="062BD1BC">
      <w:pPr>
        <w:rPr>
          <w:rFonts w:hint="eastAsia"/>
          <w:highlight w:val="none"/>
        </w:rPr>
      </w:pPr>
    </w:p>
    <w:p w14:paraId="4542C9AA">
      <w:pPr>
        <w:pStyle w:val="3"/>
        <w:rPr>
          <w:rFonts w:hint="eastAsia" w:ascii="宋体" w:hAnsi="宋体" w:eastAsia="宋体" w:cs="宋体"/>
          <w:highlight w:val="none"/>
        </w:rPr>
      </w:pPr>
      <w:r>
        <w:rPr>
          <w:rFonts w:hint="eastAsia" w:ascii="宋体" w:hAnsi="宋体" w:eastAsia="宋体" w:cs="宋体"/>
          <w:highlight w:val="none"/>
        </w:rPr>
        <w:t>目   录</w:t>
      </w:r>
    </w:p>
    <w:p w14:paraId="0B8D8154">
      <w:pPr>
        <w:spacing w:line="360" w:lineRule="auto"/>
        <w:outlineLvl w:val="0"/>
        <w:rPr>
          <w:rFonts w:hint="eastAsia" w:ascii="宋体" w:hAnsi="宋体" w:eastAsia="宋体" w:cs="宋体"/>
          <w:b/>
          <w:highlight w:val="none"/>
        </w:rPr>
      </w:pPr>
      <w:r>
        <w:rPr>
          <w:rFonts w:hint="eastAsia" w:ascii="宋体" w:hAnsi="宋体" w:eastAsia="宋体" w:cs="宋体"/>
          <w:b/>
          <w:highlight w:val="none"/>
        </w:rPr>
        <w:t>第一册  专用条款</w:t>
      </w:r>
    </w:p>
    <w:p w14:paraId="4CD2DBFC">
      <w:pPr>
        <w:spacing w:line="360" w:lineRule="auto"/>
        <w:rPr>
          <w:rFonts w:hint="eastAsia" w:ascii="宋体" w:hAnsi="宋体" w:eastAsia="宋体" w:cs="宋体"/>
          <w:highlight w:val="none"/>
        </w:rPr>
      </w:pPr>
      <w:r>
        <w:rPr>
          <w:rFonts w:hint="eastAsia" w:ascii="宋体" w:hAnsi="宋体" w:eastAsia="宋体" w:cs="宋体"/>
          <w:highlight w:val="none"/>
        </w:rPr>
        <w:t xml:space="preserve">         关键信息</w:t>
      </w:r>
    </w:p>
    <w:p w14:paraId="00C10672">
      <w:pPr>
        <w:spacing w:line="360" w:lineRule="auto"/>
        <w:ind w:firstLine="1200" w:firstLineChars="500"/>
        <w:rPr>
          <w:rFonts w:hint="eastAsia" w:ascii="宋体" w:hAnsi="宋体" w:eastAsia="宋体" w:cs="宋体"/>
          <w:highlight w:val="none"/>
        </w:rPr>
      </w:pPr>
      <w:r>
        <w:rPr>
          <w:rFonts w:hint="eastAsia" w:ascii="宋体" w:hAnsi="宋体" w:eastAsia="宋体" w:cs="宋体"/>
          <w:highlight w:val="none"/>
        </w:rPr>
        <w:t>第一章  招标公告</w:t>
      </w:r>
    </w:p>
    <w:p w14:paraId="7EAA5851">
      <w:pPr>
        <w:spacing w:line="360" w:lineRule="auto"/>
        <w:ind w:firstLine="1200" w:firstLineChars="500"/>
        <w:rPr>
          <w:rFonts w:hint="eastAsia" w:ascii="宋体" w:hAnsi="宋体" w:eastAsia="宋体" w:cs="宋体"/>
          <w:highlight w:val="none"/>
        </w:rPr>
      </w:pPr>
      <w:r>
        <w:rPr>
          <w:rFonts w:hint="eastAsia" w:ascii="宋体" w:hAnsi="宋体" w:eastAsia="宋体" w:cs="宋体"/>
          <w:highlight w:val="none"/>
        </w:rPr>
        <w:t xml:space="preserve">第二章  </w:t>
      </w:r>
      <w:bookmarkStart w:id="0" w:name="_Hlk71994379"/>
      <w:r>
        <w:rPr>
          <w:rFonts w:hint="eastAsia" w:ascii="宋体" w:hAnsi="宋体" w:eastAsia="宋体" w:cs="宋体"/>
          <w:highlight w:val="none"/>
        </w:rPr>
        <w:t>对通用条款的补充内容及其他关键信息</w:t>
      </w:r>
      <w:bookmarkEnd w:id="0"/>
    </w:p>
    <w:p w14:paraId="07F1748B">
      <w:pPr>
        <w:spacing w:line="360" w:lineRule="auto"/>
        <w:ind w:firstLine="1200" w:firstLineChars="500"/>
        <w:rPr>
          <w:rFonts w:hint="eastAsia" w:ascii="宋体" w:hAnsi="宋体" w:eastAsia="宋体" w:cs="宋体"/>
          <w:highlight w:val="none"/>
        </w:rPr>
      </w:pPr>
      <w:r>
        <w:rPr>
          <w:rFonts w:hint="eastAsia" w:ascii="宋体" w:hAnsi="宋体" w:eastAsia="宋体" w:cs="宋体"/>
          <w:highlight w:val="none"/>
        </w:rPr>
        <w:t>第三章  用户需求书</w:t>
      </w:r>
    </w:p>
    <w:p w14:paraId="09318F33">
      <w:pPr>
        <w:spacing w:line="360" w:lineRule="auto"/>
        <w:ind w:firstLine="1200" w:firstLineChars="500"/>
        <w:rPr>
          <w:rFonts w:hint="eastAsia" w:ascii="宋体" w:hAnsi="宋体" w:eastAsia="宋体" w:cs="宋体"/>
          <w:highlight w:val="none"/>
        </w:rPr>
      </w:pPr>
      <w:r>
        <w:rPr>
          <w:rFonts w:hint="eastAsia" w:ascii="宋体" w:hAnsi="宋体" w:eastAsia="宋体" w:cs="宋体"/>
          <w:highlight w:val="none"/>
        </w:rPr>
        <w:t>第四章  投标文件组成要求及格式</w:t>
      </w:r>
    </w:p>
    <w:p w14:paraId="1732A152">
      <w:pPr>
        <w:spacing w:line="360" w:lineRule="auto"/>
        <w:ind w:firstLine="1200" w:firstLineChars="500"/>
        <w:rPr>
          <w:rFonts w:hint="eastAsia" w:ascii="宋体" w:hAnsi="宋体" w:eastAsia="宋体" w:cs="宋体"/>
          <w:highlight w:val="none"/>
        </w:rPr>
      </w:pPr>
      <w:r>
        <w:rPr>
          <w:rFonts w:hint="eastAsia" w:ascii="宋体" w:hAnsi="宋体" w:eastAsia="宋体" w:cs="宋体"/>
          <w:highlight w:val="none"/>
        </w:rPr>
        <w:t>第五章  合同条款及格式</w:t>
      </w:r>
    </w:p>
    <w:p w14:paraId="10EF6DB8">
      <w:pPr>
        <w:spacing w:line="360" w:lineRule="auto"/>
        <w:rPr>
          <w:rFonts w:hint="eastAsia" w:ascii="宋体" w:hAnsi="宋体" w:eastAsia="宋体" w:cs="宋体"/>
          <w:b/>
          <w:highlight w:val="none"/>
        </w:rPr>
      </w:pPr>
    </w:p>
    <w:p w14:paraId="03B21B17">
      <w:pPr>
        <w:spacing w:line="360" w:lineRule="auto"/>
        <w:outlineLvl w:val="0"/>
        <w:rPr>
          <w:rFonts w:hint="eastAsia" w:ascii="宋体" w:hAnsi="宋体" w:eastAsia="宋体" w:cs="宋体"/>
          <w:b/>
          <w:highlight w:val="none"/>
        </w:rPr>
      </w:pPr>
      <w:r>
        <w:rPr>
          <w:rFonts w:hint="eastAsia" w:ascii="宋体" w:hAnsi="宋体" w:eastAsia="宋体" w:cs="宋体"/>
          <w:b/>
          <w:highlight w:val="none"/>
        </w:rPr>
        <w:t>第二册  通用条款</w:t>
      </w:r>
    </w:p>
    <w:p w14:paraId="4D6E57E5">
      <w:pPr>
        <w:spacing w:line="360" w:lineRule="auto"/>
        <w:ind w:left="720" w:leftChars="300" w:firstLine="470" w:firstLineChars="196"/>
        <w:rPr>
          <w:rFonts w:hint="eastAsia" w:ascii="宋体" w:hAnsi="宋体" w:eastAsia="宋体" w:cs="宋体"/>
          <w:highlight w:val="none"/>
        </w:rPr>
      </w:pPr>
      <w:r>
        <w:rPr>
          <w:rFonts w:hint="eastAsia" w:ascii="宋体" w:hAnsi="宋体" w:eastAsia="宋体" w:cs="宋体"/>
          <w:highlight w:val="none"/>
        </w:rPr>
        <w:t>第一章  总则</w:t>
      </w:r>
    </w:p>
    <w:p w14:paraId="6D18210B">
      <w:pPr>
        <w:spacing w:line="360" w:lineRule="auto"/>
        <w:ind w:left="720" w:leftChars="300" w:firstLine="470" w:firstLineChars="196"/>
        <w:rPr>
          <w:rFonts w:hint="eastAsia" w:ascii="宋体" w:hAnsi="宋体" w:eastAsia="宋体" w:cs="宋体"/>
          <w:highlight w:val="none"/>
        </w:rPr>
      </w:pPr>
      <w:r>
        <w:rPr>
          <w:rFonts w:hint="eastAsia" w:ascii="宋体" w:hAnsi="宋体" w:eastAsia="宋体" w:cs="宋体"/>
          <w:highlight w:val="none"/>
        </w:rPr>
        <w:t>第二章  招标文件</w:t>
      </w:r>
    </w:p>
    <w:p w14:paraId="5B502931">
      <w:pPr>
        <w:spacing w:line="360" w:lineRule="auto"/>
        <w:ind w:left="720" w:leftChars="300" w:firstLine="470" w:firstLineChars="196"/>
        <w:rPr>
          <w:rFonts w:hint="eastAsia" w:ascii="宋体" w:hAnsi="宋体" w:eastAsia="宋体" w:cs="宋体"/>
          <w:highlight w:val="none"/>
        </w:rPr>
      </w:pPr>
      <w:r>
        <w:rPr>
          <w:rFonts w:hint="eastAsia" w:ascii="宋体" w:hAnsi="宋体" w:eastAsia="宋体" w:cs="宋体"/>
          <w:highlight w:val="none"/>
        </w:rPr>
        <w:t>第三章  投标文件的编制</w:t>
      </w:r>
    </w:p>
    <w:p w14:paraId="08256DB9">
      <w:pPr>
        <w:spacing w:line="360" w:lineRule="auto"/>
        <w:ind w:left="720" w:leftChars="300" w:firstLine="470" w:firstLineChars="196"/>
        <w:rPr>
          <w:rFonts w:hint="eastAsia" w:ascii="宋体" w:hAnsi="宋体" w:eastAsia="宋体" w:cs="宋体"/>
          <w:highlight w:val="none"/>
        </w:rPr>
      </w:pPr>
      <w:r>
        <w:rPr>
          <w:rFonts w:hint="eastAsia" w:ascii="宋体" w:hAnsi="宋体" w:eastAsia="宋体" w:cs="宋体"/>
          <w:highlight w:val="none"/>
        </w:rPr>
        <w:t>第四章  投标文件的递交</w:t>
      </w:r>
    </w:p>
    <w:p w14:paraId="0DDC138A">
      <w:pPr>
        <w:spacing w:line="360" w:lineRule="auto"/>
        <w:ind w:left="720" w:leftChars="300" w:firstLine="470" w:firstLineChars="196"/>
        <w:rPr>
          <w:rFonts w:hint="eastAsia" w:ascii="宋体" w:hAnsi="宋体" w:eastAsia="宋体" w:cs="宋体"/>
          <w:highlight w:val="none"/>
        </w:rPr>
      </w:pPr>
      <w:r>
        <w:rPr>
          <w:rFonts w:hint="eastAsia" w:ascii="宋体" w:hAnsi="宋体" w:eastAsia="宋体" w:cs="宋体"/>
          <w:highlight w:val="none"/>
        </w:rPr>
        <w:t>第五章  开标</w:t>
      </w:r>
    </w:p>
    <w:p w14:paraId="5570FD61">
      <w:pPr>
        <w:spacing w:line="360" w:lineRule="auto"/>
        <w:ind w:left="720" w:leftChars="300" w:firstLine="470" w:firstLineChars="196"/>
        <w:rPr>
          <w:rFonts w:hint="eastAsia" w:ascii="宋体" w:hAnsi="宋体" w:eastAsia="宋体" w:cs="宋体"/>
          <w:highlight w:val="none"/>
        </w:rPr>
      </w:pPr>
      <w:r>
        <w:rPr>
          <w:rFonts w:hint="eastAsia" w:ascii="宋体" w:hAnsi="宋体" w:eastAsia="宋体" w:cs="宋体"/>
          <w:highlight w:val="none"/>
        </w:rPr>
        <w:t>第六章  评审要求</w:t>
      </w:r>
    </w:p>
    <w:p w14:paraId="4A33FEFA">
      <w:pPr>
        <w:spacing w:line="360" w:lineRule="auto"/>
        <w:ind w:left="720" w:leftChars="300" w:firstLine="470" w:firstLineChars="196"/>
        <w:rPr>
          <w:rFonts w:hint="eastAsia" w:ascii="宋体" w:hAnsi="宋体" w:eastAsia="宋体" w:cs="宋体"/>
          <w:highlight w:val="none"/>
        </w:rPr>
      </w:pPr>
      <w:r>
        <w:rPr>
          <w:rFonts w:hint="eastAsia" w:ascii="宋体" w:hAnsi="宋体" w:eastAsia="宋体" w:cs="宋体"/>
          <w:highlight w:val="none"/>
        </w:rPr>
        <w:t>第七章  评审程序及评审方法</w:t>
      </w:r>
    </w:p>
    <w:p w14:paraId="3B918C4A">
      <w:pPr>
        <w:spacing w:line="360" w:lineRule="auto"/>
        <w:ind w:left="720" w:leftChars="300" w:firstLine="470" w:firstLineChars="196"/>
        <w:rPr>
          <w:rFonts w:hint="eastAsia" w:ascii="宋体" w:hAnsi="宋体" w:eastAsia="宋体" w:cs="宋体"/>
          <w:highlight w:val="none"/>
        </w:rPr>
      </w:pPr>
      <w:r>
        <w:rPr>
          <w:rFonts w:hint="eastAsia" w:ascii="宋体" w:hAnsi="宋体" w:eastAsia="宋体" w:cs="宋体"/>
          <w:highlight w:val="none"/>
        </w:rPr>
        <w:t>第八章  定标及公示</w:t>
      </w:r>
    </w:p>
    <w:p w14:paraId="45C872C9">
      <w:pPr>
        <w:spacing w:line="360" w:lineRule="auto"/>
        <w:ind w:left="720" w:leftChars="300" w:firstLine="470" w:firstLineChars="196"/>
        <w:rPr>
          <w:rFonts w:hint="eastAsia" w:ascii="宋体" w:hAnsi="宋体" w:eastAsia="宋体" w:cs="宋体"/>
          <w:highlight w:val="none"/>
        </w:rPr>
      </w:pPr>
      <w:r>
        <w:rPr>
          <w:rFonts w:hint="eastAsia" w:ascii="宋体" w:hAnsi="宋体" w:eastAsia="宋体" w:cs="宋体"/>
          <w:highlight w:val="none"/>
        </w:rPr>
        <w:t>第九章  公开招标失败的后续处理</w:t>
      </w:r>
    </w:p>
    <w:p w14:paraId="6118B89E">
      <w:pPr>
        <w:spacing w:line="360" w:lineRule="auto"/>
        <w:ind w:left="720" w:leftChars="300" w:firstLine="470" w:firstLineChars="196"/>
        <w:rPr>
          <w:rFonts w:hint="eastAsia" w:ascii="宋体" w:hAnsi="宋体" w:eastAsia="宋体" w:cs="宋体"/>
          <w:highlight w:val="none"/>
        </w:rPr>
      </w:pPr>
      <w:r>
        <w:rPr>
          <w:rFonts w:hint="eastAsia" w:ascii="宋体" w:hAnsi="宋体" w:eastAsia="宋体" w:cs="宋体"/>
          <w:highlight w:val="none"/>
        </w:rPr>
        <w:t>第十章  合同的授予与备案</w:t>
      </w:r>
    </w:p>
    <w:p w14:paraId="33A98BDF">
      <w:pPr>
        <w:spacing w:line="360" w:lineRule="auto"/>
        <w:ind w:left="720" w:leftChars="300" w:firstLine="470" w:firstLineChars="196"/>
        <w:rPr>
          <w:rFonts w:hint="eastAsia" w:ascii="宋体" w:hAnsi="宋体" w:eastAsia="宋体" w:cs="宋体"/>
          <w:highlight w:val="none"/>
        </w:rPr>
      </w:pPr>
      <w:r>
        <w:rPr>
          <w:rFonts w:hint="eastAsia" w:ascii="宋体" w:hAnsi="宋体" w:eastAsia="宋体" w:cs="宋体"/>
          <w:highlight w:val="none"/>
        </w:rPr>
        <w:t>第十一章  质疑处理</w:t>
      </w:r>
    </w:p>
    <w:p w14:paraId="563436CF">
      <w:pPr>
        <w:pStyle w:val="2"/>
        <w:rPr>
          <w:rFonts w:hint="eastAsia" w:ascii="宋体" w:hAnsi="宋体" w:eastAsia="宋体" w:cs="宋体"/>
          <w:highlight w:val="none"/>
        </w:rPr>
      </w:pPr>
    </w:p>
    <w:p w14:paraId="084C8B07">
      <w:pPr>
        <w:rPr>
          <w:rFonts w:hint="eastAsia" w:ascii="宋体" w:hAnsi="宋体" w:eastAsia="宋体" w:cs="宋体"/>
          <w:highlight w:val="none"/>
        </w:rPr>
      </w:pPr>
    </w:p>
    <w:p w14:paraId="0B405C79">
      <w:pPr>
        <w:pStyle w:val="11"/>
        <w:rPr>
          <w:rFonts w:hint="eastAsia" w:ascii="宋体" w:hAnsi="宋体" w:eastAsia="宋体" w:cs="宋体"/>
          <w:highlight w:val="none"/>
        </w:rPr>
      </w:pPr>
    </w:p>
    <w:p w14:paraId="5C40048E">
      <w:pPr>
        <w:pStyle w:val="11"/>
        <w:rPr>
          <w:rFonts w:hint="eastAsia" w:ascii="宋体" w:hAnsi="宋体" w:eastAsia="宋体" w:cs="宋体"/>
          <w:highlight w:val="none"/>
        </w:rPr>
      </w:pPr>
    </w:p>
    <w:p w14:paraId="450C1F89">
      <w:pPr>
        <w:pStyle w:val="11"/>
        <w:rPr>
          <w:rFonts w:hint="eastAsia" w:ascii="宋体" w:hAnsi="宋体" w:eastAsia="宋体" w:cs="宋体"/>
          <w:highlight w:val="none"/>
        </w:rPr>
      </w:pPr>
    </w:p>
    <w:p w14:paraId="33452042">
      <w:pPr>
        <w:pStyle w:val="11"/>
        <w:rPr>
          <w:rFonts w:hint="eastAsia" w:ascii="宋体" w:hAnsi="宋体" w:eastAsia="宋体" w:cs="宋体"/>
          <w:highlight w:val="none"/>
        </w:rPr>
      </w:pPr>
    </w:p>
    <w:p w14:paraId="380D6429">
      <w:pPr>
        <w:pStyle w:val="11"/>
        <w:rPr>
          <w:rFonts w:hint="eastAsia" w:ascii="宋体" w:hAnsi="宋体" w:eastAsia="宋体" w:cs="宋体"/>
          <w:highlight w:val="none"/>
        </w:rPr>
      </w:pPr>
    </w:p>
    <w:p w14:paraId="7A847F7F">
      <w:pPr>
        <w:pStyle w:val="3"/>
        <w:rPr>
          <w:rFonts w:hint="eastAsia" w:ascii="宋体" w:hAnsi="宋体" w:eastAsia="宋体" w:cs="宋体"/>
          <w:sz w:val="44"/>
          <w:szCs w:val="56"/>
          <w:highlight w:val="none"/>
        </w:rPr>
      </w:pPr>
      <w:r>
        <w:rPr>
          <w:rFonts w:hint="eastAsia" w:ascii="宋体" w:hAnsi="宋体" w:eastAsia="宋体" w:cs="宋体"/>
          <w:sz w:val="44"/>
          <w:szCs w:val="56"/>
          <w:highlight w:val="none"/>
        </w:rPr>
        <w:t>第一册专用条款</w:t>
      </w:r>
    </w:p>
    <w:p w14:paraId="1B4711ED">
      <w:pPr>
        <w:pStyle w:val="4"/>
        <w:numPr>
          <w:ilvl w:val="0"/>
          <w:numId w:val="2"/>
        </w:numPr>
        <w:jc w:val="center"/>
        <w:rPr>
          <w:rFonts w:hint="eastAsia" w:ascii="宋体" w:hAnsi="宋体" w:eastAsia="宋体" w:cs="宋体"/>
          <w:sz w:val="32"/>
          <w:szCs w:val="28"/>
          <w:highlight w:val="none"/>
        </w:rPr>
      </w:pPr>
      <w:r>
        <w:rPr>
          <w:rFonts w:hint="eastAsia" w:ascii="宋体" w:hAnsi="宋体" w:eastAsia="宋体" w:cs="宋体"/>
          <w:sz w:val="32"/>
          <w:szCs w:val="28"/>
          <w:highlight w:val="none"/>
        </w:rPr>
        <w:t>招标公告</w:t>
      </w:r>
    </w:p>
    <w:p w14:paraId="7C861CE6">
      <w:pPr>
        <w:pStyle w:val="8"/>
        <w:numPr>
          <w:ilvl w:val="0"/>
          <w:numId w:val="3"/>
        </w:numPr>
        <w:spacing w:before="78" w:beforeLines="25" w:after="78" w:afterLines="25"/>
        <w:ind w:firstLine="451" w:firstLineChars="18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申请人的资格要求：</w:t>
      </w:r>
    </w:p>
    <w:p w14:paraId="73EAB8D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left="0" w:right="0" w:firstLine="480"/>
        <w:jc w:val="both"/>
        <w:rPr>
          <w:rFonts w:hint="eastAsia" w:ascii="微软雅黑" w:hAnsi="微软雅黑" w:eastAsia="微软雅黑" w:cs="微软雅黑"/>
          <w:i w:val="0"/>
          <w:iCs w:val="0"/>
          <w:caps w:val="0"/>
          <w:color w:val="3F424D"/>
          <w:spacing w:val="0"/>
          <w:sz w:val="24"/>
          <w:szCs w:val="24"/>
          <w:highlight w:val="none"/>
        </w:rPr>
      </w:pPr>
      <w:r>
        <w:rPr>
          <w:rFonts w:hint="eastAsia" w:ascii="宋体" w:hAnsi="宋体" w:eastAsia="宋体" w:cs="宋体"/>
          <w:i w:val="0"/>
          <w:iCs w:val="0"/>
          <w:caps w:val="0"/>
          <w:color w:val="3F424D"/>
          <w:spacing w:val="0"/>
          <w:sz w:val="24"/>
          <w:szCs w:val="24"/>
          <w:highlight w:val="none"/>
          <w:shd w:val="clear" w:color="auto" w:fill="FFFFFF"/>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p w14:paraId="197465A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left="0" w:right="0" w:firstLine="480"/>
        <w:jc w:val="both"/>
        <w:rPr>
          <w:rFonts w:hint="eastAsia" w:ascii="微软雅黑" w:hAnsi="微软雅黑" w:eastAsia="宋体" w:cs="微软雅黑"/>
          <w:b/>
          <w:bCs/>
          <w:i w:val="0"/>
          <w:iCs w:val="0"/>
          <w:caps w:val="0"/>
          <w:color w:val="3F424D"/>
          <w:spacing w:val="0"/>
          <w:sz w:val="24"/>
          <w:szCs w:val="24"/>
          <w:highlight w:val="none"/>
          <w:lang w:val="en-US" w:eastAsia="zh-CN"/>
        </w:rPr>
      </w:pPr>
      <w:r>
        <w:rPr>
          <w:rFonts w:hint="eastAsia" w:ascii="宋体" w:hAnsi="宋体" w:eastAsia="宋体" w:cs="宋体"/>
          <w:b/>
          <w:bCs/>
          <w:i w:val="0"/>
          <w:iCs w:val="0"/>
          <w:caps w:val="0"/>
          <w:color w:val="3F424D"/>
          <w:spacing w:val="0"/>
          <w:sz w:val="24"/>
          <w:szCs w:val="24"/>
          <w:highlight w:val="none"/>
          <w:shd w:val="clear" w:color="auto" w:fill="FFFFFF"/>
        </w:rPr>
        <w:t>2、落实政府采购政策需满足的资格要求：本项目是专门面向中小企业采购，供应商应为中小微企业、监狱企业、残疾人福利性单位（由供应商在《中小企业声明函、残疾人福利性单位声明函及监狱企业声明函》中作出声明）</w:t>
      </w:r>
      <w:r>
        <w:rPr>
          <w:rFonts w:hint="eastAsia" w:ascii="宋体" w:hAnsi="宋体" w:eastAsia="宋体" w:cs="宋体"/>
          <w:b/>
          <w:bCs/>
          <w:i w:val="0"/>
          <w:iCs w:val="0"/>
          <w:caps w:val="0"/>
          <w:color w:val="3F424D"/>
          <w:spacing w:val="0"/>
          <w:sz w:val="24"/>
          <w:szCs w:val="24"/>
          <w:highlight w:val="none"/>
          <w:shd w:val="clear" w:color="auto" w:fill="FFFFFF"/>
          <w:lang w:eastAsia="zh-CN"/>
        </w:rPr>
        <w:t>；</w:t>
      </w:r>
    </w:p>
    <w:p w14:paraId="79005C6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left="0" w:right="0" w:firstLine="480"/>
        <w:jc w:val="both"/>
        <w:rPr>
          <w:rFonts w:hint="eastAsia" w:ascii="微软雅黑" w:hAnsi="微软雅黑" w:eastAsia="微软雅黑" w:cs="微软雅黑"/>
          <w:i w:val="0"/>
          <w:iCs w:val="0"/>
          <w:caps w:val="0"/>
          <w:color w:val="3F424D"/>
          <w:spacing w:val="0"/>
          <w:sz w:val="24"/>
          <w:szCs w:val="24"/>
          <w:highlight w:val="none"/>
        </w:rPr>
      </w:pPr>
      <w:r>
        <w:rPr>
          <w:rFonts w:hint="eastAsia" w:ascii="宋体" w:hAnsi="宋体" w:eastAsia="宋体" w:cs="宋体"/>
          <w:i w:val="0"/>
          <w:iCs w:val="0"/>
          <w:caps w:val="0"/>
          <w:color w:val="3F424D"/>
          <w:spacing w:val="0"/>
          <w:sz w:val="24"/>
          <w:szCs w:val="24"/>
          <w:highlight w:val="none"/>
          <w:shd w:val="clear" w:color="auto" w:fill="FFFFFF"/>
        </w:rPr>
        <w:t>3、本项目不接受联合体投标，不接受投标人选用进口产品参与投标</w:t>
      </w:r>
      <w:r>
        <w:rPr>
          <w:rFonts w:hint="eastAsia" w:ascii="宋体" w:hAnsi="宋体" w:eastAsia="宋体" w:cs="宋体"/>
          <w:i w:val="0"/>
          <w:iCs w:val="0"/>
          <w:caps w:val="0"/>
          <w:color w:val="3F424D"/>
          <w:spacing w:val="0"/>
          <w:sz w:val="24"/>
          <w:szCs w:val="24"/>
          <w:highlight w:val="none"/>
          <w:shd w:val="clear" w:color="auto" w:fill="FFFFFF"/>
          <w:lang w:eastAsia="zh-CN"/>
        </w:rPr>
        <w:t>，不允许转包分包</w:t>
      </w:r>
      <w:r>
        <w:rPr>
          <w:rFonts w:hint="eastAsia" w:ascii="宋体" w:hAnsi="宋体" w:eastAsia="宋体" w:cs="宋体"/>
          <w:i w:val="0"/>
          <w:iCs w:val="0"/>
          <w:caps w:val="0"/>
          <w:color w:val="3F424D"/>
          <w:spacing w:val="0"/>
          <w:sz w:val="24"/>
          <w:szCs w:val="24"/>
          <w:highlight w:val="none"/>
          <w:shd w:val="clear" w:color="auto" w:fill="FFFFFF"/>
        </w:rPr>
        <w:t>；</w:t>
      </w:r>
    </w:p>
    <w:p w14:paraId="6CEE920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left="0" w:right="0" w:firstLine="480"/>
        <w:jc w:val="both"/>
        <w:rPr>
          <w:rFonts w:hint="eastAsia" w:ascii="宋体" w:hAnsi="宋体" w:eastAsia="宋体" w:cs="宋体"/>
          <w:i w:val="0"/>
          <w:iCs w:val="0"/>
          <w:caps w:val="0"/>
          <w:color w:val="3F424D"/>
          <w:spacing w:val="0"/>
          <w:sz w:val="24"/>
          <w:szCs w:val="24"/>
          <w:highlight w:val="none"/>
          <w:shd w:val="clear" w:color="auto" w:fill="FFFFFF"/>
          <w:lang w:val="en-US" w:eastAsia="zh-CN"/>
        </w:rPr>
      </w:pPr>
      <w:r>
        <w:rPr>
          <w:rFonts w:hint="eastAsia" w:ascii="宋体" w:hAnsi="宋体" w:eastAsia="宋体" w:cs="宋体"/>
          <w:i w:val="0"/>
          <w:iCs w:val="0"/>
          <w:caps w:val="0"/>
          <w:color w:val="3F424D"/>
          <w:spacing w:val="0"/>
          <w:sz w:val="24"/>
          <w:szCs w:val="24"/>
          <w:highlight w:val="none"/>
          <w:shd w:val="clear" w:color="auto" w:fill="FFFFFF"/>
        </w:rPr>
        <w:t>4、</w:t>
      </w:r>
      <w:r>
        <w:rPr>
          <w:rFonts w:hint="eastAsia" w:ascii="宋体" w:hAnsi="宋体" w:eastAsia="宋体" w:cs="宋体"/>
          <w:i w:val="0"/>
          <w:iCs w:val="0"/>
          <w:caps w:val="0"/>
          <w:color w:val="3F424D"/>
          <w:spacing w:val="0"/>
          <w:sz w:val="24"/>
          <w:szCs w:val="24"/>
          <w:highlight w:val="none"/>
          <w:shd w:val="clear" w:color="auto" w:fill="FFFFFF"/>
          <w:lang w:val="en-US" w:eastAsia="zh-CN"/>
        </w:rPr>
        <w:t>投标人须为依法设立并已在深圳市建设行政主管部门办理企业信息登记及备案的法人企业或者其他非法人组织，且为深圳市政府采购注册供应商；（证明材料：①提供营业执照扫描件；②登记备案证明材料扫描件及“深圳市住房和建设局”网站的查询页面截图；③深圳市政府采购供应商注册卡或网站查询截图（注册查询网址：http://www.szzfcg.cn/home/1/indexca.jsp）；</w:t>
      </w:r>
    </w:p>
    <w:p w14:paraId="1169AC1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left="0" w:right="0" w:firstLine="480"/>
        <w:jc w:val="both"/>
        <w:rPr>
          <w:rFonts w:hint="eastAsia" w:ascii="宋体" w:hAnsi="宋体" w:eastAsia="宋体" w:cs="宋体"/>
          <w:b/>
          <w:bCs/>
          <w:i w:val="0"/>
          <w:iCs w:val="0"/>
          <w:caps w:val="0"/>
          <w:color w:val="3F424D"/>
          <w:spacing w:val="0"/>
          <w:sz w:val="24"/>
          <w:szCs w:val="24"/>
          <w:highlight w:val="none"/>
          <w:shd w:val="clear" w:color="auto" w:fill="FFFFFF"/>
          <w:lang w:val="en-US" w:eastAsia="zh-CN"/>
        </w:rPr>
      </w:pPr>
      <w:r>
        <w:rPr>
          <w:rFonts w:hint="eastAsia" w:ascii="宋体" w:hAnsi="宋体" w:eastAsia="宋体" w:cs="宋体"/>
          <w:b/>
          <w:bCs/>
          <w:i w:val="0"/>
          <w:iCs w:val="0"/>
          <w:caps w:val="0"/>
          <w:color w:val="3F424D"/>
          <w:spacing w:val="0"/>
          <w:sz w:val="24"/>
          <w:szCs w:val="24"/>
          <w:highlight w:val="none"/>
          <w:shd w:val="clear" w:color="auto" w:fill="FFFFFF"/>
          <w:lang w:val="en-US" w:eastAsia="zh-CN"/>
        </w:rPr>
        <w:t xml:space="preserve">5、投标申请人必须具备建筑装修装饰工程专业承包二级或以上企业资质（提供有效期内的资质证书扫描件）； </w:t>
      </w:r>
    </w:p>
    <w:p w14:paraId="242666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left="0" w:right="0" w:firstLine="480"/>
        <w:jc w:val="both"/>
        <w:rPr>
          <w:rFonts w:hint="eastAsia" w:ascii="宋体" w:hAnsi="宋体" w:eastAsia="宋体" w:cs="宋体"/>
          <w:b/>
          <w:bCs/>
          <w:i w:val="0"/>
          <w:iCs w:val="0"/>
          <w:caps w:val="0"/>
          <w:color w:val="3F424D"/>
          <w:spacing w:val="0"/>
          <w:sz w:val="24"/>
          <w:szCs w:val="24"/>
          <w:highlight w:val="none"/>
          <w:shd w:val="clear" w:color="auto" w:fill="FFFFFF"/>
          <w:lang w:val="en-US" w:eastAsia="zh-CN"/>
        </w:rPr>
      </w:pPr>
      <w:r>
        <w:rPr>
          <w:rFonts w:hint="eastAsia" w:ascii="宋体" w:hAnsi="宋体" w:eastAsia="宋体" w:cs="宋体"/>
          <w:b/>
          <w:bCs/>
          <w:i w:val="0"/>
          <w:iCs w:val="0"/>
          <w:caps w:val="0"/>
          <w:color w:val="3F424D"/>
          <w:spacing w:val="0"/>
          <w:sz w:val="24"/>
          <w:szCs w:val="24"/>
          <w:highlight w:val="none"/>
          <w:shd w:val="clear" w:color="auto" w:fill="FFFFFF"/>
          <w:lang w:val="en-US" w:eastAsia="zh-CN"/>
        </w:rPr>
        <w:t>6、拟派项目经理须具备注册建造师二级及以上资格；建筑工程专业，并具备安全生产考核合格证，提供有效期内的证书扫描件及近三个月内的社保证明（提供开标日前由投标人为拟投入本项目的项目经理缴交的载有政府部门公章（或专用章）的2024年6-8月的社保缴交证明材料（已退休返聘人员需提供聘用合同），如开标日上一个月的社保材料因政府部门原因暂时无法取得，则可以往前顺延一个月，原件备查。如供应商为新成立企业且成立时间不足3个月的，需承诺相关人员为投标人自有员工，承诺函格式自拟并加盖公章）；</w:t>
      </w:r>
    </w:p>
    <w:p w14:paraId="204CA07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left="0" w:right="0" w:firstLine="480"/>
        <w:jc w:val="both"/>
        <w:rPr>
          <w:rFonts w:hint="eastAsia" w:ascii="宋体" w:hAnsi="宋体" w:eastAsia="宋体" w:cs="宋体"/>
          <w:b/>
          <w:bCs/>
          <w:i w:val="0"/>
          <w:iCs w:val="0"/>
          <w:caps w:val="0"/>
          <w:color w:val="3F424D"/>
          <w:spacing w:val="0"/>
          <w:sz w:val="24"/>
          <w:szCs w:val="24"/>
          <w:highlight w:val="none"/>
          <w:shd w:val="clear" w:color="auto" w:fill="FFFFFF"/>
          <w:lang w:val="en-US" w:eastAsia="zh-CN"/>
        </w:rPr>
      </w:pPr>
      <w:r>
        <w:rPr>
          <w:rFonts w:hint="eastAsia" w:ascii="宋体" w:hAnsi="宋体" w:eastAsia="宋体" w:cs="宋体"/>
          <w:b/>
          <w:bCs/>
          <w:i w:val="0"/>
          <w:iCs w:val="0"/>
          <w:caps w:val="0"/>
          <w:color w:val="3F424D"/>
          <w:spacing w:val="0"/>
          <w:sz w:val="24"/>
          <w:szCs w:val="24"/>
          <w:highlight w:val="none"/>
          <w:shd w:val="clear" w:color="auto" w:fill="FFFFFF"/>
          <w:lang w:val="en-US" w:eastAsia="zh-CN"/>
        </w:rPr>
        <w:t>7、投标申请人必须具备有效期内的安全生产许可证，提供有效期内的证书扫描件；</w:t>
      </w:r>
    </w:p>
    <w:p w14:paraId="60B47DF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left="0" w:right="0" w:firstLine="480"/>
        <w:jc w:val="both"/>
        <w:rPr>
          <w:rFonts w:hint="eastAsia" w:ascii="微软雅黑" w:hAnsi="微软雅黑" w:eastAsia="微软雅黑" w:cs="微软雅黑"/>
          <w:i w:val="0"/>
          <w:iCs w:val="0"/>
          <w:caps w:val="0"/>
          <w:color w:val="3F424D"/>
          <w:spacing w:val="0"/>
          <w:sz w:val="24"/>
          <w:szCs w:val="24"/>
          <w:highlight w:val="none"/>
        </w:rPr>
      </w:pPr>
      <w:r>
        <w:rPr>
          <w:rFonts w:hint="eastAsia" w:ascii="宋体" w:hAnsi="宋体" w:eastAsia="宋体" w:cs="宋体"/>
          <w:i w:val="0"/>
          <w:iCs w:val="0"/>
          <w:caps w:val="0"/>
          <w:color w:val="3F424D"/>
          <w:spacing w:val="0"/>
          <w:sz w:val="24"/>
          <w:szCs w:val="24"/>
          <w:highlight w:val="none"/>
          <w:shd w:val="clear" w:color="auto" w:fill="FFFFFF"/>
          <w:lang w:val="en-US" w:eastAsia="zh-CN"/>
        </w:rPr>
        <w:t>8、</w:t>
      </w:r>
      <w:r>
        <w:rPr>
          <w:rFonts w:hint="eastAsia" w:ascii="宋体" w:hAnsi="宋体" w:eastAsia="宋体" w:cs="宋体"/>
          <w:i w:val="0"/>
          <w:iCs w:val="0"/>
          <w:caps w:val="0"/>
          <w:color w:val="3F424D"/>
          <w:spacing w:val="0"/>
          <w:sz w:val="24"/>
          <w:szCs w:val="24"/>
          <w:highlight w:val="none"/>
          <w:shd w:val="clear" w:color="auto" w:fill="FFFFFF"/>
        </w:rPr>
        <w:t>参与本项目投标前三年内，在经营活动中没有重大违法记录（由供应商在《龙华区教育局自行采购投标及履约承诺函》中作出声明）；</w:t>
      </w:r>
    </w:p>
    <w:p w14:paraId="10C51AE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left="0" w:right="0" w:firstLine="480"/>
        <w:jc w:val="both"/>
        <w:rPr>
          <w:rFonts w:hint="eastAsia" w:ascii="微软雅黑" w:hAnsi="微软雅黑" w:eastAsia="微软雅黑" w:cs="微软雅黑"/>
          <w:i w:val="0"/>
          <w:iCs w:val="0"/>
          <w:caps w:val="0"/>
          <w:color w:val="3F424D"/>
          <w:spacing w:val="0"/>
          <w:sz w:val="24"/>
          <w:szCs w:val="24"/>
          <w:highlight w:val="none"/>
        </w:rPr>
      </w:pPr>
      <w:r>
        <w:rPr>
          <w:rFonts w:hint="eastAsia" w:ascii="宋体" w:hAnsi="宋体" w:eastAsia="宋体" w:cs="宋体"/>
          <w:i w:val="0"/>
          <w:iCs w:val="0"/>
          <w:caps w:val="0"/>
          <w:color w:val="3F424D"/>
          <w:spacing w:val="0"/>
          <w:sz w:val="24"/>
          <w:szCs w:val="24"/>
          <w:highlight w:val="none"/>
          <w:shd w:val="clear" w:color="auto" w:fill="FFFFFF"/>
          <w:lang w:val="en-US" w:eastAsia="zh-CN"/>
        </w:rPr>
        <w:t>9、</w:t>
      </w:r>
      <w:r>
        <w:rPr>
          <w:rFonts w:hint="eastAsia" w:ascii="宋体" w:hAnsi="宋体" w:eastAsia="宋体" w:cs="宋体"/>
          <w:i w:val="0"/>
          <w:iCs w:val="0"/>
          <w:caps w:val="0"/>
          <w:color w:val="3F424D"/>
          <w:spacing w:val="0"/>
          <w:sz w:val="24"/>
          <w:szCs w:val="24"/>
          <w:highlight w:val="none"/>
          <w:shd w:val="clear" w:color="auto" w:fill="FFFFFF"/>
        </w:rPr>
        <w:t>参与本项目政府采购活动时不存在被有关部门禁止参与政府采购活动且在有效期内的情况（由供应商在《龙华区教育局自行采购投标及履约承诺函》中作出声明）；</w:t>
      </w:r>
    </w:p>
    <w:p w14:paraId="314508F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left="0" w:right="0" w:firstLine="480"/>
        <w:jc w:val="both"/>
        <w:rPr>
          <w:rFonts w:hint="eastAsia" w:ascii="微软雅黑" w:hAnsi="微软雅黑" w:eastAsia="微软雅黑" w:cs="微软雅黑"/>
          <w:i w:val="0"/>
          <w:iCs w:val="0"/>
          <w:caps w:val="0"/>
          <w:color w:val="3F424D"/>
          <w:spacing w:val="0"/>
          <w:sz w:val="24"/>
          <w:szCs w:val="24"/>
          <w:highlight w:val="none"/>
        </w:rPr>
      </w:pPr>
      <w:r>
        <w:rPr>
          <w:rFonts w:hint="eastAsia" w:ascii="宋体" w:hAnsi="宋体" w:eastAsia="宋体" w:cs="宋体"/>
          <w:i w:val="0"/>
          <w:iCs w:val="0"/>
          <w:caps w:val="0"/>
          <w:color w:val="3F424D"/>
          <w:spacing w:val="0"/>
          <w:sz w:val="24"/>
          <w:szCs w:val="24"/>
          <w:highlight w:val="none"/>
          <w:shd w:val="clear" w:color="auto" w:fill="FFFFFF"/>
          <w:lang w:val="en-US" w:eastAsia="zh-CN"/>
        </w:rPr>
        <w:t>10、</w:t>
      </w:r>
      <w:r>
        <w:rPr>
          <w:rFonts w:hint="eastAsia" w:ascii="宋体" w:hAnsi="宋体" w:eastAsia="宋体" w:cs="宋体"/>
          <w:i w:val="0"/>
          <w:iCs w:val="0"/>
          <w:caps w:val="0"/>
          <w:color w:val="3F424D"/>
          <w:spacing w:val="0"/>
          <w:sz w:val="24"/>
          <w:szCs w:val="24"/>
          <w:highlight w:val="none"/>
          <w:shd w:val="clear" w:color="auto" w:fill="FFFFFF"/>
        </w:rPr>
        <w:t>具备《中华人民共和国政府采购法》第二十二条第一款的条件（由供应商在《龙华区教育局自行采购投标及履约承诺函》中作出声明）；</w:t>
      </w:r>
    </w:p>
    <w:p w14:paraId="139A173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30" w:lineRule="atLeast"/>
        <w:ind w:left="0" w:right="0" w:firstLine="480"/>
        <w:jc w:val="both"/>
        <w:rPr>
          <w:rFonts w:hint="eastAsia" w:ascii="微软雅黑" w:hAnsi="微软雅黑" w:eastAsia="微软雅黑" w:cs="微软雅黑"/>
          <w:i w:val="0"/>
          <w:iCs w:val="0"/>
          <w:caps w:val="0"/>
          <w:color w:val="3F424D"/>
          <w:spacing w:val="0"/>
          <w:sz w:val="24"/>
          <w:szCs w:val="24"/>
          <w:highlight w:val="none"/>
        </w:rPr>
      </w:pPr>
      <w:r>
        <w:rPr>
          <w:rFonts w:hint="eastAsia" w:ascii="宋体" w:hAnsi="宋体" w:eastAsia="宋体" w:cs="宋体"/>
          <w:i w:val="0"/>
          <w:iCs w:val="0"/>
          <w:caps w:val="0"/>
          <w:color w:val="3F424D"/>
          <w:spacing w:val="0"/>
          <w:sz w:val="24"/>
          <w:szCs w:val="24"/>
          <w:highlight w:val="none"/>
          <w:shd w:val="clear" w:color="auto" w:fill="FFFFFF"/>
          <w:lang w:val="en-US" w:eastAsia="zh-CN"/>
        </w:rPr>
        <w:t>11、</w:t>
      </w:r>
      <w:r>
        <w:rPr>
          <w:rFonts w:hint="eastAsia" w:ascii="宋体" w:hAnsi="宋体" w:eastAsia="宋体" w:cs="宋体"/>
          <w:i w:val="0"/>
          <w:iCs w:val="0"/>
          <w:caps w:val="0"/>
          <w:color w:val="3F424D"/>
          <w:spacing w:val="0"/>
          <w:sz w:val="24"/>
          <w:szCs w:val="24"/>
          <w:highlight w:val="none"/>
          <w:shd w:val="clear" w:color="auto" w:fill="FFFFFF"/>
        </w:rPr>
        <w:t>未被列入失信被执行人、重大税收违法案件当事人名单（税收违法黑名单）、政府采购严重违法失信行为记录名单（由供应商在《龙华区教育局自行采购投标及履约承诺函》中作出声明）。注：“信用中国”、“中国政府采购网”、“深圳信用网”以及“深圳市政府采购监管网”为供应商信用信息的查询渠道，相关信息以开标当日的查询结果为准；</w:t>
      </w:r>
    </w:p>
    <w:p w14:paraId="60F35927">
      <w:pPr>
        <w:rPr>
          <w:rFonts w:hint="eastAsia" w:ascii="宋体" w:hAnsi="宋体" w:eastAsia="宋体" w:cs="宋体"/>
          <w:b/>
          <w:bCs/>
          <w:sz w:val="24"/>
          <w:szCs w:val="24"/>
          <w:highlight w:val="none"/>
        </w:rPr>
      </w:pPr>
      <w:r>
        <w:rPr>
          <w:rFonts w:hint="eastAsia" w:ascii="宋体" w:hAnsi="宋体" w:eastAsia="宋体" w:cs="宋体"/>
          <w:i w:val="0"/>
          <w:iCs w:val="0"/>
          <w:caps w:val="0"/>
          <w:color w:val="3F424D"/>
          <w:spacing w:val="0"/>
          <w:sz w:val="24"/>
          <w:szCs w:val="24"/>
          <w:highlight w:val="none"/>
          <w:shd w:val="clear" w:color="auto" w:fill="FFFFFF"/>
          <w:lang w:val="en-US" w:eastAsia="zh-CN"/>
        </w:rPr>
        <w:t>12、</w:t>
      </w:r>
      <w:r>
        <w:rPr>
          <w:rFonts w:hint="eastAsia" w:ascii="宋体" w:hAnsi="宋体" w:eastAsia="宋体" w:cs="宋体"/>
          <w:i w:val="0"/>
          <w:iCs w:val="0"/>
          <w:caps w:val="0"/>
          <w:color w:val="3F424D"/>
          <w:spacing w:val="0"/>
          <w:sz w:val="24"/>
          <w:szCs w:val="24"/>
          <w:highlight w:val="none"/>
          <w:shd w:val="clear" w:color="auto" w:fill="FFFFFF"/>
        </w:rPr>
        <w:t>依据《中华人民共和国政府采购法实施条例》第十八条第一款规定，单位负责人为同一人或者存在直接控股、管理关系的不同供应商，不得参加同一合同项下的政府采购活动（由供应商在《龙华区教育局自行采购投标及履约承诺函》中作出声明并根据实际填写“股东构成审查表 ”（详见采购文件相应章节）。</w:t>
      </w:r>
      <w:r>
        <w:rPr>
          <w:rFonts w:hint="eastAsia" w:ascii="宋体" w:hAnsi="宋体" w:eastAsia="宋体" w:cs="宋体"/>
          <w:i w:val="0"/>
          <w:iCs w:val="0"/>
          <w:caps w:val="0"/>
          <w:color w:val="3F424D"/>
          <w:spacing w:val="0"/>
          <w:sz w:val="24"/>
          <w:szCs w:val="24"/>
          <w:highlight w:val="none"/>
          <w:shd w:val="clear" w:color="auto" w:fill="FFFFFF"/>
        </w:rPr>
        <w:br w:type="textWrapping"/>
      </w:r>
      <w:r>
        <w:rPr>
          <w:rFonts w:hint="eastAsia" w:ascii="宋体" w:hAnsi="宋体" w:eastAsia="宋体" w:cs="宋体"/>
          <w:b/>
          <w:bCs/>
          <w:sz w:val="24"/>
          <w:szCs w:val="24"/>
          <w:highlight w:val="none"/>
        </w:rPr>
        <w:t>完整公告内容以网站公布信息为准：</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lang w:val="en-US" w:eastAsia="zh-CN"/>
        </w:rPr>
        <w:t>深圳政府采购自行采购系统</w:t>
      </w:r>
      <w:r>
        <w:rPr>
          <w:rFonts w:hint="eastAsia" w:ascii="宋体" w:hAnsi="宋体" w:eastAsia="宋体" w:cs="宋体"/>
          <w:b/>
          <w:bCs/>
          <w:sz w:val="24"/>
          <w:szCs w:val="24"/>
          <w:highlight w:val="none"/>
        </w:rPr>
        <w:t>:（https://zxcg.szggzy.com/home/index.html）</w:t>
      </w:r>
    </w:p>
    <w:p w14:paraId="26F55469">
      <w:pPr>
        <w:pStyle w:val="2"/>
        <w:spacing w:line="240" w:lineRule="auto"/>
        <w:rPr>
          <w:rFonts w:hint="default" w:ascii="宋体" w:hAnsi="宋体" w:eastAsia="宋体" w:cs="宋体"/>
          <w:sz w:val="24"/>
          <w:szCs w:val="24"/>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4"/>
          <w:szCs w:val="24"/>
          <w:highlight w:val="none"/>
          <w:lang w:eastAsia="zh-CN"/>
        </w:rPr>
        <w:t>深圳市东海国际招标有限公司</w:t>
      </w:r>
      <w:r>
        <w:rPr>
          <w:rFonts w:hint="eastAsia" w:ascii="宋体" w:hAnsi="宋体" w:eastAsia="宋体" w:cs="宋体"/>
          <w:sz w:val="24"/>
          <w:szCs w:val="24"/>
          <w:highlight w:val="none"/>
        </w:rPr>
        <w:t>官网</w:t>
      </w:r>
      <w:r>
        <w:rPr>
          <w:rFonts w:hint="eastAsia" w:ascii="宋体" w:hAnsi="宋体" w:eastAsia="宋体" w:cs="宋体"/>
          <w:sz w:val="24"/>
          <w:szCs w:val="24"/>
          <w:highlight w:val="none"/>
          <w:lang w:val="en-US" w:eastAsia="zh-CN"/>
        </w:rPr>
        <w:t>:(www.szdhit.com)</w:t>
      </w:r>
    </w:p>
    <w:p w14:paraId="4C42D0E2">
      <w:pPr>
        <w:pStyle w:val="4"/>
        <w:numPr>
          <w:ilvl w:val="0"/>
          <w:numId w:val="2"/>
        </w:numPr>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投标人须知及其他关键信息</w:t>
      </w:r>
    </w:p>
    <w:p w14:paraId="3CB6F3CB">
      <w:pPr>
        <w:numPr>
          <w:ilvl w:val="0"/>
          <w:numId w:val="4"/>
        </w:numPr>
        <w:rPr>
          <w:rFonts w:hint="eastAsia" w:ascii="宋体" w:hAnsi="宋体" w:eastAsia="宋体" w:cs="宋体"/>
          <w:b/>
          <w:bCs/>
          <w:highlight w:val="none"/>
        </w:rPr>
      </w:pPr>
      <w:r>
        <w:rPr>
          <w:rFonts w:hint="eastAsia" w:ascii="宋体" w:hAnsi="宋体" w:eastAsia="宋体" w:cs="宋体"/>
          <w:b/>
          <w:bCs/>
          <w:highlight w:val="none"/>
        </w:rPr>
        <w:t>投标人须知</w:t>
      </w:r>
    </w:p>
    <w:p w14:paraId="5C312579">
      <w:pPr>
        <w:pStyle w:val="2"/>
        <w:rPr>
          <w:rFonts w:hint="eastAsia" w:ascii="宋体" w:hAnsi="宋体" w:eastAsia="宋体" w:cs="宋体"/>
          <w:highlight w:val="none"/>
        </w:rPr>
      </w:pPr>
      <w:r>
        <w:rPr>
          <w:rFonts w:hint="eastAsia" w:ascii="宋体" w:hAnsi="宋体" w:eastAsia="宋体" w:cs="宋体"/>
          <w:highlight w:val="none"/>
        </w:rPr>
        <w:t>(一)对条款的补充内容</w:t>
      </w:r>
    </w:p>
    <w:tbl>
      <w:tblPr>
        <w:tblStyle w:val="18"/>
        <w:tblW w:w="915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1839"/>
        <w:gridCol w:w="6554"/>
      </w:tblGrid>
      <w:tr w14:paraId="53577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5D2EBACE">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通用条款序号</w:t>
            </w:r>
          </w:p>
        </w:tc>
        <w:tc>
          <w:tcPr>
            <w:tcW w:w="1839" w:type="dxa"/>
            <w:vAlign w:val="center"/>
          </w:tcPr>
          <w:p w14:paraId="38B16139">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涉及事项</w:t>
            </w:r>
          </w:p>
        </w:tc>
        <w:tc>
          <w:tcPr>
            <w:tcW w:w="6554" w:type="dxa"/>
            <w:vAlign w:val="center"/>
          </w:tcPr>
          <w:p w14:paraId="4D17BEDF">
            <w:pPr>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具  体  补  充  内  容</w:t>
            </w:r>
          </w:p>
        </w:tc>
      </w:tr>
      <w:tr w14:paraId="3F93CD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44A57B54">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3.1</w:t>
            </w:r>
          </w:p>
        </w:tc>
        <w:tc>
          <w:tcPr>
            <w:tcW w:w="1839" w:type="dxa"/>
            <w:vAlign w:val="center"/>
          </w:tcPr>
          <w:p w14:paraId="52221C54">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采购人</w:t>
            </w:r>
          </w:p>
        </w:tc>
        <w:tc>
          <w:tcPr>
            <w:tcW w:w="6554" w:type="dxa"/>
            <w:vAlign w:val="center"/>
          </w:tcPr>
          <w:p w14:paraId="6FC44231">
            <w:pPr>
              <w:jc w:val="center"/>
              <w:rPr>
                <w:rFonts w:hint="eastAsia" w:ascii="宋体" w:hAnsi="宋体" w:eastAsia="宋体" w:cs="宋体"/>
                <w:sz w:val="22"/>
                <w:szCs w:val="22"/>
                <w:highlight w:val="none"/>
              </w:rPr>
            </w:pPr>
            <w:r>
              <w:rPr>
                <w:rFonts w:hint="eastAsia" w:ascii="宋体" w:hAnsi="宋体" w:eastAsia="宋体" w:cs="宋体"/>
                <w:color w:val="333333"/>
                <w:sz w:val="22"/>
                <w:szCs w:val="22"/>
                <w:highlight w:val="none"/>
                <w:shd w:val="clear" w:color="auto" w:fill="FFFFFF"/>
                <w:lang w:eastAsia="zh-CN" w:bidi="ar"/>
              </w:rPr>
              <w:t xml:space="preserve"> 华东师范大学附属深圳龙华学校教育集团   </w:t>
            </w:r>
            <w:r>
              <w:rPr>
                <w:rFonts w:hint="eastAsia" w:ascii="宋体" w:hAnsi="宋体" w:eastAsia="宋体" w:cs="宋体"/>
                <w:color w:val="333333"/>
                <w:sz w:val="22"/>
                <w:szCs w:val="22"/>
                <w:highlight w:val="none"/>
                <w:shd w:val="clear" w:color="auto" w:fill="FFFFFF"/>
                <w:lang w:bidi="ar"/>
              </w:rPr>
              <w:t xml:space="preserve"> </w:t>
            </w:r>
          </w:p>
        </w:tc>
      </w:tr>
      <w:tr w14:paraId="2A5E8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24D5732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3.2</w:t>
            </w:r>
          </w:p>
        </w:tc>
        <w:tc>
          <w:tcPr>
            <w:tcW w:w="1839" w:type="dxa"/>
            <w:vAlign w:val="center"/>
          </w:tcPr>
          <w:p w14:paraId="1382302A">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招标代理机构</w:t>
            </w:r>
          </w:p>
        </w:tc>
        <w:tc>
          <w:tcPr>
            <w:tcW w:w="6554" w:type="dxa"/>
            <w:vAlign w:val="center"/>
          </w:tcPr>
          <w:p w14:paraId="2075986D">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深圳市东海国际招标有限公司</w:t>
            </w:r>
          </w:p>
        </w:tc>
      </w:tr>
      <w:tr w14:paraId="00655E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0E30E7FF">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5.3</w:t>
            </w:r>
          </w:p>
        </w:tc>
        <w:tc>
          <w:tcPr>
            <w:tcW w:w="1839" w:type="dxa"/>
            <w:vAlign w:val="center"/>
          </w:tcPr>
          <w:p w14:paraId="0334A50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联合体投标</w:t>
            </w:r>
          </w:p>
        </w:tc>
        <w:tc>
          <w:tcPr>
            <w:tcW w:w="6554" w:type="dxa"/>
            <w:vAlign w:val="center"/>
          </w:tcPr>
          <w:p w14:paraId="188147F4">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不接受</w:t>
            </w:r>
          </w:p>
        </w:tc>
      </w:tr>
      <w:tr w14:paraId="2A86D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417065B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9</w:t>
            </w:r>
          </w:p>
        </w:tc>
        <w:tc>
          <w:tcPr>
            <w:tcW w:w="1839" w:type="dxa"/>
            <w:vAlign w:val="center"/>
          </w:tcPr>
          <w:p w14:paraId="15EB0405">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踏勘现场</w:t>
            </w:r>
          </w:p>
        </w:tc>
        <w:tc>
          <w:tcPr>
            <w:tcW w:w="6554" w:type="dxa"/>
            <w:vAlign w:val="center"/>
          </w:tcPr>
          <w:p w14:paraId="7F58DE4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不组织</w:t>
            </w:r>
          </w:p>
        </w:tc>
      </w:tr>
      <w:tr w14:paraId="1584F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0B5D41E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10</w:t>
            </w:r>
          </w:p>
        </w:tc>
        <w:tc>
          <w:tcPr>
            <w:tcW w:w="1839" w:type="dxa"/>
            <w:vAlign w:val="center"/>
          </w:tcPr>
          <w:p w14:paraId="167F483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标前会议</w:t>
            </w:r>
          </w:p>
        </w:tc>
        <w:tc>
          <w:tcPr>
            <w:tcW w:w="6554" w:type="dxa"/>
            <w:vAlign w:val="center"/>
          </w:tcPr>
          <w:p w14:paraId="714FA8C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不组织</w:t>
            </w:r>
          </w:p>
        </w:tc>
      </w:tr>
      <w:tr w14:paraId="05A7F9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1BB10054">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12/13</w:t>
            </w:r>
          </w:p>
        </w:tc>
        <w:tc>
          <w:tcPr>
            <w:tcW w:w="1839" w:type="dxa"/>
            <w:vAlign w:val="center"/>
          </w:tcPr>
          <w:p w14:paraId="4C48CCA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招标文件的澄清和修改</w:t>
            </w:r>
          </w:p>
        </w:tc>
        <w:tc>
          <w:tcPr>
            <w:tcW w:w="6554" w:type="dxa"/>
            <w:vAlign w:val="center"/>
          </w:tcPr>
          <w:p w14:paraId="3D35A099">
            <w:pPr>
              <w:rPr>
                <w:rFonts w:hint="eastAsia" w:ascii="宋体" w:hAnsi="宋体" w:eastAsia="宋体" w:cs="宋体"/>
                <w:sz w:val="22"/>
                <w:szCs w:val="22"/>
                <w:highlight w:val="none"/>
              </w:rPr>
            </w:pPr>
            <w:r>
              <w:rPr>
                <w:rFonts w:hint="eastAsia" w:ascii="宋体" w:hAnsi="宋体" w:eastAsia="宋体" w:cs="宋体"/>
                <w:sz w:val="22"/>
                <w:szCs w:val="22"/>
                <w:highlight w:val="none"/>
              </w:rPr>
              <w:t>不晚于投标截止日三日前，投标人有义务在招标期间在本项目约定的信息公告</w:t>
            </w:r>
            <w:r>
              <w:rPr>
                <w:rFonts w:hint="eastAsia" w:ascii="宋体" w:hAnsi="宋体" w:eastAsia="宋体" w:cs="宋体"/>
                <w:sz w:val="22"/>
                <w:szCs w:val="22"/>
                <w:highlight w:val="none"/>
                <w:lang w:eastAsia="zh-CN"/>
              </w:rPr>
              <w:t>服务</w:t>
            </w:r>
            <w:r>
              <w:rPr>
                <w:rFonts w:hint="eastAsia" w:ascii="宋体" w:hAnsi="宋体" w:eastAsia="宋体" w:cs="宋体"/>
                <w:sz w:val="22"/>
                <w:szCs w:val="22"/>
                <w:highlight w:val="none"/>
              </w:rPr>
              <w:t>平台网站浏览与本项目有关的澄清和修改信息</w:t>
            </w:r>
          </w:p>
        </w:tc>
      </w:tr>
      <w:tr w14:paraId="556597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633C814E">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20</w:t>
            </w:r>
          </w:p>
        </w:tc>
        <w:tc>
          <w:tcPr>
            <w:tcW w:w="1839" w:type="dxa"/>
            <w:vAlign w:val="center"/>
          </w:tcPr>
          <w:p w14:paraId="49CAD381">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投标有效期</w:t>
            </w:r>
          </w:p>
        </w:tc>
        <w:tc>
          <w:tcPr>
            <w:tcW w:w="6554" w:type="dxa"/>
            <w:vAlign w:val="center"/>
          </w:tcPr>
          <w:p w14:paraId="6F6D40C1">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120个日历日</w:t>
            </w:r>
          </w:p>
        </w:tc>
      </w:tr>
      <w:tr w14:paraId="5B50E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614C2A6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w:t>
            </w:r>
          </w:p>
        </w:tc>
        <w:tc>
          <w:tcPr>
            <w:tcW w:w="1839" w:type="dxa"/>
            <w:vAlign w:val="center"/>
          </w:tcPr>
          <w:p w14:paraId="731AA8EF">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投标人的替代方案</w:t>
            </w:r>
          </w:p>
        </w:tc>
        <w:tc>
          <w:tcPr>
            <w:tcW w:w="6554" w:type="dxa"/>
            <w:vAlign w:val="center"/>
          </w:tcPr>
          <w:p w14:paraId="1CE8C15B">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不接受</w:t>
            </w:r>
          </w:p>
        </w:tc>
      </w:tr>
      <w:tr w14:paraId="38602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7802706F">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25</w:t>
            </w:r>
          </w:p>
        </w:tc>
        <w:tc>
          <w:tcPr>
            <w:tcW w:w="1839" w:type="dxa"/>
            <w:vAlign w:val="center"/>
          </w:tcPr>
          <w:p w14:paraId="6C1907ED">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投标文件的大小</w:t>
            </w:r>
          </w:p>
        </w:tc>
        <w:tc>
          <w:tcPr>
            <w:tcW w:w="6554" w:type="dxa"/>
            <w:vAlign w:val="center"/>
          </w:tcPr>
          <w:p w14:paraId="3940934F">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投标文件大小不得超过100MB</w:t>
            </w:r>
          </w:p>
        </w:tc>
      </w:tr>
      <w:tr w14:paraId="25206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4E16231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26</w:t>
            </w:r>
          </w:p>
        </w:tc>
        <w:tc>
          <w:tcPr>
            <w:tcW w:w="1839" w:type="dxa"/>
            <w:vAlign w:val="center"/>
          </w:tcPr>
          <w:p w14:paraId="7724EC6D">
            <w:pPr>
              <w:jc w:val="center"/>
              <w:rPr>
                <w:rFonts w:hint="eastAsia" w:ascii="宋体" w:hAnsi="宋体" w:eastAsia="宋体" w:cs="宋体"/>
                <w:sz w:val="22"/>
                <w:szCs w:val="22"/>
                <w:highlight w:val="none"/>
              </w:rPr>
            </w:pPr>
            <w:bookmarkStart w:id="1" w:name="_Hlk71664860"/>
            <w:r>
              <w:rPr>
                <w:rFonts w:hint="eastAsia" w:ascii="宋体" w:hAnsi="宋体" w:eastAsia="宋体" w:cs="宋体"/>
                <w:sz w:val="22"/>
                <w:szCs w:val="22"/>
                <w:highlight w:val="none"/>
              </w:rPr>
              <w:t>样品、现场演示、方案讲解</w:t>
            </w:r>
            <w:bookmarkEnd w:id="1"/>
          </w:p>
        </w:tc>
        <w:tc>
          <w:tcPr>
            <w:tcW w:w="6554" w:type="dxa"/>
            <w:vAlign w:val="center"/>
          </w:tcPr>
          <w:p w14:paraId="3C0C0950">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不需要</w:t>
            </w:r>
          </w:p>
        </w:tc>
      </w:tr>
      <w:tr w14:paraId="3FB7B4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3D2643C2">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37</w:t>
            </w:r>
          </w:p>
        </w:tc>
        <w:tc>
          <w:tcPr>
            <w:tcW w:w="1839" w:type="dxa"/>
            <w:vAlign w:val="center"/>
          </w:tcPr>
          <w:p w14:paraId="7B171544">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评审方法</w:t>
            </w:r>
          </w:p>
        </w:tc>
        <w:tc>
          <w:tcPr>
            <w:tcW w:w="6554" w:type="dxa"/>
            <w:vAlign w:val="center"/>
          </w:tcPr>
          <w:p w14:paraId="38B9A7E0">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综合评分法</w:t>
            </w:r>
          </w:p>
        </w:tc>
      </w:tr>
      <w:tr w14:paraId="59003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1D54CFDE">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38.1</w:t>
            </w:r>
          </w:p>
        </w:tc>
        <w:tc>
          <w:tcPr>
            <w:tcW w:w="1839" w:type="dxa"/>
            <w:vAlign w:val="center"/>
          </w:tcPr>
          <w:p w14:paraId="0D3DF04E">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替补中标候选人</w:t>
            </w:r>
          </w:p>
        </w:tc>
        <w:tc>
          <w:tcPr>
            <w:tcW w:w="6554" w:type="dxa"/>
            <w:vAlign w:val="center"/>
          </w:tcPr>
          <w:p w14:paraId="5C03F7C7">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是</w:t>
            </w:r>
            <w:r>
              <w:rPr>
                <w:rFonts w:hint="eastAsia" w:ascii="宋体" w:hAnsi="宋体" w:eastAsia="宋体" w:cs="宋体"/>
                <w:sz w:val="22"/>
                <w:szCs w:val="22"/>
                <w:highlight w:val="none"/>
              </w:rPr>
              <w:t>；</w:t>
            </w:r>
          </w:p>
        </w:tc>
      </w:tr>
      <w:tr w14:paraId="5AFE67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77A659C3">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38.2</w:t>
            </w:r>
          </w:p>
        </w:tc>
        <w:tc>
          <w:tcPr>
            <w:tcW w:w="1839" w:type="dxa"/>
            <w:vAlign w:val="center"/>
          </w:tcPr>
          <w:p w14:paraId="0E9EBC2D">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定标方法</w:t>
            </w:r>
          </w:p>
        </w:tc>
        <w:tc>
          <w:tcPr>
            <w:tcW w:w="6554" w:type="dxa"/>
            <w:vAlign w:val="center"/>
          </w:tcPr>
          <w:p w14:paraId="0B228B9C">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评定分离</w:t>
            </w:r>
          </w:p>
        </w:tc>
      </w:tr>
      <w:tr w14:paraId="58342E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vAlign w:val="center"/>
          </w:tcPr>
          <w:p w14:paraId="18D95678">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46</w:t>
            </w:r>
          </w:p>
        </w:tc>
        <w:tc>
          <w:tcPr>
            <w:tcW w:w="1839" w:type="dxa"/>
            <w:vAlign w:val="center"/>
          </w:tcPr>
          <w:p w14:paraId="12897D03">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履约担保</w:t>
            </w:r>
          </w:p>
        </w:tc>
        <w:tc>
          <w:tcPr>
            <w:tcW w:w="6554" w:type="dxa"/>
            <w:vAlign w:val="center"/>
          </w:tcPr>
          <w:p w14:paraId="67648615">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不需要</w:t>
            </w:r>
          </w:p>
        </w:tc>
      </w:tr>
      <w:tr w14:paraId="0E43F7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66" w:type="dxa"/>
          </w:tcPr>
          <w:p w14:paraId="5D56FA9A">
            <w:pPr>
              <w:pStyle w:val="38"/>
              <w:rPr>
                <w:rFonts w:hint="eastAsia" w:ascii="宋体" w:hAnsi="宋体" w:eastAsia="宋体" w:cs="宋体"/>
                <w:b/>
                <w:sz w:val="22"/>
                <w:szCs w:val="22"/>
                <w:highlight w:val="none"/>
              </w:rPr>
            </w:pPr>
          </w:p>
          <w:p w14:paraId="466D2D87">
            <w:pPr>
              <w:pStyle w:val="38"/>
              <w:rPr>
                <w:rFonts w:hint="eastAsia" w:ascii="宋体" w:hAnsi="宋体" w:eastAsia="宋体" w:cs="宋体"/>
                <w:b/>
                <w:sz w:val="22"/>
                <w:szCs w:val="22"/>
                <w:highlight w:val="none"/>
              </w:rPr>
            </w:pPr>
          </w:p>
          <w:p w14:paraId="4169FD77">
            <w:pPr>
              <w:pStyle w:val="38"/>
              <w:rPr>
                <w:rFonts w:hint="eastAsia" w:ascii="宋体" w:hAnsi="宋体" w:eastAsia="宋体" w:cs="宋体"/>
                <w:b/>
                <w:sz w:val="22"/>
                <w:szCs w:val="22"/>
                <w:highlight w:val="none"/>
              </w:rPr>
            </w:pPr>
          </w:p>
          <w:p w14:paraId="441DD13F">
            <w:pPr>
              <w:pStyle w:val="38"/>
              <w:rPr>
                <w:rFonts w:hint="eastAsia" w:ascii="宋体" w:hAnsi="宋体" w:eastAsia="宋体" w:cs="宋体"/>
                <w:b/>
                <w:sz w:val="22"/>
                <w:szCs w:val="22"/>
                <w:highlight w:val="none"/>
              </w:rPr>
            </w:pPr>
          </w:p>
          <w:p w14:paraId="3C2BABB2">
            <w:pPr>
              <w:pStyle w:val="38"/>
              <w:rPr>
                <w:rFonts w:hint="eastAsia" w:ascii="宋体" w:hAnsi="宋体" w:eastAsia="宋体" w:cs="宋体"/>
                <w:b/>
                <w:sz w:val="22"/>
                <w:szCs w:val="22"/>
                <w:highlight w:val="none"/>
              </w:rPr>
            </w:pPr>
          </w:p>
          <w:p w14:paraId="1E73E825">
            <w:pPr>
              <w:pStyle w:val="38"/>
              <w:rPr>
                <w:rFonts w:hint="eastAsia" w:ascii="宋体" w:hAnsi="宋体" w:eastAsia="宋体" w:cs="宋体"/>
                <w:b/>
                <w:sz w:val="22"/>
                <w:szCs w:val="22"/>
                <w:highlight w:val="none"/>
              </w:rPr>
            </w:pPr>
          </w:p>
          <w:p w14:paraId="05AE818E">
            <w:pPr>
              <w:pStyle w:val="38"/>
              <w:rPr>
                <w:rFonts w:hint="eastAsia" w:ascii="宋体" w:hAnsi="宋体" w:eastAsia="宋体" w:cs="宋体"/>
                <w:b/>
                <w:sz w:val="22"/>
                <w:szCs w:val="22"/>
                <w:highlight w:val="none"/>
              </w:rPr>
            </w:pPr>
          </w:p>
          <w:p w14:paraId="13113303">
            <w:pPr>
              <w:pStyle w:val="38"/>
              <w:rPr>
                <w:rFonts w:hint="eastAsia" w:ascii="宋体" w:hAnsi="宋体" w:eastAsia="宋体" w:cs="宋体"/>
                <w:b/>
                <w:sz w:val="22"/>
                <w:szCs w:val="22"/>
                <w:highlight w:val="none"/>
              </w:rPr>
            </w:pPr>
          </w:p>
          <w:p w14:paraId="31455DCF">
            <w:pPr>
              <w:pStyle w:val="38"/>
              <w:rPr>
                <w:rFonts w:hint="eastAsia" w:ascii="宋体" w:hAnsi="宋体" w:eastAsia="宋体" w:cs="宋体"/>
                <w:b/>
                <w:sz w:val="22"/>
                <w:szCs w:val="22"/>
                <w:highlight w:val="none"/>
              </w:rPr>
            </w:pPr>
          </w:p>
          <w:p w14:paraId="427D071E">
            <w:pPr>
              <w:pStyle w:val="38"/>
              <w:ind w:left="222" w:right="100"/>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rPr>
              <w:t>54</w:t>
            </w:r>
            <w:r>
              <w:rPr>
                <w:rFonts w:hint="eastAsia" w:ascii="宋体" w:hAnsi="宋体" w:eastAsia="宋体" w:cs="宋体"/>
                <w:sz w:val="22"/>
                <w:szCs w:val="22"/>
                <w:highlight w:val="none"/>
              </w:rPr>
              <w:t xml:space="preserve"> </w:t>
            </w:r>
          </w:p>
        </w:tc>
        <w:tc>
          <w:tcPr>
            <w:tcW w:w="1839" w:type="dxa"/>
          </w:tcPr>
          <w:p w14:paraId="4E242D98">
            <w:pPr>
              <w:pStyle w:val="38"/>
              <w:rPr>
                <w:rFonts w:hint="eastAsia" w:ascii="宋体" w:hAnsi="宋体" w:eastAsia="宋体" w:cs="宋体"/>
                <w:b/>
                <w:sz w:val="22"/>
                <w:szCs w:val="22"/>
                <w:highlight w:val="none"/>
              </w:rPr>
            </w:pPr>
          </w:p>
          <w:p w14:paraId="7B283F2C">
            <w:pPr>
              <w:pStyle w:val="38"/>
              <w:rPr>
                <w:rFonts w:hint="eastAsia" w:ascii="宋体" w:hAnsi="宋体" w:eastAsia="宋体" w:cs="宋体"/>
                <w:b/>
                <w:sz w:val="22"/>
                <w:szCs w:val="22"/>
                <w:highlight w:val="none"/>
              </w:rPr>
            </w:pPr>
          </w:p>
          <w:p w14:paraId="3C66265F">
            <w:pPr>
              <w:pStyle w:val="38"/>
              <w:rPr>
                <w:rFonts w:hint="eastAsia" w:ascii="宋体" w:hAnsi="宋体" w:eastAsia="宋体" w:cs="宋体"/>
                <w:b/>
                <w:sz w:val="22"/>
                <w:szCs w:val="22"/>
                <w:highlight w:val="none"/>
              </w:rPr>
            </w:pPr>
          </w:p>
          <w:p w14:paraId="236981CD">
            <w:pPr>
              <w:pStyle w:val="38"/>
              <w:rPr>
                <w:rFonts w:hint="eastAsia" w:ascii="宋体" w:hAnsi="宋体" w:eastAsia="宋体" w:cs="宋体"/>
                <w:b/>
                <w:sz w:val="22"/>
                <w:szCs w:val="22"/>
                <w:highlight w:val="none"/>
              </w:rPr>
            </w:pPr>
          </w:p>
          <w:p w14:paraId="614F8834">
            <w:pPr>
              <w:pStyle w:val="38"/>
              <w:rPr>
                <w:rFonts w:hint="eastAsia" w:ascii="宋体" w:hAnsi="宋体" w:eastAsia="宋体" w:cs="宋体"/>
                <w:b/>
                <w:sz w:val="22"/>
                <w:szCs w:val="22"/>
                <w:highlight w:val="none"/>
              </w:rPr>
            </w:pPr>
          </w:p>
          <w:p w14:paraId="3A2133C9">
            <w:pPr>
              <w:pStyle w:val="38"/>
              <w:rPr>
                <w:rFonts w:hint="eastAsia" w:ascii="宋体" w:hAnsi="宋体" w:eastAsia="宋体" w:cs="宋体"/>
                <w:b/>
                <w:sz w:val="22"/>
                <w:szCs w:val="22"/>
                <w:highlight w:val="none"/>
              </w:rPr>
            </w:pPr>
          </w:p>
          <w:p w14:paraId="017DD072">
            <w:pPr>
              <w:pStyle w:val="38"/>
              <w:rPr>
                <w:rFonts w:hint="eastAsia" w:ascii="宋体" w:hAnsi="宋体" w:eastAsia="宋体" w:cs="宋体"/>
                <w:b/>
                <w:sz w:val="22"/>
                <w:szCs w:val="22"/>
                <w:highlight w:val="none"/>
              </w:rPr>
            </w:pPr>
          </w:p>
          <w:p w14:paraId="1B4FADC8">
            <w:pPr>
              <w:pStyle w:val="38"/>
              <w:rPr>
                <w:rFonts w:hint="eastAsia" w:ascii="宋体" w:hAnsi="宋体" w:eastAsia="宋体" w:cs="宋体"/>
                <w:b/>
                <w:sz w:val="22"/>
                <w:szCs w:val="22"/>
                <w:highlight w:val="none"/>
              </w:rPr>
            </w:pPr>
          </w:p>
          <w:p w14:paraId="68370230">
            <w:pPr>
              <w:pStyle w:val="38"/>
              <w:rPr>
                <w:rFonts w:hint="eastAsia" w:ascii="宋体" w:hAnsi="宋体" w:eastAsia="宋体" w:cs="宋体"/>
                <w:b/>
                <w:sz w:val="22"/>
                <w:szCs w:val="22"/>
                <w:highlight w:val="none"/>
              </w:rPr>
            </w:pPr>
          </w:p>
          <w:p w14:paraId="4C5E42A0">
            <w:pPr>
              <w:pStyle w:val="38"/>
              <w:spacing w:before="18"/>
              <w:rPr>
                <w:rFonts w:hint="eastAsia" w:ascii="宋体" w:hAnsi="宋体" w:eastAsia="宋体" w:cs="宋体"/>
                <w:b/>
                <w:sz w:val="22"/>
                <w:szCs w:val="22"/>
                <w:highlight w:val="none"/>
              </w:rPr>
            </w:pPr>
          </w:p>
          <w:p w14:paraId="7DD65750">
            <w:pPr>
              <w:pStyle w:val="38"/>
              <w:ind w:left="115"/>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招标代理服务费</w:t>
            </w:r>
          </w:p>
        </w:tc>
        <w:tc>
          <w:tcPr>
            <w:tcW w:w="6554" w:type="dxa"/>
          </w:tcPr>
          <w:p w14:paraId="0B39FE82">
            <w:pPr>
              <w:pStyle w:val="38"/>
              <w:spacing w:before="77" w:line="321" w:lineRule="auto"/>
              <w:ind w:left="115" w:right="71" w:firstLine="440" w:firstLineChars="200"/>
              <w:rPr>
                <w:rFonts w:hint="eastAsia" w:ascii="宋体" w:hAnsi="宋体" w:eastAsia="宋体" w:cs="宋体"/>
                <w:sz w:val="22"/>
                <w:szCs w:val="22"/>
                <w:highlight w:val="none"/>
                <w:lang w:val="en-US" w:bidi="ar-SA"/>
              </w:rPr>
            </w:pPr>
            <w:r>
              <w:rPr>
                <w:rFonts w:hint="eastAsia" w:ascii="宋体" w:hAnsi="宋体" w:eastAsia="宋体" w:cs="宋体"/>
                <w:sz w:val="22"/>
                <w:szCs w:val="22"/>
                <w:highlight w:val="none"/>
                <w:lang w:val="en-US" w:bidi="ar-SA"/>
              </w:rPr>
              <w:t>本项目根据《深圳市财政委员会关于规范深圳市社会采购代理机构管理有关事项的补充通知》“深财购〔2018〕27号”的规定，本项目的招标代理服务费用由中标人支付，以中标价为计费基准，</w:t>
            </w:r>
            <w:r>
              <w:rPr>
                <w:rFonts w:hint="eastAsia" w:ascii="宋体" w:hAnsi="宋体" w:eastAsia="宋体" w:cs="宋体"/>
                <w:b/>
                <w:bCs/>
                <w:sz w:val="22"/>
                <w:szCs w:val="22"/>
                <w:highlight w:val="none"/>
                <w:lang w:val="en-US" w:bidi="ar-SA"/>
              </w:rPr>
              <w:t>按以下差额定率累进法计算收取作为中标服务费，最低收费标准按</w:t>
            </w:r>
            <w:r>
              <w:rPr>
                <w:rFonts w:hint="eastAsia" w:ascii="宋体" w:hAnsi="宋体" w:eastAsia="宋体" w:cs="宋体"/>
                <w:b/>
                <w:bCs/>
                <w:sz w:val="22"/>
                <w:szCs w:val="22"/>
                <w:highlight w:val="none"/>
                <w:lang w:val="en-US" w:eastAsia="zh-CN" w:bidi="ar-SA"/>
              </w:rPr>
              <w:t>7500</w:t>
            </w:r>
            <w:r>
              <w:rPr>
                <w:rFonts w:hint="eastAsia" w:ascii="宋体" w:hAnsi="宋体" w:eastAsia="宋体" w:cs="宋体"/>
                <w:b/>
                <w:bCs/>
                <w:sz w:val="22"/>
                <w:szCs w:val="22"/>
                <w:highlight w:val="none"/>
                <w:lang w:val="en-US" w:bidi="ar-SA"/>
              </w:rPr>
              <w:t>元整计取</w:t>
            </w:r>
            <w:r>
              <w:rPr>
                <w:rFonts w:hint="eastAsia" w:ascii="宋体" w:hAnsi="宋体" w:eastAsia="宋体" w:cs="宋体"/>
                <w:sz w:val="22"/>
                <w:szCs w:val="22"/>
                <w:highlight w:val="none"/>
                <w:lang w:val="en-US" w:bidi="ar-SA"/>
              </w:rPr>
              <w:t>。详见招标代理服务合同。中标供应商在领取《中标通知书》之前须向代理公司交纳代理服务费。若因中标供应商交纳代理服务费所产生的时间影响到合同签订的，由中标供应商自行承担责任。</w:t>
            </w:r>
          </w:p>
          <w:tbl>
            <w:tblPr>
              <w:tblStyle w:val="18"/>
              <w:tblW w:w="6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51"/>
              <w:gridCol w:w="1075"/>
              <w:gridCol w:w="1038"/>
              <w:gridCol w:w="1084"/>
            </w:tblGrid>
            <w:tr w14:paraId="34B7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3051" w:type="dxa"/>
                  <w:vMerge w:val="restart"/>
                  <w:tcBorders>
                    <w:tl2br w:val="single" w:color="auto" w:sz="2" w:space="0"/>
                  </w:tcBorders>
                  <w:vAlign w:val="center"/>
                </w:tcPr>
                <w:p w14:paraId="3C2A85B5">
                  <w:pPr>
                    <w:wordWrap w:val="0"/>
                    <w:adjustRightInd w:val="0"/>
                    <w:snapToGrid w:val="0"/>
                    <w:ind w:firstLine="1325" w:firstLineChars="600"/>
                    <w:textAlignment w:val="baseline"/>
                    <w:rPr>
                      <w:rFonts w:hint="eastAsia" w:ascii="宋体" w:hAnsi="宋体" w:eastAsia="宋体" w:cs="宋体"/>
                      <w:b/>
                      <w:bCs/>
                      <w:color w:val="333333"/>
                      <w:sz w:val="22"/>
                      <w:szCs w:val="22"/>
                      <w:highlight w:val="none"/>
                    </w:rPr>
                  </w:pPr>
                  <w:r>
                    <w:rPr>
                      <w:rFonts w:hint="eastAsia" w:ascii="宋体" w:hAnsi="宋体" w:eastAsia="宋体" w:cs="宋体"/>
                      <w:b/>
                      <w:bCs/>
                      <w:color w:val="333333"/>
                      <w:sz w:val="22"/>
                      <w:szCs w:val="22"/>
                      <w:highlight w:val="none"/>
                    </w:rPr>
                    <w:t>类型及费率</w:t>
                  </w:r>
                </w:p>
                <w:p w14:paraId="7A07BD7C">
                  <w:pPr>
                    <w:wordWrap w:val="0"/>
                    <w:adjustRightInd w:val="0"/>
                    <w:snapToGrid w:val="0"/>
                    <w:textAlignment w:val="baseline"/>
                    <w:rPr>
                      <w:rFonts w:hint="eastAsia" w:ascii="宋体" w:hAnsi="宋体" w:eastAsia="宋体" w:cs="宋体"/>
                      <w:b/>
                      <w:sz w:val="22"/>
                      <w:szCs w:val="22"/>
                      <w:highlight w:val="none"/>
                    </w:rPr>
                  </w:pPr>
                  <w:r>
                    <w:rPr>
                      <w:rFonts w:hint="eastAsia" w:ascii="宋体" w:hAnsi="宋体" w:eastAsia="宋体" w:cs="宋体"/>
                      <w:b/>
                      <w:bCs/>
                      <w:color w:val="333333"/>
                      <w:sz w:val="22"/>
                      <w:szCs w:val="22"/>
                      <w:highlight w:val="none"/>
                    </w:rPr>
                    <w:t>中标金额</w:t>
                  </w:r>
                </w:p>
              </w:tc>
              <w:tc>
                <w:tcPr>
                  <w:tcW w:w="3197" w:type="dxa"/>
                  <w:gridSpan w:val="3"/>
                  <w:vAlign w:val="center"/>
                </w:tcPr>
                <w:p w14:paraId="7156632B">
                  <w:pPr>
                    <w:pStyle w:val="38"/>
                    <w:adjustRightInd w:val="0"/>
                    <w:snapToGrid w:val="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各类型招标代理服务费计算费率</w:t>
                  </w:r>
                </w:p>
              </w:tc>
            </w:tr>
            <w:tr w14:paraId="0210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3051" w:type="dxa"/>
                  <w:vMerge w:val="continue"/>
                  <w:vAlign w:val="center"/>
                </w:tcPr>
                <w:p w14:paraId="7C9D4C99">
                  <w:pPr>
                    <w:adjustRightInd w:val="0"/>
                    <w:snapToGrid w:val="0"/>
                    <w:jc w:val="center"/>
                    <w:rPr>
                      <w:rFonts w:hint="eastAsia" w:ascii="宋体" w:hAnsi="宋体" w:eastAsia="宋体" w:cs="宋体"/>
                      <w:sz w:val="22"/>
                      <w:szCs w:val="22"/>
                      <w:highlight w:val="none"/>
                    </w:rPr>
                  </w:pPr>
                </w:p>
              </w:tc>
              <w:tc>
                <w:tcPr>
                  <w:tcW w:w="1075" w:type="dxa"/>
                  <w:vAlign w:val="center"/>
                </w:tcPr>
                <w:p w14:paraId="4BBAAFC1">
                  <w:pPr>
                    <w:pStyle w:val="38"/>
                    <w:adjustRightInd w:val="0"/>
                    <w:snapToGrid w:val="0"/>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货物招标</w:t>
                  </w:r>
                </w:p>
              </w:tc>
              <w:tc>
                <w:tcPr>
                  <w:tcW w:w="1038" w:type="dxa"/>
                  <w:vAlign w:val="center"/>
                </w:tcPr>
                <w:p w14:paraId="44EFA987">
                  <w:pPr>
                    <w:pStyle w:val="38"/>
                    <w:adjustRightInd w:val="0"/>
                    <w:snapToGrid w:val="0"/>
                    <w:spacing w:before="85"/>
                    <w:ind w:right="107"/>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服务招标</w:t>
                  </w:r>
                </w:p>
              </w:tc>
              <w:tc>
                <w:tcPr>
                  <w:tcW w:w="1084" w:type="dxa"/>
                  <w:vAlign w:val="center"/>
                </w:tcPr>
                <w:p w14:paraId="6E06C0CE">
                  <w:pPr>
                    <w:pStyle w:val="38"/>
                    <w:adjustRightInd w:val="0"/>
                    <w:snapToGrid w:val="0"/>
                    <w:spacing w:before="85"/>
                    <w:ind w:right="148"/>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工程招标</w:t>
                  </w:r>
                </w:p>
              </w:tc>
            </w:tr>
            <w:tr w14:paraId="3DFB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051" w:type="dxa"/>
                  <w:vAlign w:val="center"/>
                </w:tcPr>
                <w:p w14:paraId="04872390">
                  <w:pPr>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100万元以下</w:t>
                  </w:r>
                </w:p>
              </w:tc>
              <w:tc>
                <w:tcPr>
                  <w:tcW w:w="1075" w:type="dxa"/>
                  <w:vAlign w:val="center"/>
                </w:tcPr>
                <w:p w14:paraId="6DBDC58C">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1.5</w:t>
                  </w:r>
                </w:p>
              </w:tc>
              <w:tc>
                <w:tcPr>
                  <w:tcW w:w="1038" w:type="dxa"/>
                  <w:vAlign w:val="center"/>
                </w:tcPr>
                <w:p w14:paraId="332D8409">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1.5</w:t>
                  </w:r>
                </w:p>
              </w:tc>
              <w:tc>
                <w:tcPr>
                  <w:tcW w:w="1084" w:type="dxa"/>
                  <w:vAlign w:val="center"/>
                </w:tcPr>
                <w:p w14:paraId="37B04E51">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1.0</w:t>
                  </w:r>
                </w:p>
              </w:tc>
            </w:tr>
            <w:tr w14:paraId="28FE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051" w:type="dxa"/>
                  <w:vAlign w:val="center"/>
                </w:tcPr>
                <w:p w14:paraId="58D0FD2B">
                  <w:pPr>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100万元（含）-500万元</w:t>
                  </w:r>
                </w:p>
              </w:tc>
              <w:tc>
                <w:tcPr>
                  <w:tcW w:w="1075" w:type="dxa"/>
                  <w:vAlign w:val="center"/>
                </w:tcPr>
                <w:p w14:paraId="1ECA5F94">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1.1</w:t>
                  </w:r>
                </w:p>
              </w:tc>
              <w:tc>
                <w:tcPr>
                  <w:tcW w:w="1038" w:type="dxa"/>
                  <w:vAlign w:val="center"/>
                </w:tcPr>
                <w:p w14:paraId="62B956F6">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0.8</w:t>
                  </w:r>
                </w:p>
              </w:tc>
              <w:tc>
                <w:tcPr>
                  <w:tcW w:w="1084" w:type="dxa"/>
                  <w:vAlign w:val="center"/>
                </w:tcPr>
                <w:p w14:paraId="22B92202">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0.7</w:t>
                  </w:r>
                </w:p>
              </w:tc>
            </w:tr>
            <w:tr w14:paraId="1B67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051" w:type="dxa"/>
                  <w:vAlign w:val="center"/>
                </w:tcPr>
                <w:p w14:paraId="77EE3BB6">
                  <w:pPr>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500万元（含）-1000万元</w:t>
                  </w:r>
                </w:p>
              </w:tc>
              <w:tc>
                <w:tcPr>
                  <w:tcW w:w="1075" w:type="dxa"/>
                  <w:vAlign w:val="center"/>
                </w:tcPr>
                <w:p w14:paraId="30ECABD7">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0.8</w:t>
                  </w:r>
                </w:p>
              </w:tc>
              <w:tc>
                <w:tcPr>
                  <w:tcW w:w="1038" w:type="dxa"/>
                  <w:vAlign w:val="center"/>
                </w:tcPr>
                <w:p w14:paraId="6A6E1258">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0.45</w:t>
                  </w:r>
                </w:p>
              </w:tc>
              <w:tc>
                <w:tcPr>
                  <w:tcW w:w="1084" w:type="dxa"/>
                  <w:vAlign w:val="center"/>
                </w:tcPr>
                <w:p w14:paraId="4F0D856A">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0.55</w:t>
                  </w:r>
                </w:p>
              </w:tc>
            </w:tr>
            <w:tr w14:paraId="1B12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051" w:type="dxa"/>
                  <w:vAlign w:val="center"/>
                </w:tcPr>
                <w:p w14:paraId="2DB724FC">
                  <w:pPr>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1000万元（含）-5000万元</w:t>
                  </w:r>
                </w:p>
              </w:tc>
              <w:tc>
                <w:tcPr>
                  <w:tcW w:w="1075" w:type="dxa"/>
                  <w:vAlign w:val="center"/>
                </w:tcPr>
                <w:p w14:paraId="27C9E78D">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0.5</w:t>
                  </w:r>
                </w:p>
              </w:tc>
              <w:tc>
                <w:tcPr>
                  <w:tcW w:w="1038" w:type="dxa"/>
                  <w:vAlign w:val="center"/>
                </w:tcPr>
                <w:p w14:paraId="140814D9">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0.25</w:t>
                  </w:r>
                </w:p>
              </w:tc>
              <w:tc>
                <w:tcPr>
                  <w:tcW w:w="1084" w:type="dxa"/>
                  <w:vAlign w:val="center"/>
                </w:tcPr>
                <w:p w14:paraId="6C4E99BD">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0.35</w:t>
                  </w:r>
                </w:p>
              </w:tc>
            </w:tr>
            <w:tr w14:paraId="42F1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051" w:type="dxa"/>
                  <w:vAlign w:val="center"/>
                </w:tcPr>
                <w:p w14:paraId="04D9EB15">
                  <w:pPr>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5000万元（含）-1亿元</w:t>
                  </w:r>
                </w:p>
              </w:tc>
              <w:tc>
                <w:tcPr>
                  <w:tcW w:w="1075" w:type="dxa"/>
                  <w:vAlign w:val="center"/>
                </w:tcPr>
                <w:p w14:paraId="12BCBD31">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0.25</w:t>
                  </w:r>
                </w:p>
              </w:tc>
              <w:tc>
                <w:tcPr>
                  <w:tcW w:w="1038" w:type="dxa"/>
                  <w:vAlign w:val="center"/>
                </w:tcPr>
                <w:p w14:paraId="2991DA7C">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0.1</w:t>
                  </w:r>
                </w:p>
              </w:tc>
              <w:tc>
                <w:tcPr>
                  <w:tcW w:w="1084" w:type="dxa"/>
                  <w:vAlign w:val="center"/>
                </w:tcPr>
                <w:p w14:paraId="24B9CB04">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0.2</w:t>
                  </w:r>
                </w:p>
              </w:tc>
            </w:tr>
            <w:tr w14:paraId="5FCC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051" w:type="dxa"/>
                  <w:vAlign w:val="center"/>
                </w:tcPr>
                <w:p w14:paraId="701A180B">
                  <w:pPr>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1亿元（含）-5亿元</w:t>
                  </w:r>
                </w:p>
              </w:tc>
              <w:tc>
                <w:tcPr>
                  <w:tcW w:w="1075" w:type="dxa"/>
                  <w:vAlign w:val="center"/>
                </w:tcPr>
                <w:p w14:paraId="4941C9B3">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0.05</w:t>
                  </w:r>
                </w:p>
              </w:tc>
              <w:tc>
                <w:tcPr>
                  <w:tcW w:w="1038" w:type="dxa"/>
                  <w:vAlign w:val="center"/>
                </w:tcPr>
                <w:p w14:paraId="2C8952E6">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0.05</w:t>
                  </w:r>
                </w:p>
              </w:tc>
              <w:tc>
                <w:tcPr>
                  <w:tcW w:w="1084" w:type="dxa"/>
                  <w:vAlign w:val="center"/>
                </w:tcPr>
                <w:p w14:paraId="309D7B55">
                  <w:pPr>
                    <w:wordWrap w:val="0"/>
                    <w:adjustRightInd w:val="0"/>
                    <w:snapToGrid w:val="0"/>
                    <w:jc w:val="center"/>
                    <w:textAlignment w:val="baseline"/>
                    <w:rPr>
                      <w:rFonts w:hint="eastAsia" w:ascii="宋体" w:hAnsi="宋体" w:eastAsia="宋体" w:cs="宋体"/>
                      <w:sz w:val="22"/>
                      <w:szCs w:val="22"/>
                      <w:highlight w:val="none"/>
                    </w:rPr>
                  </w:pPr>
                  <w:r>
                    <w:rPr>
                      <w:rFonts w:hint="eastAsia" w:ascii="宋体" w:hAnsi="宋体" w:eastAsia="宋体" w:cs="宋体"/>
                      <w:color w:val="333333"/>
                      <w:sz w:val="22"/>
                      <w:szCs w:val="22"/>
                      <w:highlight w:val="none"/>
                    </w:rPr>
                    <w:t>0.05</w:t>
                  </w:r>
                </w:p>
              </w:tc>
            </w:tr>
          </w:tbl>
          <w:p w14:paraId="0216795B">
            <w:pPr>
              <w:pStyle w:val="38"/>
              <w:spacing w:line="377" w:lineRule="exact"/>
              <w:ind w:left="115"/>
              <w:rPr>
                <w:rFonts w:hint="eastAsia" w:ascii="宋体" w:hAnsi="宋体" w:eastAsia="宋体" w:cs="宋体"/>
                <w:sz w:val="22"/>
                <w:szCs w:val="22"/>
                <w:highlight w:val="none"/>
              </w:rPr>
            </w:pPr>
            <w:r>
              <w:rPr>
                <w:rFonts w:hint="eastAsia" w:ascii="宋体" w:hAnsi="宋体" w:eastAsia="宋体" w:cs="宋体"/>
                <w:b/>
                <w:sz w:val="22"/>
                <w:szCs w:val="22"/>
                <w:highlight w:val="none"/>
              </w:rPr>
              <w:t>注：</w:t>
            </w:r>
            <w:r>
              <w:rPr>
                <w:rFonts w:hint="eastAsia" w:ascii="宋体" w:hAnsi="宋体" w:eastAsia="宋体" w:cs="宋体"/>
                <w:sz w:val="22"/>
                <w:szCs w:val="22"/>
                <w:highlight w:val="none"/>
              </w:rPr>
              <w:t>招标代理服务费缴纳至：</w:t>
            </w:r>
          </w:p>
          <w:p w14:paraId="136BE9A0">
            <w:pPr>
              <w:pStyle w:val="38"/>
              <w:spacing w:line="252" w:lineRule="exact"/>
              <w:ind w:left="5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开户行：中国农业银行股份有限公司深圳东湖支行</w:t>
            </w:r>
          </w:p>
          <w:p w14:paraId="4138DB7F">
            <w:pPr>
              <w:pStyle w:val="38"/>
              <w:spacing w:line="252" w:lineRule="exact"/>
              <w:ind w:left="5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账户名称：深圳市东海国际招标有限公司</w:t>
            </w:r>
          </w:p>
          <w:p w14:paraId="47A223A3">
            <w:pPr>
              <w:pStyle w:val="38"/>
              <w:spacing w:line="252" w:lineRule="exact"/>
              <w:ind w:left="535"/>
              <w:rPr>
                <w:rFonts w:hint="eastAsia" w:ascii="宋体" w:hAnsi="宋体" w:eastAsia="宋体" w:cs="宋体"/>
                <w:color w:val="0000FF"/>
                <w:sz w:val="22"/>
                <w:szCs w:val="22"/>
                <w:highlight w:val="none"/>
              </w:rPr>
            </w:pPr>
            <w:r>
              <w:rPr>
                <w:rFonts w:hint="eastAsia" w:ascii="宋体" w:hAnsi="宋体" w:eastAsia="宋体" w:cs="宋体"/>
                <w:color w:val="auto"/>
                <w:sz w:val="22"/>
                <w:szCs w:val="22"/>
                <w:highlight w:val="none"/>
              </w:rPr>
              <w:t>账号：4100 1800 0400 2656 1</w:t>
            </w:r>
          </w:p>
        </w:tc>
      </w:tr>
    </w:tbl>
    <w:p w14:paraId="753F0879">
      <w:pPr>
        <w:rPr>
          <w:rFonts w:hint="eastAsia" w:ascii="宋体" w:hAnsi="宋体" w:eastAsia="宋体" w:cs="宋体"/>
          <w:highlight w:val="none"/>
        </w:rPr>
      </w:pPr>
      <w:r>
        <w:rPr>
          <w:rFonts w:hint="eastAsia" w:ascii="宋体" w:hAnsi="宋体" w:eastAsia="宋体" w:cs="宋体"/>
          <w:highlight w:val="none"/>
        </w:rPr>
        <w:t>备注：本表为通用条款相关内容的补充和明确，如与通用条款相冲突的以本表为准。</w:t>
      </w:r>
    </w:p>
    <w:p w14:paraId="5FEEAFCC">
      <w:pPr>
        <w:rPr>
          <w:rFonts w:hint="eastAsia" w:ascii="宋体" w:hAnsi="宋体" w:eastAsia="宋体" w:cs="宋体"/>
          <w:highlight w:val="none"/>
        </w:rPr>
      </w:pPr>
    </w:p>
    <w:p w14:paraId="1F85BB4B">
      <w:pPr>
        <w:rPr>
          <w:rFonts w:hint="eastAsia" w:ascii="宋体" w:hAnsi="宋体" w:eastAsia="宋体" w:cs="宋体"/>
          <w:highlight w:val="none"/>
        </w:rPr>
      </w:pPr>
    </w:p>
    <w:p w14:paraId="1902CAA1">
      <w:pPr>
        <w:pStyle w:val="2"/>
        <w:numPr>
          <w:ilvl w:val="0"/>
          <w:numId w:val="4"/>
        </w:numPr>
        <w:rPr>
          <w:rFonts w:hint="eastAsia" w:ascii="宋体" w:hAnsi="宋体" w:eastAsia="宋体" w:cs="宋体"/>
          <w:highlight w:val="none"/>
        </w:rPr>
      </w:pPr>
      <w:r>
        <w:rPr>
          <w:rFonts w:hint="eastAsia" w:ascii="宋体" w:hAnsi="宋体" w:eastAsia="宋体" w:cs="宋体"/>
          <w:highlight w:val="none"/>
        </w:rPr>
        <w:t>其他关键信息</w:t>
      </w:r>
    </w:p>
    <w:p w14:paraId="74E6AEB4">
      <w:pPr>
        <w:spacing w:line="360" w:lineRule="auto"/>
        <w:rPr>
          <w:rFonts w:hint="eastAsia" w:ascii="宋体" w:hAnsi="宋体" w:eastAsia="宋体" w:cs="宋体"/>
          <w:b/>
          <w:bCs/>
          <w:highlight w:val="none"/>
        </w:rPr>
      </w:pPr>
      <w:r>
        <w:rPr>
          <w:rFonts w:hint="eastAsia" w:ascii="宋体" w:hAnsi="宋体" w:eastAsia="宋体" w:cs="宋体"/>
          <w:b/>
          <w:bCs/>
          <w:highlight w:val="none"/>
        </w:rPr>
        <w:t>（一）与“对通用条款的补充内容”章节相关的事项</w:t>
      </w:r>
    </w:p>
    <w:p w14:paraId="6264FFD0">
      <w:pPr>
        <w:ind w:firstLine="482" w:firstLineChars="200"/>
        <w:rPr>
          <w:rFonts w:hint="default" w:ascii="宋体" w:hAnsi="宋体" w:eastAsia="宋体" w:cs="宋体"/>
          <w:b/>
          <w:bCs w:val="0"/>
          <w:highlight w:val="none"/>
          <w:lang w:val="en-US" w:eastAsia="zh-CN"/>
        </w:rPr>
      </w:pPr>
      <w:bookmarkStart w:id="2" w:name="_Hlk72579465"/>
      <w:r>
        <w:rPr>
          <w:rFonts w:hint="eastAsia" w:ascii="宋体" w:hAnsi="宋体" w:eastAsia="宋体" w:cs="宋体"/>
          <w:b/>
          <w:bCs w:val="0"/>
          <w:highlight w:val="none"/>
          <w:lang w:val="en-US" w:eastAsia="zh-CN"/>
        </w:rPr>
        <w:t>1、评标定标信息</w:t>
      </w:r>
    </w:p>
    <w:p w14:paraId="6389A899">
      <w:pPr>
        <w:spacing w:line="360" w:lineRule="auto"/>
        <w:jc w:val="center"/>
        <w:rPr>
          <w:rFonts w:hint="eastAsia" w:ascii="宋体" w:hAnsi="宋体" w:eastAsia="宋体" w:cs="宋体"/>
          <w:highlight w:val="none"/>
        </w:rPr>
      </w:pPr>
      <w:r>
        <w:rPr>
          <w:rFonts w:hint="eastAsia" w:ascii="宋体" w:hAnsi="宋体" w:eastAsia="宋体" w:cs="宋体"/>
          <w:b/>
          <w:highlight w:val="none"/>
        </w:rPr>
        <w:t>评定分离项目</w:t>
      </w:r>
    </w:p>
    <w:tbl>
      <w:tblPr>
        <w:tblStyle w:val="1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1"/>
        <w:gridCol w:w="4402"/>
      </w:tblGrid>
      <w:tr w14:paraId="6B2C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11" w:type="dxa"/>
            <w:vAlign w:val="center"/>
          </w:tcPr>
          <w:p w14:paraId="44C67198">
            <w:pPr>
              <w:widowControl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评标方法</w:t>
            </w:r>
          </w:p>
        </w:tc>
        <w:tc>
          <w:tcPr>
            <w:tcW w:w="4402" w:type="dxa"/>
            <w:vAlign w:val="center"/>
          </w:tcPr>
          <w:p w14:paraId="1A44C159">
            <w:pPr>
              <w:widowControl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综合评分法</w:t>
            </w:r>
          </w:p>
        </w:tc>
      </w:tr>
      <w:tr w14:paraId="0245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11" w:type="dxa"/>
            <w:vAlign w:val="top"/>
          </w:tcPr>
          <w:p w14:paraId="7BDE95C4">
            <w:pPr>
              <w:widowControl w:val="0"/>
              <w:jc w:val="center"/>
              <w:rPr>
                <w:rFonts w:hint="eastAsia" w:ascii="Times New Roman" w:hAnsi="Times New Roman" w:eastAsia="Times New Roman" w:cs="Times New Roman"/>
                <w:sz w:val="24"/>
                <w:szCs w:val="24"/>
                <w:highlight w:val="none"/>
                <w:lang w:val="en-US" w:eastAsia="zh-CN" w:bidi="ar-SA"/>
              </w:rPr>
            </w:pPr>
            <w:r>
              <w:rPr>
                <w:rFonts w:hint="eastAsia"/>
                <w:highlight w:val="none"/>
              </w:rPr>
              <w:t>定标方法</w:t>
            </w:r>
          </w:p>
        </w:tc>
        <w:tc>
          <w:tcPr>
            <w:tcW w:w="4402" w:type="dxa"/>
            <w:vAlign w:val="top"/>
          </w:tcPr>
          <w:p w14:paraId="2D967923">
            <w:pPr>
              <w:widowControl w:val="0"/>
              <w:jc w:val="center"/>
              <w:rPr>
                <w:rFonts w:hint="eastAsia" w:ascii="Times New Roman" w:hAnsi="Times New Roman" w:eastAsia="Times New Roman" w:cs="Times New Roman"/>
                <w:sz w:val="24"/>
                <w:szCs w:val="24"/>
                <w:highlight w:val="none"/>
                <w:lang w:val="en-US" w:eastAsia="zh-CN" w:bidi="ar-SA"/>
              </w:rPr>
            </w:pPr>
            <w:r>
              <w:rPr>
                <w:rFonts w:hint="eastAsia"/>
                <w:highlight w:val="none"/>
              </w:rPr>
              <w:t>自定法</w:t>
            </w:r>
          </w:p>
        </w:tc>
      </w:tr>
      <w:tr w14:paraId="6732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11" w:type="dxa"/>
            <w:vAlign w:val="center"/>
          </w:tcPr>
          <w:p w14:paraId="65DE9959">
            <w:pPr>
              <w:widowControl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候选中标供应商数量</w:t>
            </w:r>
          </w:p>
        </w:tc>
        <w:tc>
          <w:tcPr>
            <w:tcW w:w="4402" w:type="dxa"/>
            <w:vAlign w:val="center"/>
          </w:tcPr>
          <w:p w14:paraId="3FDB8699">
            <w:pPr>
              <w:widowControl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r>
      <w:tr w14:paraId="5617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11" w:type="dxa"/>
            <w:vAlign w:val="center"/>
          </w:tcPr>
          <w:p w14:paraId="565ED41B">
            <w:pPr>
              <w:widowControl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中标供应商数量</w:t>
            </w:r>
          </w:p>
        </w:tc>
        <w:tc>
          <w:tcPr>
            <w:tcW w:w="4402" w:type="dxa"/>
            <w:vAlign w:val="center"/>
          </w:tcPr>
          <w:p w14:paraId="189BE58D">
            <w:pPr>
              <w:widowControl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r>
    </w:tbl>
    <w:p w14:paraId="453AE42C">
      <w:pPr>
        <w:pStyle w:val="2"/>
        <w:ind w:firstLine="482"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★2、关于入围及定标方法</w:t>
      </w:r>
    </w:p>
    <w:p w14:paraId="707453D7">
      <w:pPr>
        <w:pStyle w:val="2"/>
        <w:ind w:firstLine="480" w:firstLineChars="200"/>
        <w:rPr>
          <w:rFonts w:hint="default" w:ascii="宋体" w:hAnsi="宋体" w:eastAsia="宋体" w:cs="宋体"/>
          <w:b w:val="0"/>
          <w:bCs w:val="0"/>
          <w:highlight w:val="none"/>
          <w:lang w:val="en-US" w:eastAsia="zh-CN"/>
        </w:rPr>
      </w:pPr>
      <w:r>
        <w:rPr>
          <w:rFonts w:hint="default" w:ascii="宋体" w:hAnsi="宋体" w:eastAsia="宋体" w:cs="宋体"/>
          <w:b w:val="0"/>
          <w:bCs w:val="0"/>
          <w:highlight w:val="none"/>
          <w:lang w:val="en-US" w:eastAsia="zh-CN"/>
        </w:rPr>
        <w:t>（1）根据《深圳市龙华区教育系统自行采购管理暂行规定（2024年修订）》有关规定，本项目采取“抽签+综合评审+自定法”，如通过资格性审查环节的投标人家数＞5家，则在通过资格性审查环节的投标人中随机抽选5家组织开展评审环节，评审委员会按照招标文件要求对入选的投标人进行评审，推选综合得分前三的投标人为入围候选人，采购单位根据内控制度从中选取一家作为项目中标单位。</w:t>
      </w:r>
    </w:p>
    <w:p w14:paraId="063F366D">
      <w:pPr>
        <w:pStyle w:val="2"/>
        <w:ind w:firstLine="480" w:firstLineChars="200"/>
        <w:rPr>
          <w:rFonts w:hint="default" w:ascii="宋体" w:hAnsi="宋体" w:eastAsia="宋体" w:cs="宋体"/>
          <w:b w:val="0"/>
          <w:bCs w:val="0"/>
          <w:highlight w:val="none"/>
          <w:lang w:val="en-US" w:eastAsia="zh-CN"/>
        </w:rPr>
      </w:pPr>
      <w:r>
        <w:rPr>
          <w:rFonts w:hint="default" w:ascii="宋体" w:hAnsi="宋体" w:eastAsia="宋体" w:cs="宋体"/>
          <w:b w:val="0"/>
          <w:bCs w:val="0"/>
          <w:highlight w:val="none"/>
          <w:lang w:val="en-US" w:eastAsia="zh-CN"/>
        </w:rPr>
        <w:t>（2）抽签原则：在</w:t>
      </w:r>
      <w:r>
        <w:rPr>
          <w:rFonts w:hint="eastAsia" w:ascii="宋体" w:hAnsi="宋体" w:eastAsia="宋体" w:cs="宋体"/>
          <w:b w:val="0"/>
          <w:bCs w:val="0"/>
          <w:highlight w:val="none"/>
          <w:lang w:val="en-US" w:eastAsia="zh-CN"/>
        </w:rPr>
        <w:t>深圳市东海国际招标有限公司</w:t>
      </w:r>
      <w:r>
        <w:rPr>
          <w:rFonts w:hint="default" w:ascii="宋体" w:hAnsi="宋体" w:eastAsia="宋体" w:cs="宋体"/>
          <w:b w:val="0"/>
          <w:bCs w:val="0"/>
          <w:highlight w:val="none"/>
          <w:lang w:val="en-US" w:eastAsia="zh-CN"/>
        </w:rPr>
        <w:t>的组织下，由采购单位和</w:t>
      </w:r>
      <w:r>
        <w:rPr>
          <w:rFonts w:hint="eastAsia" w:ascii="宋体" w:hAnsi="宋体" w:eastAsia="宋体" w:cs="宋体"/>
          <w:b w:val="0"/>
          <w:bCs w:val="0"/>
          <w:highlight w:val="none"/>
          <w:lang w:val="en-US" w:eastAsia="zh-CN"/>
        </w:rPr>
        <w:t>深圳市东海国际招标有限公司</w:t>
      </w:r>
      <w:r>
        <w:rPr>
          <w:rFonts w:hint="default" w:ascii="宋体" w:hAnsi="宋体" w:eastAsia="宋体" w:cs="宋体"/>
          <w:b w:val="0"/>
          <w:bCs w:val="0"/>
          <w:highlight w:val="none"/>
          <w:lang w:val="en-US" w:eastAsia="zh-CN"/>
        </w:rPr>
        <w:t>作为抽签小组进行随机抽签确定排序。</w:t>
      </w:r>
    </w:p>
    <w:p w14:paraId="32C8CC27">
      <w:pPr>
        <w:pStyle w:val="2"/>
        <w:ind w:firstLine="480" w:firstLineChars="200"/>
        <w:rPr>
          <w:rFonts w:hint="default" w:ascii="宋体" w:hAnsi="宋体" w:eastAsia="宋体" w:cs="宋体"/>
          <w:b w:val="0"/>
          <w:bCs w:val="0"/>
          <w:highlight w:val="none"/>
          <w:lang w:val="en-US" w:eastAsia="zh-CN"/>
        </w:rPr>
      </w:pPr>
      <w:r>
        <w:rPr>
          <w:rFonts w:hint="default" w:ascii="宋体" w:hAnsi="宋体" w:eastAsia="宋体" w:cs="宋体"/>
          <w:b w:val="0"/>
          <w:bCs w:val="0"/>
          <w:highlight w:val="none"/>
          <w:lang w:val="en-US" w:eastAsia="zh-CN"/>
        </w:rPr>
        <w:t>①编号。抽签小组按上传投标文件的时间先后确定抽签编号，如A 公司上传投标文件的时间最早，则抽签编号为1，以此类推。</w:t>
      </w:r>
    </w:p>
    <w:p w14:paraId="52AA0704">
      <w:pPr>
        <w:pStyle w:val="2"/>
        <w:ind w:firstLine="480" w:firstLineChars="200"/>
        <w:rPr>
          <w:rFonts w:hint="default" w:ascii="宋体" w:hAnsi="宋体" w:eastAsia="宋体" w:cs="宋体"/>
          <w:b w:val="0"/>
          <w:bCs w:val="0"/>
          <w:highlight w:val="none"/>
          <w:lang w:val="en-US" w:eastAsia="zh-CN"/>
        </w:rPr>
      </w:pPr>
      <w:r>
        <w:rPr>
          <w:rFonts w:hint="default" w:ascii="宋体" w:hAnsi="宋体" w:eastAsia="宋体" w:cs="宋体"/>
          <w:b w:val="0"/>
          <w:bCs w:val="0"/>
          <w:highlight w:val="none"/>
          <w:lang w:val="en-US" w:eastAsia="zh-CN"/>
        </w:rPr>
        <w:t>②抽签。按抽签编号的数量在摇号机放入相应数量及对应编号的号码球，抽签小组成员随机抽取号码球，按抽出号码球的顺序，确定号码球对应的供应商排序。</w:t>
      </w:r>
    </w:p>
    <w:p w14:paraId="01361E4D">
      <w:pPr>
        <w:pStyle w:val="2"/>
        <w:ind w:firstLine="480" w:firstLineChars="200"/>
        <w:rPr>
          <w:rFonts w:hint="default" w:ascii="宋体" w:hAnsi="宋体" w:eastAsia="宋体" w:cs="宋体"/>
          <w:b w:val="0"/>
          <w:bCs w:val="0"/>
          <w:highlight w:val="none"/>
          <w:lang w:val="en-US" w:eastAsia="zh-CN"/>
        </w:rPr>
      </w:pPr>
      <w:r>
        <w:rPr>
          <w:rFonts w:hint="default" w:ascii="宋体" w:hAnsi="宋体" w:eastAsia="宋体" w:cs="宋体"/>
          <w:b w:val="0"/>
          <w:bCs w:val="0"/>
          <w:highlight w:val="none"/>
          <w:lang w:val="en-US" w:eastAsia="zh-CN"/>
        </w:rPr>
        <w:t>③确认结果。全体抽签小组成员签字确认抽签结果。</w:t>
      </w:r>
    </w:p>
    <w:p w14:paraId="3F74AE93">
      <w:pPr>
        <w:pStyle w:val="2"/>
        <w:ind w:firstLine="480" w:firstLineChars="200"/>
        <w:rPr>
          <w:rFonts w:hint="default" w:ascii="宋体" w:hAnsi="宋体" w:eastAsia="宋体" w:cs="宋体"/>
          <w:b w:val="0"/>
          <w:bCs w:val="0"/>
          <w:highlight w:val="none"/>
          <w:lang w:val="en-US" w:eastAsia="zh-CN"/>
        </w:rPr>
      </w:pPr>
    </w:p>
    <w:bookmarkEnd w:id="2"/>
    <w:p w14:paraId="5F976E61">
      <w:pPr>
        <w:ind w:firstLine="482" w:firstLineChars="200"/>
        <w:rPr>
          <w:rFonts w:hint="eastAsia" w:ascii="宋体" w:hAnsi="宋体" w:eastAsia="宋体" w:cs="宋体"/>
          <w:b/>
          <w:highlight w:val="none"/>
        </w:rPr>
      </w:pPr>
    </w:p>
    <w:p w14:paraId="6DF84837">
      <w:pPr>
        <w:pStyle w:val="4"/>
        <w:numPr>
          <w:ilvl w:val="0"/>
          <w:numId w:val="2"/>
        </w:numPr>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招标项目需求书</w:t>
      </w:r>
    </w:p>
    <w:p w14:paraId="1A35EB4B">
      <w:pPr>
        <w:pStyle w:val="5"/>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300" w:leftChars="0" w:firstLine="42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项目需求主要内容</w:t>
      </w:r>
    </w:p>
    <w:tbl>
      <w:tblPr>
        <w:tblStyle w:val="18"/>
        <w:tblW w:w="4888" w:type="pct"/>
        <w:jc w:val="center"/>
        <w:tblLayout w:type="fixed"/>
        <w:tblCellMar>
          <w:top w:w="0" w:type="dxa"/>
          <w:left w:w="108" w:type="dxa"/>
          <w:bottom w:w="0" w:type="dxa"/>
          <w:right w:w="108" w:type="dxa"/>
        </w:tblCellMar>
      </w:tblPr>
      <w:tblGrid>
        <w:gridCol w:w="627"/>
        <w:gridCol w:w="1681"/>
        <w:gridCol w:w="2253"/>
        <w:gridCol w:w="491"/>
        <w:gridCol w:w="640"/>
        <w:gridCol w:w="1641"/>
        <w:gridCol w:w="1250"/>
      </w:tblGrid>
      <w:tr w14:paraId="5E1C8F63">
        <w:tblPrEx>
          <w:tblCellMar>
            <w:top w:w="0" w:type="dxa"/>
            <w:left w:w="108" w:type="dxa"/>
            <w:bottom w:w="0" w:type="dxa"/>
            <w:right w:w="108" w:type="dxa"/>
          </w:tblCellMar>
        </w:tblPrEx>
        <w:trPr>
          <w:trHeight w:val="716"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09431835">
            <w:pPr>
              <w:tabs>
                <w:tab w:val="left" w:pos="765"/>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7D3F8AC4">
            <w:pPr>
              <w:tabs>
                <w:tab w:val="left" w:pos="765"/>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p>
        </w:tc>
        <w:tc>
          <w:tcPr>
            <w:tcW w:w="2367" w:type="dxa"/>
            <w:tcBorders>
              <w:top w:val="single" w:color="000000" w:sz="4" w:space="0"/>
              <w:left w:val="single" w:color="000000" w:sz="4" w:space="0"/>
              <w:bottom w:val="single" w:color="000000" w:sz="4" w:space="0"/>
              <w:right w:val="single" w:color="000000" w:sz="4" w:space="0"/>
            </w:tcBorders>
            <w:noWrap/>
            <w:vAlign w:val="center"/>
          </w:tcPr>
          <w:p w14:paraId="4B458409">
            <w:pPr>
              <w:tabs>
                <w:tab w:val="left" w:pos="765"/>
              </w:tabs>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16" w:type="dxa"/>
            <w:tcBorders>
              <w:top w:val="single" w:color="000000" w:sz="4" w:space="0"/>
              <w:left w:val="single" w:color="000000" w:sz="4" w:space="0"/>
              <w:bottom w:val="single" w:color="000000" w:sz="4" w:space="0"/>
              <w:right w:val="single" w:color="000000" w:sz="4" w:space="0"/>
            </w:tcBorders>
            <w:noWrap/>
            <w:vAlign w:val="center"/>
          </w:tcPr>
          <w:p w14:paraId="27E9D951">
            <w:pPr>
              <w:tabs>
                <w:tab w:val="left" w:pos="765"/>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4C37A15">
            <w:pPr>
              <w:tabs>
                <w:tab w:val="left" w:pos="765"/>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9F595FA">
            <w:pPr>
              <w:tabs>
                <w:tab w:val="left" w:pos="765"/>
              </w:tabs>
              <w:spacing w:line="360" w:lineRule="auto"/>
              <w:jc w:val="center"/>
              <w:rPr>
                <w:rFonts w:hint="eastAsia" w:ascii="宋体" w:hAnsi="宋体" w:eastAsia="宋体" w:cs="宋体"/>
                <w:color w:val="auto"/>
                <w:sz w:val="24"/>
                <w:szCs w:val="24"/>
                <w:highlight w:val="none"/>
              </w:rPr>
            </w:pPr>
            <w:r>
              <w:rPr>
                <w:rFonts w:hint="eastAsia" w:asciiTheme="minorEastAsia" w:hAnsiTheme="minorEastAsia"/>
                <w:b w:val="0"/>
                <w:bCs w:val="0"/>
                <w:sz w:val="24"/>
                <w:szCs w:val="24"/>
                <w:highlight w:val="none"/>
              </w:rPr>
              <w:t>财政预算限额（元）</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321E5D46">
            <w:pPr>
              <w:tabs>
                <w:tab w:val="left" w:pos="765"/>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所属行业</w:t>
            </w:r>
          </w:p>
        </w:tc>
      </w:tr>
      <w:tr w14:paraId="6DBBDE26">
        <w:tblPrEx>
          <w:tblCellMar>
            <w:top w:w="0" w:type="dxa"/>
            <w:left w:w="108" w:type="dxa"/>
            <w:bottom w:w="0" w:type="dxa"/>
            <w:right w:w="108" w:type="dxa"/>
          </w:tblCellMar>
        </w:tblPrEx>
        <w:trPr>
          <w:trHeight w:val="363"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4A37052E">
            <w:pPr>
              <w:tabs>
                <w:tab w:val="left" w:pos="765"/>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67" w:type="dxa"/>
            <w:tcBorders>
              <w:top w:val="single" w:color="000000" w:sz="4" w:space="0"/>
              <w:left w:val="single" w:color="000000" w:sz="4" w:space="0"/>
              <w:bottom w:val="single" w:color="000000" w:sz="4" w:space="0"/>
              <w:right w:val="single" w:color="000000" w:sz="4" w:space="0"/>
            </w:tcBorders>
            <w:noWrap/>
            <w:vAlign w:val="center"/>
          </w:tcPr>
          <w:p w14:paraId="505CAA55">
            <w:pPr>
              <w:tabs>
                <w:tab w:val="left" w:pos="765"/>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LHAZXDL-2024-00062（3324-DH2432G3217）</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025AB9CB">
            <w:pPr>
              <w:tabs>
                <w:tab w:val="left" w:pos="765"/>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学校运动操场改造工程</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7150AB5">
            <w:pPr>
              <w:tabs>
                <w:tab w:val="left" w:pos="765"/>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1910406">
            <w:pPr>
              <w:tabs>
                <w:tab w:val="left" w:pos="765"/>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0C27E23">
            <w:pPr>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885,624.47</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32927E9B">
            <w:pPr>
              <w:tabs>
                <w:tab w:val="left" w:pos="765"/>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建筑业</w:t>
            </w:r>
          </w:p>
        </w:tc>
      </w:tr>
    </w:tbl>
    <w:p w14:paraId="089C3F32">
      <w:pPr>
        <w:jc w:val="both"/>
        <w:rPr>
          <w:sz w:val="24"/>
          <w:szCs w:val="24"/>
          <w:highlight w:val="none"/>
        </w:rPr>
      </w:pPr>
      <w:r>
        <w:rPr>
          <w:rFonts w:hint="eastAsia" w:ascii="宋体" w:hAnsi="宋体" w:eastAsia="宋体" w:cs="宋体"/>
          <w:b/>
          <w:bCs/>
          <w:color w:val="auto"/>
          <w:sz w:val="22"/>
          <w:szCs w:val="22"/>
          <w:highlight w:val="none"/>
        </w:rPr>
        <w:br w:type="textWrapping"/>
      </w:r>
      <w:r>
        <w:rPr>
          <w:rFonts w:hint="eastAsia" w:ascii="宋体" w:hAnsi="宋体" w:eastAsia="宋体" w:cs="宋体"/>
          <w:b/>
          <w:bCs/>
          <w:color w:val="FF0000"/>
          <w:sz w:val="22"/>
          <w:szCs w:val="22"/>
          <w:highlight w:val="none"/>
        </w:rPr>
        <w:t>本项目评审无价格竞争，各单位统一填报价格为：</w:t>
      </w:r>
      <w:r>
        <w:rPr>
          <w:rFonts w:hint="eastAsia" w:ascii="宋体" w:hAnsi="宋体" w:eastAsia="宋体" w:cs="宋体"/>
          <w:b/>
          <w:bCs/>
          <w:color w:val="FF0000"/>
          <w:sz w:val="22"/>
          <w:szCs w:val="22"/>
          <w:highlight w:val="none"/>
          <w:lang w:eastAsia="zh-CN"/>
        </w:rPr>
        <w:t>885,624.47</w:t>
      </w:r>
      <w:r>
        <w:rPr>
          <w:rFonts w:hint="eastAsia" w:ascii="宋体" w:hAnsi="宋体" w:eastAsia="宋体" w:cs="宋体"/>
          <w:b/>
          <w:bCs/>
          <w:color w:val="FF0000"/>
          <w:sz w:val="22"/>
          <w:szCs w:val="22"/>
          <w:highlight w:val="none"/>
          <w:lang w:val="en-US" w:eastAsia="zh-CN"/>
        </w:rPr>
        <w:t>元</w:t>
      </w:r>
      <w:r>
        <w:rPr>
          <w:rFonts w:hint="eastAsia" w:ascii="宋体" w:hAnsi="宋体" w:eastAsia="宋体" w:cs="宋体"/>
          <w:b/>
          <w:bCs/>
          <w:color w:val="FF0000"/>
          <w:sz w:val="22"/>
          <w:szCs w:val="22"/>
          <w:highlight w:val="none"/>
        </w:rPr>
        <w:t>，否则视为投标无效。</w:t>
      </w:r>
    </w:p>
    <w:p w14:paraId="19105FAA">
      <w:pPr>
        <w:spacing w:line="360" w:lineRule="auto"/>
        <w:rPr>
          <w:rFonts w:hint="eastAsia" w:ascii="宋体" w:hAnsi="宋体" w:eastAsia="宋体" w:cs="宋体"/>
          <w:highlight w:val="none"/>
          <w:lang w:val="en-US"/>
        </w:rPr>
      </w:pPr>
      <w:r>
        <w:rPr>
          <w:rFonts w:hint="eastAsia" w:ascii="宋体" w:hAnsi="宋体" w:eastAsia="宋体" w:cs="宋体"/>
          <w:b/>
          <w:bCs/>
          <w:color w:val="auto"/>
          <w:sz w:val="22"/>
          <w:szCs w:val="22"/>
          <w:highlight w:val="none"/>
        </w:rPr>
        <w:br w:type="textWrapping"/>
      </w:r>
    </w:p>
    <w:p w14:paraId="38441189">
      <w:pPr>
        <w:pStyle w:val="5"/>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300" w:leftChars="0" w:firstLine="420" w:firstLineChars="0"/>
        <w:jc w:val="center"/>
        <w:textAlignment w:val="auto"/>
        <w:rPr>
          <w:rFonts w:hint="eastAsia" w:ascii="宋体" w:hAnsi="宋体" w:eastAsia="宋体" w:cs="宋体"/>
          <w:b/>
          <w:bCs/>
          <w:color w:val="auto"/>
          <w:kern w:val="2"/>
          <w:sz w:val="28"/>
          <w:szCs w:val="28"/>
          <w:highlight w:val="none"/>
          <w:lang w:val="en-US" w:eastAsia="zh-CN" w:bidi="ar-SA"/>
        </w:rPr>
      </w:pPr>
      <w:bookmarkStart w:id="3" w:name="_Toc128884461"/>
      <w:r>
        <w:rPr>
          <w:rFonts w:hint="eastAsia" w:ascii="宋体" w:hAnsi="宋体" w:eastAsia="宋体" w:cs="宋体"/>
          <w:b/>
          <w:bCs/>
          <w:color w:val="auto"/>
          <w:kern w:val="2"/>
          <w:sz w:val="28"/>
          <w:szCs w:val="28"/>
          <w:highlight w:val="none"/>
          <w:lang w:val="en-US" w:eastAsia="zh-CN" w:bidi="ar-SA"/>
        </w:rPr>
        <w:t>实质性条款</w:t>
      </w:r>
    </w:p>
    <w:bookmarkEnd w:id="3"/>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290"/>
      </w:tblGrid>
      <w:tr w14:paraId="48C9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noWrap w:val="0"/>
            <w:vAlign w:val="top"/>
          </w:tcPr>
          <w:p w14:paraId="3A78794B">
            <w:pPr>
              <w:adjustRightInd w:val="0"/>
              <w:snapToGrid w:val="0"/>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8290" w:type="dxa"/>
            <w:noWrap w:val="0"/>
            <w:vAlign w:val="top"/>
          </w:tcPr>
          <w:p w14:paraId="06B4B078">
            <w:pPr>
              <w:adjustRightInd w:val="0"/>
              <w:snapToGrid w:val="0"/>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具体内容</w:t>
            </w:r>
          </w:p>
        </w:tc>
      </w:tr>
      <w:tr w14:paraId="53AC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noWrap w:val="0"/>
            <w:vAlign w:val="top"/>
          </w:tcPr>
          <w:p w14:paraId="796BBE58">
            <w:pPr>
              <w:adjustRightInd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290" w:type="dxa"/>
            <w:noWrap w:val="0"/>
            <w:vAlign w:val="top"/>
          </w:tcPr>
          <w:p w14:paraId="6987C221">
            <w:pPr>
              <w:adjustRightInd w:val="0"/>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本项目招标文件中所有带★号条款内容</w:t>
            </w:r>
          </w:p>
        </w:tc>
      </w:tr>
    </w:tbl>
    <w:p w14:paraId="1B3A2001">
      <w:pPr>
        <w:rPr>
          <w:rFonts w:hint="default"/>
          <w:lang w:val="en-US"/>
        </w:rPr>
      </w:pPr>
      <w:r>
        <w:rPr>
          <w:rFonts w:hint="eastAsia"/>
          <w:b/>
          <w:color w:val="FF0000"/>
        </w:rPr>
        <w:t>注</w:t>
      </w:r>
      <w:r>
        <w:rPr>
          <w:rFonts w:hint="eastAsia"/>
        </w:rPr>
        <w:t>：</w:t>
      </w:r>
      <w:r>
        <w:rPr>
          <w:rFonts w:hint="eastAsia"/>
          <w:b/>
          <w:color w:val="FF0000"/>
        </w:rPr>
        <w:t>上表所列内容为不可负偏离条款，负偏离将视为未实质性满足招标文件要求</w:t>
      </w:r>
      <w:r>
        <w:rPr>
          <w:rFonts w:hint="eastAsia"/>
          <w:b/>
          <w:color w:val="FF0000"/>
          <w:lang w:eastAsia="zh-CN"/>
        </w:rPr>
        <w:t>，</w:t>
      </w:r>
      <w:r>
        <w:rPr>
          <w:rFonts w:hint="eastAsia"/>
          <w:b/>
          <w:color w:val="FF0000"/>
        </w:rPr>
        <w:t>作投标无效处理。投标人是否满足</w:t>
      </w:r>
      <w:r>
        <w:rPr>
          <w:rFonts w:hint="eastAsia"/>
          <w:b/>
          <w:color w:val="FF0000"/>
          <w:lang w:val="en-US" w:eastAsia="zh-CN"/>
        </w:rPr>
        <w:t>以上实质性</w:t>
      </w:r>
      <w:r>
        <w:rPr>
          <w:rFonts w:hint="eastAsia"/>
          <w:b/>
          <w:color w:val="FF0000"/>
        </w:rPr>
        <w:t>条款要求，</w:t>
      </w:r>
      <w:r>
        <w:rPr>
          <w:rFonts w:hint="eastAsia"/>
          <w:b/>
          <w:color w:val="FF0000"/>
          <w:lang w:val="en-US" w:eastAsia="zh-CN"/>
        </w:rPr>
        <w:t>以</w:t>
      </w:r>
      <w:r>
        <w:rPr>
          <w:rFonts w:hint="eastAsia"/>
          <w:b/>
          <w:color w:val="FF0000"/>
          <w:lang w:eastAsia="zh-CN"/>
        </w:rPr>
        <w:t>《</w:t>
      </w:r>
      <w:r>
        <w:rPr>
          <w:rFonts w:hint="eastAsia"/>
          <w:b/>
          <w:color w:val="FF0000"/>
        </w:rPr>
        <w:t>实质性条款响应情况表</w:t>
      </w:r>
      <w:r>
        <w:rPr>
          <w:rFonts w:hint="eastAsia"/>
          <w:b/>
          <w:color w:val="FF0000"/>
          <w:lang w:eastAsia="zh-CN"/>
        </w:rPr>
        <w:t>》</w:t>
      </w:r>
      <w:r>
        <w:rPr>
          <w:rFonts w:hint="eastAsia"/>
          <w:b/>
          <w:color w:val="FF0000"/>
          <w:lang w:val="en-US" w:eastAsia="zh-CN"/>
        </w:rPr>
        <w:t>响应为准。</w:t>
      </w:r>
      <w:r>
        <w:rPr>
          <w:rFonts w:hint="eastAsia"/>
          <w:b/>
          <w:color w:val="FF0000"/>
        </w:rPr>
        <w:t>如投标人中标后被发现不能满足</w:t>
      </w:r>
      <w:r>
        <w:rPr>
          <w:rFonts w:hint="eastAsia"/>
          <w:b/>
          <w:color w:val="FF0000"/>
          <w:lang w:val="en-US" w:eastAsia="zh-CN"/>
        </w:rPr>
        <w:t>以上实质性</w:t>
      </w:r>
      <w:r>
        <w:rPr>
          <w:rFonts w:hint="eastAsia"/>
          <w:b/>
          <w:color w:val="FF0000"/>
        </w:rPr>
        <w:t>条款要求的，采购单位有权拒绝签订合同，一切后果由投标人承担。</w:t>
      </w:r>
    </w:p>
    <w:p w14:paraId="3358B432">
      <w:pPr>
        <w:pStyle w:val="5"/>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300" w:leftChars="0" w:firstLine="42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项目概况</w:t>
      </w:r>
    </w:p>
    <w:p w14:paraId="6D7F90CA">
      <w:pPr>
        <w:spacing w:line="360" w:lineRule="auto"/>
        <w:rPr>
          <w:rFonts w:hint="eastAsia" w:ascii="宋体" w:hAnsi="宋体" w:eastAsia="宋体" w:cs="宋体"/>
          <w:b/>
          <w:bCs/>
          <w:sz w:val="24"/>
          <w:szCs w:val="24"/>
          <w:highlight w:val="none"/>
        </w:rPr>
      </w:pPr>
    </w:p>
    <w:p w14:paraId="073FA187">
      <w:pPr>
        <w:pStyle w:val="2"/>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项目基本情况简介：华东师范大学附属深圳龙华学校教育集团学校运动操场改造工程</w:t>
      </w:r>
    </w:p>
    <w:p w14:paraId="67D2DE8E">
      <w:pPr>
        <w:pStyle w:val="2"/>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eastAsia="zh-CN"/>
        </w:rPr>
        <w:t>：学校运动操场改造工程</w:t>
      </w:r>
    </w:p>
    <w:p w14:paraId="258A33C3">
      <w:pPr>
        <w:pStyle w:val="2"/>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工程内容</w:t>
      </w:r>
      <w:r>
        <w:rPr>
          <w:rFonts w:hint="eastAsia" w:ascii="宋体" w:hAnsi="宋体" w:eastAsia="宋体" w:cs="宋体"/>
          <w:b w:val="0"/>
          <w:bCs w:val="0"/>
          <w:color w:val="auto"/>
          <w:sz w:val="24"/>
          <w:szCs w:val="24"/>
          <w:highlight w:val="none"/>
          <w:lang w:eastAsia="zh-CN"/>
        </w:rPr>
        <w:t>：学校运动操场改造工程</w:t>
      </w:r>
    </w:p>
    <w:p w14:paraId="7B97B367">
      <w:pPr>
        <w:pStyle w:val="2"/>
        <w:ind w:left="480" w:leftChars="200" w:firstLine="0" w:firstLineChars="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工程地址</w:t>
      </w:r>
      <w:r>
        <w:rPr>
          <w:rFonts w:hint="eastAsia" w:ascii="宋体" w:hAnsi="宋体" w:eastAsia="宋体" w:cs="宋体"/>
          <w:b w:val="0"/>
          <w:bCs w:val="0"/>
          <w:color w:val="auto"/>
          <w:sz w:val="24"/>
          <w:szCs w:val="24"/>
          <w:highlight w:val="none"/>
          <w:lang w:eastAsia="zh-CN"/>
        </w:rPr>
        <w:t xml:space="preserve">：华东师范大学附属深圳龙华学校教育集团  </w:t>
      </w:r>
      <w:r>
        <w:rPr>
          <w:rFonts w:hint="eastAsia" w:ascii="宋体" w:hAnsi="宋体" w:eastAsia="宋体" w:cs="宋体"/>
          <w:b w:val="0"/>
          <w:bCs w:val="0"/>
          <w:color w:val="auto"/>
          <w:sz w:val="24"/>
          <w:szCs w:val="24"/>
          <w:highlight w:val="none"/>
          <w:lang w:eastAsia="zh-CN"/>
        </w:rPr>
        <w:br w:type="textWrapping"/>
      </w:r>
      <w:r>
        <w:rPr>
          <w:rFonts w:hint="eastAsia" w:ascii="宋体" w:hAnsi="宋体" w:eastAsia="宋体" w:cs="宋体"/>
          <w:b w:val="0"/>
          <w:bCs w:val="0"/>
          <w:color w:val="auto"/>
          <w:sz w:val="24"/>
          <w:szCs w:val="24"/>
          <w:highlight w:val="none"/>
        </w:rPr>
        <w:t>招标控制价</w:t>
      </w:r>
      <w:r>
        <w:rPr>
          <w:rFonts w:hint="eastAsia" w:ascii="宋体" w:hAnsi="宋体" w:eastAsia="宋体" w:cs="宋体"/>
          <w:b w:val="0"/>
          <w:bCs w:val="0"/>
          <w:color w:val="auto"/>
          <w:sz w:val="24"/>
          <w:szCs w:val="24"/>
          <w:highlight w:val="none"/>
          <w:lang w:eastAsia="zh-CN"/>
        </w:rPr>
        <w:t>：885,624.47元（</w:t>
      </w:r>
      <w:r>
        <w:rPr>
          <w:rFonts w:hint="eastAsia" w:ascii="宋体" w:hAnsi="宋体" w:eastAsia="宋体" w:cs="宋体"/>
          <w:b w:val="0"/>
          <w:bCs w:val="0"/>
          <w:color w:val="auto"/>
          <w:sz w:val="24"/>
          <w:szCs w:val="24"/>
          <w:highlight w:val="none"/>
          <w:lang w:val="en-US" w:eastAsia="zh-CN"/>
        </w:rPr>
        <w:t>投标方响应前需仔细查阅此项目建设方案、限价。中标后建设方不接受中标方提出增加工程款。建设方提出工程变更需增加工程量除外</w:t>
      </w:r>
      <w:r>
        <w:rPr>
          <w:rFonts w:hint="eastAsia" w:ascii="宋体" w:hAnsi="宋体" w:eastAsia="宋体" w:cs="宋体"/>
          <w:b w:val="0"/>
          <w:bCs w:val="0"/>
          <w:color w:val="auto"/>
          <w:sz w:val="24"/>
          <w:szCs w:val="24"/>
          <w:highlight w:val="none"/>
          <w:lang w:eastAsia="zh-CN"/>
        </w:rPr>
        <w:t>）。</w:t>
      </w:r>
    </w:p>
    <w:p w14:paraId="177B691B">
      <w:pPr>
        <w:pStyle w:val="5"/>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300" w:leftChars="0" w:firstLine="42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工程量清单</w:t>
      </w:r>
    </w:p>
    <w:p w14:paraId="1F55C1B0">
      <w:pPr>
        <w:pStyle w:val="2"/>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（一）工程量清单（详见附件）</w:t>
      </w:r>
    </w:p>
    <w:p w14:paraId="15390F18">
      <w:pPr>
        <w:pStyle w:val="2"/>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（二）相关说明：</w:t>
      </w:r>
    </w:p>
    <w:p w14:paraId="43D77FD6">
      <w:pPr>
        <w:pStyle w:val="2"/>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31FF8AB">
      <w:pPr>
        <w:pStyle w:val="2"/>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2、本工程量清单应与招标文件中的项目概况、通用合同条款、专用合同条款、技术标准和要求及图纸等一起阅读和理解。</w:t>
      </w:r>
    </w:p>
    <w:p w14:paraId="37F7A7D7">
      <w:pPr>
        <w:pStyle w:val="2"/>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3、本工程量清单仅是投标报价的共同基础，实际工程计量和工程价款的支付应遵循合同条款的约定和第七章“技术标准和要求”的有关规定。</w:t>
      </w:r>
    </w:p>
    <w:p w14:paraId="1ACEAE03">
      <w:pPr>
        <w:pStyle w:val="2"/>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 工程量清单中标价的单价或金额，应包括所需的人工费、材料和施工机具使用费和企业管理费、利润以及一定范围内的风险费用等；</w:t>
      </w:r>
    </w:p>
    <w:p w14:paraId="61EAEDEA">
      <w:pPr>
        <w:pStyle w:val="2"/>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 工程量清单中投标人没有填入单价或价格的子目，其费用视为已分摊在工程量清单中其他相关子目的单价或价格之中。</w:t>
      </w:r>
    </w:p>
    <w:p w14:paraId="2F307E56">
      <w:pPr>
        <w:pStyle w:val="5"/>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300" w:leftChars="0" w:firstLine="42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图纸（详见附件）</w:t>
      </w:r>
    </w:p>
    <w:p w14:paraId="5DCED9B5">
      <w:pPr>
        <w:pStyle w:val="2"/>
        <w:spacing w:before="5"/>
        <w:jc w:val="center"/>
        <w:rPr>
          <w:rFonts w:ascii="黑体"/>
          <w:sz w:val="28"/>
        </w:rPr>
      </w:pPr>
      <w:r>
        <w:rPr>
          <w:rFonts w:hint="eastAsia"/>
        </w:rPr>
        <w:t>图纸目录</w:t>
      </w:r>
    </w:p>
    <w:tbl>
      <w:tblPr>
        <w:tblStyle w:val="18"/>
        <w:tblpPr w:leftFromText="180" w:rightFromText="180" w:vertAnchor="text" w:horzAnchor="page" w:tblpX="1283" w:tblpY="501"/>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14"/>
        <w:gridCol w:w="1953"/>
        <w:gridCol w:w="1163"/>
        <w:gridCol w:w="1120"/>
        <w:gridCol w:w="1835"/>
        <w:gridCol w:w="1128"/>
      </w:tblGrid>
      <w:tr w14:paraId="5BB1F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670" w:type="pct"/>
            <w:noWrap w:val="0"/>
            <w:vAlign w:val="center"/>
          </w:tcPr>
          <w:p w14:paraId="72100F76">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序号</w:t>
            </w:r>
          </w:p>
        </w:tc>
        <w:tc>
          <w:tcPr>
            <w:tcW w:w="1174" w:type="pct"/>
            <w:noWrap w:val="0"/>
            <w:vAlign w:val="center"/>
          </w:tcPr>
          <w:p w14:paraId="44696E10">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图名</w:t>
            </w:r>
          </w:p>
        </w:tc>
        <w:tc>
          <w:tcPr>
            <w:tcW w:w="699" w:type="pct"/>
            <w:noWrap w:val="0"/>
            <w:vAlign w:val="center"/>
          </w:tcPr>
          <w:p w14:paraId="1EA7C958">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图号</w:t>
            </w:r>
          </w:p>
        </w:tc>
        <w:tc>
          <w:tcPr>
            <w:tcW w:w="673" w:type="pct"/>
            <w:noWrap w:val="0"/>
            <w:vAlign w:val="center"/>
          </w:tcPr>
          <w:p w14:paraId="7D22FBB7">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版本</w:t>
            </w:r>
          </w:p>
        </w:tc>
        <w:tc>
          <w:tcPr>
            <w:tcW w:w="1103" w:type="pct"/>
            <w:noWrap w:val="0"/>
            <w:vAlign w:val="center"/>
          </w:tcPr>
          <w:p w14:paraId="658051D5">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出图日期</w:t>
            </w:r>
          </w:p>
        </w:tc>
        <w:tc>
          <w:tcPr>
            <w:tcW w:w="678" w:type="pct"/>
            <w:noWrap w:val="0"/>
            <w:vAlign w:val="center"/>
          </w:tcPr>
          <w:p w14:paraId="0F6CDA3B">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r>
      <w:tr w14:paraId="7180D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670" w:type="pct"/>
            <w:noWrap w:val="0"/>
            <w:vAlign w:val="center"/>
          </w:tcPr>
          <w:p w14:paraId="7C0D796A">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w:t>
            </w:r>
          </w:p>
        </w:tc>
        <w:tc>
          <w:tcPr>
            <w:tcW w:w="1174" w:type="pct"/>
            <w:noWrap w:val="0"/>
            <w:vAlign w:val="center"/>
          </w:tcPr>
          <w:p w14:paraId="2E27FE78">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图纸目录</w:t>
            </w:r>
          </w:p>
        </w:tc>
        <w:tc>
          <w:tcPr>
            <w:tcW w:w="699" w:type="pct"/>
            <w:noWrap w:val="0"/>
            <w:vAlign w:val="center"/>
          </w:tcPr>
          <w:p w14:paraId="19327E9E">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01</w:t>
            </w:r>
          </w:p>
        </w:tc>
        <w:tc>
          <w:tcPr>
            <w:tcW w:w="673" w:type="pct"/>
            <w:noWrap w:val="0"/>
            <w:vAlign w:val="center"/>
          </w:tcPr>
          <w:p w14:paraId="3F9C2914">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A3</w:t>
            </w:r>
          </w:p>
        </w:tc>
        <w:tc>
          <w:tcPr>
            <w:tcW w:w="1103" w:type="pct"/>
            <w:noWrap w:val="0"/>
            <w:vAlign w:val="center"/>
          </w:tcPr>
          <w:p w14:paraId="30F24376">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2024年8月</w:t>
            </w:r>
          </w:p>
        </w:tc>
        <w:tc>
          <w:tcPr>
            <w:tcW w:w="678" w:type="pct"/>
            <w:noWrap w:val="0"/>
            <w:vAlign w:val="center"/>
          </w:tcPr>
          <w:p w14:paraId="7ABBDCBB">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p>
        </w:tc>
      </w:tr>
      <w:tr w14:paraId="51939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670" w:type="pct"/>
            <w:noWrap w:val="0"/>
            <w:vAlign w:val="center"/>
          </w:tcPr>
          <w:p w14:paraId="0AB60E3B">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w:t>
            </w:r>
          </w:p>
        </w:tc>
        <w:tc>
          <w:tcPr>
            <w:tcW w:w="1174" w:type="pct"/>
            <w:noWrap w:val="0"/>
            <w:vAlign w:val="center"/>
          </w:tcPr>
          <w:p w14:paraId="556BC4D1">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足球运动场改造设计说明</w:t>
            </w:r>
          </w:p>
        </w:tc>
        <w:tc>
          <w:tcPr>
            <w:tcW w:w="699" w:type="pct"/>
            <w:noWrap w:val="0"/>
            <w:vAlign w:val="center"/>
          </w:tcPr>
          <w:p w14:paraId="0ED2034A">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02</w:t>
            </w:r>
          </w:p>
        </w:tc>
        <w:tc>
          <w:tcPr>
            <w:tcW w:w="673" w:type="pct"/>
            <w:noWrap w:val="0"/>
            <w:vAlign w:val="center"/>
          </w:tcPr>
          <w:p w14:paraId="5F3F2B73">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A3</w:t>
            </w:r>
          </w:p>
        </w:tc>
        <w:tc>
          <w:tcPr>
            <w:tcW w:w="1103" w:type="pct"/>
            <w:noWrap w:val="0"/>
            <w:vAlign w:val="center"/>
          </w:tcPr>
          <w:p w14:paraId="5E9FDF54">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2024年8月</w:t>
            </w:r>
          </w:p>
        </w:tc>
        <w:tc>
          <w:tcPr>
            <w:tcW w:w="678" w:type="pct"/>
            <w:noWrap w:val="0"/>
            <w:vAlign w:val="center"/>
          </w:tcPr>
          <w:p w14:paraId="5D7B4F84">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p>
        </w:tc>
      </w:tr>
      <w:tr w14:paraId="057FD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670" w:type="pct"/>
            <w:noWrap w:val="0"/>
            <w:vAlign w:val="center"/>
          </w:tcPr>
          <w:p w14:paraId="7108A958">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w:t>
            </w:r>
          </w:p>
        </w:tc>
        <w:tc>
          <w:tcPr>
            <w:tcW w:w="1174" w:type="pct"/>
            <w:noWrap w:val="0"/>
            <w:vAlign w:val="center"/>
          </w:tcPr>
          <w:p w14:paraId="0A77D60D">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足球场原始平面图</w:t>
            </w:r>
          </w:p>
        </w:tc>
        <w:tc>
          <w:tcPr>
            <w:tcW w:w="699" w:type="pct"/>
            <w:noWrap w:val="0"/>
            <w:vAlign w:val="center"/>
          </w:tcPr>
          <w:p w14:paraId="59CB7ECF">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03</w:t>
            </w:r>
          </w:p>
        </w:tc>
        <w:tc>
          <w:tcPr>
            <w:tcW w:w="673" w:type="pct"/>
            <w:noWrap w:val="0"/>
            <w:vAlign w:val="center"/>
          </w:tcPr>
          <w:p w14:paraId="56D6BD96">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A3</w:t>
            </w:r>
          </w:p>
        </w:tc>
        <w:tc>
          <w:tcPr>
            <w:tcW w:w="1103" w:type="pct"/>
            <w:noWrap w:val="0"/>
            <w:vAlign w:val="center"/>
          </w:tcPr>
          <w:p w14:paraId="021B4C64">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2024年8月</w:t>
            </w:r>
          </w:p>
        </w:tc>
        <w:tc>
          <w:tcPr>
            <w:tcW w:w="678" w:type="pct"/>
            <w:noWrap w:val="0"/>
            <w:vAlign w:val="center"/>
          </w:tcPr>
          <w:p w14:paraId="4205E304">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p>
        </w:tc>
      </w:tr>
      <w:tr w14:paraId="659A9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670" w:type="pct"/>
            <w:noWrap w:val="0"/>
            <w:vAlign w:val="center"/>
          </w:tcPr>
          <w:p w14:paraId="385077E9">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w:t>
            </w:r>
          </w:p>
        </w:tc>
        <w:tc>
          <w:tcPr>
            <w:tcW w:w="1174" w:type="pct"/>
            <w:noWrap w:val="0"/>
            <w:vAlign w:val="center"/>
          </w:tcPr>
          <w:p w14:paraId="41B4B5F3">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足球场改造平面图</w:t>
            </w:r>
          </w:p>
        </w:tc>
        <w:tc>
          <w:tcPr>
            <w:tcW w:w="699" w:type="pct"/>
            <w:noWrap w:val="0"/>
            <w:vAlign w:val="center"/>
          </w:tcPr>
          <w:p w14:paraId="34827047">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04</w:t>
            </w:r>
          </w:p>
        </w:tc>
        <w:tc>
          <w:tcPr>
            <w:tcW w:w="673" w:type="pct"/>
            <w:noWrap w:val="0"/>
            <w:vAlign w:val="center"/>
          </w:tcPr>
          <w:p w14:paraId="3EE8B7B5">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A3</w:t>
            </w:r>
          </w:p>
        </w:tc>
        <w:tc>
          <w:tcPr>
            <w:tcW w:w="1103" w:type="pct"/>
            <w:noWrap w:val="0"/>
            <w:vAlign w:val="center"/>
          </w:tcPr>
          <w:p w14:paraId="37F3F7AE">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2024年8月</w:t>
            </w:r>
          </w:p>
        </w:tc>
        <w:tc>
          <w:tcPr>
            <w:tcW w:w="678" w:type="pct"/>
            <w:noWrap w:val="0"/>
            <w:vAlign w:val="center"/>
          </w:tcPr>
          <w:p w14:paraId="47AC65D9">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p>
        </w:tc>
      </w:tr>
      <w:tr w14:paraId="67F82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670" w:type="pct"/>
            <w:noWrap w:val="0"/>
            <w:vAlign w:val="center"/>
          </w:tcPr>
          <w:p w14:paraId="7A1CC4D1">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w:t>
            </w:r>
          </w:p>
        </w:tc>
        <w:tc>
          <w:tcPr>
            <w:tcW w:w="1174" w:type="pct"/>
            <w:noWrap w:val="0"/>
            <w:vAlign w:val="center"/>
          </w:tcPr>
          <w:p w14:paraId="70DE22BD">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运动场平面尺寸图</w:t>
            </w:r>
          </w:p>
        </w:tc>
        <w:tc>
          <w:tcPr>
            <w:tcW w:w="699" w:type="pct"/>
            <w:noWrap w:val="0"/>
            <w:vAlign w:val="center"/>
          </w:tcPr>
          <w:p w14:paraId="654FDA0E">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05</w:t>
            </w:r>
          </w:p>
        </w:tc>
        <w:tc>
          <w:tcPr>
            <w:tcW w:w="673" w:type="pct"/>
            <w:noWrap w:val="0"/>
            <w:vAlign w:val="center"/>
          </w:tcPr>
          <w:p w14:paraId="5E454164">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A3</w:t>
            </w:r>
          </w:p>
        </w:tc>
        <w:tc>
          <w:tcPr>
            <w:tcW w:w="1103" w:type="pct"/>
            <w:noWrap w:val="0"/>
            <w:vAlign w:val="center"/>
          </w:tcPr>
          <w:p w14:paraId="5E6B0685">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2024年8月</w:t>
            </w:r>
          </w:p>
        </w:tc>
        <w:tc>
          <w:tcPr>
            <w:tcW w:w="678" w:type="pct"/>
            <w:noWrap w:val="0"/>
            <w:vAlign w:val="center"/>
          </w:tcPr>
          <w:p w14:paraId="0CEC8688">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p>
        </w:tc>
      </w:tr>
      <w:tr w14:paraId="1B40B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670" w:type="pct"/>
            <w:noWrap w:val="0"/>
            <w:vAlign w:val="center"/>
          </w:tcPr>
          <w:p w14:paraId="2F85AEE9">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w:t>
            </w:r>
          </w:p>
        </w:tc>
        <w:tc>
          <w:tcPr>
            <w:tcW w:w="1174" w:type="pct"/>
            <w:noWrap w:val="0"/>
            <w:vAlign w:val="center"/>
          </w:tcPr>
          <w:p w14:paraId="7844E999">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足球场排水示意图</w:t>
            </w:r>
          </w:p>
        </w:tc>
        <w:tc>
          <w:tcPr>
            <w:tcW w:w="699" w:type="pct"/>
            <w:noWrap w:val="0"/>
            <w:vAlign w:val="center"/>
          </w:tcPr>
          <w:p w14:paraId="6072783E">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06</w:t>
            </w:r>
          </w:p>
        </w:tc>
        <w:tc>
          <w:tcPr>
            <w:tcW w:w="673" w:type="pct"/>
            <w:noWrap w:val="0"/>
            <w:vAlign w:val="center"/>
          </w:tcPr>
          <w:p w14:paraId="66F6B92D">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A3</w:t>
            </w:r>
          </w:p>
        </w:tc>
        <w:tc>
          <w:tcPr>
            <w:tcW w:w="1103" w:type="pct"/>
            <w:noWrap w:val="0"/>
            <w:vAlign w:val="center"/>
          </w:tcPr>
          <w:p w14:paraId="486E6991">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2024年8月</w:t>
            </w:r>
          </w:p>
        </w:tc>
        <w:tc>
          <w:tcPr>
            <w:tcW w:w="678" w:type="pct"/>
            <w:noWrap w:val="0"/>
            <w:vAlign w:val="center"/>
          </w:tcPr>
          <w:p w14:paraId="415C5E6D">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p>
        </w:tc>
      </w:tr>
      <w:tr w14:paraId="2D04C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670" w:type="pct"/>
            <w:noWrap w:val="0"/>
            <w:vAlign w:val="center"/>
          </w:tcPr>
          <w:p w14:paraId="3C3DFE52">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7</w:t>
            </w:r>
          </w:p>
        </w:tc>
        <w:tc>
          <w:tcPr>
            <w:tcW w:w="1174" w:type="pct"/>
            <w:noWrap w:val="0"/>
            <w:vAlign w:val="center"/>
          </w:tcPr>
          <w:p w14:paraId="25193B0C">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大样图1</w:t>
            </w:r>
          </w:p>
        </w:tc>
        <w:tc>
          <w:tcPr>
            <w:tcW w:w="699" w:type="pct"/>
            <w:noWrap w:val="0"/>
            <w:vAlign w:val="center"/>
          </w:tcPr>
          <w:p w14:paraId="733B29C9">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07</w:t>
            </w:r>
          </w:p>
        </w:tc>
        <w:tc>
          <w:tcPr>
            <w:tcW w:w="673" w:type="pct"/>
            <w:noWrap w:val="0"/>
            <w:vAlign w:val="center"/>
          </w:tcPr>
          <w:p w14:paraId="74AAFAEA">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A3</w:t>
            </w:r>
          </w:p>
        </w:tc>
        <w:tc>
          <w:tcPr>
            <w:tcW w:w="1103" w:type="pct"/>
            <w:noWrap w:val="0"/>
            <w:vAlign w:val="center"/>
          </w:tcPr>
          <w:p w14:paraId="0F2E2193">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2024年8月</w:t>
            </w:r>
          </w:p>
        </w:tc>
        <w:tc>
          <w:tcPr>
            <w:tcW w:w="678" w:type="pct"/>
            <w:noWrap w:val="0"/>
            <w:vAlign w:val="center"/>
          </w:tcPr>
          <w:p w14:paraId="340F7F86">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p>
        </w:tc>
      </w:tr>
      <w:tr w14:paraId="6D432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670" w:type="pct"/>
            <w:noWrap w:val="0"/>
            <w:vAlign w:val="center"/>
          </w:tcPr>
          <w:p w14:paraId="6B897E26">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8</w:t>
            </w:r>
          </w:p>
        </w:tc>
        <w:tc>
          <w:tcPr>
            <w:tcW w:w="1174" w:type="pct"/>
            <w:noWrap w:val="0"/>
            <w:vAlign w:val="center"/>
          </w:tcPr>
          <w:p w14:paraId="1306B665">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大样图2</w:t>
            </w:r>
          </w:p>
        </w:tc>
        <w:tc>
          <w:tcPr>
            <w:tcW w:w="699" w:type="pct"/>
            <w:noWrap w:val="0"/>
            <w:vAlign w:val="center"/>
          </w:tcPr>
          <w:p w14:paraId="6FE1366C">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08</w:t>
            </w:r>
          </w:p>
        </w:tc>
        <w:tc>
          <w:tcPr>
            <w:tcW w:w="673" w:type="pct"/>
            <w:noWrap w:val="0"/>
            <w:vAlign w:val="center"/>
          </w:tcPr>
          <w:p w14:paraId="44CB5311">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A3</w:t>
            </w:r>
          </w:p>
        </w:tc>
        <w:tc>
          <w:tcPr>
            <w:tcW w:w="1103" w:type="pct"/>
            <w:noWrap w:val="0"/>
            <w:vAlign w:val="center"/>
          </w:tcPr>
          <w:p w14:paraId="2FFAA5A8">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2024年8月</w:t>
            </w:r>
          </w:p>
        </w:tc>
        <w:tc>
          <w:tcPr>
            <w:tcW w:w="678" w:type="pct"/>
            <w:noWrap w:val="0"/>
            <w:vAlign w:val="center"/>
          </w:tcPr>
          <w:p w14:paraId="3AD70041">
            <w:pPr>
              <w:pStyle w:val="38"/>
              <w:keepNext w:val="0"/>
              <w:keepLines w:val="0"/>
              <w:pageBreakBefore w:val="0"/>
              <w:widowControl/>
              <w:kinsoku/>
              <w:wordWrap/>
              <w:overflowPunct/>
              <w:topLinePunct w:val="0"/>
              <w:autoSpaceDE/>
              <w:autoSpaceDN/>
              <w:bidi w:val="0"/>
              <w:adjustRightInd/>
              <w:snapToGrid/>
              <w:ind w:left="0" w:right="0"/>
              <w:jc w:val="center"/>
              <w:textAlignment w:val="auto"/>
              <w:rPr>
                <w:rFonts w:hint="eastAsia" w:ascii="宋体" w:hAnsi="宋体" w:eastAsia="宋体" w:cs="宋体"/>
                <w:kern w:val="2"/>
                <w:sz w:val="24"/>
                <w:szCs w:val="24"/>
                <w:lang w:val="en-US" w:eastAsia="zh-CN" w:bidi="ar"/>
              </w:rPr>
            </w:pPr>
          </w:p>
        </w:tc>
      </w:tr>
    </w:tbl>
    <w:p w14:paraId="07013597">
      <w:pPr>
        <w:pStyle w:val="5"/>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300" w:leftChars="0" w:firstLine="42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商务要求</w:t>
      </w:r>
    </w:p>
    <w:p w14:paraId="7F33EF78">
      <w:pPr>
        <w:pStyle w:val="8"/>
        <w:keepNext w:val="0"/>
        <w:keepLines w:val="0"/>
        <w:pageBreakBefore w:val="0"/>
        <w:widowControl/>
        <w:kinsoku/>
        <w:wordWrap/>
        <w:overflowPunct/>
        <w:topLinePunct w:val="0"/>
        <w:bidi w:val="0"/>
        <w:snapToGrid/>
        <w:spacing w:line="360" w:lineRule="auto"/>
        <w:ind w:firstLine="482" w:firstLineChars="200"/>
        <w:rPr>
          <w:rFonts w:hint="eastAsia" w:ascii="宋体" w:hAnsi="宋体" w:eastAsia="宋体" w:cs="宋体"/>
          <w:b/>
          <w:bCs/>
          <w:sz w:val="24"/>
          <w:szCs w:val="24"/>
          <w:lang w:bidi="ar"/>
        </w:rPr>
      </w:pPr>
      <w:r>
        <w:rPr>
          <w:rFonts w:hint="eastAsia" w:ascii="宋体" w:hAnsi="宋体" w:eastAsia="宋体" w:cs="宋体"/>
          <w:b/>
          <w:bCs/>
          <w:sz w:val="24"/>
          <w:szCs w:val="24"/>
          <w:lang w:bidi="ar"/>
        </w:rPr>
        <w:t>1.项目工期</w:t>
      </w:r>
    </w:p>
    <w:p w14:paraId="68FFC991">
      <w:pPr>
        <w:pStyle w:val="8"/>
        <w:keepNext w:val="0"/>
        <w:keepLines w:val="0"/>
        <w:pageBreakBefore w:val="0"/>
        <w:widowControl/>
        <w:kinsoku/>
        <w:wordWrap/>
        <w:overflowPunct/>
        <w:topLinePunct w:val="0"/>
        <w:bidi w:val="0"/>
        <w:snapToGrid/>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kern w:val="0"/>
          <w:sz w:val="24"/>
          <w:szCs w:val="24"/>
          <w:highlight w:val="none"/>
        </w:rPr>
        <w:t>★</w:t>
      </w:r>
      <w:r>
        <w:rPr>
          <w:rFonts w:hint="eastAsia" w:ascii="宋体" w:hAnsi="宋体" w:eastAsia="宋体" w:cs="宋体"/>
          <w:sz w:val="24"/>
          <w:szCs w:val="24"/>
          <w:lang w:bidi="ar"/>
        </w:rPr>
        <w:t>1.1.工期：签订合同后</w:t>
      </w:r>
      <w:r>
        <w:rPr>
          <w:rFonts w:hint="eastAsia" w:ascii="宋体" w:hAnsi="宋体" w:eastAsia="宋体" w:cs="宋体"/>
          <w:sz w:val="24"/>
          <w:szCs w:val="24"/>
          <w:lang w:val="en-US" w:eastAsia="zh-CN" w:bidi="ar"/>
        </w:rPr>
        <w:t>40</w:t>
      </w:r>
      <w:r>
        <w:rPr>
          <w:rFonts w:hint="eastAsia" w:ascii="宋体" w:hAnsi="宋体" w:eastAsia="宋体" w:cs="宋体"/>
          <w:sz w:val="24"/>
          <w:szCs w:val="24"/>
          <w:lang w:bidi="ar"/>
        </w:rPr>
        <w:t>天（日历日）。</w:t>
      </w:r>
    </w:p>
    <w:p w14:paraId="498FB59D">
      <w:pPr>
        <w:pStyle w:val="8"/>
        <w:keepNext w:val="0"/>
        <w:keepLines w:val="0"/>
        <w:pageBreakBefore w:val="0"/>
        <w:widowControl/>
        <w:kinsoku/>
        <w:wordWrap/>
        <w:overflowPunct/>
        <w:topLinePunct w:val="0"/>
        <w:bidi w:val="0"/>
        <w:snapToGrid/>
        <w:spacing w:line="360" w:lineRule="auto"/>
        <w:ind w:firstLine="482" w:firstLineChars="200"/>
        <w:rPr>
          <w:rFonts w:hint="eastAsia" w:ascii="宋体" w:hAnsi="宋体" w:eastAsia="宋体" w:cs="宋体"/>
          <w:b/>
          <w:bCs/>
          <w:sz w:val="24"/>
          <w:szCs w:val="24"/>
          <w:lang w:bidi="ar"/>
        </w:rPr>
      </w:pPr>
      <w:r>
        <w:rPr>
          <w:rFonts w:hint="eastAsia" w:ascii="宋体" w:hAnsi="宋体" w:eastAsia="宋体" w:cs="宋体"/>
          <w:b/>
          <w:bCs/>
          <w:sz w:val="24"/>
          <w:szCs w:val="24"/>
          <w:lang w:bidi="ar"/>
        </w:rPr>
        <w:t>2.工作流程</w:t>
      </w:r>
    </w:p>
    <w:p w14:paraId="11F05138">
      <w:pPr>
        <w:pStyle w:val="8"/>
        <w:keepNext w:val="0"/>
        <w:keepLines w:val="0"/>
        <w:pageBreakBefore w:val="0"/>
        <w:widowControl/>
        <w:kinsoku/>
        <w:wordWrap/>
        <w:overflowPunct/>
        <w:topLinePunct w:val="0"/>
        <w:bidi w:val="0"/>
        <w:snapToGrid/>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2.1.采购人与中标单位根据招标项目要求、中标结果等签订项目服务合同，明确具体内容和技术要求。</w:t>
      </w:r>
    </w:p>
    <w:p w14:paraId="24F86F4B">
      <w:pPr>
        <w:pStyle w:val="8"/>
        <w:keepNext w:val="0"/>
        <w:keepLines w:val="0"/>
        <w:pageBreakBefore w:val="0"/>
        <w:widowControl/>
        <w:kinsoku/>
        <w:wordWrap/>
        <w:overflowPunct/>
        <w:topLinePunct w:val="0"/>
        <w:bidi w:val="0"/>
        <w:snapToGrid/>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2.2.中标人在签订项目服务合同 </w:t>
      </w:r>
      <w:r>
        <w:rPr>
          <w:rFonts w:hint="eastAsia" w:ascii="宋体" w:hAnsi="宋体" w:eastAsia="宋体" w:cs="宋体"/>
          <w:sz w:val="24"/>
          <w:szCs w:val="24"/>
          <w:lang w:val="en-US" w:eastAsia="zh-CN" w:bidi="ar"/>
        </w:rPr>
        <w:t>7</w:t>
      </w:r>
      <w:r>
        <w:rPr>
          <w:rFonts w:hint="eastAsia" w:ascii="宋体" w:hAnsi="宋体" w:eastAsia="宋体" w:cs="宋体"/>
          <w:sz w:val="24"/>
          <w:szCs w:val="24"/>
          <w:lang w:bidi="ar"/>
        </w:rPr>
        <w:t>个工作日内向采购人提供实施方案，并经采购人确认。</w:t>
      </w:r>
    </w:p>
    <w:p w14:paraId="0C0FA93C">
      <w:pPr>
        <w:pStyle w:val="8"/>
        <w:keepNext w:val="0"/>
        <w:keepLines w:val="0"/>
        <w:pageBreakBefore w:val="0"/>
        <w:widowControl/>
        <w:kinsoku/>
        <w:wordWrap/>
        <w:overflowPunct/>
        <w:topLinePunct w:val="0"/>
        <w:bidi w:val="0"/>
        <w:snapToGrid/>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2.3.中标人分阶段向采购人报告运营情况，经采购人组织验收。</w:t>
      </w:r>
    </w:p>
    <w:p w14:paraId="7BB923D1">
      <w:pPr>
        <w:pStyle w:val="8"/>
        <w:keepNext w:val="0"/>
        <w:keepLines w:val="0"/>
        <w:pageBreakBefore w:val="0"/>
        <w:widowControl/>
        <w:kinsoku/>
        <w:wordWrap/>
        <w:overflowPunct/>
        <w:topLinePunct w:val="0"/>
        <w:bidi w:val="0"/>
        <w:snapToGrid/>
        <w:spacing w:line="360" w:lineRule="auto"/>
        <w:ind w:firstLine="482" w:firstLineChars="200"/>
        <w:rPr>
          <w:rFonts w:hint="eastAsia" w:ascii="宋体" w:hAnsi="宋体" w:eastAsia="宋体" w:cs="宋体"/>
          <w:b/>
          <w:bCs/>
          <w:sz w:val="24"/>
          <w:szCs w:val="24"/>
          <w:lang w:bidi="ar"/>
        </w:rPr>
      </w:pPr>
      <w:r>
        <w:rPr>
          <w:rFonts w:hint="eastAsia" w:ascii="宋体" w:hAnsi="宋体" w:eastAsia="宋体" w:cs="宋体"/>
          <w:b/>
          <w:bCs/>
          <w:sz w:val="24"/>
          <w:szCs w:val="24"/>
          <w:lang w:bidi="ar"/>
        </w:rPr>
        <w:t>3.工作要求</w:t>
      </w:r>
    </w:p>
    <w:p w14:paraId="6A048EA8">
      <w:pPr>
        <w:pStyle w:val="8"/>
        <w:keepNext w:val="0"/>
        <w:keepLines w:val="0"/>
        <w:pageBreakBefore w:val="0"/>
        <w:widowControl/>
        <w:kinsoku/>
        <w:wordWrap/>
        <w:overflowPunct/>
        <w:topLinePunct w:val="0"/>
        <w:bidi w:val="0"/>
        <w:snapToGrid/>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3.1.中标人在</w:t>
      </w:r>
      <w:r>
        <w:rPr>
          <w:rFonts w:hint="eastAsia" w:ascii="宋体" w:hAnsi="宋体" w:eastAsia="宋体" w:cs="宋体"/>
          <w:sz w:val="24"/>
          <w:szCs w:val="24"/>
          <w:u w:val="single"/>
          <w:lang w:val="en-US" w:eastAsia="zh-CN" w:bidi="ar"/>
        </w:rPr>
        <w:t>学校运动操场改造</w:t>
      </w:r>
      <w:r>
        <w:rPr>
          <w:rFonts w:hint="eastAsia" w:ascii="宋体" w:hAnsi="宋体" w:eastAsia="宋体" w:cs="宋体"/>
          <w:sz w:val="24"/>
          <w:szCs w:val="24"/>
          <w:lang w:bidi="ar"/>
        </w:rPr>
        <w:t>工程中所投产品必须为全新的、未使用过的合格产品，且符合相关标准要求</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否则采购人有权解除合同。</w:t>
      </w:r>
    </w:p>
    <w:p w14:paraId="2BE49531">
      <w:pPr>
        <w:pStyle w:val="8"/>
        <w:keepNext w:val="0"/>
        <w:keepLines w:val="0"/>
        <w:pageBreakBefore w:val="0"/>
        <w:widowControl/>
        <w:kinsoku/>
        <w:wordWrap/>
        <w:overflowPunct/>
        <w:topLinePunct w:val="0"/>
        <w:bidi w:val="0"/>
        <w:snapToGrid/>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3.2.中标人在</w:t>
      </w:r>
      <w:r>
        <w:rPr>
          <w:rFonts w:hint="eastAsia" w:ascii="宋体" w:hAnsi="宋体" w:eastAsia="宋体" w:cs="宋体"/>
          <w:sz w:val="24"/>
          <w:szCs w:val="24"/>
          <w:u w:val="single"/>
          <w:lang w:val="en-US" w:eastAsia="zh-CN" w:bidi="ar"/>
        </w:rPr>
        <w:t>学校运动操场改造</w:t>
      </w:r>
      <w:r>
        <w:rPr>
          <w:rFonts w:hint="eastAsia" w:ascii="宋体" w:hAnsi="宋体" w:eastAsia="宋体" w:cs="宋体"/>
          <w:sz w:val="24"/>
          <w:szCs w:val="24"/>
          <w:lang w:bidi="ar"/>
        </w:rPr>
        <w:t>工程完成后应向招标人提供所投产品技术资料。</w:t>
      </w:r>
    </w:p>
    <w:p w14:paraId="64A458B3">
      <w:pPr>
        <w:pStyle w:val="8"/>
        <w:keepNext w:val="0"/>
        <w:keepLines w:val="0"/>
        <w:pageBreakBefore w:val="0"/>
        <w:widowControl/>
        <w:kinsoku/>
        <w:wordWrap/>
        <w:overflowPunct/>
        <w:topLinePunct w:val="0"/>
        <w:bidi w:val="0"/>
        <w:snapToGrid/>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3.3.中标人应派有经验的且具备从业资质的专业技术人员和施工人员进行</w:t>
      </w:r>
      <w:r>
        <w:rPr>
          <w:rFonts w:hint="eastAsia" w:ascii="宋体" w:hAnsi="宋体" w:eastAsia="宋体" w:cs="宋体"/>
          <w:sz w:val="24"/>
          <w:szCs w:val="24"/>
          <w:u w:val="single"/>
          <w:lang w:val="en-US" w:eastAsia="zh-CN" w:bidi="ar"/>
        </w:rPr>
        <w:t xml:space="preserve"> 学校运动操场改造</w:t>
      </w:r>
      <w:r>
        <w:rPr>
          <w:rFonts w:hint="eastAsia" w:ascii="宋体" w:hAnsi="宋体" w:eastAsia="宋体" w:cs="宋体"/>
          <w:sz w:val="24"/>
          <w:szCs w:val="24"/>
          <w:lang w:bidi="ar"/>
        </w:rPr>
        <w:t>工程。如发现专业技术人员或施工人员不具备工程</w:t>
      </w:r>
      <w:r>
        <w:rPr>
          <w:rFonts w:hint="eastAsia" w:ascii="宋体" w:hAnsi="宋体" w:eastAsia="宋体" w:cs="宋体"/>
          <w:sz w:val="24"/>
          <w:szCs w:val="24"/>
          <w:highlight w:val="none"/>
          <w:lang w:bidi="ar"/>
        </w:rPr>
        <w:t>必须</w:t>
      </w:r>
      <w:r>
        <w:rPr>
          <w:rFonts w:hint="eastAsia" w:ascii="宋体" w:hAnsi="宋体" w:eastAsia="宋体" w:cs="宋体"/>
          <w:sz w:val="24"/>
          <w:szCs w:val="24"/>
          <w:lang w:bidi="ar"/>
        </w:rPr>
        <w:t>的技能或资质，采购人有权要求中标人更换人员。</w:t>
      </w:r>
    </w:p>
    <w:p w14:paraId="39A7AD6B">
      <w:pPr>
        <w:pStyle w:val="8"/>
        <w:keepNext w:val="0"/>
        <w:keepLines w:val="0"/>
        <w:pageBreakBefore w:val="0"/>
        <w:widowControl/>
        <w:kinsoku/>
        <w:wordWrap/>
        <w:overflowPunct/>
        <w:topLinePunct w:val="0"/>
        <w:bidi w:val="0"/>
        <w:snapToGrid/>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3.4.中标人在施工过程中必须做好安全管理工作，避免在施工中出现安全生产事故。</w:t>
      </w:r>
    </w:p>
    <w:p w14:paraId="69A8EC98">
      <w:pPr>
        <w:pStyle w:val="8"/>
        <w:keepNext w:val="0"/>
        <w:keepLines w:val="0"/>
        <w:pageBreakBefore w:val="0"/>
        <w:widowControl/>
        <w:kinsoku/>
        <w:wordWrap/>
        <w:overflowPunct/>
        <w:topLinePunct w:val="0"/>
        <w:bidi w:val="0"/>
        <w:snapToGrid/>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3.5.中标人应周密制定施工方案，避免影响安全教育基地正常运营。</w:t>
      </w:r>
    </w:p>
    <w:p w14:paraId="3DF2EED8">
      <w:pPr>
        <w:pStyle w:val="8"/>
        <w:keepNext w:val="0"/>
        <w:keepLines w:val="0"/>
        <w:pageBreakBefore w:val="0"/>
        <w:widowControl/>
        <w:kinsoku/>
        <w:wordWrap/>
        <w:overflowPunct/>
        <w:topLinePunct w:val="0"/>
        <w:bidi w:val="0"/>
        <w:snapToGrid/>
        <w:spacing w:line="360" w:lineRule="auto"/>
        <w:ind w:firstLine="482" w:firstLineChars="200"/>
        <w:rPr>
          <w:rFonts w:hint="eastAsia" w:ascii="宋体" w:hAnsi="宋体" w:eastAsia="宋体" w:cs="宋体"/>
          <w:b/>
          <w:bCs/>
          <w:sz w:val="24"/>
          <w:szCs w:val="24"/>
          <w:lang w:bidi="ar"/>
        </w:rPr>
      </w:pPr>
      <w:r>
        <w:rPr>
          <w:rFonts w:hint="eastAsia" w:ascii="宋体" w:hAnsi="宋体" w:eastAsia="宋体" w:cs="宋体"/>
          <w:b/>
          <w:bCs/>
          <w:sz w:val="24"/>
          <w:szCs w:val="24"/>
          <w:lang w:bidi="ar"/>
        </w:rPr>
        <w:t>4.付款方式</w:t>
      </w:r>
    </w:p>
    <w:p w14:paraId="60D917D0">
      <w:pPr>
        <w:pStyle w:val="9"/>
        <w:keepNext w:val="0"/>
        <w:keepLines w:val="0"/>
        <w:pageBreakBefore w:val="0"/>
        <w:widowControl/>
        <w:kinsoku/>
        <w:wordWrap/>
        <w:overflowPunct/>
        <w:topLinePunct w:val="0"/>
        <w:bidi w:val="0"/>
        <w:snapToGrid/>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highlight w:val="none"/>
        </w:rPr>
        <w:t>★</w:t>
      </w:r>
      <w:r>
        <w:rPr>
          <w:rFonts w:hint="eastAsia" w:ascii="宋体" w:hAnsi="宋体" w:eastAsia="宋体" w:cs="宋体"/>
          <w:sz w:val="24"/>
          <w:szCs w:val="24"/>
          <w:lang w:bidi="ar"/>
        </w:rPr>
        <w:t>4.1.合同签订</w:t>
      </w:r>
      <w:r>
        <w:rPr>
          <w:rFonts w:hint="eastAsia" w:hAnsi="宋体" w:eastAsia="宋体" w:cs="宋体"/>
          <w:sz w:val="24"/>
          <w:szCs w:val="24"/>
          <w:lang w:val="en-US" w:eastAsia="zh-CN" w:bidi="ar"/>
        </w:rPr>
        <w:t>后</w:t>
      </w:r>
      <w:r>
        <w:rPr>
          <w:rFonts w:hint="eastAsia" w:ascii="宋体" w:hAnsi="宋体" w:eastAsia="宋体" w:cs="宋体"/>
          <w:sz w:val="24"/>
          <w:szCs w:val="24"/>
          <w:lang w:bidi="ar"/>
        </w:rPr>
        <w:t>支付</w:t>
      </w:r>
      <w:r>
        <w:rPr>
          <w:rFonts w:hint="eastAsia" w:ascii="宋体" w:hAnsi="宋体" w:eastAsia="宋体" w:cs="宋体"/>
          <w:sz w:val="24"/>
          <w:szCs w:val="24"/>
          <w:lang w:eastAsia="zh-CN" w:bidi="ar"/>
        </w:rPr>
        <w:t>至</w:t>
      </w:r>
      <w:r>
        <w:rPr>
          <w:rFonts w:hint="eastAsia" w:ascii="宋体" w:hAnsi="宋体" w:eastAsia="宋体" w:cs="宋体"/>
          <w:sz w:val="24"/>
          <w:szCs w:val="24"/>
          <w:lang w:bidi="ar"/>
        </w:rPr>
        <w:t>合同金额的</w:t>
      </w:r>
      <w:r>
        <w:rPr>
          <w:rFonts w:hint="eastAsia" w:ascii="宋体" w:hAnsi="宋体" w:eastAsia="宋体" w:cs="宋体"/>
          <w:sz w:val="24"/>
          <w:szCs w:val="24"/>
          <w:lang w:val="en-US" w:eastAsia="zh-CN" w:bidi="ar"/>
        </w:rPr>
        <w:t>30%</w:t>
      </w:r>
      <w:r>
        <w:rPr>
          <w:rFonts w:hint="eastAsia" w:ascii="宋体" w:hAnsi="宋体" w:eastAsia="宋体" w:cs="宋体"/>
          <w:sz w:val="24"/>
          <w:szCs w:val="24"/>
          <w:lang w:bidi="ar"/>
        </w:rPr>
        <w:t>；验收合格后支付</w:t>
      </w:r>
      <w:r>
        <w:rPr>
          <w:rFonts w:hint="eastAsia" w:ascii="宋体" w:hAnsi="宋体" w:eastAsia="宋体" w:cs="宋体"/>
          <w:sz w:val="24"/>
          <w:szCs w:val="24"/>
          <w:lang w:eastAsia="zh-CN" w:bidi="ar"/>
        </w:rPr>
        <w:t>至</w:t>
      </w:r>
      <w:r>
        <w:rPr>
          <w:rFonts w:hint="eastAsia" w:ascii="宋体" w:hAnsi="宋体" w:eastAsia="宋体" w:cs="宋体"/>
          <w:sz w:val="24"/>
          <w:szCs w:val="24"/>
          <w:lang w:bidi="ar"/>
        </w:rPr>
        <w:t>合同金额的</w:t>
      </w:r>
      <w:r>
        <w:rPr>
          <w:rFonts w:hint="eastAsia" w:ascii="宋体" w:hAnsi="宋体" w:eastAsia="宋体" w:cs="宋体"/>
          <w:sz w:val="24"/>
          <w:szCs w:val="24"/>
          <w:lang w:val="en-US" w:eastAsia="zh-CN" w:bidi="ar"/>
        </w:rPr>
        <w:t>85%；完成结算审核后，支付至审核后竣工结算价款的100%。中标人应在每次付款前向采购人提供合格发票，以便采购人办理付款手续。因中标人原因或财政支付流程导致的付款迟延，不视为采购人违约。</w:t>
      </w:r>
      <w:r>
        <w:rPr>
          <w:rFonts w:hint="eastAsia" w:ascii="宋体" w:hAnsi="宋体" w:eastAsia="宋体" w:cs="宋体"/>
          <w:sz w:val="24"/>
          <w:szCs w:val="24"/>
          <w:lang w:bidi="ar"/>
        </w:rPr>
        <w:t xml:space="preserve"> </w:t>
      </w:r>
    </w:p>
    <w:p w14:paraId="1F6A46EB">
      <w:pPr>
        <w:spacing w:line="360" w:lineRule="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 xml:space="preserve"> </w:t>
      </w:r>
    </w:p>
    <w:p w14:paraId="28AF158C">
      <w:pPr>
        <w:spacing w:line="360" w:lineRule="auto"/>
        <w:jc w:val="center"/>
        <w:rPr>
          <w:rFonts w:hint="eastAsia" w:ascii="宋体" w:hAnsi="宋体" w:eastAsia="宋体" w:cs="宋体"/>
          <w:b w:val="0"/>
          <w:bCs w:val="0"/>
          <w:color w:val="auto"/>
          <w:sz w:val="24"/>
          <w:szCs w:val="24"/>
          <w:highlight w:val="none"/>
          <w:lang w:val="en-US" w:eastAsia="zh-CN" w:bidi="ar-SA"/>
        </w:rPr>
      </w:pPr>
    </w:p>
    <w:p w14:paraId="5025B71C">
      <w:pPr>
        <w:pStyle w:val="5"/>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300" w:leftChars="0" w:firstLine="42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注意事项</w:t>
      </w:r>
    </w:p>
    <w:p w14:paraId="52841149">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（一）中标人不得将项目非法分包或转包给任何单位和个人。否则，采购单位有权即刻终止合同，并要求中标人赔偿相应损失。</w:t>
      </w:r>
    </w:p>
    <w:p w14:paraId="0B88AF51">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（二）招标人拒绝有下列情形之一的企业或者从业人员参与投标：</w:t>
      </w:r>
    </w:p>
    <w:p w14:paraId="1DD85188">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1、近3年内（从招标公告发布之日起倒算）投标人或者其法定代表人有行贿犯罪记录的；</w:t>
      </w:r>
    </w:p>
    <w:p w14:paraId="520B21AA">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 xml:space="preserve">2、近1年内（从截标之日起倒算）因串通投标、转包、以他人名义投标或者违法分包等违法行为受到建设、交通或者财政部门行政处罚的； </w:t>
      </w:r>
    </w:p>
    <w:p w14:paraId="0D3136D2">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3、 因违反工程质量、安全生产管理规定等原因被建设部门</w:t>
      </w:r>
      <w:r>
        <w:rPr>
          <w:rFonts w:hint="eastAsia" w:ascii="宋体" w:hAnsi="宋体" w:eastAsia="宋体" w:cs="宋体"/>
          <w:szCs w:val="21"/>
          <w:highlight w:val="none"/>
        </w:rPr>
        <w:t>给</w:t>
      </w:r>
      <w:r>
        <w:rPr>
          <w:rFonts w:hint="eastAsia" w:ascii="宋体" w:hAnsi="宋体" w:eastAsia="宋体" w:cs="宋体"/>
          <w:szCs w:val="21"/>
          <w:highlight w:val="none"/>
          <w:lang w:val="en-US" w:eastAsia="zh-CN"/>
        </w:rPr>
        <w:t>予</w:t>
      </w:r>
      <w:r>
        <w:rPr>
          <w:rFonts w:hint="eastAsia" w:ascii="宋体" w:hAnsi="宋体" w:eastAsia="宋体" w:cs="宋体"/>
          <w:szCs w:val="21"/>
          <w:highlight w:val="none"/>
        </w:rPr>
        <w:t>红</w:t>
      </w:r>
      <w:r>
        <w:rPr>
          <w:rFonts w:hint="eastAsia" w:ascii="宋体" w:hAnsi="宋体" w:eastAsia="宋体" w:cs="宋体"/>
          <w:szCs w:val="21"/>
        </w:rPr>
        <w:t>色警示且在警示期内的；</w:t>
      </w:r>
    </w:p>
    <w:p w14:paraId="613B6123">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4、被建设或者交通部门信用评价为红色且正处在信用评价结果公示期内的；</w:t>
      </w:r>
    </w:p>
    <w:p w14:paraId="647A1E29">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5、拖欠工人工资被有关部门责令改正而未改正的；</w:t>
      </w:r>
    </w:p>
    <w:p w14:paraId="71719FE7">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6、 近3年内（从截标之日起倒算）曾被本项目招标人履约评价为不合格；</w:t>
      </w:r>
    </w:p>
    <w:p w14:paraId="3D9C0E32">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7、 近2年内（从截标之日起倒算）曾有放弃中标资格、拒不签订合同、拒不提供履约担保情形的；</w:t>
      </w:r>
    </w:p>
    <w:p w14:paraId="220673BB">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8、 因违反工程质量、安全生产管理规定，或者因串通投标、转包、以他人名义投标或者违法分包等违法行为，正在接受建设、交通或者财政部门立案调查的。</w:t>
      </w:r>
    </w:p>
    <w:p w14:paraId="532B550C">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9、今年以来，在招投标活动中有串通投标不良行为记录或涉嫌串通投标并正在接受主管部门调查的投标申请人不被接受；</w:t>
      </w:r>
    </w:p>
    <w:p w14:paraId="44018B8D">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10、项目经理（建造师）或项目总监因不良行为红色警示等被建设行政主管部门管理系统锁定的，不能参与本次招标工程的投标，否则不良后果由投标人自负；</w:t>
      </w:r>
    </w:p>
    <w:p w14:paraId="4B012936">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11、中标后的投标人在中标公示期间向招标人提供检察机关出具的投标人法人及法定代表人的《行贿犯罪规档案查询告知函》（近三年，由采购单位明确近三年具体时间）；</w:t>
      </w:r>
    </w:p>
    <w:p w14:paraId="0FB8FB6D">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1"/>
        </w:rPr>
      </w:pPr>
      <w:r>
        <w:rPr>
          <w:rFonts w:hint="eastAsia" w:ascii="宋体" w:hAnsi="宋体" w:eastAsia="宋体" w:cs="宋体"/>
          <w:szCs w:val="21"/>
        </w:rPr>
        <w:t>12、依法应当拒绝投标的其他情形。</w:t>
      </w:r>
    </w:p>
    <w:p w14:paraId="7DD8D509">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szCs w:val="21"/>
        </w:rPr>
        <w:t>13、本项目按照深圳市龙华区教育局的相关采购规定执行，采购文件未明确的事项，参照政府采购及建设工程招标有关法律法规执行。</w:t>
      </w:r>
    </w:p>
    <w:p w14:paraId="6A074832">
      <w:pPr>
        <w:pStyle w:val="5"/>
        <w:keepNext/>
        <w:keepLines/>
        <w:pageBreakBefore w:val="0"/>
        <w:widowControl w:val="0"/>
        <w:numPr>
          <w:ilvl w:val="0"/>
          <w:numId w:val="5"/>
        </w:numPr>
        <w:kinsoku/>
        <w:wordWrap/>
        <w:overflowPunct/>
        <w:topLinePunct w:val="0"/>
        <w:autoSpaceDE/>
        <w:autoSpaceDN/>
        <w:bidi w:val="0"/>
        <w:adjustRightInd/>
        <w:snapToGrid/>
        <w:spacing w:before="120" w:after="120" w:line="360" w:lineRule="auto"/>
        <w:ind w:left="300" w:leftChars="0" w:firstLine="420" w:firstLineChars="0"/>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其他评审信息中涉及的资料（如违约承诺函）</w:t>
      </w:r>
    </w:p>
    <w:p w14:paraId="7CBD201B">
      <w:pPr>
        <w:pStyle w:val="3"/>
        <w:rPr>
          <w:rFonts w:hint="eastAsia" w:ascii="宋体" w:hAnsi="宋体" w:eastAsia="宋体" w:cs="宋体"/>
          <w:b w:val="0"/>
          <w:bCs w:val="0"/>
          <w:color w:val="auto"/>
          <w:sz w:val="24"/>
          <w:szCs w:val="24"/>
          <w:highlight w:val="none"/>
          <w:lang w:val="en-US" w:eastAsia="zh-CN" w:bidi="ar-SA"/>
        </w:rPr>
      </w:pPr>
    </w:p>
    <w:p w14:paraId="708CA4AC">
      <w:pPr>
        <w:rPr>
          <w:rFonts w:hint="eastAsia" w:ascii="宋体" w:hAnsi="宋体" w:eastAsia="宋体" w:cs="宋体"/>
          <w:b w:val="0"/>
          <w:bCs w:val="0"/>
          <w:color w:val="auto"/>
          <w:sz w:val="24"/>
          <w:szCs w:val="24"/>
          <w:highlight w:val="none"/>
          <w:lang w:val="en-US" w:eastAsia="zh-CN" w:bidi="ar-SA"/>
        </w:rPr>
      </w:pPr>
    </w:p>
    <w:p w14:paraId="1B70073A">
      <w:pPr>
        <w:pStyle w:val="3"/>
        <w:rPr>
          <w:rFonts w:hint="eastAsia"/>
          <w:highlight w:val="none"/>
          <w:lang w:val="en-US" w:eastAsia="zh-CN"/>
        </w:rPr>
      </w:pPr>
    </w:p>
    <w:p w14:paraId="7DEA89C8">
      <w:pPr>
        <w:rPr>
          <w:rFonts w:hint="eastAsia"/>
          <w:highlight w:val="none"/>
          <w:lang w:val="en-US" w:eastAsia="zh-CN"/>
        </w:rPr>
      </w:pPr>
    </w:p>
    <w:p w14:paraId="623D5FB7">
      <w:pPr>
        <w:pStyle w:val="3"/>
        <w:rPr>
          <w:rFonts w:hint="eastAsia"/>
          <w:highlight w:val="none"/>
          <w:lang w:val="en-US" w:eastAsia="zh-CN"/>
        </w:rPr>
      </w:pPr>
    </w:p>
    <w:p w14:paraId="734AB005">
      <w:pPr>
        <w:rPr>
          <w:rFonts w:hint="eastAsia"/>
          <w:highlight w:val="none"/>
          <w:lang w:val="en-US" w:eastAsia="zh-CN"/>
        </w:rPr>
      </w:pPr>
    </w:p>
    <w:p w14:paraId="30F3793A">
      <w:pPr>
        <w:pStyle w:val="3"/>
        <w:rPr>
          <w:rFonts w:hint="eastAsia"/>
          <w:highlight w:val="none"/>
          <w:lang w:val="en-US" w:eastAsia="zh-CN"/>
        </w:rPr>
      </w:pPr>
    </w:p>
    <w:p w14:paraId="309B017E">
      <w:pPr>
        <w:rPr>
          <w:rFonts w:hint="eastAsia"/>
          <w:highlight w:val="none"/>
          <w:lang w:val="en-US" w:eastAsia="zh-CN"/>
        </w:rPr>
      </w:pPr>
    </w:p>
    <w:p w14:paraId="2C33C0B0">
      <w:pPr>
        <w:pStyle w:val="3"/>
        <w:rPr>
          <w:rFonts w:hint="eastAsia"/>
          <w:highlight w:val="none"/>
          <w:lang w:val="en-US" w:eastAsia="zh-CN"/>
        </w:rPr>
      </w:pPr>
    </w:p>
    <w:p w14:paraId="1B4E2027">
      <w:pPr>
        <w:rPr>
          <w:rFonts w:hint="eastAsia"/>
          <w:lang w:val="en-US" w:eastAsia="zh-CN"/>
        </w:rPr>
      </w:pPr>
    </w:p>
    <w:p w14:paraId="3BC4F1F3">
      <w:pPr>
        <w:rPr>
          <w:rFonts w:hint="eastAsia" w:ascii="宋体" w:hAnsi="宋体" w:eastAsia="宋体" w:cs="宋体"/>
          <w:b w:val="0"/>
          <w:bCs w:val="0"/>
          <w:color w:val="auto"/>
          <w:sz w:val="24"/>
          <w:szCs w:val="24"/>
          <w:highlight w:val="none"/>
          <w:lang w:val="en-US" w:eastAsia="zh-CN" w:bidi="ar-SA"/>
        </w:rPr>
      </w:pPr>
    </w:p>
    <w:p w14:paraId="7723C97F">
      <w:pPr>
        <w:pStyle w:val="4"/>
        <w:numPr>
          <w:ilvl w:val="0"/>
          <w:numId w:val="2"/>
        </w:numPr>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 xml:space="preserve"> 投标文件组成及格式</w:t>
      </w:r>
    </w:p>
    <w:p w14:paraId="746EB27F">
      <w:pPr>
        <w:rPr>
          <w:rFonts w:hint="eastAsia" w:ascii="宋体" w:hAnsi="宋体" w:eastAsia="宋体" w:cs="宋体"/>
          <w:highlight w:val="none"/>
        </w:rPr>
      </w:pPr>
    </w:p>
    <w:p w14:paraId="52DF4C59">
      <w:pPr>
        <w:rPr>
          <w:rFonts w:hint="eastAsia" w:ascii="宋体" w:hAnsi="宋体" w:eastAsia="宋体" w:cs="宋体"/>
          <w:highlight w:val="none"/>
        </w:rPr>
      </w:pPr>
      <w:r>
        <w:rPr>
          <w:rFonts w:hint="eastAsia" w:ascii="宋体" w:hAnsi="宋体" w:eastAsia="宋体" w:cs="宋体"/>
          <w:highlight w:val="none"/>
        </w:rPr>
        <w:t>投标文件组成：</w:t>
      </w:r>
    </w:p>
    <w:p w14:paraId="2231D29E">
      <w:pPr>
        <w:pStyle w:val="5"/>
        <w:rPr>
          <w:rFonts w:hint="eastAsia" w:ascii="宋体" w:hAnsi="宋体" w:eastAsia="宋体" w:cs="宋体"/>
          <w:highlight w:val="none"/>
        </w:rPr>
      </w:pPr>
      <w:r>
        <w:rPr>
          <w:rFonts w:hint="eastAsia" w:ascii="宋体" w:hAnsi="宋体" w:eastAsia="宋体" w:cs="宋体"/>
          <w:highlight w:val="none"/>
        </w:rPr>
        <w:t>一、投标文件</w:t>
      </w:r>
      <w:r>
        <w:rPr>
          <w:rFonts w:hint="eastAsia" w:cs="宋体"/>
          <w:highlight w:val="none"/>
          <w:lang w:val="en-US" w:eastAsia="zh-CN"/>
        </w:rPr>
        <w:t>正文</w:t>
      </w:r>
      <w:r>
        <w:rPr>
          <w:rFonts w:hint="eastAsia" w:ascii="宋体" w:hAnsi="宋体" w:eastAsia="宋体" w:cs="宋体"/>
          <w:highlight w:val="none"/>
        </w:rPr>
        <w:t>，主要包括以下内容：</w:t>
      </w:r>
    </w:p>
    <w:p w14:paraId="78D271CE">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(1)</w:t>
      </w:r>
      <w:r>
        <w:rPr>
          <w:rFonts w:hint="eastAsia" w:ascii="宋体" w:hAnsi="宋体" w:eastAsia="宋体" w:cs="宋体"/>
          <w:highlight w:val="none"/>
        </w:rPr>
        <w:t>投标函</w:t>
      </w:r>
    </w:p>
    <w:p w14:paraId="53D9A659">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(2)</w:t>
      </w:r>
      <w:r>
        <w:rPr>
          <w:rFonts w:hint="eastAsia" w:ascii="宋体" w:hAnsi="宋体" w:eastAsia="宋体" w:cs="宋体"/>
          <w:highlight w:val="none"/>
          <w:lang w:eastAsia="zh-CN"/>
        </w:rPr>
        <w:t>龙华区教育局自行采购投标及履约承诺函</w:t>
      </w:r>
    </w:p>
    <w:p w14:paraId="2F9FD6AA">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(3)</w:t>
      </w:r>
      <w:r>
        <w:rPr>
          <w:rFonts w:hint="eastAsia" w:ascii="宋体" w:hAnsi="宋体" w:eastAsia="宋体" w:cs="宋体"/>
          <w:highlight w:val="none"/>
        </w:rPr>
        <w:t>投标人情况介绍及资格要求</w:t>
      </w:r>
    </w:p>
    <w:p w14:paraId="7F9BCD52">
      <w:pPr>
        <w:numPr>
          <w:ilvl w:val="0"/>
          <w:numId w:val="0"/>
        </w:numPr>
        <w:ind w:left="2345" w:leftChars="0" w:hanging="425" w:firstLineChars="0"/>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(4)股东构成审查表要求</w:t>
      </w:r>
    </w:p>
    <w:p w14:paraId="43712811">
      <w:pPr>
        <w:numPr>
          <w:ilvl w:val="0"/>
          <w:numId w:val="0"/>
        </w:numPr>
        <w:ind w:left="2345" w:leftChars="0" w:hanging="425" w:firstLine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(5)同类项目业绩偏离情况</w:t>
      </w:r>
    </w:p>
    <w:p w14:paraId="1A0280E0">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w:t>
      </w:r>
      <w:r>
        <w:rPr>
          <w:rFonts w:hint="eastAsia" w:ascii="宋体" w:hAnsi="宋体" w:eastAsia="宋体" w:cs="宋体"/>
          <w:sz w:val="24"/>
          <w:szCs w:val="24"/>
          <w:lang w:val="en-US" w:eastAsia="zh-CN" w:bidi="ar-SA"/>
        </w:rPr>
        <w:t>6</w:t>
      </w:r>
      <w:r>
        <w:rPr>
          <w:rFonts w:hint="default" w:ascii="宋体" w:hAnsi="宋体" w:eastAsia="宋体" w:cs="宋体"/>
          <w:sz w:val="24"/>
          <w:szCs w:val="24"/>
          <w:lang w:val="en-US" w:eastAsia="zh-CN" w:bidi="ar-SA"/>
        </w:rPr>
        <w:t>)</w:t>
      </w:r>
      <w:r>
        <w:rPr>
          <w:rFonts w:hint="eastAsia" w:ascii="宋体" w:hAnsi="宋体" w:eastAsia="宋体" w:cs="宋体"/>
          <w:sz w:val="24"/>
          <w:szCs w:val="24"/>
          <w:lang w:val="en-US" w:eastAsia="zh-CN" w:bidi="ar-SA"/>
        </w:rPr>
        <w:t>履约</w:t>
      </w:r>
      <w:r>
        <w:rPr>
          <w:rFonts w:hint="eastAsia" w:ascii="宋体" w:hAnsi="宋体" w:eastAsia="宋体" w:cs="宋体"/>
          <w:highlight w:val="none"/>
        </w:rPr>
        <w:t>评价</w:t>
      </w:r>
    </w:p>
    <w:p w14:paraId="7CF89918">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w:t>
      </w:r>
      <w:r>
        <w:rPr>
          <w:rFonts w:hint="eastAsia" w:ascii="宋体" w:hAnsi="宋体" w:eastAsia="宋体" w:cs="宋体"/>
          <w:sz w:val="24"/>
          <w:szCs w:val="24"/>
          <w:lang w:val="en-US" w:eastAsia="zh-CN" w:bidi="ar-SA"/>
        </w:rPr>
        <w:t>7</w:t>
      </w:r>
      <w:r>
        <w:rPr>
          <w:rFonts w:hint="default" w:ascii="宋体" w:hAnsi="宋体" w:eastAsia="宋体" w:cs="宋体"/>
          <w:sz w:val="24"/>
          <w:szCs w:val="24"/>
          <w:lang w:val="en-US" w:eastAsia="zh-CN" w:bidi="ar-SA"/>
        </w:rPr>
        <w:t>)拟派项目经理（仅限一名）</w:t>
      </w:r>
    </w:p>
    <w:p w14:paraId="668CEAAF">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w:t>
      </w:r>
      <w:r>
        <w:rPr>
          <w:rFonts w:hint="eastAsia" w:ascii="宋体" w:hAnsi="宋体" w:eastAsia="宋体" w:cs="宋体"/>
          <w:sz w:val="24"/>
          <w:szCs w:val="24"/>
          <w:lang w:val="en-US" w:eastAsia="zh-CN" w:bidi="ar-SA"/>
        </w:rPr>
        <w:t>8</w:t>
      </w:r>
      <w:r>
        <w:rPr>
          <w:rFonts w:hint="default" w:ascii="宋体" w:hAnsi="宋体" w:eastAsia="宋体" w:cs="宋体"/>
          <w:sz w:val="24"/>
          <w:szCs w:val="24"/>
          <w:lang w:val="en-US" w:eastAsia="zh-CN" w:bidi="ar-SA"/>
        </w:rPr>
        <w:t>)项目管理班子人员配备情况</w:t>
      </w:r>
    </w:p>
    <w:p w14:paraId="42E0D643">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w:t>
      </w:r>
      <w:r>
        <w:rPr>
          <w:rFonts w:hint="eastAsia" w:ascii="宋体" w:hAnsi="宋体" w:eastAsia="宋体" w:cs="宋体"/>
          <w:sz w:val="24"/>
          <w:szCs w:val="24"/>
          <w:lang w:val="en-US" w:eastAsia="zh-CN" w:bidi="ar-SA"/>
        </w:rPr>
        <w:t>9</w:t>
      </w:r>
      <w:r>
        <w:rPr>
          <w:rFonts w:hint="default" w:ascii="宋体" w:hAnsi="宋体" w:eastAsia="宋体" w:cs="宋体"/>
          <w:sz w:val="24"/>
          <w:szCs w:val="24"/>
          <w:lang w:val="en-US" w:eastAsia="zh-CN" w:bidi="ar-SA"/>
        </w:rPr>
        <w:t>)</w:t>
      </w:r>
      <w:r>
        <w:rPr>
          <w:rFonts w:hint="eastAsia" w:ascii="宋体" w:hAnsi="宋体" w:eastAsia="宋体" w:cs="宋体"/>
          <w:highlight w:val="none"/>
        </w:rPr>
        <w:t>政府采购违法行为风险知悉确认书</w:t>
      </w:r>
    </w:p>
    <w:p w14:paraId="7A647918">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w:t>
      </w:r>
      <w:r>
        <w:rPr>
          <w:rFonts w:hint="eastAsia" w:ascii="宋体" w:hAnsi="宋体" w:eastAsia="宋体" w:cs="宋体"/>
          <w:sz w:val="24"/>
          <w:szCs w:val="24"/>
          <w:lang w:val="en-US" w:eastAsia="zh-CN" w:bidi="ar-SA"/>
        </w:rPr>
        <w:t>10</w:t>
      </w:r>
      <w:r>
        <w:rPr>
          <w:rFonts w:hint="default" w:ascii="宋体" w:hAnsi="宋体" w:eastAsia="宋体" w:cs="宋体"/>
          <w:sz w:val="24"/>
          <w:szCs w:val="24"/>
          <w:lang w:val="en-US" w:eastAsia="zh-CN" w:bidi="ar-SA"/>
        </w:rPr>
        <w:t>)</w:t>
      </w:r>
      <w:r>
        <w:rPr>
          <w:rFonts w:hint="eastAsia" w:ascii="宋体" w:hAnsi="宋体"/>
          <w:highlight w:val="none"/>
          <w:lang w:bidi="ar"/>
        </w:rPr>
        <w:t>诚信</w:t>
      </w:r>
      <w:r>
        <w:rPr>
          <w:rFonts w:hint="eastAsia" w:ascii="宋体" w:hAnsi="宋体"/>
          <w:highlight w:val="none"/>
          <w:lang w:val="en-US" w:eastAsia="zh-CN" w:bidi="ar"/>
        </w:rPr>
        <w:t>承诺函</w:t>
      </w:r>
    </w:p>
    <w:p w14:paraId="1258471D">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(1</w:t>
      </w:r>
      <w:r>
        <w:rPr>
          <w:rFonts w:hint="eastAsia" w:ascii="宋体" w:hAnsi="宋体" w:eastAsia="宋体" w:cs="宋体"/>
          <w:sz w:val="24"/>
          <w:szCs w:val="24"/>
          <w:lang w:val="en-US" w:eastAsia="zh-CN" w:bidi="ar-SA"/>
        </w:rPr>
        <w:t>1</w:t>
      </w:r>
      <w:r>
        <w:rPr>
          <w:rFonts w:hint="default" w:ascii="宋体" w:hAnsi="宋体" w:eastAsia="宋体" w:cs="宋体"/>
          <w:sz w:val="24"/>
          <w:szCs w:val="24"/>
          <w:lang w:val="en-US" w:eastAsia="zh-CN" w:bidi="ar-SA"/>
        </w:rPr>
        <w:t>)</w:t>
      </w:r>
      <w:r>
        <w:rPr>
          <w:rFonts w:hint="eastAsia" w:ascii="宋体" w:hAnsi="宋体" w:eastAsia="宋体" w:cs="宋体"/>
          <w:highlight w:val="none"/>
        </w:rPr>
        <w:t>投标人认为需要加以说明的其他内容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正文</w:t>
      </w:r>
      <w:r>
        <w:rPr>
          <w:rFonts w:hint="eastAsia" w:ascii="宋体" w:hAnsi="宋体" w:eastAsia="宋体" w:cs="宋体"/>
          <w:highlight w:val="none"/>
          <w:lang w:eastAsia="zh-CN"/>
        </w:rPr>
        <w:t>）</w:t>
      </w:r>
    </w:p>
    <w:p w14:paraId="04346BF2">
      <w:pPr>
        <w:pStyle w:val="5"/>
        <w:rPr>
          <w:rFonts w:hint="eastAsia" w:ascii="宋体" w:hAnsi="宋体" w:eastAsia="宋体" w:cs="宋体"/>
          <w:highlight w:val="none"/>
        </w:rPr>
      </w:pPr>
      <w:r>
        <w:rPr>
          <w:rFonts w:hint="eastAsia" w:ascii="宋体" w:hAnsi="宋体" w:eastAsia="宋体" w:cs="宋体"/>
          <w:highlight w:val="none"/>
        </w:rPr>
        <w:t>二、投标文件</w:t>
      </w:r>
      <w:r>
        <w:rPr>
          <w:rFonts w:hint="eastAsia" w:cs="宋体"/>
          <w:highlight w:val="none"/>
          <w:lang w:val="en-US" w:eastAsia="zh-CN"/>
        </w:rPr>
        <w:t>附件</w:t>
      </w:r>
      <w:r>
        <w:rPr>
          <w:rFonts w:hint="eastAsia" w:ascii="宋体" w:hAnsi="宋体" w:eastAsia="宋体" w:cs="宋体"/>
          <w:highlight w:val="none"/>
        </w:rPr>
        <w:t>：主要包括以下内容：</w:t>
      </w:r>
    </w:p>
    <w:p w14:paraId="3D7A1648">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(1)</w:t>
      </w:r>
      <w:r>
        <w:rPr>
          <w:rFonts w:hint="eastAsia" w:ascii="宋体" w:hAnsi="宋体" w:eastAsia="宋体" w:cs="宋体"/>
          <w:highlight w:val="none"/>
        </w:rPr>
        <w:t>法定代表人证明书</w:t>
      </w:r>
    </w:p>
    <w:p w14:paraId="1C07DCF2">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(2)</w:t>
      </w:r>
      <w:r>
        <w:rPr>
          <w:rFonts w:hint="eastAsia" w:ascii="宋体" w:hAnsi="宋体" w:eastAsia="宋体" w:cs="宋体"/>
          <w:highlight w:val="none"/>
        </w:rPr>
        <w:t>投标文件签署授权委托书</w:t>
      </w:r>
    </w:p>
    <w:p w14:paraId="66CD1608">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(3)</w:t>
      </w:r>
      <w:r>
        <w:rPr>
          <w:rFonts w:hint="eastAsia" w:ascii="宋体" w:hAnsi="宋体" w:eastAsia="宋体" w:cs="宋体"/>
          <w:highlight w:val="none"/>
        </w:rPr>
        <w:t>实质性条款响应情况表</w:t>
      </w:r>
    </w:p>
    <w:p w14:paraId="131F9778">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(4)</w:t>
      </w:r>
      <w:r>
        <w:rPr>
          <w:rFonts w:hint="eastAsia" w:ascii="宋体" w:hAnsi="宋体" w:eastAsia="宋体" w:cs="宋体"/>
          <w:szCs w:val="21"/>
          <w:highlight w:val="none"/>
        </w:rPr>
        <w:t>技术保障措施</w:t>
      </w:r>
    </w:p>
    <w:p w14:paraId="295ADF38">
      <w:pPr>
        <w:numPr>
          <w:ilvl w:val="0"/>
          <w:numId w:val="0"/>
        </w:numPr>
        <w:ind w:left="2345" w:leftChars="0" w:hanging="425" w:firstLineChars="0"/>
        <w:rPr>
          <w:rFonts w:hint="eastAsia" w:ascii="宋体" w:hAnsi="宋体" w:eastAsia="宋体" w:cs="宋体"/>
          <w:highlight w:val="none"/>
        </w:rPr>
      </w:pPr>
      <w:r>
        <w:rPr>
          <w:rFonts w:hint="default" w:ascii="宋体" w:hAnsi="宋体" w:eastAsia="宋体" w:cs="宋体"/>
          <w:sz w:val="24"/>
          <w:szCs w:val="24"/>
          <w:lang w:val="en-US" w:eastAsia="zh-CN" w:bidi="ar-SA"/>
        </w:rPr>
        <w:t>(</w:t>
      </w:r>
      <w:r>
        <w:rPr>
          <w:rFonts w:hint="eastAsia" w:ascii="宋体" w:hAnsi="宋体" w:eastAsia="宋体" w:cs="宋体"/>
          <w:sz w:val="24"/>
          <w:szCs w:val="24"/>
          <w:lang w:val="en-US" w:eastAsia="zh-CN" w:bidi="ar-SA"/>
        </w:rPr>
        <w:t>5</w:t>
      </w:r>
      <w:r>
        <w:rPr>
          <w:rFonts w:hint="default" w:ascii="宋体" w:hAnsi="宋体" w:eastAsia="宋体" w:cs="宋体"/>
          <w:sz w:val="24"/>
          <w:szCs w:val="24"/>
          <w:lang w:val="en-US" w:eastAsia="zh-CN" w:bidi="ar-SA"/>
        </w:rPr>
        <w:t>)</w:t>
      </w:r>
      <w:r>
        <w:rPr>
          <w:rFonts w:hint="eastAsia" w:ascii="宋体" w:hAnsi="宋体" w:eastAsia="宋体" w:cs="宋体"/>
          <w:highlight w:val="none"/>
        </w:rPr>
        <w:t>投标人认为需要加以说明的其他内容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附件</w:t>
      </w:r>
      <w:r>
        <w:rPr>
          <w:rFonts w:hint="eastAsia" w:ascii="宋体" w:hAnsi="宋体" w:eastAsia="宋体" w:cs="宋体"/>
          <w:highlight w:val="none"/>
          <w:lang w:eastAsia="zh-CN"/>
        </w:rPr>
        <w:t>）</w:t>
      </w:r>
    </w:p>
    <w:p w14:paraId="3609C469">
      <w:pPr>
        <w:rPr>
          <w:rFonts w:hint="eastAsia" w:ascii="宋体" w:hAnsi="宋体" w:eastAsia="宋体" w:cs="宋体"/>
          <w:highlight w:val="none"/>
        </w:rPr>
      </w:pPr>
    </w:p>
    <w:p w14:paraId="3AD44A4F">
      <w:pPr>
        <w:ind w:firstLine="487" w:firstLineChars="202"/>
        <w:rPr>
          <w:rFonts w:hint="eastAsia" w:ascii="宋体" w:hAnsi="宋体" w:eastAsia="宋体" w:cs="宋体"/>
          <w:b/>
          <w:highlight w:val="none"/>
        </w:rPr>
      </w:pPr>
      <w:r>
        <w:rPr>
          <w:rFonts w:hint="eastAsia" w:ascii="宋体" w:hAnsi="宋体" w:eastAsia="宋体" w:cs="宋体"/>
          <w:b/>
          <w:highlight w:val="none"/>
        </w:rPr>
        <w:t>备注：</w:t>
      </w:r>
    </w:p>
    <w:p w14:paraId="4DD5BF1F">
      <w:pPr>
        <w:ind w:firstLine="487" w:firstLineChars="202"/>
        <w:rPr>
          <w:rFonts w:hint="eastAsia" w:ascii="宋体" w:hAnsi="宋体" w:eastAsia="宋体" w:cs="宋体"/>
          <w:b/>
          <w:highlight w:val="none"/>
        </w:rPr>
      </w:pPr>
      <w:r>
        <w:rPr>
          <w:rFonts w:hint="eastAsia" w:ascii="宋体" w:hAnsi="宋体" w:eastAsia="宋体" w:cs="宋体"/>
          <w:b/>
          <w:highlight w:val="none"/>
        </w:rPr>
        <w:t>1.本项目为网上电子投标项目，投标文件不需法人或授权委托人另行签字，无需加盖单位公章，招标文件专用条款另有规定的除外。</w:t>
      </w:r>
    </w:p>
    <w:p w14:paraId="04092E70">
      <w:pPr>
        <w:ind w:firstLine="487" w:firstLineChars="202"/>
        <w:rPr>
          <w:rFonts w:hint="eastAsia" w:ascii="宋体" w:hAnsi="宋体" w:eastAsia="宋体" w:cs="宋体"/>
          <w:b/>
          <w:highlight w:val="none"/>
        </w:rPr>
      </w:pPr>
      <w:r>
        <w:rPr>
          <w:rFonts w:hint="eastAsia" w:ascii="宋体" w:hAnsi="宋体" w:eastAsia="宋体" w:cs="宋体"/>
          <w:b/>
          <w:highlight w:val="none"/>
        </w:rPr>
        <w:t>2.关于填写“开标一览表”的说明：“开标一览表”中除“投标总价”外，其他信息不作评审依据。</w:t>
      </w:r>
    </w:p>
    <w:p w14:paraId="0FB94A56">
      <w:pPr>
        <w:ind w:firstLine="487" w:firstLineChars="202"/>
        <w:rPr>
          <w:rFonts w:hint="eastAsia" w:ascii="宋体" w:hAnsi="宋体" w:eastAsia="宋体" w:cs="宋体"/>
          <w:b/>
          <w:highlight w:val="none"/>
        </w:rPr>
      </w:pPr>
    </w:p>
    <w:p w14:paraId="3367D591">
      <w:pPr>
        <w:rPr>
          <w:rFonts w:hint="eastAsia" w:ascii="宋体" w:hAnsi="宋体" w:eastAsia="宋体" w:cs="宋体"/>
          <w:b/>
          <w:sz w:val="36"/>
          <w:szCs w:val="36"/>
          <w:highlight w:val="none"/>
        </w:rPr>
      </w:pPr>
      <w:r>
        <w:rPr>
          <w:rFonts w:hint="eastAsia" w:ascii="宋体" w:hAnsi="宋体" w:eastAsia="宋体" w:cs="宋体"/>
          <w:b/>
          <w:color w:val="FF0000"/>
          <w:sz w:val="36"/>
          <w:szCs w:val="36"/>
          <w:highlight w:val="none"/>
        </w:rPr>
        <w:br w:type="page"/>
      </w:r>
      <w:r>
        <w:rPr>
          <w:rFonts w:hint="eastAsia" w:ascii="宋体" w:hAnsi="宋体" w:eastAsia="宋体" w:cs="宋体"/>
          <w:b/>
          <w:sz w:val="36"/>
          <w:szCs w:val="36"/>
          <w:highlight w:val="none"/>
        </w:rPr>
        <w:t>一、投标文件</w:t>
      </w:r>
      <w:r>
        <w:rPr>
          <w:rFonts w:hint="eastAsia" w:ascii="宋体" w:hAnsi="宋体" w:eastAsia="宋体" w:cs="宋体"/>
          <w:b/>
          <w:color w:val="FF0000"/>
          <w:sz w:val="36"/>
          <w:szCs w:val="36"/>
          <w:highlight w:val="none"/>
          <w:lang w:val="en-US" w:eastAsia="zh-CN"/>
        </w:rPr>
        <w:t>正文</w:t>
      </w:r>
      <w:r>
        <w:rPr>
          <w:rFonts w:hint="eastAsia" w:ascii="宋体" w:hAnsi="宋体" w:eastAsia="宋体" w:cs="宋体"/>
          <w:b/>
          <w:sz w:val="36"/>
          <w:szCs w:val="36"/>
          <w:highlight w:val="none"/>
        </w:rPr>
        <w:t>，主要包括以下内容：</w:t>
      </w:r>
    </w:p>
    <w:p w14:paraId="18A12F69">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(1)投标函</w:t>
      </w:r>
    </w:p>
    <w:p w14:paraId="38E6ADDE">
      <w:pPr>
        <w:spacing w:line="360" w:lineRule="auto"/>
        <w:rPr>
          <w:rFonts w:hint="eastAsia" w:ascii="宋体" w:hAnsi="宋体" w:eastAsia="宋体" w:cs="宋体"/>
          <w:highlight w:val="none"/>
        </w:rPr>
      </w:pPr>
    </w:p>
    <w:p w14:paraId="6E8A62CD">
      <w:pPr>
        <w:spacing w:line="360" w:lineRule="auto"/>
        <w:rPr>
          <w:rFonts w:hint="eastAsia" w:ascii="宋体" w:hAnsi="宋体" w:eastAsia="宋体" w:cs="宋体"/>
          <w:szCs w:val="21"/>
          <w:highlight w:val="none"/>
        </w:rPr>
      </w:pPr>
      <w:r>
        <w:rPr>
          <w:rFonts w:hint="eastAsia" w:ascii="宋体" w:hAnsi="宋体" w:eastAsia="宋体" w:cs="宋体"/>
          <w:highlight w:val="none"/>
        </w:rPr>
        <w:t>致：</w:t>
      </w:r>
      <w:r>
        <w:rPr>
          <w:rFonts w:hint="eastAsia" w:ascii="宋体" w:hAnsi="宋体" w:eastAsia="宋体" w:cs="宋体"/>
          <w:highlight w:val="none"/>
          <w:lang w:eastAsia="zh-CN"/>
        </w:rPr>
        <w:t xml:space="preserve">深圳市东海国际招标有限公司、 华东师范大学附属深圳龙华学校教育集团    </w:t>
      </w:r>
    </w:p>
    <w:p w14:paraId="76D680AE">
      <w:pPr>
        <w:spacing w:after="156" w:afterLines="50"/>
        <w:ind w:firstLine="470" w:firstLineChars="196"/>
        <w:rPr>
          <w:rFonts w:hint="eastAsia" w:ascii="宋体" w:hAnsi="宋体" w:eastAsia="宋体" w:cs="宋体"/>
          <w:highlight w:val="none"/>
        </w:rPr>
      </w:pPr>
      <w:r>
        <w:rPr>
          <w:rFonts w:hint="eastAsia" w:ascii="宋体" w:hAnsi="宋体" w:eastAsia="宋体" w:cs="宋体"/>
          <w:highlight w:val="none"/>
        </w:rPr>
        <w:t>1、根据已收到贵单位的项目编号为</w:t>
      </w:r>
      <w:r>
        <w:rPr>
          <w:rFonts w:hint="eastAsia" w:ascii="宋体" w:hAnsi="宋体" w:eastAsia="宋体" w:cs="宋体"/>
          <w:highlight w:val="none"/>
          <w:u w:val="single"/>
        </w:rPr>
        <w:t xml:space="preserve">          </w:t>
      </w:r>
      <w:r>
        <w:rPr>
          <w:rFonts w:hint="eastAsia" w:ascii="宋体" w:hAnsi="宋体" w:eastAsia="宋体" w:cs="宋体"/>
          <w:highlight w:val="none"/>
        </w:rPr>
        <w:t>的</w:t>
      </w:r>
      <w:r>
        <w:rPr>
          <w:rFonts w:hint="eastAsia" w:ascii="宋体" w:hAnsi="宋体" w:eastAsia="宋体" w:cs="宋体"/>
          <w:highlight w:val="none"/>
          <w:u w:val="single"/>
        </w:rPr>
        <w:t xml:space="preserve">               </w:t>
      </w:r>
      <w:r>
        <w:rPr>
          <w:rFonts w:hint="eastAsia" w:ascii="宋体" w:hAnsi="宋体" w:eastAsia="宋体" w:cs="宋体"/>
          <w:highlight w:val="none"/>
        </w:rPr>
        <w:t>项目的招标文件，遵照《深圳经济特区政府采购条例》和《深圳网上政府采购管理暂行办法》等有关规定，我单位经研究上述招标文件的专用条款及通用条款后，</w:t>
      </w:r>
      <w:bookmarkStart w:id="4" w:name="_Hlk72263588"/>
      <w:r>
        <w:rPr>
          <w:rFonts w:hint="eastAsia" w:ascii="宋体" w:hAnsi="宋体" w:eastAsia="宋体" w:cs="宋体"/>
          <w:highlight w:val="none"/>
        </w:rPr>
        <w:t>愿意按照招标文件要求承包上述项目并修补其任何缺陷。</w:t>
      </w:r>
      <w:bookmarkEnd w:id="4"/>
    </w:p>
    <w:p w14:paraId="5740839F">
      <w:pPr>
        <w:spacing w:after="156" w:afterLines="50"/>
        <w:ind w:firstLine="470" w:firstLineChars="196"/>
        <w:rPr>
          <w:rFonts w:hint="eastAsia" w:ascii="宋体" w:hAnsi="宋体" w:eastAsia="宋体" w:cs="宋体"/>
          <w:highlight w:val="none"/>
        </w:rPr>
      </w:pPr>
      <w:r>
        <w:rPr>
          <w:rFonts w:hint="eastAsia" w:ascii="宋体" w:hAnsi="宋体" w:eastAsia="宋体" w:cs="宋体"/>
          <w:highlight w:val="none"/>
        </w:rPr>
        <w:t>2、</w:t>
      </w:r>
      <w:bookmarkStart w:id="5" w:name="_Hlk73819847"/>
      <w:r>
        <w:rPr>
          <w:rFonts w:hint="eastAsia" w:ascii="宋体" w:hAnsi="宋体" w:eastAsia="宋体" w:cs="宋体"/>
          <w:highlight w:val="none"/>
        </w:rPr>
        <w:t>投标价格见投标书编制软件中《开标一览表》中填写的投标总价。</w:t>
      </w:r>
      <w:bookmarkEnd w:id="5"/>
    </w:p>
    <w:p w14:paraId="66473E27">
      <w:pPr>
        <w:spacing w:after="156" w:afterLines="50"/>
        <w:ind w:firstLine="470" w:firstLineChars="196"/>
        <w:rPr>
          <w:rFonts w:hint="eastAsia" w:ascii="宋体" w:hAnsi="宋体" w:eastAsia="宋体" w:cs="宋体"/>
          <w:highlight w:val="none"/>
        </w:rPr>
      </w:pPr>
      <w:r>
        <w:rPr>
          <w:rFonts w:hint="eastAsia" w:ascii="宋体" w:hAnsi="宋体" w:eastAsia="宋体" w:cs="宋体"/>
          <w:highlight w:val="none"/>
        </w:rPr>
        <w:t>3、我方同意所递交的投标文件在“对通用条款的补充内容”中的投标有效期内有效，在此期间内我方的投标有可能中选，我方将受此约束。</w:t>
      </w:r>
    </w:p>
    <w:p w14:paraId="560A6980">
      <w:pPr>
        <w:spacing w:after="156" w:afterLines="50"/>
        <w:ind w:firstLine="470" w:firstLineChars="196"/>
        <w:rPr>
          <w:rFonts w:hint="eastAsia" w:ascii="宋体" w:hAnsi="宋体" w:eastAsia="宋体" w:cs="宋体"/>
          <w:highlight w:val="none"/>
        </w:rPr>
      </w:pPr>
      <w:r>
        <w:rPr>
          <w:rFonts w:hint="eastAsia" w:ascii="宋体" w:hAnsi="宋体" w:eastAsia="宋体" w:cs="宋体"/>
          <w:highlight w:val="none"/>
        </w:rPr>
        <w:t>4、除非另外达成协议并生效，贵方的中选通知书和本投标文件将构成约束我们双方的合同。</w:t>
      </w:r>
    </w:p>
    <w:p w14:paraId="2855C948">
      <w:pPr>
        <w:spacing w:after="156" w:afterLines="50"/>
        <w:ind w:firstLine="470" w:firstLineChars="196"/>
        <w:rPr>
          <w:rFonts w:hint="eastAsia" w:ascii="宋体" w:hAnsi="宋体" w:eastAsia="宋体" w:cs="宋体"/>
          <w:highlight w:val="none"/>
        </w:rPr>
      </w:pPr>
      <w:r>
        <w:rPr>
          <w:rFonts w:hint="eastAsia" w:ascii="宋体" w:hAnsi="宋体" w:eastAsia="宋体" w:cs="宋体"/>
          <w:highlight w:val="none"/>
        </w:rPr>
        <w:t>5、我方理解贵方将不受必须接受你们所收到的最低标价或其它任何投标文件的约束。</w:t>
      </w:r>
    </w:p>
    <w:p w14:paraId="4F5C39EB">
      <w:pPr>
        <w:ind w:firstLine="480" w:firstLineChars="200"/>
        <w:rPr>
          <w:rFonts w:hint="eastAsia" w:ascii="宋体" w:hAnsi="宋体" w:eastAsia="宋体" w:cs="宋体"/>
          <w:color w:val="0000FF"/>
          <w:highlight w:val="none"/>
        </w:rPr>
      </w:pPr>
      <w:r>
        <w:rPr>
          <w:rFonts w:hint="eastAsia" w:ascii="宋体" w:hAnsi="宋体" w:eastAsia="宋体" w:cs="宋体"/>
          <w:color w:val="0000FF"/>
          <w:highlight w:val="none"/>
        </w:rPr>
        <w:t>6、我方已知晓本次投标报价中已包含招标代理服务费（招标代理服务费将按照招标文件“对通用条款的补充内容”中“招标代理服务费”所列收费标准计算），并承诺向贵单位足额支付。</w:t>
      </w:r>
    </w:p>
    <w:p w14:paraId="591D6DD1">
      <w:pPr>
        <w:pStyle w:val="2"/>
        <w:rPr>
          <w:rFonts w:hint="eastAsia" w:ascii="宋体" w:hAnsi="宋体" w:eastAsia="宋体" w:cs="宋体"/>
          <w:highlight w:val="none"/>
        </w:rPr>
      </w:pPr>
    </w:p>
    <w:p w14:paraId="58436C3F">
      <w:pPr>
        <w:ind w:left="617" w:leftChars="257"/>
        <w:rPr>
          <w:rFonts w:hint="eastAsia" w:ascii="宋体" w:hAnsi="宋体" w:eastAsia="宋体" w:cs="宋体"/>
          <w:highlight w:val="none"/>
        </w:rPr>
      </w:pPr>
    </w:p>
    <w:p w14:paraId="55E40E6E">
      <w:pPr>
        <w:ind w:firstLine="1200" w:firstLineChars="500"/>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18DD641C">
      <w:pPr>
        <w:ind w:firstLine="1200" w:firstLineChars="500"/>
        <w:rPr>
          <w:rFonts w:hint="eastAsia" w:ascii="宋体" w:hAnsi="宋体" w:eastAsia="宋体" w:cs="宋体"/>
          <w:highlight w:val="none"/>
          <w:u w:val="single"/>
        </w:rPr>
      </w:pPr>
      <w:r>
        <w:rPr>
          <w:rFonts w:hint="eastAsia" w:ascii="宋体" w:hAnsi="宋体" w:eastAsia="宋体" w:cs="宋体"/>
          <w:highlight w:val="none"/>
        </w:rPr>
        <w:t>单位地址：</w:t>
      </w:r>
      <w:r>
        <w:rPr>
          <w:rFonts w:hint="eastAsia" w:ascii="宋体" w:hAnsi="宋体" w:eastAsia="宋体" w:cs="宋体"/>
          <w:highlight w:val="none"/>
          <w:u w:val="single"/>
        </w:rPr>
        <w:t xml:space="preserve">                 </w:t>
      </w:r>
    </w:p>
    <w:p w14:paraId="6144504E">
      <w:pPr>
        <w:ind w:left="1200" w:leftChars="500"/>
        <w:rPr>
          <w:rFonts w:hint="eastAsia" w:ascii="宋体" w:hAnsi="宋体" w:eastAsia="宋体" w:cs="宋体"/>
          <w:highlight w:val="none"/>
          <w:u w:val="singl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w:t>
      </w:r>
    </w:p>
    <w:p w14:paraId="7E7496D0">
      <w:pPr>
        <w:ind w:left="1200" w:leftChars="500"/>
        <w:rPr>
          <w:rFonts w:hint="eastAsia" w:ascii="宋体" w:hAnsi="宋体" w:eastAsia="宋体" w:cs="宋体"/>
          <w:highlight w:val="none"/>
          <w:u w:val="single"/>
        </w:rPr>
      </w:pPr>
      <w:r>
        <w:rPr>
          <w:rFonts w:hint="eastAsia" w:ascii="宋体" w:hAnsi="宋体" w:eastAsia="宋体" w:cs="宋体"/>
          <w:highlight w:val="none"/>
        </w:rPr>
        <w:t>企业信用代码：</w:t>
      </w:r>
      <w:r>
        <w:rPr>
          <w:rFonts w:hint="eastAsia" w:ascii="宋体" w:hAnsi="宋体" w:eastAsia="宋体" w:cs="宋体"/>
          <w:highlight w:val="none"/>
          <w:u w:val="single"/>
        </w:rPr>
        <w:t xml:space="preserve">                   </w:t>
      </w:r>
    </w:p>
    <w:p w14:paraId="76970603">
      <w:pPr>
        <w:ind w:firstLine="1200" w:firstLineChars="500"/>
        <w:rPr>
          <w:rFonts w:hint="eastAsia" w:ascii="宋体" w:hAnsi="宋体" w:eastAsia="宋体" w:cs="宋体"/>
          <w:highlight w:val="none"/>
        </w:rPr>
      </w:pPr>
      <w:r>
        <w:rPr>
          <w:rFonts w:hint="eastAsia" w:ascii="宋体" w:hAnsi="宋体" w:eastAsia="宋体" w:cs="宋体"/>
          <w:highlight w:val="none"/>
        </w:rPr>
        <w:t>联系邮箱：</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6F65A2AD">
      <w:pPr>
        <w:ind w:firstLine="1200" w:firstLineChars="500"/>
        <w:rPr>
          <w:rFonts w:hint="eastAsia" w:ascii="宋体" w:hAnsi="宋体" w:eastAsia="宋体" w:cs="宋体"/>
          <w:highlight w:val="none"/>
          <w:u w:val="single"/>
        </w:rPr>
      </w:pPr>
      <w:r>
        <w:rPr>
          <w:rFonts w:hint="eastAsia" w:ascii="宋体" w:hAnsi="宋体" w:eastAsia="宋体" w:cs="宋体"/>
          <w:highlight w:val="none"/>
        </w:rPr>
        <w:t>邮政编码：</w:t>
      </w:r>
      <w:r>
        <w:rPr>
          <w:rFonts w:hint="eastAsia" w:ascii="宋体" w:hAnsi="宋体" w:eastAsia="宋体" w:cs="宋体"/>
          <w:highlight w:val="none"/>
          <w:u w:val="single"/>
        </w:rPr>
        <w:t xml:space="preserve">                       </w:t>
      </w:r>
    </w:p>
    <w:p w14:paraId="3E60B9A7">
      <w:pPr>
        <w:ind w:firstLine="1200" w:firstLineChars="500"/>
        <w:rPr>
          <w:rFonts w:hint="eastAsia" w:ascii="宋体" w:hAnsi="宋体" w:eastAsia="宋体" w:cs="宋体"/>
          <w:highlight w:val="none"/>
        </w:rPr>
      </w:pPr>
      <w:r>
        <w:rPr>
          <w:rFonts w:hint="eastAsia" w:ascii="宋体" w:hAnsi="宋体" w:eastAsia="宋体" w:cs="宋体"/>
          <w:highlight w:val="none"/>
        </w:rPr>
        <w:t>开户银行名称：</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ab/>
      </w:r>
    </w:p>
    <w:p w14:paraId="50DC7C44">
      <w:pPr>
        <w:ind w:firstLine="1200" w:firstLineChars="500"/>
        <w:rPr>
          <w:rFonts w:hint="eastAsia" w:ascii="宋体" w:hAnsi="宋体" w:eastAsia="宋体" w:cs="宋体"/>
          <w:highlight w:val="none"/>
        </w:rPr>
      </w:pPr>
      <w:r>
        <w:rPr>
          <w:rFonts w:hint="eastAsia" w:ascii="宋体" w:hAnsi="宋体" w:eastAsia="宋体" w:cs="宋体"/>
          <w:highlight w:val="none"/>
        </w:rPr>
        <w:t>开户银行帐号：</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p>
    <w:p w14:paraId="7ED23108">
      <w:pPr>
        <w:ind w:firstLine="1200" w:firstLineChars="500"/>
        <w:rPr>
          <w:rFonts w:hint="eastAsia" w:ascii="宋体" w:hAnsi="宋体" w:eastAsia="宋体" w:cs="宋体"/>
          <w:highlight w:val="none"/>
        </w:rPr>
      </w:pPr>
      <w:r>
        <w:rPr>
          <w:rFonts w:hint="eastAsia" w:ascii="宋体" w:hAnsi="宋体" w:eastAsia="宋体" w:cs="宋体"/>
          <w:highlight w:val="none"/>
        </w:rPr>
        <w:t>开户银行地址：</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ab/>
      </w:r>
      <w:r>
        <w:rPr>
          <w:rFonts w:hint="eastAsia" w:ascii="宋体" w:hAnsi="宋体" w:eastAsia="宋体" w:cs="宋体"/>
          <w:highlight w:val="none"/>
        </w:rPr>
        <w:tab/>
      </w:r>
    </w:p>
    <w:p w14:paraId="11CB4422">
      <w:pPr>
        <w:ind w:firstLine="1200" w:firstLineChars="500"/>
        <w:rPr>
          <w:rFonts w:hint="eastAsia" w:ascii="宋体" w:hAnsi="宋体" w:eastAsia="宋体" w:cs="宋体"/>
          <w:highlight w:val="none"/>
        </w:rPr>
      </w:pPr>
      <w:r>
        <w:rPr>
          <w:rFonts w:hint="eastAsia" w:ascii="宋体" w:hAnsi="宋体" w:eastAsia="宋体" w:cs="宋体"/>
          <w:highlight w:val="none"/>
        </w:rPr>
        <w:t>开户银行电话：</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ab/>
      </w:r>
    </w:p>
    <w:p w14:paraId="081966CC">
      <w:pPr>
        <w:ind w:firstLine="480" w:firstLineChars="200"/>
        <w:rPr>
          <w:rFonts w:hint="eastAsia" w:ascii="宋体" w:hAnsi="宋体" w:eastAsia="宋体" w:cs="宋体"/>
          <w:highlight w:val="none"/>
        </w:rPr>
      </w:pPr>
    </w:p>
    <w:p w14:paraId="3BD25C07">
      <w:pPr>
        <w:ind w:firstLine="1200" w:firstLineChars="5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14:paraId="363FC5E3">
      <w:pPr>
        <w:ind w:firstLine="616" w:firstLineChars="257"/>
        <w:rPr>
          <w:rFonts w:hint="eastAsia" w:ascii="宋体" w:hAnsi="宋体" w:eastAsia="宋体" w:cs="宋体"/>
          <w:highlight w:val="none"/>
        </w:rPr>
      </w:pPr>
      <w:r>
        <w:rPr>
          <w:rFonts w:hint="eastAsia" w:ascii="宋体" w:hAnsi="宋体" w:eastAsia="宋体" w:cs="宋体"/>
          <w:highlight w:val="none"/>
        </w:rPr>
        <w:t xml:space="preserve"> </w:t>
      </w:r>
    </w:p>
    <w:p w14:paraId="2D7EF190">
      <w:pPr>
        <w:spacing w:line="360" w:lineRule="auto"/>
        <w:ind w:left="617" w:leftChars="257"/>
        <w:rPr>
          <w:rFonts w:hint="eastAsia" w:ascii="宋体" w:hAnsi="宋体" w:eastAsia="宋体" w:cs="宋体"/>
          <w:b/>
          <w:bCs/>
          <w:highlight w:val="none"/>
        </w:rPr>
      </w:pPr>
      <w:r>
        <w:rPr>
          <w:rFonts w:hint="eastAsia" w:ascii="宋体" w:hAnsi="宋体" w:eastAsia="宋体" w:cs="宋体"/>
          <w:b/>
          <w:bCs/>
          <w:highlight w:val="none"/>
        </w:rPr>
        <w:t xml:space="preserve"> </w:t>
      </w:r>
    </w:p>
    <w:p w14:paraId="15BAF386">
      <w:pPr>
        <w:spacing w:line="360" w:lineRule="auto"/>
        <w:ind w:left="617" w:leftChars="257"/>
        <w:rPr>
          <w:rFonts w:hint="eastAsia" w:ascii="宋体" w:hAnsi="宋体" w:eastAsia="宋体" w:cs="宋体"/>
          <w:b/>
          <w:bCs/>
          <w:highlight w:val="none"/>
        </w:rPr>
      </w:pPr>
    </w:p>
    <w:p w14:paraId="7E6E94DB">
      <w:pPr>
        <w:pStyle w:val="2"/>
        <w:rPr>
          <w:rFonts w:hint="eastAsia" w:ascii="宋体" w:hAnsi="宋体" w:eastAsia="宋体" w:cs="宋体"/>
          <w:highlight w:val="none"/>
        </w:rPr>
      </w:pPr>
    </w:p>
    <w:p w14:paraId="47BDBF87">
      <w:pPr>
        <w:numPr>
          <w:ilvl w:val="0"/>
          <w:numId w:val="0"/>
        </w:numPr>
        <w:jc w:val="center"/>
        <w:rPr>
          <w:rFonts w:hint="eastAsia" w:ascii="宋体" w:hAnsi="宋体" w:eastAsia="宋体" w:cs="宋体"/>
          <w:b/>
          <w:sz w:val="36"/>
          <w:szCs w:val="36"/>
          <w:highlight w:val="none"/>
        </w:rPr>
      </w:pPr>
      <w:r>
        <w:rPr>
          <w:rFonts w:hint="eastAsia" w:ascii="宋体" w:hAnsi="宋体" w:eastAsia="宋体" w:cs="宋体"/>
          <w:b/>
          <w:sz w:val="36"/>
          <w:szCs w:val="36"/>
          <w:lang w:val="en-US" w:eastAsia="zh-CN" w:bidi="ar-SA"/>
        </w:rPr>
        <w:t>(2)</w:t>
      </w:r>
      <w:r>
        <w:rPr>
          <w:rFonts w:hint="eastAsia" w:ascii="宋体" w:hAnsi="宋体" w:eastAsia="宋体" w:cs="宋体"/>
          <w:b/>
          <w:sz w:val="36"/>
          <w:szCs w:val="36"/>
          <w:highlight w:val="none"/>
          <w:lang w:eastAsia="zh-CN"/>
        </w:rPr>
        <w:t>龙华区教育局自行采购投标及履约承诺函</w:t>
      </w:r>
    </w:p>
    <w:p w14:paraId="50BFF632">
      <w:pPr>
        <w:jc w:val="center"/>
        <w:rPr>
          <w:rFonts w:hint="eastAsia" w:ascii="宋体" w:hAnsi="宋体" w:eastAsia="宋体" w:cs="宋体"/>
          <w:b/>
          <w:bCs/>
          <w:highlight w:val="none"/>
        </w:rPr>
      </w:pPr>
    </w:p>
    <w:p w14:paraId="07CFEEC5">
      <w:pPr>
        <w:jc w:val="center"/>
        <w:rPr>
          <w:rFonts w:hint="eastAsia" w:ascii="宋体" w:hAnsi="宋体" w:eastAsia="宋体" w:cs="宋体"/>
          <w:sz w:val="22"/>
          <w:szCs w:val="22"/>
          <w:highlight w:val="none"/>
        </w:rPr>
      </w:pPr>
      <w:r>
        <w:rPr>
          <w:rFonts w:hint="eastAsia" w:ascii="宋体" w:hAnsi="宋体" w:eastAsia="宋体" w:cs="宋体"/>
          <w:b/>
          <w:kern w:val="2"/>
          <w:sz w:val="28"/>
          <w:szCs w:val="36"/>
          <w:highlight w:val="none"/>
          <w:lang w:eastAsia="zh-CN"/>
        </w:rPr>
        <w:t>龙华区教育局自行采购投标及履约承诺函</w:t>
      </w:r>
    </w:p>
    <w:p w14:paraId="6B22BD4F">
      <w:pPr>
        <w:spacing w:after="156" w:afterLines="50"/>
        <w:ind w:firstLine="470" w:firstLineChars="196"/>
        <w:rPr>
          <w:rFonts w:hint="eastAsia" w:ascii="宋体" w:hAnsi="宋体" w:eastAsia="宋体" w:cs="宋体"/>
          <w:highlight w:val="none"/>
          <w:lang w:eastAsia="zh-CN"/>
        </w:rPr>
      </w:pPr>
    </w:p>
    <w:p w14:paraId="1372DEC4">
      <w:pPr>
        <w:spacing w:after="156" w:afterLines="50"/>
        <w:ind w:firstLine="470" w:firstLineChars="196"/>
        <w:rPr>
          <w:rFonts w:hint="eastAsia" w:ascii="宋体" w:hAnsi="宋体" w:eastAsia="宋体" w:cs="宋体"/>
          <w:highlight w:val="none"/>
          <w:lang w:val="en-US" w:eastAsia="zh-CN"/>
        </w:rPr>
      </w:pPr>
      <w:r>
        <w:rPr>
          <w:rFonts w:hint="eastAsia" w:ascii="宋体" w:hAnsi="宋体" w:eastAsia="宋体" w:cs="宋体"/>
          <w:highlight w:val="none"/>
          <w:lang w:eastAsia="zh-CN"/>
        </w:rPr>
        <w:t xml:space="preserve">致：深圳市东海国际招标有限公司、 华东师范大学附属深圳龙华学校教育集团    </w:t>
      </w:r>
    </w:p>
    <w:p w14:paraId="0F66AA37">
      <w:pPr>
        <w:spacing w:after="156" w:afterLines="50"/>
        <w:ind w:firstLine="470" w:firstLineChars="196"/>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lang w:eastAsia="zh-CN"/>
        </w:rPr>
        <w:t>我单位承诺：</w:t>
      </w:r>
    </w:p>
    <w:p w14:paraId="1C2CF3D4">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1.我单位本招标项目所提供的货物或服务未侵犯知识产权。</w:t>
      </w:r>
    </w:p>
    <w:p w14:paraId="2FE625CB">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2.我单位参与本项目投标前三年内，在经营活动中没有重大违法记录。</w:t>
      </w:r>
    </w:p>
    <w:p w14:paraId="4E8028E2">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3.我单位参与本项目政府采购活动时不存在被有关部门禁止参与政府采购活动且在有效期内的情况。</w:t>
      </w:r>
    </w:p>
    <w:p w14:paraId="493FE595">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4.我单位具备《中华人民共和国政府采购法》第二十二条第一款规定的六项条件。</w:t>
      </w:r>
    </w:p>
    <w:p w14:paraId="6A7401CE">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5.我单位未被列入失信被执行人、重大税收违法案件当事人名单（税收违法黑名单）、政府采购严重违法失信行为记录名单。</w:t>
      </w:r>
    </w:p>
    <w:p w14:paraId="195302C6">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6.</w:t>
      </w:r>
      <w:bookmarkStart w:id="6" w:name="_Hlk72587269"/>
      <w:bookmarkStart w:id="7" w:name="_Hlk72587299"/>
      <w:r>
        <w:rPr>
          <w:rFonts w:hint="eastAsia" w:ascii="宋体" w:hAnsi="宋体" w:eastAsia="宋体" w:cs="宋体"/>
          <w:b w:val="0"/>
          <w:bCs w:val="0"/>
          <w:highlight w:val="none"/>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
      <w:r>
        <w:rPr>
          <w:rFonts w:hint="eastAsia" w:ascii="宋体" w:hAnsi="宋体" w:eastAsia="宋体" w:cs="宋体"/>
          <w:b w:val="0"/>
          <w:bCs w:val="0"/>
          <w:highlight w:val="none"/>
          <w:lang w:eastAsia="zh-CN"/>
        </w:rPr>
        <w:t>。我单位严格遵守政府采购相关法律，投标做到诚实，不造假，不围 标、串标、陪标，不存在编制、加密或上传标书的设备 mac 地址与其他投标人相同的情形。</w:t>
      </w:r>
    </w:p>
    <w:bookmarkEnd w:id="7"/>
    <w:p w14:paraId="6F4E54AC">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55E4074">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E449B21">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C225D2A">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9.我单位承诺中标后项目不转包，未经采购人同意不进行分包。</w:t>
      </w:r>
    </w:p>
    <w:p w14:paraId="6733B216">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5EA19A0">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11.我单位保证，若所投货物涉及《财政部生态环境部关于印发节能产品政府采购品目清单的通知》（财库〔2019〕19 号）列明的政府采购强制产品，则所投该产品符合节能产品的认证要求，则所投该产品符合节能产品的认证要求。若所投产品包括数据中心相关设备的，应满足财政部《绿色数据中心政府采购需求标准（试行）》（财办库〔2023〕7 号）要求。</w:t>
      </w:r>
    </w:p>
    <w:p w14:paraId="44FC1536">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12.我单位承诺，符合《中华人民共和国政府采购法实施条例》第十八条第一款规定，不存在我单位与其他供应商的负责人为同一人或者存在直接控股、管理关系的情况。</w:t>
      </w:r>
    </w:p>
    <w:p w14:paraId="1A2E699A">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13.所投标（响应）的货物、工程或服务，不存在侵犯知识产权的情况；已知悉并同意中标（成交）结果信息公示（公开）的内容。</w:t>
      </w:r>
    </w:p>
    <w:p w14:paraId="785B29F7">
      <w:pPr>
        <w:spacing w:after="156" w:afterLines="50"/>
        <w:ind w:firstLine="470" w:firstLineChars="196"/>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14.本单位（公司）不存在《深圳市财政局政府采购供应商信用信息管理办法》（深财规〔2023〕3 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14:paraId="59FBF361">
      <w:pPr>
        <w:spacing w:after="156" w:afterLines="50"/>
        <w:ind w:firstLine="470" w:firstLineChars="196"/>
        <w:rPr>
          <w:rFonts w:hint="eastAsia" w:ascii="宋体" w:hAnsi="宋体" w:eastAsia="宋体" w:cs="宋体"/>
          <w:highlight w:val="none"/>
          <w:lang w:eastAsia="zh-CN"/>
        </w:rPr>
      </w:pPr>
      <w:r>
        <w:rPr>
          <w:rFonts w:hint="eastAsia" w:ascii="宋体" w:hAnsi="宋体" w:eastAsia="宋体" w:cs="宋体"/>
          <w:highlight w:val="none"/>
          <w:lang w:eastAsia="zh-CN"/>
        </w:rPr>
        <w:t>15.我单位自愿遵照龙华区教育自行采购的有关管理制度和规定，并自愿接受龙华区教育局和财政部门的有关监督。</w:t>
      </w:r>
    </w:p>
    <w:p w14:paraId="17B8B3B3">
      <w:pPr>
        <w:spacing w:after="156" w:afterLines="50"/>
        <w:ind w:firstLine="472" w:firstLineChars="196"/>
        <w:rPr>
          <w:rFonts w:hint="eastAsia" w:ascii="宋体" w:hAnsi="宋体" w:eastAsia="宋体" w:cs="宋体"/>
          <w:b/>
          <w:bCs/>
          <w:highlight w:val="none"/>
        </w:rPr>
      </w:pPr>
      <w:r>
        <w:rPr>
          <w:rFonts w:hint="eastAsia" w:ascii="宋体" w:hAnsi="宋体" w:eastAsia="宋体" w:cs="宋体"/>
          <w:b/>
          <w:bCs/>
          <w:highlight w:val="none"/>
          <w:lang w:eastAsia="zh-CN"/>
        </w:rPr>
        <w:t>以上承诺，如有违反，采购单位或龙华区教育局或财政部门可暂停我方两年内参与龙华区教育</w:t>
      </w:r>
      <w:r>
        <w:rPr>
          <w:rFonts w:hint="eastAsia" w:ascii="宋体" w:hAnsi="宋体" w:eastAsia="宋体" w:cs="宋体"/>
          <w:b/>
          <w:bCs/>
          <w:highlight w:val="none"/>
          <w:lang w:val="en-US" w:eastAsia="zh-CN"/>
        </w:rPr>
        <w:t>局</w:t>
      </w:r>
      <w:r>
        <w:rPr>
          <w:rFonts w:hint="eastAsia" w:ascii="宋体" w:hAnsi="宋体" w:eastAsia="宋体" w:cs="宋体"/>
          <w:b/>
          <w:bCs/>
          <w:highlight w:val="none"/>
          <w:lang w:eastAsia="zh-CN"/>
        </w:rPr>
        <w:t>自行采购和深圳政府采购智慧平台深圳政府采购自行采购系统的投标资格</w:t>
      </w:r>
    </w:p>
    <w:p w14:paraId="489DB721">
      <w:pPr>
        <w:pStyle w:val="2"/>
        <w:rPr>
          <w:rFonts w:hint="eastAsia" w:ascii="宋体" w:hAnsi="宋体" w:eastAsia="宋体" w:cs="宋体"/>
          <w:highlight w:val="none"/>
        </w:rPr>
      </w:pPr>
    </w:p>
    <w:p w14:paraId="5DD76E05">
      <w:pPr>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投标单位名称：</w:t>
      </w:r>
      <w:r>
        <w:rPr>
          <w:rFonts w:hint="eastAsia" w:ascii="宋体" w:hAnsi="宋体" w:eastAsia="宋体" w:cs="宋体"/>
          <w:szCs w:val="21"/>
          <w:highlight w:val="none"/>
          <w:u w:val="single"/>
        </w:rPr>
        <w:t>            </w:t>
      </w:r>
    </w:p>
    <w:p w14:paraId="3CAD8E04">
      <w:pPr>
        <w:spacing w:line="360" w:lineRule="auto"/>
        <w:rPr>
          <w:rFonts w:hint="eastAsia" w:ascii="宋体" w:hAnsi="宋体" w:eastAsia="宋体" w:cs="宋体"/>
          <w:szCs w:val="21"/>
          <w:highlight w:val="none"/>
        </w:rPr>
      </w:pPr>
    </w:p>
    <w:p w14:paraId="1B8515AD">
      <w:pPr>
        <w:spacing w:line="360" w:lineRule="auto"/>
        <w:rPr>
          <w:rFonts w:hint="eastAsia" w:ascii="宋体" w:hAnsi="宋体" w:eastAsia="宋体" w:cs="宋体"/>
          <w:highlight w:val="none"/>
        </w:rPr>
      </w:pPr>
      <w:r>
        <w:rPr>
          <w:rFonts w:hint="eastAsia" w:ascii="宋体" w:hAnsi="宋体" w:eastAsia="宋体" w:cs="宋体"/>
          <w:szCs w:val="21"/>
          <w:highlight w:val="none"/>
        </w:rPr>
        <w:t>日期：      年    月    日</w:t>
      </w:r>
    </w:p>
    <w:p w14:paraId="1267B9DC">
      <w:pPr>
        <w:pStyle w:val="2"/>
        <w:rPr>
          <w:rFonts w:hint="eastAsia" w:ascii="宋体" w:hAnsi="宋体" w:eastAsia="宋体" w:cs="宋体"/>
          <w:highlight w:val="none"/>
        </w:rPr>
      </w:pPr>
    </w:p>
    <w:p w14:paraId="5BBD2BF1">
      <w:pPr>
        <w:rPr>
          <w:rFonts w:hint="eastAsia" w:ascii="宋体" w:hAnsi="宋体" w:eastAsia="宋体" w:cs="宋体"/>
          <w:highlight w:val="none"/>
        </w:rPr>
      </w:pPr>
    </w:p>
    <w:p w14:paraId="677BD1AD">
      <w:pPr>
        <w:pStyle w:val="2"/>
        <w:rPr>
          <w:rFonts w:hint="eastAsia" w:ascii="宋体" w:hAnsi="宋体" w:eastAsia="宋体" w:cs="宋体"/>
          <w:highlight w:val="none"/>
        </w:rPr>
      </w:pPr>
    </w:p>
    <w:p w14:paraId="0C321452">
      <w:pPr>
        <w:rPr>
          <w:rFonts w:hint="eastAsia" w:ascii="宋体" w:hAnsi="宋体" w:eastAsia="宋体" w:cs="宋体"/>
          <w:highlight w:val="none"/>
        </w:rPr>
      </w:pPr>
    </w:p>
    <w:p w14:paraId="28F11211">
      <w:pPr>
        <w:pStyle w:val="2"/>
        <w:rPr>
          <w:rFonts w:hint="eastAsia" w:ascii="宋体" w:hAnsi="宋体" w:eastAsia="宋体" w:cs="宋体"/>
          <w:highlight w:val="none"/>
        </w:rPr>
      </w:pPr>
    </w:p>
    <w:p w14:paraId="626ED6A7">
      <w:pPr>
        <w:rPr>
          <w:rFonts w:hint="eastAsia" w:ascii="宋体" w:hAnsi="宋体" w:eastAsia="宋体" w:cs="宋体"/>
          <w:highlight w:val="none"/>
        </w:rPr>
      </w:pPr>
    </w:p>
    <w:p w14:paraId="3B59298B">
      <w:pPr>
        <w:pStyle w:val="2"/>
        <w:rPr>
          <w:rFonts w:hint="eastAsia" w:ascii="宋体" w:hAnsi="宋体" w:eastAsia="宋体" w:cs="宋体"/>
          <w:highlight w:val="none"/>
        </w:rPr>
      </w:pPr>
    </w:p>
    <w:p w14:paraId="1312008A">
      <w:pPr>
        <w:rPr>
          <w:rFonts w:hint="eastAsia" w:ascii="宋体" w:hAnsi="宋体" w:eastAsia="宋体" w:cs="宋体"/>
          <w:highlight w:val="none"/>
        </w:rPr>
      </w:pPr>
    </w:p>
    <w:p w14:paraId="4085F99F">
      <w:pPr>
        <w:numPr>
          <w:ilvl w:val="0"/>
          <w:numId w:val="0"/>
        </w:numPr>
        <w:rPr>
          <w:rFonts w:hint="eastAsia" w:ascii="宋体" w:hAnsi="宋体" w:eastAsia="宋体" w:cs="宋体"/>
          <w:b/>
          <w:sz w:val="36"/>
          <w:szCs w:val="36"/>
          <w:highlight w:val="none"/>
        </w:rPr>
      </w:pPr>
      <w:r>
        <w:rPr>
          <w:rFonts w:hint="eastAsia" w:ascii="宋体" w:hAnsi="宋体" w:eastAsia="宋体" w:cs="宋体"/>
          <w:b/>
          <w:sz w:val="36"/>
          <w:szCs w:val="36"/>
          <w:lang w:val="en-US" w:eastAsia="zh-CN" w:bidi="ar-SA"/>
        </w:rPr>
        <w:t>(3)</w:t>
      </w:r>
      <w:r>
        <w:rPr>
          <w:rFonts w:hint="eastAsia" w:ascii="宋体" w:hAnsi="宋体" w:eastAsia="宋体" w:cs="宋体"/>
          <w:b/>
          <w:sz w:val="36"/>
          <w:szCs w:val="36"/>
          <w:highlight w:val="none"/>
        </w:rPr>
        <w:t>投标人情况介绍及资格要求</w:t>
      </w:r>
    </w:p>
    <w:p w14:paraId="759D544A">
      <w:pPr>
        <w:rPr>
          <w:rFonts w:hint="eastAsia" w:ascii="宋体" w:hAnsi="宋体" w:eastAsia="宋体" w:cs="宋体"/>
          <w:highlight w:val="none"/>
        </w:rPr>
      </w:pPr>
    </w:p>
    <w:p w14:paraId="7745A5E1">
      <w:pPr>
        <w:ind w:firstLine="2880" w:firstLineChars="1200"/>
        <w:rPr>
          <w:rFonts w:hint="eastAsia" w:ascii="宋体" w:hAnsi="宋体" w:eastAsia="宋体" w:cs="宋体"/>
          <w:bCs/>
          <w:szCs w:val="32"/>
          <w:highlight w:val="none"/>
        </w:rPr>
      </w:pPr>
      <w:r>
        <w:rPr>
          <w:rFonts w:hint="eastAsia" w:ascii="宋体" w:hAnsi="宋体" w:eastAsia="宋体" w:cs="宋体"/>
          <w:bCs/>
          <w:szCs w:val="32"/>
          <w:highlight w:val="none"/>
          <w:lang w:val="en-US" w:eastAsia="zh-CN"/>
        </w:rPr>
        <w:t>一、</w:t>
      </w:r>
      <w:r>
        <w:rPr>
          <w:rFonts w:hint="eastAsia" w:ascii="宋体" w:hAnsi="宋体" w:eastAsia="宋体" w:cs="宋体"/>
          <w:bCs/>
          <w:szCs w:val="32"/>
          <w:highlight w:val="none"/>
        </w:rPr>
        <w:t>投标人资格证明文件</w:t>
      </w:r>
    </w:p>
    <w:p w14:paraId="158706A4">
      <w:pPr>
        <w:spacing w:line="360" w:lineRule="auto"/>
        <w:jc w:val="center"/>
        <w:rPr>
          <w:rFonts w:hint="eastAsia" w:ascii="宋体" w:hAnsi="宋体" w:eastAsia="宋体" w:cs="宋体"/>
          <w:b/>
          <w:bCs/>
          <w:color w:val="FF0000"/>
          <w:highlight w:val="none"/>
        </w:rPr>
      </w:pPr>
      <w:r>
        <w:rPr>
          <w:rFonts w:hint="eastAsia" w:ascii="宋体" w:hAnsi="宋体" w:eastAsia="宋体" w:cs="宋体"/>
          <w:b/>
          <w:bCs/>
          <w:color w:val="FF0000"/>
          <w:highlight w:val="none"/>
        </w:rPr>
        <w:t>（特别提示：投标人须按本招标文件第一册第一章招标公告“申请人的资格要求”（即投标人资格要求）提供相关的资格证明资料，未提供或提供不完整、不符合要求的，将作投标无效处理。）</w:t>
      </w:r>
    </w:p>
    <w:p w14:paraId="73A19541">
      <w:pPr>
        <w:spacing w:line="360" w:lineRule="auto"/>
        <w:jc w:val="center"/>
        <w:rPr>
          <w:rFonts w:ascii="宋体" w:hAnsi="宋体" w:cs="宋体"/>
          <w:b/>
          <w:color w:val="auto"/>
          <w:sz w:val="22"/>
          <w:szCs w:val="22"/>
          <w:highlight w:val="none"/>
        </w:rPr>
      </w:pPr>
      <w:r>
        <w:rPr>
          <w:rFonts w:hint="eastAsia" w:ascii="宋体" w:hAnsi="宋体" w:eastAsia="宋体" w:cs="宋体"/>
          <w:b/>
          <w:bCs/>
          <w:color w:val="FF0000"/>
          <w:highlight w:val="none"/>
        </w:rPr>
        <w:br w:type="textWrapping"/>
      </w:r>
      <w:r>
        <w:rPr>
          <w:rFonts w:hint="eastAsia" w:ascii="宋体" w:hAnsi="宋体" w:cs="宋体"/>
          <w:b/>
          <w:color w:val="auto"/>
          <w:sz w:val="22"/>
          <w:szCs w:val="22"/>
          <w:highlight w:val="none"/>
        </w:rPr>
        <w:t>中小企业声明函</w:t>
      </w:r>
    </w:p>
    <w:p w14:paraId="03A77598">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本公司（联合体）郑重声明，根据《政府采购促进中小企业发展管理办法》（财库﹝2020</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46号）的规定，本公司（联合体）参加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（单位名称）</w:t>
      </w:r>
      <w:r>
        <w:rPr>
          <w:rFonts w:hint="eastAsia" w:ascii="宋体" w:hAnsi="宋体" w:cs="宋体"/>
          <w:color w:val="auto"/>
          <w:sz w:val="22"/>
          <w:szCs w:val="22"/>
          <w:highlight w:val="none"/>
        </w:rPr>
        <w:t>的</w:t>
      </w:r>
    </w:p>
    <w:p w14:paraId="6853A7F3">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（项目名称） </w:t>
      </w:r>
      <w:r>
        <w:rPr>
          <w:rFonts w:hint="eastAsia" w:ascii="宋体" w:hAnsi="宋体" w:cs="宋体"/>
          <w:color w:val="auto"/>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B726475">
      <w:pPr>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1. </w:t>
      </w:r>
      <w:r>
        <w:rPr>
          <w:rFonts w:hint="eastAsia" w:ascii="宋体" w:hAnsi="宋体" w:cs="宋体"/>
          <w:color w:val="auto"/>
          <w:sz w:val="22"/>
          <w:szCs w:val="22"/>
          <w:highlight w:val="none"/>
          <w:u w:val="single"/>
        </w:rPr>
        <w:t>        （标的名称）</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       （采购文件中明确的所属行业）</w:t>
      </w:r>
      <w:r>
        <w:rPr>
          <w:rFonts w:hint="eastAsia" w:ascii="宋体" w:hAnsi="宋体" w:cs="宋体"/>
          <w:color w:val="auto"/>
          <w:sz w:val="22"/>
          <w:szCs w:val="22"/>
          <w:highlight w:val="none"/>
        </w:rPr>
        <w:t>；承建（承接）企业为</w:t>
      </w:r>
      <w:r>
        <w:rPr>
          <w:rFonts w:hint="eastAsia" w:ascii="宋体" w:hAnsi="宋体" w:cs="宋体"/>
          <w:color w:val="auto"/>
          <w:sz w:val="22"/>
          <w:szCs w:val="22"/>
          <w:highlight w:val="none"/>
          <w:u w:val="single"/>
        </w:rPr>
        <w:t>        （企业名称）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人</w:t>
      </w:r>
      <w:r>
        <w:rPr>
          <w:rFonts w:hint="eastAsia" w:ascii="宋体" w:hAnsi="宋体" w:cs="宋体"/>
          <w:color w:val="auto"/>
          <w:sz w:val="22"/>
          <w:szCs w:val="22"/>
          <w:highlight w:val="none"/>
        </w:rPr>
        <w:t>，营业收入为</w:t>
      </w:r>
      <w:r>
        <w:rPr>
          <w:rFonts w:hint="eastAsia" w:ascii="宋体" w:hAnsi="宋体" w:cs="宋体"/>
          <w:color w:val="auto"/>
          <w:sz w:val="22"/>
          <w:szCs w:val="22"/>
          <w:highlight w:val="none"/>
          <w:u w:val="single"/>
        </w:rPr>
        <w:t>        万元</w:t>
      </w:r>
      <w:r>
        <w:rPr>
          <w:rFonts w:hint="eastAsia" w:ascii="宋体" w:hAnsi="宋体" w:cs="宋体"/>
          <w:color w:val="auto"/>
          <w:sz w:val="22"/>
          <w:szCs w:val="22"/>
          <w:highlight w:val="none"/>
        </w:rPr>
        <w:t>，资产总额为</w:t>
      </w:r>
      <w:r>
        <w:rPr>
          <w:rFonts w:hint="eastAsia" w:ascii="宋体" w:hAnsi="宋体" w:cs="宋体"/>
          <w:color w:val="auto"/>
          <w:sz w:val="22"/>
          <w:szCs w:val="22"/>
          <w:highlight w:val="none"/>
          <w:u w:val="single"/>
        </w:rPr>
        <w:t>        万元</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           （中型企业、小型企业、微型企业）</w:t>
      </w:r>
      <w:r>
        <w:rPr>
          <w:rFonts w:hint="eastAsia" w:ascii="宋体" w:hAnsi="宋体" w:cs="宋体"/>
          <w:color w:val="auto"/>
          <w:sz w:val="22"/>
          <w:szCs w:val="22"/>
          <w:highlight w:val="none"/>
        </w:rPr>
        <w:t>；</w:t>
      </w:r>
    </w:p>
    <w:p w14:paraId="0776B262">
      <w:pPr>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      （采购文件中明确的所属行业）行业</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制造商为                （企业名称）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人</w:t>
      </w:r>
      <w:r>
        <w:rPr>
          <w:rFonts w:hint="eastAsia" w:ascii="宋体" w:hAnsi="宋体" w:cs="宋体"/>
          <w:color w:val="auto"/>
          <w:sz w:val="22"/>
          <w:szCs w:val="22"/>
          <w:highlight w:val="none"/>
        </w:rPr>
        <w:t>，营业收入为</w:t>
      </w:r>
      <w:r>
        <w:rPr>
          <w:rFonts w:hint="eastAsia" w:ascii="宋体" w:hAnsi="宋体" w:cs="宋体"/>
          <w:color w:val="auto"/>
          <w:sz w:val="22"/>
          <w:szCs w:val="22"/>
          <w:highlight w:val="none"/>
          <w:u w:val="single"/>
        </w:rPr>
        <w:t>         万元</w:t>
      </w:r>
      <w:r>
        <w:rPr>
          <w:rFonts w:hint="eastAsia" w:ascii="宋体" w:hAnsi="宋体" w:cs="宋体"/>
          <w:color w:val="auto"/>
          <w:sz w:val="22"/>
          <w:szCs w:val="22"/>
          <w:highlight w:val="none"/>
        </w:rPr>
        <w:t>，资产总额为</w:t>
      </w:r>
      <w:r>
        <w:rPr>
          <w:rFonts w:hint="eastAsia" w:ascii="宋体" w:hAnsi="宋体" w:cs="宋体"/>
          <w:color w:val="auto"/>
          <w:sz w:val="22"/>
          <w:szCs w:val="22"/>
          <w:highlight w:val="none"/>
          <w:u w:val="single"/>
        </w:rPr>
        <w:t>        万元</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        （中型企业、小型企业、微型企业）</w:t>
      </w:r>
      <w:r>
        <w:rPr>
          <w:rFonts w:hint="eastAsia" w:ascii="宋体" w:hAnsi="宋体" w:cs="宋体"/>
          <w:color w:val="auto"/>
          <w:sz w:val="22"/>
          <w:szCs w:val="22"/>
          <w:highlight w:val="none"/>
        </w:rPr>
        <w:t>；</w:t>
      </w:r>
    </w:p>
    <w:p w14:paraId="768A5D9A">
      <w:pPr>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w:t>
      </w:r>
    </w:p>
    <w:p w14:paraId="12CAD6D3">
      <w:pPr>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以上企业，不属于大企业的分支机构，不存在控股股东为大企业的情形，也不存在与大企业的负责人为同一人的情形。</w:t>
      </w:r>
    </w:p>
    <w:p w14:paraId="20D3557E">
      <w:pPr>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本企业对上述声明内容的真实性负责。如有虚假，将依法承担相应责任。</w:t>
      </w:r>
    </w:p>
    <w:p w14:paraId="21A426C4">
      <w:pPr>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 </w:t>
      </w:r>
    </w:p>
    <w:p w14:paraId="0168B3E2">
      <w:pPr>
        <w:wordWrap w:val="0"/>
        <w:spacing w:line="360" w:lineRule="auto"/>
        <w:ind w:firstLine="440" w:firstLineChars="200"/>
        <w:jc w:val="right"/>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企业名称（盖章）：</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 </w:t>
      </w:r>
    </w:p>
    <w:p w14:paraId="123624FF">
      <w:pPr>
        <w:wordWrap w:val="0"/>
        <w:spacing w:line="360" w:lineRule="auto"/>
        <w:ind w:firstLine="440" w:firstLineChars="200"/>
        <w:jc w:val="right"/>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日 期：     年   月   日</w:t>
      </w:r>
      <w:r>
        <w:rPr>
          <w:rFonts w:hint="eastAsia" w:ascii="宋体" w:hAnsi="宋体" w:cs="宋体"/>
          <w:color w:val="auto"/>
          <w:sz w:val="22"/>
          <w:szCs w:val="22"/>
          <w:highlight w:val="none"/>
          <w:lang w:val="en-US" w:eastAsia="zh-CN"/>
        </w:rPr>
        <w:t xml:space="preserve">    </w:t>
      </w:r>
    </w:p>
    <w:p w14:paraId="61362FAC">
      <w:pPr>
        <w:spacing w:before="156" w:beforeLines="50"/>
        <w:ind w:firstLine="482" w:firstLineChars="200"/>
        <w:rPr>
          <w:rFonts w:hint="eastAsia" w:ascii="宋体" w:hAnsi="宋体" w:eastAsia="宋体" w:cs="宋体"/>
          <w:b/>
          <w:bCs/>
          <w:color w:val="FF0000"/>
          <w:highlight w:val="none"/>
        </w:rPr>
      </w:pPr>
    </w:p>
    <w:p w14:paraId="7C819005">
      <w:pPr>
        <w:ind w:firstLine="2880" w:firstLineChars="1200"/>
        <w:jc w:val="center"/>
        <w:rPr>
          <w:rFonts w:hint="eastAsia" w:ascii="宋体" w:hAnsi="宋体" w:eastAsia="宋体" w:cs="宋体"/>
          <w:bCs/>
          <w:color w:val="FF0000"/>
          <w:szCs w:val="32"/>
          <w:highlight w:val="none"/>
          <w:lang w:val="en-US" w:eastAsia="zh-CN"/>
        </w:rPr>
      </w:pPr>
      <w:r>
        <w:rPr>
          <w:rFonts w:hint="eastAsia" w:ascii="宋体" w:hAnsi="宋体" w:eastAsia="宋体" w:cs="宋体"/>
          <w:bCs/>
          <w:color w:val="FF0000"/>
          <w:szCs w:val="32"/>
          <w:highlight w:val="none"/>
          <w:lang w:val="en-US" w:eastAsia="zh-CN"/>
        </w:rPr>
        <w:br w:type="textWrapping"/>
      </w:r>
      <w:r>
        <w:rPr>
          <w:rFonts w:hint="eastAsia" w:ascii="宋体" w:hAnsi="宋体" w:eastAsia="宋体" w:cs="宋体"/>
          <w:bCs/>
          <w:color w:val="FF0000"/>
          <w:szCs w:val="32"/>
          <w:highlight w:val="none"/>
          <w:lang w:val="en-US" w:eastAsia="zh-CN"/>
        </w:rPr>
        <w:t>(4)股东构成审查表要求★</w:t>
      </w:r>
    </w:p>
    <w:p w14:paraId="7F44C872">
      <w:pPr>
        <w:pStyle w:val="2"/>
        <w:spacing w:before="271" w:line="228" w:lineRule="auto"/>
        <w:ind w:left="823"/>
        <w:outlineLvl w:val="3"/>
        <w:rPr>
          <w:sz w:val="20"/>
          <w:szCs w:val="20"/>
          <w:highlight w:val="none"/>
        </w:rPr>
      </w:pPr>
      <w:r>
        <w:rPr>
          <w:spacing w:val="7"/>
          <w:sz w:val="20"/>
          <w:szCs w:val="20"/>
          <w:highlight w:val="none"/>
        </w:rPr>
        <w:t>（如不提供则作废标处理。）</w:t>
      </w:r>
    </w:p>
    <w:p w14:paraId="47447961">
      <w:pPr>
        <w:spacing w:line="94" w:lineRule="exact"/>
        <w:rPr>
          <w:highlight w:val="none"/>
        </w:rPr>
      </w:pPr>
    </w:p>
    <w:tbl>
      <w:tblPr>
        <w:tblStyle w:val="54"/>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7"/>
        <w:gridCol w:w="6714"/>
      </w:tblGrid>
      <w:tr w14:paraId="1AACD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2357" w:type="dxa"/>
            <w:shd w:val="clear" w:color="auto" w:fill="D9E2F3"/>
            <w:vAlign w:val="top"/>
          </w:tcPr>
          <w:p w14:paraId="6442FB16">
            <w:pPr>
              <w:spacing w:line="307" w:lineRule="auto"/>
              <w:rPr>
                <w:rFonts w:ascii="Arial"/>
                <w:sz w:val="21"/>
                <w:highlight w:val="none"/>
              </w:rPr>
            </w:pPr>
          </w:p>
          <w:p w14:paraId="425DBF4C">
            <w:pPr>
              <w:pStyle w:val="55"/>
              <w:spacing w:before="65" w:line="229" w:lineRule="auto"/>
              <w:ind w:left="118"/>
              <w:rPr>
                <w:highlight w:val="none"/>
              </w:rPr>
            </w:pPr>
            <w:r>
              <w:rPr>
                <w:b/>
                <w:bCs/>
                <w:spacing w:val="6"/>
                <w:highlight w:val="none"/>
              </w:rPr>
              <w:t>投标人名称</w:t>
            </w:r>
          </w:p>
        </w:tc>
        <w:tc>
          <w:tcPr>
            <w:tcW w:w="6714" w:type="dxa"/>
            <w:vAlign w:val="top"/>
          </w:tcPr>
          <w:p w14:paraId="30D90CB1">
            <w:pPr>
              <w:rPr>
                <w:rFonts w:ascii="Arial"/>
                <w:sz w:val="21"/>
                <w:highlight w:val="none"/>
              </w:rPr>
            </w:pPr>
          </w:p>
        </w:tc>
      </w:tr>
      <w:tr w14:paraId="6FF7F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jc w:val="center"/>
        </w:trPr>
        <w:tc>
          <w:tcPr>
            <w:tcW w:w="2357" w:type="dxa"/>
            <w:shd w:val="clear" w:color="auto" w:fill="D9E2F3"/>
            <w:vAlign w:val="top"/>
          </w:tcPr>
          <w:p w14:paraId="126AC9E5">
            <w:pPr>
              <w:spacing w:line="400" w:lineRule="auto"/>
              <w:rPr>
                <w:rFonts w:ascii="Arial"/>
                <w:sz w:val="21"/>
                <w:highlight w:val="none"/>
              </w:rPr>
            </w:pPr>
          </w:p>
          <w:p w14:paraId="00D09830">
            <w:pPr>
              <w:pStyle w:val="55"/>
              <w:spacing w:before="65" w:line="239" w:lineRule="auto"/>
              <w:ind w:left="115" w:right="208" w:firstLine="1"/>
              <w:rPr>
                <w:highlight w:val="none"/>
              </w:rPr>
            </w:pPr>
            <w:r>
              <w:rPr>
                <w:b/>
                <w:bCs/>
                <w:spacing w:val="7"/>
                <w:highlight w:val="none"/>
              </w:rPr>
              <w:t>本单位负责人（法定</w:t>
            </w:r>
            <w:r>
              <w:rPr>
                <w:spacing w:val="4"/>
                <w:highlight w:val="none"/>
              </w:rPr>
              <w:t xml:space="preserve"> </w:t>
            </w:r>
            <w:r>
              <w:rPr>
                <w:b/>
                <w:bCs/>
                <w:spacing w:val="7"/>
                <w:highlight w:val="none"/>
              </w:rPr>
              <w:t>代表人）姓名</w:t>
            </w:r>
          </w:p>
        </w:tc>
        <w:tc>
          <w:tcPr>
            <w:tcW w:w="6714" w:type="dxa"/>
            <w:vAlign w:val="top"/>
          </w:tcPr>
          <w:p w14:paraId="5CDE72FF">
            <w:pPr>
              <w:rPr>
                <w:rFonts w:ascii="Arial"/>
                <w:sz w:val="21"/>
                <w:highlight w:val="none"/>
              </w:rPr>
            </w:pPr>
          </w:p>
        </w:tc>
      </w:tr>
      <w:tr w14:paraId="100FB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jc w:val="center"/>
        </w:trPr>
        <w:tc>
          <w:tcPr>
            <w:tcW w:w="2357" w:type="dxa"/>
            <w:shd w:val="clear" w:color="auto" w:fill="D9E2F3"/>
            <w:vAlign w:val="top"/>
          </w:tcPr>
          <w:p w14:paraId="51820E92">
            <w:pPr>
              <w:spacing w:line="401" w:lineRule="auto"/>
              <w:rPr>
                <w:rFonts w:ascii="Arial"/>
                <w:sz w:val="21"/>
                <w:highlight w:val="none"/>
              </w:rPr>
            </w:pPr>
          </w:p>
          <w:p w14:paraId="174C821E">
            <w:pPr>
              <w:pStyle w:val="55"/>
              <w:spacing w:before="65" w:line="239" w:lineRule="auto"/>
              <w:ind w:left="115" w:right="208" w:firstLine="3"/>
              <w:rPr>
                <w:highlight w:val="none"/>
              </w:rPr>
            </w:pPr>
            <w:r>
              <w:rPr>
                <w:b/>
                <w:bCs/>
                <w:spacing w:val="7"/>
                <w:highlight w:val="none"/>
              </w:rPr>
              <w:t>是否存在本单位的控</w:t>
            </w:r>
            <w:r>
              <w:rPr>
                <w:spacing w:val="1"/>
                <w:highlight w:val="none"/>
              </w:rPr>
              <w:t xml:space="preserve"> </w:t>
            </w:r>
            <w:r>
              <w:rPr>
                <w:b/>
                <w:bCs/>
                <w:spacing w:val="5"/>
                <w:highlight w:val="none"/>
              </w:rPr>
              <w:t>股股东</w:t>
            </w:r>
          </w:p>
        </w:tc>
        <w:tc>
          <w:tcPr>
            <w:tcW w:w="6714" w:type="dxa"/>
            <w:vAlign w:val="top"/>
          </w:tcPr>
          <w:p w14:paraId="442758B6">
            <w:pPr>
              <w:spacing w:line="264" w:lineRule="auto"/>
              <w:rPr>
                <w:rFonts w:ascii="Arial"/>
                <w:sz w:val="21"/>
                <w:highlight w:val="none"/>
              </w:rPr>
            </w:pPr>
          </w:p>
          <w:p w14:paraId="65D6FBBD">
            <w:pPr>
              <w:pStyle w:val="55"/>
              <w:spacing w:before="65" w:line="244" w:lineRule="auto"/>
              <w:ind w:left="112" w:right="46" w:firstLine="20"/>
              <w:jc w:val="both"/>
              <w:rPr>
                <w:spacing w:val="5"/>
                <w:highlight w:val="none"/>
              </w:rPr>
            </w:pPr>
            <w:r>
              <w:rPr>
                <w:spacing w:val="7"/>
                <w:highlight w:val="none"/>
              </w:rPr>
              <w:t>□是，其控股股东为</w:t>
            </w:r>
            <w:r>
              <w:rPr>
                <w:spacing w:val="-3"/>
                <w:highlight w:val="none"/>
              </w:rPr>
              <w:t>：</w:t>
            </w:r>
            <w:r>
              <w:rPr>
                <w:spacing w:val="5"/>
                <w:highlight w:val="none"/>
                <w:u w:val="single" w:color="auto"/>
              </w:rPr>
              <w:t xml:space="preserve">              </w:t>
            </w:r>
            <w:r>
              <w:rPr>
                <w:spacing w:val="-73"/>
                <w:highlight w:val="none"/>
              </w:rPr>
              <w:t xml:space="preserve"> </w:t>
            </w:r>
            <w:r>
              <w:rPr>
                <w:spacing w:val="-3"/>
                <w:highlight w:val="none"/>
              </w:rPr>
              <w:t>，</w:t>
            </w:r>
            <w:r>
              <w:rPr>
                <w:spacing w:val="7"/>
                <w:highlight w:val="none"/>
              </w:rPr>
              <w:t>股份占比</w:t>
            </w:r>
            <w:r>
              <w:rPr>
                <w:spacing w:val="-3"/>
                <w:highlight w:val="none"/>
              </w:rPr>
              <w:t>：</w:t>
            </w:r>
            <w:r>
              <w:rPr>
                <w:spacing w:val="4"/>
                <w:highlight w:val="none"/>
                <w:u w:val="single" w:color="auto"/>
              </w:rPr>
              <w:t xml:space="preserve">           </w:t>
            </w:r>
            <w:r>
              <w:rPr>
                <w:spacing w:val="-3"/>
                <w:highlight w:val="none"/>
              </w:rPr>
              <w:t>；</w:t>
            </w:r>
            <w:r>
              <w:rPr>
                <w:spacing w:val="10"/>
                <w:highlight w:val="none"/>
              </w:rPr>
              <w:t xml:space="preserve"> </w:t>
            </w:r>
            <w:r>
              <w:rPr>
                <w:spacing w:val="6"/>
                <w:highlight w:val="none"/>
              </w:rPr>
              <w:t>其他主要股东及其股份占比：</w:t>
            </w:r>
            <w:r>
              <w:rPr>
                <w:spacing w:val="6"/>
                <w:highlight w:val="none"/>
                <w:u w:val="single" w:color="auto"/>
              </w:rPr>
              <w:t xml:space="preserve">            </w:t>
            </w:r>
            <w:r>
              <w:rPr>
                <w:spacing w:val="5"/>
                <w:highlight w:val="none"/>
                <w:u w:val="single" w:color="auto"/>
              </w:rPr>
              <w:t xml:space="preserve">                   </w:t>
            </w:r>
            <w:r>
              <w:rPr>
                <w:spacing w:val="5"/>
                <w:highlight w:val="none"/>
              </w:rPr>
              <w:t>。</w:t>
            </w:r>
          </w:p>
          <w:p w14:paraId="2DD22952">
            <w:pPr>
              <w:pStyle w:val="55"/>
              <w:spacing w:before="65" w:line="244" w:lineRule="auto"/>
              <w:ind w:left="112" w:right="46" w:firstLine="20"/>
              <w:jc w:val="both"/>
              <w:rPr>
                <w:highlight w:val="none"/>
              </w:rPr>
            </w:pPr>
            <w:r>
              <w:rPr>
                <w:highlight w:val="none"/>
              </w:rPr>
              <w:t xml:space="preserve"> </w:t>
            </w:r>
            <w:r>
              <w:rPr>
                <w:spacing w:val="5"/>
                <w:highlight w:val="none"/>
              </w:rPr>
              <w:t>□否</w:t>
            </w:r>
          </w:p>
        </w:tc>
      </w:tr>
      <w:tr w14:paraId="23151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jc w:val="center"/>
        </w:trPr>
        <w:tc>
          <w:tcPr>
            <w:tcW w:w="2357" w:type="dxa"/>
            <w:shd w:val="clear" w:color="auto" w:fill="D9E2F3"/>
            <w:vAlign w:val="top"/>
          </w:tcPr>
          <w:p w14:paraId="4C188730">
            <w:pPr>
              <w:spacing w:line="266" w:lineRule="auto"/>
              <w:rPr>
                <w:rFonts w:ascii="Arial"/>
                <w:sz w:val="21"/>
                <w:highlight w:val="none"/>
              </w:rPr>
            </w:pPr>
          </w:p>
          <w:p w14:paraId="73CD188E">
            <w:pPr>
              <w:pStyle w:val="55"/>
              <w:spacing w:before="65"/>
              <w:ind w:left="115" w:right="208" w:firstLine="4"/>
              <w:rPr>
                <w:highlight w:val="none"/>
              </w:rPr>
            </w:pPr>
            <w:r>
              <w:rPr>
                <w:b/>
                <w:bCs/>
                <w:spacing w:val="7"/>
                <w:highlight w:val="none"/>
              </w:rPr>
              <w:t>是否存在“与本单位</w:t>
            </w:r>
            <w:r>
              <w:rPr>
                <w:spacing w:val="1"/>
                <w:highlight w:val="none"/>
              </w:rPr>
              <w:t xml:space="preserve"> </w:t>
            </w:r>
            <w:r>
              <w:rPr>
                <w:b/>
                <w:bCs/>
                <w:spacing w:val="7"/>
                <w:highlight w:val="none"/>
              </w:rPr>
              <w:t>存在管理关系的单</w:t>
            </w:r>
          </w:p>
          <w:p w14:paraId="6BD9A975">
            <w:pPr>
              <w:pStyle w:val="55"/>
              <w:spacing w:before="23" w:line="230" w:lineRule="auto"/>
              <w:ind w:left="115"/>
              <w:rPr>
                <w:highlight w:val="none"/>
              </w:rPr>
            </w:pPr>
            <w:r>
              <w:rPr>
                <w:b/>
                <w:bCs/>
                <w:spacing w:val="38"/>
                <w:highlight w:val="none"/>
              </w:rPr>
              <w:t>位</w:t>
            </w:r>
            <w:r>
              <w:rPr>
                <w:spacing w:val="-72"/>
                <w:highlight w:val="none"/>
              </w:rPr>
              <w:t xml:space="preserve"> </w:t>
            </w:r>
            <w:r>
              <w:rPr>
                <w:b/>
                <w:bCs/>
                <w:spacing w:val="38"/>
                <w:highlight w:val="none"/>
              </w:rPr>
              <w:t>”</w:t>
            </w:r>
          </w:p>
        </w:tc>
        <w:tc>
          <w:tcPr>
            <w:tcW w:w="6714" w:type="dxa"/>
            <w:vAlign w:val="top"/>
          </w:tcPr>
          <w:p w14:paraId="1747C4AB">
            <w:pPr>
              <w:spacing w:line="401" w:lineRule="auto"/>
              <w:rPr>
                <w:rFonts w:ascii="Arial"/>
                <w:sz w:val="21"/>
                <w:highlight w:val="none"/>
              </w:rPr>
            </w:pPr>
          </w:p>
          <w:p w14:paraId="4E86D532">
            <w:pPr>
              <w:pStyle w:val="55"/>
              <w:spacing w:before="65"/>
              <w:ind w:left="133" w:right="116"/>
              <w:rPr>
                <w:spacing w:val="12"/>
                <w:highlight w:val="none"/>
              </w:rPr>
            </w:pPr>
            <w:r>
              <w:rPr>
                <w:spacing w:val="6"/>
                <w:highlight w:val="none"/>
              </w:rPr>
              <w:t>□是，该单位为：</w:t>
            </w:r>
            <w:r>
              <w:rPr>
                <w:highlight w:val="none"/>
                <w:u w:val="single" w:color="auto"/>
              </w:rPr>
              <w:t xml:space="preserve">                                            </w:t>
            </w:r>
            <w:r>
              <w:rPr>
                <w:spacing w:val="12"/>
                <w:highlight w:val="none"/>
              </w:rPr>
              <w:t xml:space="preserve"> </w:t>
            </w:r>
          </w:p>
          <w:p w14:paraId="7DE49B11">
            <w:pPr>
              <w:pStyle w:val="55"/>
              <w:spacing w:before="65"/>
              <w:ind w:left="133" w:right="116"/>
              <w:rPr>
                <w:highlight w:val="none"/>
              </w:rPr>
            </w:pPr>
            <w:r>
              <w:rPr>
                <w:spacing w:val="-5"/>
                <w:highlight w:val="none"/>
              </w:rPr>
              <w:t>□否</w:t>
            </w:r>
          </w:p>
        </w:tc>
      </w:tr>
      <w:tr w14:paraId="0702E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jc w:val="center"/>
        </w:trPr>
        <w:tc>
          <w:tcPr>
            <w:tcW w:w="2357" w:type="dxa"/>
            <w:shd w:val="clear" w:color="auto" w:fill="D9E2F3"/>
            <w:vAlign w:val="top"/>
          </w:tcPr>
          <w:p w14:paraId="7C45E209">
            <w:pPr>
              <w:spacing w:line="402" w:lineRule="auto"/>
              <w:rPr>
                <w:rFonts w:ascii="Arial"/>
                <w:sz w:val="21"/>
                <w:highlight w:val="none"/>
              </w:rPr>
            </w:pPr>
          </w:p>
          <w:p w14:paraId="00E49452">
            <w:pPr>
              <w:pStyle w:val="55"/>
              <w:spacing w:before="65"/>
              <w:ind w:left="116" w:right="208" w:firstLine="2"/>
              <w:rPr>
                <w:highlight w:val="none"/>
              </w:rPr>
            </w:pPr>
            <w:r>
              <w:rPr>
                <w:b/>
                <w:bCs/>
                <w:spacing w:val="7"/>
                <w:highlight w:val="none"/>
              </w:rPr>
              <w:t>是否存在“与招标人</w:t>
            </w:r>
            <w:r>
              <w:rPr>
                <w:spacing w:val="1"/>
                <w:highlight w:val="none"/>
              </w:rPr>
              <w:t xml:space="preserve"> </w:t>
            </w:r>
            <w:r>
              <w:rPr>
                <w:b/>
                <w:bCs/>
                <w:spacing w:val="4"/>
                <w:highlight w:val="none"/>
              </w:rPr>
              <w:t>有利害关系</w:t>
            </w:r>
            <w:r>
              <w:rPr>
                <w:spacing w:val="-69"/>
                <w:highlight w:val="none"/>
              </w:rPr>
              <w:t xml:space="preserve"> </w:t>
            </w:r>
            <w:r>
              <w:rPr>
                <w:b/>
                <w:bCs/>
                <w:spacing w:val="4"/>
                <w:highlight w:val="none"/>
              </w:rPr>
              <w:t>”的情况</w:t>
            </w:r>
          </w:p>
        </w:tc>
        <w:tc>
          <w:tcPr>
            <w:tcW w:w="6714" w:type="dxa"/>
            <w:vAlign w:val="top"/>
          </w:tcPr>
          <w:p w14:paraId="3A4928B7">
            <w:pPr>
              <w:spacing w:line="402" w:lineRule="auto"/>
              <w:rPr>
                <w:rFonts w:ascii="Arial"/>
                <w:sz w:val="21"/>
                <w:highlight w:val="none"/>
              </w:rPr>
            </w:pPr>
          </w:p>
          <w:p w14:paraId="4B0DAE1A">
            <w:pPr>
              <w:pStyle w:val="55"/>
              <w:spacing w:before="65"/>
              <w:ind w:left="133" w:right="107"/>
              <w:rPr>
                <w:spacing w:val="15"/>
                <w:highlight w:val="none"/>
              </w:rPr>
            </w:pPr>
            <w:r>
              <w:rPr>
                <w:spacing w:val="7"/>
                <w:highlight w:val="none"/>
              </w:rPr>
              <w:t>□是，与招标人的关系为：</w:t>
            </w:r>
            <w:r>
              <w:rPr>
                <w:spacing w:val="2"/>
                <w:highlight w:val="none"/>
                <w:u w:val="single" w:color="auto"/>
              </w:rPr>
              <w:t xml:space="preserve">                                   </w:t>
            </w:r>
            <w:r>
              <w:rPr>
                <w:spacing w:val="15"/>
                <w:highlight w:val="none"/>
              </w:rPr>
              <w:t xml:space="preserve"> </w:t>
            </w:r>
          </w:p>
          <w:p w14:paraId="5DF5D000">
            <w:pPr>
              <w:pStyle w:val="55"/>
              <w:spacing w:before="65"/>
              <w:ind w:left="133" w:right="107"/>
              <w:rPr>
                <w:highlight w:val="none"/>
              </w:rPr>
            </w:pPr>
            <w:r>
              <w:rPr>
                <w:spacing w:val="-5"/>
                <w:highlight w:val="none"/>
              </w:rPr>
              <w:t>□否</w:t>
            </w:r>
          </w:p>
        </w:tc>
      </w:tr>
    </w:tbl>
    <w:p w14:paraId="52192E70">
      <w:pPr>
        <w:rPr>
          <w:rFonts w:hint="eastAsia" w:ascii="Times New Roman" w:hAnsi="Times New Roman" w:eastAsia="Times New Roman" w:cs="Times New Roman"/>
          <w:b/>
          <w:bCs/>
          <w:color w:val="FF0000"/>
          <w:highlight w:val="none"/>
        </w:rPr>
      </w:pPr>
      <w:r>
        <w:rPr>
          <w:rFonts w:hint="eastAsia" w:ascii="Times New Roman" w:hAnsi="Times New Roman" w:eastAsia="Times New Roman" w:cs="Times New Roman"/>
          <w:b/>
          <w:bCs/>
          <w:color w:val="FF0000"/>
          <w:highlight w:val="none"/>
        </w:rPr>
        <w:t>注：</w:t>
      </w:r>
    </w:p>
    <w:p w14:paraId="2F7C5115">
      <w:pPr>
        <w:rPr>
          <w:rFonts w:hint="eastAsia" w:ascii="Times New Roman" w:hAnsi="Times New Roman" w:eastAsia="Times New Roman" w:cs="Times New Roman"/>
          <w:b/>
          <w:bCs/>
          <w:color w:val="FF0000"/>
          <w:highlight w:val="none"/>
        </w:rPr>
      </w:pPr>
      <w:r>
        <w:rPr>
          <w:rFonts w:hint="eastAsia" w:ascii="Times New Roman" w:hAnsi="Times New Roman" w:eastAsia="Times New Roman" w:cs="Times New Roman"/>
          <w:b/>
          <w:bCs/>
          <w:color w:val="FF0000"/>
          <w:highlight w:val="none"/>
        </w:rPr>
        <w:t>1、控股是指：其出资额占有限责任公司资本总额百分之五十以上或其持有的股份占股份有 限公司股本总额百分之五十以上的股东；出资额或者持有股份的比例虽然不足百分之五十， 但依其出资额或者或其持有的股份享有的表决权已足以对股东会、股东大会的决议产生重大 影响的股东；</w:t>
      </w:r>
    </w:p>
    <w:p w14:paraId="21FA64E4">
      <w:pPr>
        <w:rPr>
          <w:rFonts w:hint="eastAsia" w:ascii="Times New Roman" w:hAnsi="Times New Roman" w:eastAsia="Times New Roman" w:cs="Times New Roman"/>
          <w:b/>
          <w:bCs/>
          <w:color w:val="FF0000"/>
          <w:highlight w:val="none"/>
        </w:rPr>
      </w:pPr>
      <w:r>
        <w:rPr>
          <w:rFonts w:hint="eastAsia" w:ascii="Times New Roman" w:hAnsi="Times New Roman" w:eastAsia="Times New Roman" w:cs="Times New Roman"/>
          <w:b/>
          <w:bCs/>
          <w:color w:val="FF0000"/>
          <w:highlight w:val="none"/>
        </w:rPr>
        <w:t>2、投标人需如实填写上述信息，如查实上述信息与实际不符，视为提供虚假证明材料骗取 中标，投标人应承担相应法律后果。</w:t>
      </w:r>
    </w:p>
    <w:p w14:paraId="74B1ED1D">
      <w:pPr>
        <w:rPr>
          <w:rFonts w:hint="eastAsia"/>
          <w:b/>
          <w:bCs/>
          <w:color w:val="FF0000"/>
          <w:highlight w:val="none"/>
        </w:rPr>
      </w:pPr>
      <w:r>
        <w:rPr>
          <w:rFonts w:hint="eastAsia" w:ascii="Times New Roman" w:hAnsi="Times New Roman" w:eastAsia="宋体" w:cs="Times New Roman"/>
          <w:b/>
          <w:bCs/>
          <w:color w:val="FF0000"/>
          <w:highlight w:val="none"/>
          <w:lang w:val="en-US" w:eastAsia="zh-CN"/>
        </w:rPr>
        <w:t>3、</w:t>
      </w:r>
      <w:r>
        <w:rPr>
          <w:rFonts w:hint="eastAsia"/>
          <w:b/>
          <w:bCs/>
          <w:color w:val="FF0000"/>
          <w:highlight w:val="none"/>
        </w:rPr>
        <w:t>提示:如果投标供应商存在单位负责人为同一人，或者存在直接控股、间接控股、管理关系等情形，将被纳入交易监管平台产生示警信息，由此产生的负面影响，由投标人自行承担。</w:t>
      </w:r>
    </w:p>
    <w:p w14:paraId="75E8E05E">
      <w:pPr>
        <w:ind w:firstLine="2880" w:firstLineChars="1200"/>
        <w:rPr>
          <w:rFonts w:hint="eastAsia" w:ascii="宋体" w:hAnsi="宋体" w:eastAsia="宋体" w:cs="宋体"/>
          <w:bCs/>
          <w:szCs w:val="32"/>
          <w:highlight w:val="none"/>
          <w:lang w:val="en-US" w:eastAsia="zh-CN"/>
        </w:rPr>
      </w:pPr>
    </w:p>
    <w:p w14:paraId="00985898">
      <w:pPr>
        <w:ind w:firstLine="482" w:firstLineChars="200"/>
        <w:rPr>
          <w:rFonts w:hint="eastAsia" w:ascii="宋体" w:hAnsi="宋体" w:eastAsia="宋体" w:cs="宋体"/>
          <w:b/>
          <w:highlight w:val="none"/>
        </w:rPr>
      </w:pPr>
    </w:p>
    <w:p w14:paraId="77FFE6B9">
      <w:pPr>
        <w:ind w:firstLine="482" w:firstLineChars="200"/>
        <w:rPr>
          <w:rFonts w:hint="eastAsia" w:ascii="宋体" w:hAnsi="宋体" w:eastAsia="宋体" w:cs="宋体"/>
          <w:b/>
          <w:highlight w:val="none"/>
        </w:rPr>
      </w:pPr>
    </w:p>
    <w:p w14:paraId="67BDD8F6">
      <w:pPr>
        <w:pStyle w:val="2"/>
        <w:rPr>
          <w:rFonts w:hint="eastAsia" w:ascii="宋体" w:hAnsi="宋体" w:eastAsia="宋体" w:cs="宋体"/>
          <w:highlight w:val="none"/>
        </w:rPr>
      </w:pPr>
    </w:p>
    <w:p w14:paraId="6B12367C">
      <w:pPr>
        <w:rPr>
          <w:rFonts w:hint="eastAsia" w:ascii="宋体" w:hAnsi="宋体" w:eastAsia="宋体" w:cs="宋体"/>
          <w:highlight w:val="none"/>
        </w:rPr>
      </w:pPr>
    </w:p>
    <w:p w14:paraId="6B8A4D72">
      <w:pPr>
        <w:pStyle w:val="3"/>
        <w:rPr>
          <w:rFonts w:hint="eastAsia"/>
          <w:highlight w:val="none"/>
        </w:rPr>
      </w:pPr>
    </w:p>
    <w:p w14:paraId="191A2F86">
      <w:pPr>
        <w:numPr>
          <w:ilvl w:val="0"/>
          <w:numId w:val="0"/>
        </w:numP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val="en-US" w:eastAsia="zh-CN"/>
        </w:rPr>
        <w:t>(5)</w:t>
      </w:r>
      <w:r>
        <w:rPr>
          <w:rFonts w:hint="eastAsia" w:ascii="宋体" w:hAnsi="宋体" w:eastAsia="宋体" w:cs="宋体"/>
          <w:b/>
          <w:sz w:val="36"/>
          <w:szCs w:val="36"/>
          <w:highlight w:val="none"/>
          <w:lang w:eastAsia="zh-CN"/>
        </w:rPr>
        <w:t>同类项目业绩偏离情况</w:t>
      </w:r>
    </w:p>
    <w:p w14:paraId="74AB6032">
      <w:pPr>
        <w:numPr>
          <w:ilvl w:val="0"/>
          <w:numId w:val="0"/>
        </w:numPr>
        <w:rPr>
          <w:rFonts w:hint="eastAsia" w:ascii="宋体" w:hAnsi="宋体" w:eastAsia="宋体" w:cs="宋体"/>
          <w:b/>
          <w:sz w:val="36"/>
          <w:szCs w:val="36"/>
          <w:highlight w:val="none"/>
        </w:rPr>
      </w:pPr>
      <w:r>
        <w:rPr>
          <w:rFonts w:hint="eastAsia" w:ascii="宋体" w:hAnsi="宋体" w:eastAsia="宋体" w:cs="宋体"/>
          <w:b/>
          <w:sz w:val="36"/>
          <w:szCs w:val="36"/>
          <w:highlight w:val="none"/>
        </w:rPr>
        <w:t>(6)履约评价</w:t>
      </w:r>
    </w:p>
    <w:p w14:paraId="3687C044">
      <w:pPr>
        <w:numPr>
          <w:ilvl w:val="0"/>
          <w:numId w:val="0"/>
        </w:numPr>
        <w:rPr>
          <w:rFonts w:hint="eastAsia" w:ascii="宋体" w:hAnsi="宋体" w:eastAsia="宋体" w:cs="宋体"/>
          <w:b/>
          <w:sz w:val="36"/>
          <w:szCs w:val="36"/>
          <w:highlight w:val="none"/>
        </w:rPr>
      </w:pPr>
      <w:r>
        <w:rPr>
          <w:rFonts w:hint="eastAsia" w:ascii="宋体" w:hAnsi="宋体" w:eastAsia="宋体" w:cs="宋体"/>
          <w:b/>
          <w:sz w:val="36"/>
          <w:szCs w:val="36"/>
          <w:highlight w:val="none"/>
        </w:rPr>
        <w:t>(7)拟派项目经理（仅限一名）</w:t>
      </w:r>
    </w:p>
    <w:p w14:paraId="6ED9E02E">
      <w:pPr>
        <w:numPr>
          <w:ilvl w:val="0"/>
          <w:numId w:val="0"/>
        </w:numPr>
        <w:rPr>
          <w:rFonts w:hint="eastAsia" w:ascii="宋体" w:hAnsi="宋体" w:eastAsia="宋体" w:cs="宋体"/>
          <w:b/>
          <w:sz w:val="36"/>
          <w:szCs w:val="36"/>
          <w:highlight w:val="none"/>
        </w:rPr>
      </w:pPr>
      <w:r>
        <w:rPr>
          <w:rFonts w:hint="eastAsia" w:ascii="宋体" w:hAnsi="宋体" w:eastAsia="宋体" w:cs="宋体"/>
          <w:b/>
          <w:sz w:val="36"/>
          <w:szCs w:val="36"/>
          <w:highlight w:val="none"/>
        </w:rPr>
        <w:t>(8)项目管理班子人员配备情况</w:t>
      </w:r>
    </w:p>
    <w:p w14:paraId="14381C6A">
      <w:pPr>
        <w:numPr>
          <w:ilvl w:val="0"/>
          <w:numId w:val="0"/>
        </w:numPr>
        <w:rPr>
          <w:rFonts w:hint="eastAsia" w:ascii="宋体" w:hAnsi="宋体" w:eastAsia="宋体" w:cs="宋体"/>
          <w:b/>
          <w:sz w:val="36"/>
          <w:szCs w:val="36"/>
          <w:highlight w:val="none"/>
        </w:rPr>
      </w:pPr>
      <w:r>
        <w:rPr>
          <w:rFonts w:hint="eastAsia" w:ascii="宋体" w:hAnsi="宋体" w:eastAsia="宋体" w:cs="宋体"/>
          <w:b/>
          <w:sz w:val="36"/>
          <w:szCs w:val="36"/>
          <w:highlight w:val="none"/>
          <w:lang w:val="en-US" w:eastAsia="zh-CN"/>
        </w:rPr>
        <w:t>(9)</w:t>
      </w:r>
      <w:r>
        <w:rPr>
          <w:rFonts w:hint="eastAsia" w:ascii="宋体" w:hAnsi="宋体" w:eastAsia="宋体" w:cs="宋体"/>
          <w:b/>
          <w:sz w:val="36"/>
          <w:szCs w:val="36"/>
          <w:highlight w:val="none"/>
        </w:rPr>
        <w:t>政府采购违法行为风险知悉确认书</w:t>
      </w:r>
    </w:p>
    <w:p w14:paraId="418A2C7A">
      <w:pPr>
        <w:autoSpaceDE w:val="0"/>
        <w:autoSpaceDN w:val="0"/>
        <w:ind w:firstLine="464" w:firstLineChars="200"/>
        <w:rPr>
          <w:rFonts w:hint="eastAsia" w:ascii="宋体" w:hAnsi="宋体" w:eastAsia="宋体" w:cs="宋体"/>
          <w:spacing w:val="-4"/>
          <w:highlight w:val="none"/>
        </w:rPr>
      </w:pPr>
    </w:p>
    <w:p w14:paraId="69E2DE7D">
      <w:pPr>
        <w:spacing w:after="156" w:afterLines="50"/>
        <w:ind w:firstLine="470" w:firstLineChars="196"/>
        <w:rPr>
          <w:rFonts w:hint="eastAsia" w:ascii="宋体" w:hAnsi="宋体" w:eastAsia="宋体" w:cs="宋体"/>
          <w:highlight w:val="none"/>
          <w:lang w:eastAsia="zh-CN"/>
        </w:rPr>
      </w:pPr>
    </w:p>
    <w:p w14:paraId="79EAC0E6">
      <w:pPr>
        <w:spacing w:after="156" w:afterLines="50"/>
        <w:ind w:firstLine="470" w:firstLineChars="196"/>
        <w:rPr>
          <w:rFonts w:hint="eastAsia" w:ascii="宋体" w:hAnsi="宋体" w:eastAsia="宋体" w:cs="宋体"/>
          <w:highlight w:val="none"/>
          <w:lang w:val="en-US" w:eastAsia="zh-CN"/>
        </w:rPr>
      </w:pPr>
      <w:r>
        <w:rPr>
          <w:rFonts w:hint="eastAsia" w:ascii="宋体" w:hAnsi="宋体" w:eastAsia="宋体" w:cs="宋体"/>
          <w:highlight w:val="none"/>
          <w:lang w:eastAsia="zh-CN"/>
        </w:rPr>
        <w:t xml:space="preserve">致：深圳市东海国际招标有限公司、 华东师范大学附属深圳龙华学校教育集团    </w:t>
      </w:r>
    </w:p>
    <w:p w14:paraId="52A606A1">
      <w:pPr>
        <w:autoSpaceDE w:val="0"/>
        <w:autoSpaceDN w:val="0"/>
        <w:ind w:firstLine="464" w:firstLineChars="200"/>
        <w:rPr>
          <w:rFonts w:hint="eastAsia" w:ascii="宋体" w:hAnsi="宋体" w:eastAsia="宋体" w:cs="宋体"/>
          <w:spacing w:val="-4"/>
          <w:highlight w:val="none"/>
        </w:rPr>
      </w:pPr>
    </w:p>
    <w:p w14:paraId="734B76F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本公司在投标前已充分知悉以下情形为参与政府采购活动时的重大风险事项，并承诺已对下述风险提示事项重点排查，做到严谨、诚信、依法依规参与政府采购活动。</w:t>
      </w:r>
    </w:p>
    <w:p w14:paraId="51A42806">
      <w:pPr>
        <w:ind w:firstLine="482" w:firstLineChars="200"/>
        <w:rPr>
          <w:rFonts w:hint="eastAsia" w:ascii="宋体" w:hAnsi="宋体" w:eastAsia="宋体" w:cs="宋体"/>
          <w:b/>
          <w:bCs/>
          <w:highlight w:val="none"/>
        </w:rPr>
      </w:pPr>
      <w:r>
        <w:rPr>
          <w:rFonts w:hint="eastAsia" w:ascii="宋体" w:hAnsi="宋体" w:eastAsia="宋体" w:cs="宋体"/>
          <w:b/>
          <w:bCs/>
          <w:highlight w:val="none"/>
        </w:rPr>
        <w:t>一、本公司已充分知悉“隐瞒真实情况，提供虚假资料”的法定情形，相关情形包括但不限于：</w:t>
      </w:r>
    </w:p>
    <w:p w14:paraId="54EE702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（一）通过转让或者租借等方式从其他单位获取资格或者资质证书投标的。</w:t>
      </w:r>
    </w:p>
    <w:p w14:paraId="10708F5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（二）由其他单位或者其他单位负责人在投标供应商编制的投标文件上加盖印章或者签字的。</w:t>
      </w:r>
    </w:p>
    <w:p w14:paraId="40037FB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（三）项目负责人或者主要技术人员不是本单位人员的。</w:t>
      </w:r>
    </w:p>
    <w:p w14:paraId="2A82AE8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（四）投标保证金不是从投标供应商基本账户转出的。</w:t>
      </w:r>
    </w:p>
    <w:p w14:paraId="790E8DC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（五）其他隐瞒真实情况、提供虚假资料的行为。</w:t>
      </w:r>
    </w:p>
    <w:p w14:paraId="1A549DAF">
      <w:pPr>
        <w:ind w:firstLine="482" w:firstLineChars="200"/>
        <w:rPr>
          <w:rFonts w:hint="eastAsia" w:ascii="宋体" w:hAnsi="宋体" w:eastAsia="宋体" w:cs="宋体"/>
          <w:b/>
          <w:bCs/>
          <w:highlight w:val="none"/>
        </w:rPr>
      </w:pPr>
      <w:r>
        <w:rPr>
          <w:rFonts w:hint="eastAsia" w:ascii="宋体" w:hAnsi="宋体" w:eastAsia="宋体" w:cs="宋体"/>
          <w:b/>
          <w:bCs/>
          <w:highlight w:val="none"/>
        </w:rPr>
        <w:t>二、本公司已充分知悉“与其他采购参加人串通投标”的法定情形，相关情形包括但不限于：</w:t>
      </w:r>
    </w:p>
    <w:p w14:paraId="2BF1912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（一）投标供应商之间相互约定给予未中标的供应商利益补偿。</w:t>
      </w:r>
    </w:p>
    <w:p w14:paraId="316FC30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（二）不同投标供应商的法定代表人、主要经营负责人、项目投标授权代表人、项目负责人、主要技术人员为同一人、属同一单位或者在同一单位缴纳社会保险。</w:t>
      </w:r>
    </w:p>
    <w:p w14:paraId="5D5BC80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（三）不同投标供应商的投标文件由同一单位或者同一人编制，或者由同一人分阶段参与编制的。</w:t>
      </w:r>
    </w:p>
    <w:p w14:paraId="220E5DA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（四）不同投标供应商的投标文件或部分投标文件相互混装。</w:t>
      </w:r>
    </w:p>
    <w:p w14:paraId="05FDC5D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（五）不同投标供应商的投标文件内容存在非正常一致。</w:t>
      </w:r>
    </w:p>
    <w:p w14:paraId="6C254C3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（六）由同一单位工作人员为两家以上（含两家）供应商进行同一项投标活动的。</w:t>
      </w:r>
    </w:p>
    <w:p w14:paraId="6BCCE71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（七）不同投标人的投标报价呈规律性差异。</w:t>
      </w:r>
    </w:p>
    <w:p w14:paraId="3ABF7CB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（八）不同投标人的投标保证金从同一单位或者个人的账户转出。</w:t>
      </w:r>
    </w:p>
    <w:p w14:paraId="62283B2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（九）主管部门依照法律、法规认定的其他情形。</w:t>
      </w:r>
    </w:p>
    <w:p w14:paraId="5F727C8E">
      <w:pPr>
        <w:ind w:firstLine="482" w:firstLineChars="200"/>
        <w:rPr>
          <w:rFonts w:hint="eastAsia" w:ascii="宋体" w:hAnsi="宋体" w:eastAsia="宋体" w:cs="宋体"/>
          <w:b/>
          <w:bCs/>
          <w:highlight w:val="none"/>
        </w:rPr>
      </w:pPr>
      <w:r>
        <w:rPr>
          <w:rFonts w:hint="eastAsia" w:ascii="宋体" w:hAnsi="宋体" w:eastAsia="宋体" w:cs="宋体"/>
          <w:b/>
          <w:bCs/>
          <w:highlight w:val="none"/>
        </w:rPr>
        <w:t>三、本公司已充分知悉下列情形所对应的法律风险，并在投标前已对相关风险事项进行排查。</w:t>
      </w:r>
    </w:p>
    <w:p w14:paraId="769A3984">
      <w:pPr>
        <w:autoSpaceDE w:val="0"/>
        <w:autoSpaceDN w:val="0"/>
        <w:ind w:firstLine="464" w:firstLineChars="200"/>
        <w:rPr>
          <w:rFonts w:hint="eastAsia" w:ascii="宋体" w:hAnsi="宋体" w:eastAsia="宋体" w:cs="宋体"/>
          <w:b/>
          <w:bCs/>
          <w:spacing w:val="-4"/>
          <w:highlight w:val="none"/>
        </w:rPr>
      </w:pPr>
      <w:r>
        <w:rPr>
          <w:rFonts w:hint="eastAsia" w:ascii="宋体" w:hAnsi="宋体" w:eastAsia="宋体" w:cs="宋体"/>
          <w:spacing w:val="-4"/>
          <w:highlight w:val="none"/>
        </w:rPr>
        <w:t>（一）对于从其他主体获取的投标资料，供应商应审慎核查，确保投标资料的真实性。</w:t>
      </w:r>
      <w:r>
        <w:rPr>
          <w:rFonts w:hint="eastAsia" w:ascii="宋体" w:hAnsi="宋体" w:eastAsia="宋体" w:cs="宋体"/>
          <w:b/>
          <w:bCs/>
          <w:spacing w:val="-4"/>
          <w:highlight w:val="none"/>
        </w:rPr>
        <w:t>如主管部门查实投标文件中存在虚假资料的，无论相关资料是否由第三方或本公司员工提供，均不影响主管部门对供应商存在“隐瞒真实情况，提供虚假资料”违法行为的认定。</w:t>
      </w:r>
    </w:p>
    <w:p w14:paraId="022226A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5280BD5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（三）对于涉及安全生产、特种作业、抢险救灾、防疫等政府采购项目，供应商实施提供虚假资料、串通投标等违法行为的，主管部门将依法从严处理。</w:t>
      </w:r>
    </w:p>
    <w:p w14:paraId="10A75CA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085E05C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94E9C3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31AA6390">
      <w:pPr>
        <w:autoSpaceDE w:val="0"/>
        <w:autoSpaceDN w:val="0"/>
        <w:ind w:firstLine="482" w:firstLineChars="200"/>
        <w:rPr>
          <w:rFonts w:hint="eastAsia" w:ascii="宋体" w:hAnsi="宋体" w:eastAsia="宋体" w:cs="宋体"/>
          <w:b/>
          <w:bCs/>
          <w:highlight w:val="none"/>
        </w:rPr>
      </w:pPr>
      <w:r>
        <w:rPr>
          <w:rFonts w:hint="eastAsia" w:ascii="宋体" w:hAnsi="宋体" w:eastAsia="宋体" w:cs="宋体"/>
          <w:b/>
          <w:bCs/>
          <w:highlight w:val="none"/>
        </w:rPr>
        <w:t>四、本公司已充分知悉政府采购违法、违规行为的法律后果。</w:t>
      </w:r>
    </w:p>
    <w:p w14:paraId="38E3330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1C77831">
      <w:pPr>
        <w:autoSpaceDE w:val="0"/>
        <w:autoSpaceDN w:val="0"/>
        <w:ind w:firstLine="466" w:firstLineChars="200"/>
        <w:rPr>
          <w:rFonts w:hint="eastAsia" w:ascii="宋体" w:hAnsi="宋体" w:eastAsia="宋体" w:cs="宋体"/>
          <w:b/>
          <w:bCs/>
          <w:spacing w:val="-4"/>
          <w:highlight w:val="none"/>
        </w:rPr>
      </w:pPr>
      <w:r>
        <w:rPr>
          <w:rFonts w:hint="eastAsia" w:ascii="宋体" w:hAnsi="宋体" w:eastAsia="宋体" w:cs="宋体"/>
          <w:b/>
          <w:bCs/>
          <w:spacing w:val="-4"/>
          <w:highlight w:val="none"/>
        </w:rPr>
        <w:t>以下文字请投标供应商抄写并确认：“本公司已仔细阅读《政府采购违法行为风险知悉确认书》，充分知悉违法行为的法律后果，并承诺将严谨、诚信、依法依规参与政府采购活动”。</w:t>
      </w:r>
    </w:p>
    <w:tbl>
      <w:tblPr>
        <w:tblStyle w:val="4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18C8100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trPr>
        <w:tc>
          <w:tcPr>
            <w:tcW w:w="8529" w:type="dxa"/>
            <w:tcBorders>
              <w:top w:val="nil"/>
              <w:left w:val="nil"/>
              <w:bottom w:val="single" w:color="000000" w:sz="8" w:space="0"/>
              <w:right w:val="nil"/>
            </w:tcBorders>
          </w:tcPr>
          <w:p w14:paraId="59423D12">
            <w:pPr>
              <w:widowControl w:val="0"/>
              <w:autoSpaceDE w:val="0"/>
              <w:autoSpaceDN w:val="0"/>
              <w:spacing w:line="400" w:lineRule="exact"/>
              <w:jc w:val="left"/>
              <w:rPr>
                <w:rFonts w:hint="eastAsia" w:ascii="宋体" w:hAnsi="宋体" w:eastAsia="宋体" w:cs="宋体"/>
                <w:spacing w:val="-4"/>
                <w:highlight w:val="none"/>
              </w:rPr>
            </w:pPr>
          </w:p>
        </w:tc>
      </w:tr>
      <w:tr w14:paraId="7EC4B50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tcPr>
          <w:p w14:paraId="77281790">
            <w:pPr>
              <w:widowControl w:val="0"/>
              <w:autoSpaceDE w:val="0"/>
              <w:autoSpaceDN w:val="0"/>
              <w:spacing w:line="400" w:lineRule="exact"/>
              <w:jc w:val="left"/>
              <w:rPr>
                <w:rFonts w:hint="eastAsia" w:ascii="宋体" w:hAnsi="宋体" w:eastAsia="宋体" w:cs="宋体"/>
                <w:spacing w:val="-4"/>
                <w:highlight w:val="none"/>
              </w:rPr>
            </w:pPr>
          </w:p>
        </w:tc>
      </w:tr>
      <w:tr w14:paraId="610C723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000000" w:sz="8" w:space="0"/>
              <w:right w:val="nil"/>
            </w:tcBorders>
          </w:tcPr>
          <w:p w14:paraId="03498CD1">
            <w:pPr>
              <w:widowControl w:val="0"/>
              <w:autoSpaceDE w:val="0"/>
              <w:autoSpaceDN w:val="0"/>
              <w:spacing w:line="400" w:lineRule="exact"/>
              <w:jc w:val="left"/>
              <w:rPr>
                <w:rFonts w:hint="eastAsia" w:ascii="宋体" w:hAnsi="宋体" w:eastAsia="宋体" w:cs="宋体"/>
                <w:spacing w:val="-4"/>
                <w:highlight w:val="none"/>
              </w:rPr>
            </w:pPr>
          </w:p>
        </w:tc>
      </w:tr>
      <w:tr w14:paraId="3FB1B8F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8529" w:type="dxa"/>
            <w:tcBorders>
              <w:top w:val="single" w:color="000000" w:sz="8" w:space="0"/>
              <w:left w:val="nil"/>
              <w:bottom w:val="single" w:color="auto" w:sz="8" w:space="0"/>
              <w:right w:val="nil"/>
            </w:tcBorders>
          </w:tcPr>
          <w:p w14:paraId="5470D42C">
            <w:pPr>
              <w:widowControl w:val="0"/>
              <w:autoSpaceDE w:val="0"/>
              <w:autoSpaceDN w:val="0"/>
              <w:spacing w:line="400" w:lineRule="exact"/>
              <w:jc w:val="left"/>
              <w:rPr>
                <w:rFonts w:hint="eastAsia" w:ascii="宋体" w:hAnsi="宋体" w:eastAsia="宋体" w:cs="宋体"/>
                <w:spacing w:val="-4"/>
                <w:highlight w:val="none"/>
              </w:rPr>
            </w:pPr>
          </w:p>
        </w:tc>
      </w:tr>
    </w:tbl>
    <w:p w14:paraId="258E1031">
      <w:pPr>
        <w:autoSpaceDE w:val="0"/>
        <w:autoSpaceDN w:val="0"/>
        <w:ind w:firstLine="464" w:firstLineChars="200"/>
        <w:rPr>
          <w:rFonts w:hint="eastAsia" w:ascii="宋体" w:hAnsi="宋体" w:eastAsia="宋体" w:cs="宋体"/>
          <w:color w:val="FF0000"/>
          <w:spacing w:val="-4"/>
          <w:highlight w:val="none"/>
        </w:rPr>
      </w:pPr>
    </w:p>
    <w:p w14:paraId="34885608">
      <w:pPr>
        <w:autoSpaceDE w:val="0"/>
        <w:autoSpaceDN w:val="0"/>
        <w:ind w:right="1180" w:firstLine="464" w:firstLineChars="200"/>
        <w:jc w:val="center"/>
        <w:rPr>
          <w:rFonts w:hint="eastAsia" w:ascii="宋体" w:hAnsi="宋体" w:eastAsia="宋体" w:cs="宋体"/>
          <w:spacing w:val="-4"/>
          <w:highlight w:val="none"/>
        </w:rPr>
      </w:pPr>
      <w:r>
        <w:rPr>
          <w:rFonts w:hint="eastAsia" w:ascii="宋体" w:hAnsi="宋体" w:eastAsia="宋体" w:cs="宋体"/>
          <w:spacing w:val="-4"/>
          <w:highlight w:val="none"/>
        </w:rPr>
        <w:t xml:space="preserve">                    负责人/投标授权代表签名：                </w:t>
      </w:r>
    </w:p>
    <w:p w14:paraId="038C0561">
      <w:pPr>
        <w:wordWrap w:val="0"/>
        <w:autoSpaceDE w:val="0"/>
        <w:autoSpaceDN w:val="0"/>
        <w:ind w:right="1652" w:firstLine="3480" w:firstLineChars="1500"/>
        <w:rPr>
          <w:rFonts w:hint="eastAsia" w:ascii="宋体" w:hAnsi="宋体" w:eastAsia="宋体" w:cs="宋体"/>
          <w:spacing w:val="-4"/>
          <w:highlight w:val="none"/>
        </w:rPr>
      </w:pPr>
      <w:r>
        <w:rPr>
          <w:rFonts w:hint="eastAsia" w:ascii="宋体" w:hAnsi="宋体" w:eastAsia="宋体" w:cs="宋体"/>
          <w:spacing w:val="-4"/>
          <w:highlight w:val="none"/>
        </w:rPr>
        <w:t xml:space="preserve">知悉人（公章）：     </w:t>
      </w:r>
    </w:p>
    <w:p w14:paraId="26C90F3F">
      <w:pPr>
        <w:wordWrap w:val="0"/>
        <w:autoSpaceDE w:val="0"/>
        <w:autoSpaceDN w:val="0"/>
        <w:ind w:right="1888" w:firstLine="464" w:firstLineChars="200"/>
        <w:jc w:val="center"/>
        <w:rPr>
          <w:rFonts w:hint="eastAsia" w:ascii="宋体" w:hAnsi="宋体" w:eastAsia="宋体" w:cs="宋体"/>
          <w:spacing w:val="-4"/>
          <w:highlight w:val="none"/>
        </w:rPr>
      </w:pPr>
      <w:r>
        <w:rPr>
          <w:rFonts w:hint="eastAsia" w:ascii="宋体" w:hAnsi="宋体" w:eastAsia="宋体" w:cs="宋体"/>
          <w:spacing w:val="-4"/>
          <w:highlight w:val="none"/>
        </w:rPr>
        <w:t xml:space="preserve">                     日期：   年  月  日</w:t>
      </w:r>
    </w:p>
    <w:p w14:paraId="2C4E9CE3">
      <w:pPr>
        <w:autoSpaceDE w:val="0"/>
        <w:autoSpaceDN w:val="0"/>
        <w:ind w:right="1888" w:firstLine="464" w:firstLineChars="200"/>
        <w:rPr>
          <w:rFonts w:hint="eastAsia" w:ascii="宋体" w:hAnsi="宋体" w:eastAsia="宋体" w:cs="宋体"/>
          <w:spacing w:val="-4"/>
          <w:highlight w:val="none"/>
        </w:rPr>
      </w:pPr>
    </w:p>
    <w:p w14:paraId="62479BFC">
      <w:pPr>
        <w:autoSpaceDE w:val="0"/>
        <w:autoSpaceDN w:val="0"/>
        <w:ind w:right="1888" w:firstLine="464" w:firstLineChars="200"/>
        <w:rPr>
          <w:rFonts w:hint="eastAsia" w:ascii="宋体" w:hAnsi="宋体" w:eastAsia="宋体" w:cs="宋体"/>
          <w:spacing w:val="-4"/>
          <w:highlight w:val="none"/>
        </w:rPr>
      </w:pPr>
    </w:p>
    <w:p w14:paraId="59C215DE">
      <w:pPr>
        <w:autoSpaceDE w:val="0"/>
        <w:autoSpaceDN w:val="0"/>
        <w:ind w:right="1888" w:firstLine="464" w:firstLineChars="200"/>
        <w:rPr>
          <w:rFonts w:hint="eastAsia" w:ascii="宋体" w:hAnsi="宋体" w:eastAsia="宋体" w:cs="宋体"/>
          <w:spacing w:val="-4"/>
          <w:highlight w:val="none"/>
        </w:rPr>
      </w:pPr>
    </w:p>
    <w:p w14:paraId="25326ED7">
      <w:pPr>
        <w:autoSpaceDE w:val="0"/>
        <w:autoSpaceDN w:val="0"/>
        <w:ind w:firstLine="466" w:firstLineChars="200"/>
        <w:rPr>
          <w:rFonts w:hint="eastAsia" w:ascii="宋体" w:hAnsi="宋体" w:eastAsia="宋体" w:cs="宋体"/>
          <w:b/>
          <w:bCs/>
          <w:color w:val="FF0000"/>
          <w:spacing w:val="-4"/>
          <w:highlight w:val="none"/>
        </w:rPr>
      </w:pPr>
      <w:r>
        <w:rPr>
          <w:rFonts w:hint="eastAsia" w:ascii="宋体" w:hAnsi="宋体" w:eastAsia="宋体" w:cs="宋体"/>
          <w:b/>
          <w:bCs/>
          <w:color w:val="FF0000"/>
          <w:spacing w:val="-4"/>
          <w:highlight w:val="none"/>
        </w:rPr>
        <w:t>注：</w:t>
      </w:r>
    </w:p>
    <w:p w14:paraId="4867DEA1">
      <w:pPr>
        <w:autoSpaceDE w:val="0"/>
        <w:autoSpaceDN w:val="0"/>
        <w:ind w:firstLine="466" w:firstLineChars="200"/>
        <w:rPr>
          <w:rFonts w:hint="eastAsia" w:ascii="宋体" w:hAnsi="宋体" w:eastAsia="宋体" w:cs="宋体"/>
          <w:b/>
          <w:bCs/>
          <w:color w:val="FF0000"/>
          <w:spacing w:val="-4"/>
          <w:highlight w:val="none"/>
        </w:rPr>
      </w:pPr>
      <w:r>
        <w:rPr>
          <w:rFonts w:hint="eastAsia" w:ascii="宋体" w:hAnsi="宋体" w:eastAsia="宋体" w:cs="宋体"/>
          <w:b/>
          <w:bCs/>
          <w:color w:val="FF0000"/>
          <w:spacing w:val="-4"/>
          <w:highlight w:val="none"/>
        </w:rPr>
        <w:t>1.政府采购违法行为风险知悉确认书不作为资格性审查及符合性审查条件。</w:t>
      </w:r>
    </w:p>
    <w:p w14:paraId="529C77AD">
      <w:pPr>
        <w:autoSpaceDE w:val="0"/>
        <w:autoSpaceDN w:val="0"/>
        <w:ind w:firstLine="466" w:firstLineChars="200"/>
        <w:rPr>
          <w:rFonts w:hint="eastAsia" w:ascii="宋体" w:hAnsi="宋体" w:eastAsia="宋体" w:cs="宋体"/>
          <w:b/>
          <w:bCs/>
          <w:color w:val="FF0000"/>
          <w:spacing w:val="-4"/>
          <w:highlight w:val="none"/>
        </w:rPr>
      </w:pPr>
      <w:r>
        <w:rPr>
          <w:rFonts w:hint="eastAsia" w:ascii="宋体" w:hAnsi="宋体" w:eastAsia="宋体" w:cs="宋体"/>
          <w:b/>
          <w:bCs/>
          <w:color w:val="FF0000"/>
          <w:spacing w:val="-4"/>
          <w:highlight w:val="none"/>
        </w:rPr>
        <w:t>2.投标供应商负责人或投标授权代表签字并加盖单位公章后，扫描上传至投标文件一并提交。</w:t>
      </w:r>
    </w:p>
    <w:p w14:paraId="75CC0B66">
      <w:pPr>
        <w:pStyle w:val="2"/>
        <w:rPr>
          <w:rFonts w:hint="eastAsia" w:ascii="宋体" w:hAnsi="宋体" w:eastAsia="宋体" w:cs="宋体"/>
          <w:highlight w:val="none"/>
        </w:rPr>
      </w:pPr>
    </w:p>
    <w:p w14:paraId="153D1119">
      <w:pPr>
        <w:numPr>
          <w:ilvl w:val="0"/>
          <w:numId w:val="0"/>
        </w:numPr>
        <w:rPr>
          <w:rFonts w:hint="eastAsia" w:ascii="宋体" w:hAnsi="宋体" w:eastAsia="宋体" w:cs="宋体"/>
          <w:b/>
          <w:sz w:val="36"/>
          <w:szCs w:val="36"/>
          <w:highlight w:val="none"/>
        </w:rPr>
      </w:pPr>
      <w:r>
        <w:rPr>
          <w:rFonts w:hint="eastAsia" w:ascii="宋体" w:hAnsi="宋体" w:eastAsia="宋体" w:cs="宋体"/>
          <w:b/>
          <w:sz w:val="36"/>
          <w:szCs w:val="36"/>
          <w:highlight w:val="none"/>
        </w:rPr>
        <w:t>(10)诚信承诺函</w:t>
      </w:r>
    </w:p>
    <w:p w14:paraId="6FAAC6AC">
      <w:pPr>
        <w:wordWrap w:val="0"/>
        <w:spacing w:line="360" w:lineRule="auto"/>
        <w:rPr>
          <w:rFonts w:hint="eastAsia" w:ascii="宋体" w:hAnsi="宋体" w:eastAsia="宋体" w:cs="宋体"/>
          <w:b/>
          <w:bCs/>
          <w:color w:val="0000FF"/>
          <w:highlight w:val="none"/>
        </w:rPr>
      </w:pPr>
      <w:r>
        <w:rPr>
          <w:rFonts w:hint="eastAsia" w:ascii="宋体" w:hAnsi="宋体" w:eastAsia="宋体" w:cs="宋体"/>
          <w:b/>
          <w:bCs/>
          <w:color w:val="0000FF"/>
          <w:highlight w:val="none"/>
        </w:rPr>
        <w:t>主要内容应包括但不限于以下内容（格式自定）</w:t>
      </w:r>
    </w:p>
    <w:p w14:paraId="46DF936B">
      <w:pPr>
        <w:wordWrap w:val="0"/>
        <w:spacing w:line="360" w:lineRule="auto"/>
        <w:rPr>
          <w:rFonts w:hint="eastAsia" w:ascii="宋体" w:hAnsi="宋体" w:eastAsia="宋体" w:cs="宋体"/>
          <w:b/>
          <w:bCs/>
          <w:highlight w:val="none"/>
        </w:rPr>
      </w:pPr>
      <w:r>
        <w:rPr>
          <w:rFonts w:hint="eastAsia" w:ascii="宋体" w:hAnsi="宋体" w:eastAsia="宋体" w:cs="宋体"/>
          <w:b/>
          <w:bCs/>
          <w:highlight w:val="none"/>
        </w:rPr>
        <w:t>致</w:t>
      </w:r>
      <w:r>
        <w:rPr>
          <w:rFonts w:hint="eastAsia" w:ascii="宋体" w:hAnsi="宋体" w:eastAsia="宋体" w:cs="宋体"/>
          <w:b/>
          <w:bCs/>
          <w:highlight w:val="none"/>
          <w:lang w:eastAsia="zh-CN"/>
        </w:rPr>
        <w:t>深圳市东海国际招标有限公司</w:t>
      </w:r>
      <w:r>
        <w:rPr>
          <w:rFonts w:hint="eastAsia" w:ascii="宋体" w:hAnsi="宋体" w:eastAsia="宋体" w:cs="宋体"/>
          <w:b/>
          <w:bCs/>
          <w:highlight w:val="none"/>
        </w:rPr>
        <w:t>、</w:t>
      </w:r>
      <w:r>
        <w:rPr>
          <w:rFonts w:hint="eastAsia" w:ascii="宋体" w:hAnsi="宋体" w:eastAsia="宋体" w:cs="宋体"/>
          <w:b/>
          <w:bCs/>
          <w:highlight w:val="none"/>
          <w:lang w:eastAsia="zh-CN"/>
        </w:rPr>
        <w:t xml:space="preserve"> 华东师范大学附属深圳龙华学校教育集团   </w:t>
      </w:r>
      <w:r>
        <w:rPr>
          <w:rFonts w:hint="eastAsia" w:ascii="宋体" w:hAnsi="宋体" w:eastAsia="宋体" w:cs="宋体"/>
          <w:b/>
          <w:bCs/>
          <w:highlight w:val="none"/>
        </w:rPr>
        <w:t xml:space="preserve"> ：</w:t>
      </w:r>
    </w:p>
    <w:p w14:paraId="0C31867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在参与贵公司组织的</w:t>
      </w:r>
      <w:r>
        <w:rPr>
          <w:rFonts w:hint="eastAsia" w:ascii="宋体" w:hAnsi="宋体" w:eastAsia="宋体" w:cs="宋体"/>
          <w:highlight w:val="none"/>
          <w:u w:val="single"/>
        </w:rPr>
        <w:t xml:space="preserve">       （项目名称）    （项目编号：      ） </w:t>
      </w:r>
      <w:r>
        <w:rPr>
          <w:rFonts w:hint="eastAsia" w:ascii="宋体" w:hAnsi="宋体" w:eastAsia="宋体" w:cs="宋体"/>
          <w:highlight w:val="none"/>
        </w:rPr>
        <w:t>政府采购活动中，</w:t>
      </w:r>
      <w:r>
        <w:rPr>
          <w:rFonts w:hint="eastAsia" w:ascii="宋体" w:hAnsi="宋体" w:eastAsia="宋体" w:cs="宋体"/>
          <w:b/>
          <w:bCs/>
          <w:color w:val="FF0000"/>
          <w:highlight w:val="none"/>
        </w:rPr>
        <w:t>本公司不存在因违法违规行为被记入诚信档案且在相关主管部门处理措施实施期限内的情形。</w:t>
      </w:r>
    </w:p>
    <w:p w14:paraId="4AA580D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我公司对该承诺的真实性负责，如有不实，自愿接受相关法律法规的处罚及其他一切后果（含自愿接受将此不良行为记入供应商诚信档案和自愿接受虚假响应导致禁止参加政府采购活动的处罚等）。</w:t>
      </w:r>
    </w:p>
    <w:p w14:paraId="5ABCB77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特此承诺。</w:t>
      </w:r>
    </w:p>
    <w:p w14:paraId="444E33DA">
      <w:pPr>
        <w:spacing w:line="360" w:lineRule="auto"/>
        <w:rPr>
          <w:rFonts w:hint="eastAsia" w:ascii="宋体" w:hAnsi="宋体" w:eastAsia="宋体" w:cs="宋体"/>
          <w:highlight w:val="none"/>
        </w:rPr>
      </w:pPr>
    </w:p>
    <w:p w14:paraId="42CB2606">
      <w:pPr>
        <w:spacing w:line="360" w:lineRule="auto"/>
        <w:jc w:val="right"/>
        <w:rPr>
          <w:rFonts w:hint="eastAsia" w:ascii="宋体" w:hAnsi="宋体" w:eastAsia="宋体" w:cs="宋体"/>
          <w:highlight w:val="none"/>
        </w:rPr>
      </w:pPr>
      <w:r>
        <w:rPr>
          <w:rFonts w:hint="eastAsia" w:ascii="宋体" w:hAnsi="宋体" w:eastAsia="宋体" w:cs="宋体"/>
          <w:highlight w:val="none"/>
        </w:rPr>
        <w:t xml:space="preserve">投标单位： </w:t>
      </w:r>
    </w:p>
    <w:p w14:paraId="42E8F256">
      <w:pPr>
        <w:spacing w:line="360" w:lineRule="auto"/>
        <w:jc w:val="right"/>
        <w:rPr>
          <w:rFonts w:hint="eastAsia" w:ascii="宋体" w:hAnsi="宋体" w:eastAsia="宋体" w:cs="宋体"/>
          <w:highlight w:val="none"/>
        </w:rPr>
      </w:pPr>
      <w:r>
        <w:rPr>
          <w:rFonts w:hint="eastAsia" w:ascii="宋体" w:hAnsi="宋体" w:eastAsia="宋体" w:cs="宋体"/>
          <w:highlight w:val="none"/>
        </w:rPr>
        <w:t>日期：    年   月   日</w:t>
      </w:r>
    </w:p>
    <w:p w14:paraId="03CE863F">
      <w:pPr>
        <w:pStyle w:val="2"/>
        <w:rPr>
          <w:rFonts w:hint="eastAsia" w:ascii="宋体" w:hAnsi="宋体" w:eastAsia="宋体" w:cs="宋体"/>
          <w:highlight w:val="none"/>
        </w:rPr>
      </w:pPr>
    </w:p>
    <w:p w14:paraId="217A9A57">
      <w:pPr>
        <w:rPr>
          <w:rFonts w:hint="eastAsia" w:ascii="宋体" w:hAnsi="宋体" w:eastAsia="宋体" w:cs="宋体"/>
          <w:highlight w:val="none"/>
        </w:rPr>
      </w:pPr>
    </w:p>
    <w:p w14:paraId="389973E4">
      <w:pPr>
        <w:numPr>
          <w:ilvl w:val="0"/>
          <w:numId w:val="0"/>
        </w:numPr>
        <w:rPr>
          <w:rFonts w:hint="eastAsia" w:ascii="宋体" w:hAnsi="宋体" w:eastAsia="宋体" w:cs="宋体"/>
          <w:b/>
          <w:sz w:val="36"/>
          <w:szCs w:val="36"/>
          <w:highlight w:val="none"/>
        </w:rPr>
      </w:pPr>
      <w:r>
        <w:rPr>
          <w:rFonts w:hint="eastAsia" w:ascii="宋体" w:hAnsi="宋体" w:eastAsia="宋体" w:cs="宋体"/>
          <w:b/>
          <w:sz w:val="36"/>
          <w:szCs w:val="36"/>
          <w:lang w:val="en-US" w:eastAsia="zh-CN" w:bidi="ar-SA"/>
        </w:rPr>
        <w:t>(11)</w:t>
      </w:r>
      <w:r>
        <w:rPr>
          <w:rFonts w:hint="eastAsia" w:ascii="宋体" w:hAnsi="宋体" w:eastAsia="宋体" w:cs="宋体"/>
          <w:b/>
          <w:sz w:val="36"/>
          <w:szCs w:val="36"/>
          <w:highlight w:val="none"/>
        </w:rPr>
        <w:t>投标人认为需要加以说明的其他内容（正文）</w:t>
      </w:r>
    </w:p>
    <w:p w14:paraId="55899E92">
      <w:pPr>
        <w:rPr>
          <w:rFonts w:hint="eastAsia" w:ascii="宋体" w:hAnsi="宋体" w:eastAsia="宋体" w:cs="宋体"/>
          <w:b/>
          <w:sz w:val="36"/>
          <w:szCs w:val="36"/>
          <w:highlight w:val="none"/>
        </w:rPr>
      </w:pPr>
    </w:p>
    <w:p w14:paraId="1A61E756">
      <w:pPr>
        <w:pStyle w:val="2"/>
        <w:rPr>
          <w:rFonts w:hint="eastAsia" w:ascii="宋体" w:hAnsi="宋体" w:eastAsia="宋体" w:cs="宋体"/>
          <w:sz w:val="36"/>
          <w:szCs w:val="36"/>
          <w:highlight w:val="none"/>
        </w:rPr>
      </w:pPr>
    </w:p>
    <w:p w14:paraId="2A46064C">
      <w:pPr>
        <w:rPr>
          <w:rFonts w:hint="eastAsia" w:ascii="宋体" w:hAnsi="宋体" w:eastAsia="宋体" w:cs="宋体"/>
          <w:b/>
          <w:sz w:val="36"/>
          <w:szCs w:val="36"/>
          <w:highlight w:val="none"/>
        </w:rPr>
      </w:pPr>
    </w:p>
    <w:p w14:paraId="2E9EB21B">
      <w:pPr>
        <w:pStyle w:val="2"/>
        <w:rPr>
          <w:rFonts w:hint="eastAsia" w:ascii="宋体" w:hAnsi="宋体" w:eastAsia="宋体" w:cs="宋体"/>
          <w:sz w:val="36"/>
          <w:szCs w:val="36"/>
          <w:highlight w:val="none"/>
        </w:rPr>
      </w:pPr>
    </w:p>
    <w:p w14:paraId="0B6352A5">
      <w:pPr>
        <w:rPr>
          <w:rFonts w:hint="eastAsia" w:ascii="宋体" w:hAnsi="宋体" w:eastAsia="宋体" w:cs="宋体"/>
          <w:b/>
          <w:sz w:val="36"/>
          <w:szCs w:val="36"/>
          <w:highlight w:val="none"/>
        </w:rPr>
      </w:pPr>
    </w:p>
    <w:p w14:paraId="77828C54">
      <w:pPr>
        <w:rPr>
          <w:rFonts w:hint="eastAsia" w:ascii="宋体" w:hAnsi="宋体" w:eastAsia="宋体" w:cs="宋体"/>
          <w:b/>
          <w:sz w:val="36"/>
          <w:szCs w:val="36"/>
          <w:highlight w:val="none"/>
        </w:rPr>
      </w:pPr>
    </w:p>
    <w:p w14:paraId="0BC617D0">
      <w:pPr>
        <w:rPr>
          <w:rFonts w:hint="eastAsia" w:ascii="宋体" w:hAnsi="宋体" w:eastAsia="宋体" w:cs="宋体"/>
          <w:b/>
          <w:sz w:val="36"/>
          <w:szCs w:val="36"/>
          <w:highlight w:val="none"/>
        </w:rPr>
      </w:pPr>
    </w:p>
    <w:p w14:paraId="3A285A54">
      <w:pPr>
        <w:pStyle w:val="2"/>
        <w:rPr>
          <w:rFonts w:hint="eastAsia" w:ascii="宋体" w:hAnsi="宋体" w:eastAsia="宋体" w:cs="宋体"/>
          <w:sz w:val="36"/>
          <w:szCs w:val="36"/>
          <w:highlight w:val="none"/>
        </w:rPr>
      </w:pPr>
    </w:p>
    <w:p w14:paraId="7D07B43C">
      <w:pPr>
        <w:pStyle w:val="2"/>
        <w:rPr>
          <w:rFonts w:hint="eastAsia" w:ascii="宋体" w:hAnsi="宋体" w:eastAsia="宋体" w:cs="宋体"/>
          <w:highlight w:val="none"/>
        </w:rPr>
      </w:pPr>
    </w:p>
    <w:p w14:paraId="42A9736F">
      <w:pPr>
        <w:rPr>
          <w:rFonts w:hint="eastAsia" w:ascii="宋体" w:hAnsi="宋体" w:eastAsia="宋体" w:cs="宋体"/>
          <w:b/>
          <w:sz w:val="36"/>
          <w:szCs w:val="36"/>
          <w:highlight w:val="none"/>
        </w:rPr>
      </w:pPr>
      <w:r>
        <w:rPr>
          <w:rFonts w:hint="eastAsia" w:ascii="宋体" w:hAnsi="宋体" w:eastAsia="宋体" w:cs="宋体"/>
          <w:b/>
          <w:sz w:val="36"/>
          <w:szCs w:val="36"/>
          <w:highlight w:val="none"/>
        </w:rPr>
        <w:t>二、投标文件</w:t>
      </w:r>
      <w:r>
        <w:rPr>
          <w:rFonts w:hint="eastAsia" w:ascii="宋体" w:hAnsi="宋体" w:eastAsia="宋体" w:cs="宋体"/>
          <w:b/>
          <w:color w:val="FF0000"/>
          <w:sz w:val="36"/>
          <w:szCs w:val="36"/>
          <w:highlight w:val="none"/>
          <w:lang w:val="en-US" w:eastAsia="zh-CN"/>
        </w:rPr>
        <w:t>附件</w:t>
      </w:r>
      <w:r>
        <w:rPr>
          <w:rFonts w:hint="eastAsia" w:ascii="宋体" w:hAnsi="宋体" w:eastAsia="宋体" w:cs="宋体"/>
          <w:b/>
          <w:sz w:val="36"/>
          <w:szCs w:val="36"/>
          <w:highlight w:val="none"/>
        </w:rPr>
        <w:t>：主要包括以下内容：</w:t>
      </w:r>
    </w:p>
    <w:p w14:paraId="33507A61">
      <w:pPr>
        <w:rPr>
          <w:rFonts w:hint="eastAsia" w:ascii="宋体" w:hAnsi="宋体" w:eastAsia="宋体" w:cs="宋体"/>
          <w:b/>
          <w:sz w:val="36"/>
          <w:szCs w:val="36"/>
          <w:highlight w:val="none"/>
        </w:rPr>
      </w:pPr>
      <w:r>
        <w:rPr>
          <w:rFonts w:hint="eastAsia" w:ascii="宋体" w:hAnsi="宋体" w:eastAsia="宋体" w:cs="宋体"/>
          <w:b/>
          <w:sz w:val="36"/>
          <w:szCs w:val="36"/>
          <w:highlight w:val="none"/>
        </w:rPr>
        <w:t>(1)法定代表人证明书</w:t>
      </w:r>
    </w:p>
    <w:p w14:paraId="4572E968">
      <w:pPr>
        <w:spacing w:line="360" w:lineRule="auto"/>
        <w:rPr>
          <w:rFonts w:hint="eastAsia" w:ascii="宋体" w:hAnsi="宋体" w:eastAsia="宋体" w:cs="宋体"/>
          <w:highlight w:val="none"/>
        </w:rPr>
      </w:pPr>
      <w:r>
        <w:rPr>
          <w:rFonts w:hint="eastAsia" w:ascii="宋体" w:hAnsi="宋体" w:eastAsia="宋体" w:cs="宋体"/>
          <w:highlight w:val="none"/>
        </w:rPr>
        <w:t xml:space="preserve"> </w:t>
      </w:r>
    </w:p>
    <w:p w14:paraId="0CECC555">
      <w:pPr>
        <w:spacing w:line="360" w:lineRule="auto"/>
        <w:rPr>
          <w:rFonts w:hint="eastAsia" w:ascii="宋体" w:hAnsi="宋体" w:eastAsia="宋体" w:cs="宋体"/>
          <w:szCs w:val="21"/>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同志，现任我单位</w:t>
      </w:r>
      <w:r>
        <w:rPr>
          <w:rFonts w:hint="eastAsia" w:ascii="宋体" w:hAnsi="宋体" w:eastAsia="宋体" w:cs="宋体"/>
          <w:highlight w:val="none"/>
          <w:u w:val="single"/>
        </w:rPr>
        <w:t xml:space="preserve">         </w:t>
      </w:r>
      <w:r>
        <w:rPr>
          <w:rFonts w:hint="eastAsia" w:ascii="宋体" w:hAnsi="宋体" w:eastAsia="宋体" w:cs="宋体"/>
          <w:highlight w:val="none"/>
        </w:rPr>
        <w:t>职务，为法定代表人，特此证明。</w:t>
      </w:r>
    </w:p>
    <w:p w14:paraId="370C546C">
      <w:pPr>
        <w:pStyle w:val="2"/>
        <w:rPr>
          <w:rFonts w:hint="eastAsia" w:ascii="宋体" w:hAnsi="宋体" w:eastAsia="宋体" w:cs="宋体"/>
          <w:highlight w:val="none"/>
        </w:rPr>
      </w:pPr>
    </w:p>
    <w:p w14:paraId="65C06711">
      <w:pPr>
        <w:spacing w:line="360" w:lineRule="auto"/>
        <w:ind w:firstLine="482" w:firstLineChars="200"/>
        <w:rPr>
          <w:rFonts w:hint="eastAsia" w:ascii="宋体" w:hAnsi="宋体" w:eastAsia="宋体" w:cs="宋体"/>
          <w:b/>
          <w:szCs w:val="21"/>
          <w:highlight w:val="none"/>
        </w:rPr>
      </w:pPr>
      <w:r>
        <w:rPr>
          <w:rFonts w:hint="eastAsia" w:ascii="宋体" w:hAnsi="宋体" w:eastAsia="宋体" w:cs="宋体"/>
          <w:b/>
          <w:szCs w:val="21"/>
          <w:highlight w:val="none"/>
        </w:rPr>
        <w:t>附： 请提供法定代表人身份证扫描件（正反两面）</w:t>
      </w:r>
    </w:p>
    <w:p w14:paraId="251A10D8">
      <w:pPr>
        <w:pStyle w:val="2"/>
        <w:rPr>
          <w:rFonts w:hint="eastAsia" w:ascii="宋体" w:hAnsi="宋体" w:eastAsia="宋体" w:cs="宋体"/>
          <w:highlight w:val="none"/>
        </w:rPr>
      </w:pPr>
    </w:p>
    <w:p w14:paraId="1C70B47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说明：</w:t>
      </w:r>
    </w:p>
    <w:p w14:paraId="1B7F762C">
      <w:pPr>
        <w:spacing w:line="360" w:lineRule="auto"/>
        <w:ind w:firstLine="600" w:firstLineChars="250"/>
        <w:rPr>
          <w:rFonts w:hint="eastAsia" w:ascii="宋体" w:hAnsi="宋体" w:eastAsia="宋体" w:cs="宋体"/>
          <w:highlight w:val="none"/>
        </w:rPr>
      </w:pPr>
      <w:r>
        <w:rPr>
          <w:rFonts w:hint="eastAsia" w:ascii="宋体" w:hAnsi="宋体" w:eastAsia="宋体" w:cs="宋体"/>
          <w:highlight w:val="none"/>
        </w:rPr>
        <w:t>1、法定代表人为企业事业单位、国家机关、社会团体的主要行政负责人。</w:t>
      </w:r>
    </w:p>
    <w:p w14:paraId="4D9182F9">
      <w:pPr>
        <w:spacing w:line="360" w:lineRule="auto"/>
        <w:ind w:firstLine="600" w:firstLineChars="250"/>
        <w:rPr>
          <w:rFonts w:hint="eastAsia" w:ascii="宋体" w:hAnsi="宋体" w:eastAsia="宋体" w:cs="宋体"/>
          <w:highlight w:val="none"/>
        </w:rPr>
      </w:pPr>
      <w:r>
        <w:rPr>
          <w:rFonts w:hint="eastAsia" w:ascii="宋体" w:hAnsi="宋体" w:eastAsia="宋体" w:cs="宋体"/>
          <w:highlight w:val="none"/>
        </w:rPr>
        <w:t>2、内容必须填写真实、清楚，涂改无效，不得转让、买卖。</w:t>
      </w:r>
    </w:p>
    <w:p w14:paraId="162F752D">
      <w:pPr>
        <w:spacing w:line="360" w:lineRule="auto"/>
        <w:ind w:firstLine="602" w:firstLineChars="250"/>
        <w:rPr>
          <w:rFonts w:hint="eastAsia" w:ascii="宋体" w:hAnsi="宋体" w:eastAsia="宋体" w:cs="宋体"/>
          <w:b/>
          <w:bCs/>
          <w:highlight w:val="none"/>
        </w:rPr>
      </w:pPr>
      <w:r>
        <w:rPr>
          <w:rFonts w:hint="eastAsia" w:ascii="宋体" w:hAnsi="宋体" w:eastAsia="宋体" w:cs="宋体"/>
          <w:b/>
          <w:bCs/>
          <w:highlight w:val="none"/>
        </w:rPr>
        <w:t>3、投标人需提供《法定代表人资格证明书》和</w:t>
      </w:r>
      <w:r>
        <w:rPr>
          <w:rFonts w:hint="eastAsia" w:ascii="宋体" w:hAnsi="宋体" w:eastAsia="宋体" w:cs="宋体"/>
          <w:b/>
          <w:szCs w:val="21"/>
          <w:highlight w:val="none"/>
        </w:rPr>
        <w:t>法定代表人身份证扫描件（身份证正反两面；若为港澳台居民可提供来往通行证扫描件；若为非中国国籍管辖范围人员，可提供公安部门认可的身份证明材料扫描件）</w:t>
      </w:r>
      <w:r>
        <w:rPr>
          <w:rFonts w:hint="eastAsia" w:ascii="宋体" w:hAnsi="宋体" w:eastAsia="宋体" w:cs="宋体"/>
          <w:b/>
          <w:bCs/>
          <w:highlight w:val="none"/>
        </w:rPr>
        <w:t>，如未提供视为投标文件组成不完整，其投标文件将被否决。</w:t>
      </w:r>
    </w:p>
    <w:p w14:paraId="4B8447EC">
      <w:pPr>
        <w:rPr>
          <w:rFonts w:hint="eastAsia" w:ascii="宋体" w:hAnsi="宋体" w:eastAsia="宋体" w:cs="宋体"/>
          <w:highlight w:val="none"/>
        </w:rPr>
      </w:pPr>
      <w:r>
        <w:rPr>
          <w:rFonts w:hint="eastAsia" w:ascii="宋体" w:hAnsi="宋体" w:eastAsia="宋体" w:cs="宋体"/>
          <w:highlight w:val="none"/>
        </w:rPr>
        <w:t xml:space="preserve"> </w:t>
      </w:r>
    </w:p>
    <w:p w14:paraId="38FFC7CD">
      <w:pPr>
        <w:pStyle w:val="2"/>
        <w:rPr>
          <w:rFonts w:hint="eastAsia" w:ascii="宋体" w:hAnsi="宋体" w:eastAsia="宋体" w:cs="宋体"/>
          <w:highlight w:val="none"/>
        </w:rPr>
      </w:pPr>
    </w:p>
    <w:p w14:paraId="2BD593E5">
      <w:pPr>
        <w:ind w:firstLine="3600" w:firstLineChars="1500"/>
        <w:rPr>
          <w:rFonts w:hint="eastAsia" w:ascii="宋体" w:hAnsi="宋体" w:eastAsia="宋体" w:cs="宋体"/>
          <w:highlight w:val="none"/>
        </w:rPr>
      </w:pPr>
    </w:p>
    <w:p w14:paraId="76B3AA30">
      <w:pPr>
        <w:ind w:firstLine="3600" w:firstLineChars="1500"/>
        <w:rPr>
          <w:rFonts w:hint="eastAsia" w:ascii="宋体" w:hAnsi="宋体" w:eastAsia="宋体" w:cs="宋体"/>
          <w:highlight w:val="none"/>
        </w:rPr>
      </w:pPr>
      <w:r>
        <w:rPr>
          <w:rFonts w:hint="eastAsia" w:ascii="宋体" w:hAnsi="宋体" w:eastAsia="宋体" w:cs="宋体"/>
          <w:highlight w:val="none"/>
        </w:rPr>
        <w:t>投标单位：</w:t>
      </w:r>
    </w:p>
    <w:p w14:paraId="348B45B0">
      <w:pPr>
        <w:pStyle w:val="2"/>
        <w:rPr>
          <w:rFonts w:hint="eastAsia" w:ascii="宋体" w:hAnsi="宋体" w:eastAsia="宋体" w:cs="宋体"/>
          <w:highlight w:val="none"/>
        </w:rPr>
      </w:pPr>
    </w:p>
    <w:p w14:paraId="4BC6B3C8">
      <w:pPr>
        <w:jc w:val="center"/>
        <w:rPr>
          <w:rFonts w:hint="eastAsia" w:ascii="宋体" w:hAnsi="宋体" w:eastAsia="宋体" w:cs="宋体"/>
          <w:highlight w:val="none"/>
        </w:rPr>
      </w:pPr>
      <w:r>
        <w:rPr>
          <w:rFonts w:hint="eastAsia" w:ascii="宋体" w:hAnsi="宋体" w:eastAsia="宋体" w:cs="宋体"/>
          <w:highlight w:val="none"/>
        </w:rPr>
        <w:t xml:space="preserve">           日期：   年  月  日</w:t>
      </w:r>
    </w:p>
    <w:p w14:paraId="4987186F">
      <w:pPr>
        <w:pStyle w:val="2"/>
        <w:rPr>
          <w:rFonts w:hint="eastAsia" w:ascii="宋体" w:hAnsi="宋体" w:eastAsia="宋体" w:cs="宋体"/>
          <w:highlight w:val="none"/>
        </w:rPr>
      </w:pPr>
    </w:p>
    <w:p w14:paraId="115D7833">
      <w:pPr>
        <w:rPr>
          <w:rFonts w:hint="eastAsia" w:ascii="宋体" w:hAnsi="宋体" w:eastAsia="宋体" w:cs="宋体"/>
          <w:highlight w:val="none"/>
        </w:rPr>
      </w:pPr>
    </w:p>
    <w:p w14:paraId="0123F162">
      <w:pPr>
        <w:pStyle w:val="2"/>
        <w:rPr>
          <w:rFonts w:hint="eastAsia" w:ascii="宋体" w:hAnsi="宋体" w:eastAsia="宋体" w:cs="宋体"/>
          <w:highlight w:val="none"/>
        </w:rPr>
      </w:pPr>
    </w:p>
    <w:p w14:paraId="7E0031A2">
      <w:pPr>
        <w:rPr>
          <w:rFonts w:hint="eastAsia" w:ascii="宋体" w:hAnsi="宋体" w:eastAsia="宋体" w:cs="宋体"/>
          <w:highlight w:val="none"/>
        </w:rPr>
      </w:pPr>
    </w:p>
    <w:p w14:paraId="48798431">
      <w:pPr>
        <w:pStyle w:val="2"/>
        <w:rPr>
          <w:rFonts w:hint="eastAsia" w:ascii="宋体" w:hAnsi="宋体" w:eastAsia="宋体" w:cs="宋体"/>
          <w:highlight w:val="none"/>
        </w:rPr>
      </w:pPr>
    </w:p>
    <w:p w14:paraId="1F5C7A68">
      <w:pPr>
        <w:rPr>
          <w:rFonts w:hint="eastAsia" w:ascii="宋体" w:hAnsi="宋体" w:eastAsia="宋体" w:cs="宋体"/>
          <w:highlight w:val="none"/>
        </w:rPr>
      </w:pPr>
    </w:p>
    <w:p w14:paraId="324B74FA">
      <w:pPr>
        <w:pStyle w:val="2"/>
        <w:rPr>
          <w:rFonts w:hint="eastAsia" w:ascii="宋体" w:hAnsi="宋体" w:eastAsia="宋体" w:cs="宋体"/>
          <w:highlight w:val="none"/>
        </w:rPr>
      </w:pPr>
    </w:p>
    <w:p w14:paraId="1FA1854C">
      <w:pPr>
        <w:rPr>
          <w:rFonts w:hint="eastAsia"/>
          <w:highlight w:val="none"/>
        </w:rPr>
      </w:pPr>
    </w:p>
    <w:p w14:paraId="2BD7A520">
      <w:pPr>
        <w:rPr>
          <w:rFonts w:hint="eastAsia"/>
          <w:highlight w:val="none"/>
        </w:rPr>
      </w:pPr>
    </w:p>
    <w:p w14:paraId="4EF31F24">
      <w:pPr>
        <w:rPr>
          <w:rFonts w:hint="eastAsia" w:ascii="宋体" w:hAnsi="宋体" w:eastAsia="宋体" w:cs="宋体"/>
          <w:highlight w:val="none"/>
        </w:rPr>
      </w:pPr>
    </w:p>
    <w:p w14:paraId="25556FE6">
      <w:pPr>
        <w:pStyle w:val="2"/>
        <w:rPr>
          <w:rFonts w:hint="eastAsia" w:ascii="宋体" w:hAnsi="宋体" w:eastAsia="宋体" w:cs="宋体"/>
          <w:highlight w:val="none"/>
        </w:rPr>
      </w:pPr>
    </w:p>
    <w:p w14:paraId="64CB5D21">
      <w:pPr>
        <w:rPr>
          <w:rFonts w:hint="eastAsia" w:ascii="宋体" w:hAnsi="宋体" w:eastAsia="宋体" w:cs="宋体"/>
          <w:highlight w:val="none"/>
        </w:rPr>
      </w:pPr>
    </w:p>
    <w:p w14:paraId="416040CB">
      <w:pPr>
        <w:numPr>
          <w:ilvl w:val="0"/>
          <w:numId w:val="6"/>
        </w:numPr>
        <w:rPr>
          <w:rFonts w:hint="eastAsia" w:ascii="宋体" w:hAnsi="宋体" w:eastAsia="宋体" w:cs="宋体"/>
          <w:b/>
          <w:sz w:val="36"/>
          <w:szCs w:val="36"/>
          <w:highlight w:val="none"/>
        </w:rPr>
      </w:pPr>
      <w:r>
        <w:rPr>
          <w:rFonts w:hint="eastAsia" w:ascii="宋体" w:hAnsi="宋体" w:eastAsia="宋体" w:cs="宋体"/>
          <w:b/>
          <w:sz w:val="36"/>
          <w:szCs w:val="36"/>
          <w:highlight w:val="none"/>
        </w:rPr>
        <w:t>投标文件签署授权委托书</w:t>
      </w:r>
    </w:p>
    <w:p w14:paraId="23CB651A">
      <w:pPr>
        <w:rPr>
          <w:rFonts w:hint="eastAsia" w:ascii="宋体" w:hAnsi="宋体" w:eastAsia="宋体" w:cs="宋体"/>
          <w:szCs w:val="21"/>
          <w:highlight w:val="none"/>
        </w:rPr>
      </w:pPr>
    </w:p>
    <w:p w14:paraId="12AA217D">
      <w:pPr>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本授权委托书声明：我</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（投标人名称）的法定代表人，现授权委托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（单位名称）的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（姓名）为我公司签署本项目已递交的投标文件的法定代表人的</w:t>
      </w:r>
      <w:r>
        <w:rPr>
          <w:rFonts w:hint="eastAsia" w:ascii="宋体" w:hAnsi="宋体" w:eastAsia="宋体" w:cs="宋体"/>
          <w:b/>
          <w:bCs/>
          <w:szCs w:val="21"/>
          <w:highlight w:val="none"/>
        </w:rPr>
        <w:t>授权委托代理人</w:t>
      </w:r>
      <w:r>
        <w:rPr>
          <w:rFonts w:hint="eastAsia" w:ascii="宋体" w:hAnsi="宋体" w:eastAsia="宋体" w:cs="宋体"/>
          <w:szCs w:val="21"/>
          <w:highlight w:val="none"/>
        </w:rPr>
        <w:t>，代理人全权代表我所签署的本项目已递交的投标文件内容我均承认。</w:t>
      </w:r>
    </w:p>
    <w:p w14:paraId="6CB211FE">
      <w:pPr>
        <w:pStyle w:val="8"/>
        <w:spacing w:line="360" w:lineRule="auto"/>
        <w:rPr>
          <w:rFonts w:hint="eastAsia" w:ascii="宋体" w:hAnsi="宋体" w:eastAsia="宋体" w:cs="宋体"/>
          <w:szCs w:val="21"/>
          <w:highlight w:val="none"/>
        </w:rPr>
      </w:pPr>
      <w:r>
        <w:rPr>
          <w:rFonts w:hint="eastAsia" w:ascii="宋体" w:hAnsi="宋体" w:eastAsia="宋体" w:cs="宋体"/>
          <w:szCs w:val="21"/>
          <w:highlight w:val="none"/>
        </w:rPr>
        <w:t>代理人无转委托权，特此委托。</w:t>
      </w:r>
    </w:p>
    <w:p w14:paraId="4C9AA11A">
      <w:pPr>
        <w:rPr>
          <w:rFonts w:hint="eastAsia" w:ascii="宋体" w:hAnsi="宋体" w:eastAsia="宋体" w:cs="宋体"/>
          <w:szCs w:val="21"/>
          <w:highlight w:val="none"/>
        </w:rPr>
      </w:pPr>
    </w:p>
    <w:p w14:paraId="6909EA9D">
      <w:pPr>
        <w:spacing w:line="360" w:lineRule="auto"/>
        <w:ind w:left="617" w:leftChars="257"/>
        <w:rPr>
          <w:rFonts w:hint="eastAsia" w:ascii="宋体" w:hAnsi="宋体" w:eastAsia="宋体" w:cs="宋体"/>
          <w:szCs w:val="21"/>
          <w:highlight w:val="none"/>
          <w:u w:val="single"/>
        </w:rPr>
      </w:pPr>
      <w:r>
        <w:rPr>
          <w:rFonts w:hint="eastAsia" w:ascii="宋体" w:hAnsi="宋体" w:eastAsia="宋体" w:cs="宋体"/>
          <w:szCs w:val="21"/>
          <w:highlight w:val="none"/>
        </w:rPr>
        <w:t>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p>
    <w:p w14:paraId="76E23FDC">
      <w:pPr>
        <w:spacing w:line="360" w:lineRule="auto"/>
        <w:ind w:left="617" w:leftChars="257"/>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手机：</w:t>
      </w:r>
      <w:r>
        <w:rPr>
          <w:rFonts w:hint="eastAsia" w:ascii="宋体" w:hAnsi="宋体" w:eastAsia="宋体" w:cs="宋体"/>
          <w:szCs w:val="21"/>
          <w:highlight w:val="none"/>
          <w:u w:val="single"/>
        </w:rPr>
        <w:t xml:space="preserve">                   </w:t>
      </w:r>
    </w:p>
    <w:p w14:paraId="36402E36">
      <w:pPr>
        <w:spacing w:line="360" w:lineRule="auto"/>
        <w:rPr>
          <w:rFonts w:hint="eastAsia" w:ascii="宋体" w:hAnsi="宋体" w:eastAsia="宋体" w:cs="宋体"/>
          <w:highlight w:val="none"/>
        </w:rPr>
      </w:pPr>
    </w:p>
    <w:p w14:paraId="5335E74A">
      <w:pPr>
        <w:spacing w:line="360" w:lineRule="auto"/>
        <w:ind w:firstLine="482" w:firstLineChars="200"/>
        <w:rPr>
          <w:rFonts w:hint="eastAsia" w:ascii="宋体" w:hAnsi="宋体" w:eastAsia="宋体" w:cs="宋体"/>
          <w:b/>
          <w:szCs w:val="21"/>
          <w:highlight w:val="none"/>
        </w:rPr>
      </w:pPr>
      <w:r>
        <w:rPr>
          <w:rFonts w:hint="eastAsia" w:ascii="宋体" w:hAnsi="宋体" w:eastAsia="宋体" w:cs="宋体"/>
          <w:b/>
          <w:szCs w:val="21"/>
          <w:highlight w:val="none"/>
        </w:rPr>
        <w:t>附： 请提供授权委托代理人身份证扫描件（正反两面）</w:t>
      </w:r>
    </w:p>
    <w:p w14:paraId="7C6218D8">
      <w:pPr>
        <w:pStyle w:val="2"/>
        <w:rPr>
          <w:rFonts w:hint="eastAsia" w:ascii="宋体" w:hAnsi="宋体" w:eastAsia="宋体" w:cs="宋体"/>
          <w:highlight w:val="none"/>
        </w:rPr>
      </w:pPr>
    </w:p>
    <w:p w14:paraId="74F5A24A">
      <w:pPr>
        <w:pStyle w:val="2"/>
        <w:rPr>
          <w:rFonts w:hint="eastAsia" w:ascii="宋体" w:hAnsi="宋体" w:eastAsia="宋体" w:cs="宋体"/>
          <w:highlight w:val="none"/>
        </w:rPr>
      </w:pPr>
    </w:p>
    <w:p w14:paraId="0248D90C">
      <w:pPr>
        <w:spacing w:line="360" w:lineRule="auto"/>
        <w:rPr>
          <w:rFonts w:hint="eastAsia" w:ascii="宋体" w:hAnsi="宋体" w:eastAsia="宋体" w:cs="宋体"/>
          <w:highlight w:val="none"/>
        </w:rPr>
      </w:pPr>
      <w:r>
        <w:rPr>
          <w:rFonts w:hint="eastAsia" w:ascii="宋体" w:hAnsi="宋体" w:eastAsia="宋体" w:cs="宋体"/>
          <w:highlight w:val="none"/>
        </w:rPr>
        <w:t>说明：</w:t>
      </w:r>
    </w:p>
    <w:p w14:paraId="0E5AA93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1、内容必须填写真实、清楚，涂改无效，不得转让、买卖。</w:t>
      </w:r>
    </w:p>
    <w:p w14:paraId="48CB7F0E">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2、投标人需提供《投标文件签署授权委托书》和</w:t>
      </w:r>
      <w:r>
        <w:rPr>
          <w:rFonts w:hint="eastAsia" w:ascii="宋体" w:hAnsi="宋体" w:eastAsia="宋体" w:cs="宋体"/>
          <w:b/>
          <w:szCs w:val="21"/>
          <w:highlight w:val="none"/>
        </w:rPr>
        <w:t>授权委托代理人身份证扫描件（身份证正反两面；若为港澳台居民可提供来往通行证扫描件；若为非中国国籍管辖范围人员，可提供公安部门认可的身份证明材料扫描件）</w:t>
      </w:r>
      <w:r>
        <w:rPr>
          <w:rFonts w:hint="eastAsia" w:ascii="宋体" w:hAnsi="宋体" w:eastAsia="宋体" w:cs="宋体"/>
          <w:b/>
          <w:bCs/>
          <w:highlight w:val="none"/>
        </w:rPr>
        <w:t>，如为法定代表人投标也需提供该授权委托书（可授权委托自己签署投标文件），如未提供视为投标文件组成不完整，其投标文件将被否决。</w:t>
      </w:r>
    </w:p>
    <w:p w14:paraId="6F73D7ED">
      <w:pPr>
        <w:spacing w:line="360" w:lineRule="auto"/>
        <w:rPr>
          <w:rFonts w:hint="eastAsia" w:ascii="宋体" w:hAnsi="宋体" w:eastAsia="宋体" w:cs="宋体"/>
          <w:szCs w:val="21"/>
          <w:highlight w:val="none"/>
        </w:rPr>
      </w:pPr>
    </w:p>
    <w:p w14:paraId="52B141B6">
      <w:pPr>
        <w:rPr>
          <w:rFonts w:hint="eastAsia" w:ascii="宋体" w:hAnsi="宋体" w:eastAsia="宋体" w:cs="宋体"/>
          <w:highlight w:val="none"/>
        </w:rPr>
      </w:pPr>
    </w:p>
    <w:p w14:paraId="1C6D16F6">
      <w:pPr>
        <w:ind w:firstLine="3600" w:firstLineChars="1500"/>
        <w:rPr>
          <w:rFonts w:hint="eastAsia" w:ascii="宋体" w:hAnsi="宋体" w:eastAsia="宋体" w:cs="宋体"/>
          <w:highlight w:val="none"/>
        </w:rPr>
      </w:pPr>
      <w:r>
        <w:rPr>
          <w:rFonts w:hint="eastAsia" w:ascii="宋体" w:hAnsi="宋体" w:eastAsia="宋体" w:cs="宋体"/>
          <w:highlight w:val="none"/>
        </w:rPr>
        <w:t>投标单位：</w:t>
      </w:r>
    </w:p>
    <w:p w14:paraId="696802EB">
      <w:pPr>
        <w:pStyle w:val="2"/>
        <w:rPr>
          <w:rFonts w:hint="eastAsia" w:ascii="宋体" w:hAnsi="宋体" w:eastAsia="宋体" w:cs="宋体"/>
          <w:highlight w:val="none"/>
        </w:rPr>
      </w:pPr>
    </w:p>
    <w:p w14:paraId="49CF9535">
      <w:pPr>
        <w:pStyle w:val="2"/>
        <w:jc w:val="center"/>
        <w:rPr>
          <w:rFonts w:hint="eastAsia" w:ascii="宋体" w:hAnsi="宋体" w:eastAsia="宋体" w:cs="宋体"/>
          <w:highlight w:val="none"/>
        </w:rPr>
      </w:pPr>
      <w:r>
        <w:rPr>
          <w:rFonts w:hint="eastAsia" w:ascii="宋体" w:hAnsi="宋体" w:eastAsia="宋体" w:cs="宋体"/>
          <w:highlight w:val="none"/>
        </w:rPr>
        <w:t xml:space="preserve">           日期：   年  月  日</w:t>
      </w:r>
    </w:p>
    <w:p w14:paraId="0EA21621">
      <w:pPr>
        <w:pStyle w:val="2"/>
        <w:rPr>
          <w:rFonts w:hint="eastAsia" w:ascii="宋体" w:hAnsi="宋体" w:eastAsia="宋体" w:cs="宋体"/>
          <w:highlight w:val="none"/>
        </w:rPr>
      </w:pPr>
    </w:p>
    <w:p w14:paraId="650AAA6D">
      <w:pPr>
        <w:rPr>
          <w:rFonts w:hint="eastAsia" w:ascii="宋体" w:hAnsi="宋体" w:eastAsia="宋体" w:cs="宋体"/>
          <w:highlight w:val="none"/>
        </w:rPr>
      </w:pPr>
    </w:p>
    <w:p w14:paraId="05EB7C88">
      <w:pPr>
        <w:pStyle w:val="2"/>
        <w:rPr>
          <w:rFonts w:hint="eastAsia" w:ascii="宋体" w:hAnsi="宋体" w:eastAsia="宋体" w:cs="宋体"/>
          <w:highlight w:val="none"/>
        </w:rPr>
      </w:pPr>
    </w:p>
    <w:p w14:paraId="556EED12">
      <w:pPr>
        <w:rPr>
          <w:rFonts w:hint="eastAsia" w:ascii="宋体" w:hAnsi="宋体" w:eastAsia="宋体" w:cs="宋体"/>
          <w:highlight w:val="none"/>
        </w:rPr>
      </w:pPr>
    </w:p>
    <w:p w14:paraId="1C9D0DCE">
      <w:pPr>
        <w:pStyle w:val="2"/>
        <w:rPr>
          <w:rFonts w:hint="eastAsia" w:ascii="宋体" w:hAnsi="宋体" w:eastAsia="宋体" w:cs="宋体"/>
          <w:highlight w:val="none"/>
        </w:rPr>
      </w:pPr>
    </w:p>
    <w:p w14:paraId="693E0130">
      <w:pPr>
        <w:pStyle w:val="2"/>
        <w:rPr>
          <w:rFonts w:hint="eastAsia" w:ascii="宋体" w:hAnsi="宋体" w:eastAsia="宋体" w:cs="宋体"/>
          <w:highlight w:val="none"/>
        </w:rPr>
      </w:pPr>
    </w:p>
    <w:p w14:paraId="5FCA2721">
      <w:pPr>
        <w:rPr>
          <w:rFonts w:hint="eastAsia" w:ascii="宋体" w:hAnsi="宋体" w:eastAsia="宋体" w:cs="宋体"/>
          <w:highlight w:val="none"/>
        </w:rPr>
      </w:pPr>
    </w:p>
    <w:p w14:paraId="50B66C10">
      <w:pPr>
        <w:rPr>
          <w:rFonts w:hint="eastAsia" w:ascii="宋体" w:hAnsi="宋体" w:eastAsia="宋体" w:cs="宋体"/>
          <w:highlight w:val="none"/>
        </w:rPr>
      </w:pPr>
    </w:p>
    <w:p w14:paraId="32ADA3DB">
      <w:pPr>
        <w:numPr>
          <w:ilvl w:val="0"/>
          <w:numId w:val="6"/>
        </w:numPr>
        <w:spacing w:line="360" w:lineRule="auto"/>
        <w:rPr>
          <w:rFonts w:hint="eastAsia" w:ascii="宋体" w:hAnsi="宋体" w:eastAsia="宋体" w:cs="宋体"/>
          <w:b/>
          <w:sz w:val="36"/>
          <w:szCs w:val="36"/>
          <w:highlight w:val="none"/>
        </w:rPr>
      </w:pPr>
      <w:r>
        <w:rPr>
          <w:rFonts w:hint="eastAsia" w:ascii="宋体" w:hAnsi="宋体" w:eastAsia="宋体" w:cs="宋体"/>
          <w:b/>
          <w:sz w:val="36"/>
          <w:szCs w:val="36"/>
          <w:highlight w:val="none"/>
        </w:rPr>
        <w:t>实质性条款响应情况表</w:t>
      </w:r>
    </w:p>
    <w:tbl>
      <w:tblPr>
        <w:tblStyle w:val="18"/>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777"/>
        <w:gridCol w:w="1653"/>
        <w:gridCol w:w="2225"/>
      </w:tblGrid>
      <w:tr w14:paraId="7BA5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5" w:type="dxa"/>
            <w:vAlign w:val="center"/>
          </w:tcPr>
          <w:p w14:paraId="20E76E0D">
            <w:pPr>
              <w:adjustRightInd w:val="0"/>
              <w:snapToGrid w:val="0"/>
              <w:jc w:val="center"/>
              <w:rPr>
                <w:rFonts w:hint="eastAsia" w:ascii="宋体" w:hAnsi="宋体" w:eastAsia="宋体" w:cs="宋体"/>
                <w:b/>
                <w:bCs/>
                <w:sz w:val="22"/>
                <w:szCs w:val="22"/>
                <w:highlight w:val="none"/>
              </w:rPr>
            </w:pPr>
            <w:bookmarkStart w:id="8" w:name="_Hlk72092651"/>
            <w:r>
              <w:rPr>
                <w:rFonts w:hint="eastAsia" w:ascii="宋体" w:hAnsi="宋体" w:eastAsia="宋体" w:cs="宋体"/>
                <w:b/>
                <w:bCs/>
                <w:sz w:val="22"/>
                <w:szCs w:val="22"/>
                <w:highlight w:val="none"/>
              </w:rPr>
              <w:t>序号</w:t>
            </w:r>
          </w:p>
        </w:tc>
        <w:tc>
          <w:tcPr>
            <w:tcW w:w="2664" w:type="dxa"/>
            <w:vAlign w:val="center"/>
          </w:tcPr>
          <w:p w14:paraId="252CEE4B">
            <w:pPr>
              <w:adjustRightInd w:val="0"/>
              <w:snapToGrid w:val="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实质性条款具体内容</w:t>
            </w:r>
          </w:p>
        </w:tc>
        <w:tc>
          <w:tcPr>
            <w:tcW w:w="1777" w:type="dxa"/>
            <w:vAlign w:val="center"/>
          </w:tcPr>
          <w:p w14:paraId="156BF990">
            <w:pPr>
              <w:adjustRightInd w:val="0"/>
              <w:snapToGrid w:val="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投标响应</w:t>
            </w:r>
          </w:p>
        </w:tc>
        <w:tc>
          <w:tcPr>
            <w:tcW w:w="1653" w:type="dxa"/>
            <w:vAlign w:val="center"/>
          </w:tcPr>
          <w:p w14:paraId="7139F98D">
            <w:pPr>
              <w:adjustRightInd w:val="0"/>
              <w:snapToGrid w:val="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偏离情况</w:t>
            </w:r>
          </w:p>
        </w:tc>
        <w:tc>
          <w:tcPr>
            <w:tcW w:w="2225" w:type="dxa"/>
            <w:vAlign w:val="center"/>
          </w:tcPr>
          <w:p w14:paraId="79ECB4B2">
            <w:pPr>
              <w:adjustRightInd w:val="0"/>
              <w:snapToGrid w:val="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说明</w:t>
            </w:r>
          </w:p>
        </w:tc>
      </w:tr>
      <w:bookmarkEnd w:id="8"/>
      <w:tr w14:paraId="5A06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5" w:type="dxa"/>
            <w:vAlign w:val="center"/>
          </w:tcPr>
          <w:p w14:paraId="52F21EFD">
            <w:pPr>
              <w:adjustRightInd w:val="0"/>
              <w:snapToGrid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2664" w:type="dxa"/>
            <w:vAlign w:val="center"/>
          </w:tcPr>
          <w:p w14:paraId="31E94CD6">
            <w:pPr>
              <w:adjustRightInd w:val="0"/>
              <w:snapToGrid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本项目招标文件中所有带★号条款内容</w:t>
            </w:r>
          </w:p>
        </w:tc>
        <w:tc>
          <w:tcPr>
            <w:tcW w:w="1777" w:type="dxa"/>
            <w:vAlign w:val="center"/>
          </w:tcPr>
          <w:p w14:paraId="1EA49062">
            <w:pPr>
              <w:adjustRightInd w:val="0"/>
              <w:snapToGrid w:val="0"/>
              <w:jc w:val="center"/>
              <w:rPr>
                <w:rFonts w:hint="eastAsia" w:ascii="宋体" w:hAnsi="宋体" w:eastAsia="宋体" w:cs="宋体"/>
                <w:sz w:val="22"/>
                <w:szCs w:val="22"/>
                <w:highlight w:val="none"/>
              </w:rPr>
            </w:pPr>
          </w:p>
        </w:tc>
        <w:tc>
          <w:tcPr>
            <w:tcW w:w="1653" w:type="dxa"/>
            <w:vAlign w:val="center"/>
          </w:tcPr>
          <w:p w14:paraId="4B0645DA">
            <w:pPr>
              <w:adjustRightInd w:val="0"/>
              <w:snapToGrid w:val="0"/>
              <w:jc w:val="center"/>
              <w:rPr>
                <w:rFonts w:hint="eastAsia" w:ascii="宋体" w:hAnsi="宋体" w:eastAsia="宋体" w:cs="宋体"/>
                <w:sz w:val="22"/>
                <w:szCs w:val="22"/>
                <w:highlight w:val="none"/>
              </w:rPr>
            </w:pPr>
          </w:p>
        </w:tc>
        <w:tc>
          <w:tcPr>
            <w:tcW w:w="2225" w:type="dxa"/>
            <w:vAlign w:val="center"/>
          </w:tcPr>
          <w:p w14:paraId="0E124205">
            <w:pPr>
              <w:adjustRightInd w:val="0"/>
              <w:snapToGrid w:val="0"/>
              <w:jc w:val="center"/>
              <w:rPr>
                <w:rFonts w:hint="eastAsia" w:ascii="宋体" w:hAnsi="宋体" w:eastAsia="宋体" w:cs="宋体"/>
                <w:sz w:val="22"/>
                <w:szCs w:val="22"/>
                <w:highlight w:val="none"/>
              </w:rPr>
            </w:pPr>
          </w:p>
        </w:tc>
      </w:tr>
    </w:tbl>
    <w:p w14:paraId="51665253">
      <w:pPr>
        <w:rPr>
          <w:rFonts w:hint="eastAsia" w:ascii="宋体" w:hAnsi="宋体" w:eastAsia="宋体" w:cs="宋体"/>
          <w:b/>
          <w:sz w:val="22"/>
          <w:szCs w:val="22"/>
          <w:highlight w:val="none"/>
        </w:rPr>
      </w:pPr>
      <w:r>
        <w:rPr>
          <w:rFonts w:hint="eastAsia" w:ascii="宋体" w:hAnsi="宋体" w:eastAsia="宋体" w:cs="宋体"/>
          <w:b/>
          <w:sz w:val="22"/>
          <w:szCs w:val="22"/>
          <w:highlight w:val="none"/>
        </w:rPr>
        <w:t>注：1. 上表所列各项均为不可负偏离条款。</w:t>
      </w:r>
    </w:p>
    <w:p w14:paraId="1B448534">
      <w:pPr>
        <w:rPr>
          <w:rFonts w:hint="eastAsia" w:ascii="宋体" w:hAnsi="宋体" w:eastAsia="宋体" w:cs="宋体"/>
          <w:b/>
          <w:sz w:val="22"/>
          <w:szCs w:val="22"/>
          <w:highlight w:val="none"/>
        </w:rPr>
      </w:pPr>
      <w:r>
        <w:rPr>
          <w:rFonts w:hint="eastAsia" w:ascii="宋体" w:hAnsi="宋体" w:eastAsia="宋体" w:cs="宋体"/>
          <w:b/>
          <w:sz w:val="22"/>
          <w:szCs w:val="22"/>
          <w:highlight w:val="none"/>
        </w:rPr>
        <w:t>2.“投标响应”一栏应当详细填写投标人自身响应情况，而不能不合理照搬照抄招实质性条款具体内容。</w:t>
      </w:r>
    </w:p>
    <w:p w14:paraId="2B1DFFBB">
      <w:pPr>
        <w:rPr>
          <w:rFonts w:hint="eastAsia" w:ascii="宋体" w:hAnsi="宋体" w:eastAsia="宋体" w:cs="宋体"/>
          <w:b/>
          <w:sz w:val="22"/>
          <w:szCs w:val="22"/>
          <w:highlight w:val="none"/>
        </w:rPr>
      </w:pPr>
      <w:r>
        <w:rPr>
          <w:rFonts w:hint="eastAsia" w:ascii="宋体" w:hAnsi="宋体" w:eastAsia="宋体" w:cs="宋体"/>
          <w:b/>
          <w:sz w:val="22"/>
          <w:szCs w:val="22"/>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0AD64530">
      <w:pPr>
        <w:rPr>
          <w:rFonts w:hint="eastAsia" w:ascii="宋体" w:hAnsi="宋体" w:eastAsia="宋体" w:cs="宋体"/>
          <w:b/>
          <w:sz w:val="22"/>
          <w:szCs w:val="22"/>
          <w:highlight w:val="none"/>
        </w:rPr>
      </w:pPr>
      <w:r>
        <w:rPr>
          <w:rFonts w:hint="eastAsia" w:ascii="宋体" w:hAnsi="宋体" w:eastAsia="宋体" w:cs="宋体"/>
          <w:b/>
          <w:sz w:val="22"/>
          <w:szCs w:val="22"/>
          <w:highlight w:val="none"/>
        </w:rPr>
        <w:t>4.评审委员会有权对投标响应情况作出判断（作出评审结论）。</w:t>
      </w:r>
    </w:p>
    <w:p w14:paraId="2BDB3C7F">
      <w:pPr>
        <w:rPr>
          <w:rFonts w:hint="eastAsia" w:ascii="宋体" w:hAnsi="宋体" w:eastAsia="宋体" w:cs="宋体"/>
          <w:sz w:val="22"/>
          <w:szCs w:val="22"/>
          <w:highlight w:val="none"/>
        </w:rPr>
      </w:pPr>
      <w:r>
        <w:rPr>
          <w:rFonts w:hint="eastAsia" w:ascii="宋体" w:hAnsi="宋体" w:eastAsia="宋体" w:cs="宋体"/>
          <w:b/>
          <w:sz w:val="22"/>
          <w:szCs w:val="22"/>
          <w:highlight w:val="none"/>
        </w:rPr>
        <w:t>5.实质性响应条款“投标响应情况”与投标文件其它内容冲突的，以实质性响应条款“投标响应情况”为准。</w:t>
      </w:r>
    </w:p>
    <w:p w14:paraId="1A0CF9A6">
      <w:pP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6.要求提供证明资料，在“说明”一栏中列明证明资料的位置,以便评审；未要求提供证明材料的，投标人可以不提供。</w:t>
      </w:r>
    </w:p>
    <w:p w14:paraId="51AF8FE0">
      <w:pPr>
        <w:pStyle w:val="2"/>
        <w:rPr>
          <w:rFonts w:hint="eastAsia" w:ascii="宋体" w:hAnsi="宋体" w:eastAsia="宋体" w:cs="宋体"/>
          <w:highlight w:val="none"/>
        </w:rPr>
      </w:pPr>
    </w:p>
    <w:p w14:paraId="3455BC9C">
      <w:pPr>
        <w:pStyle w:val="2"/>
        <w:rPr>
          <w:rFonts w:hint="eastAsia" w:ascii="宋体" w:hAnsi="宋体" w:eastAsia="宋体" w:cs="宋体"/>
          <w:highlight w:val="none"/>
        </w:rPr>
        <w:sectPr>
          <w:footerReference r:id="rId4" w:type="default"/>
          <w:pgSz w:w="11906" w:h="16838"/>
          <w:pgMar w:top="1440" w:right="1800" w:bottom="1440" w:left="1800" w:header="851" w:footer="992" w:gutter="0"/>
          <w:pgNumType w:fmt="decimal"/>
          <w:cols w:space="425" w:num="1"/>
          <w:docGrid w:type="lines" w:linePitch="312" w:charSpace="0"/>
        </w:sectPr>
      </w:pPr>
    </w:p>
    <w:p w14:paraId="44522CCC">
      <w:pPr>
        <w:rPr>
          <w:rFonts w:hint="eastAsia" w:ascii="宋体" w:hAnsi="宋体" w:eastAsia="宋体" w:cs="宋体"/>
          <w:highlight w:val="none"/>
        </w:rPr>
      </w:pPr>
    </w:p>
    <w:p w14:paraId="3D625478">
      <w:pPr>
        <w:numPr>
          <w:ilvl w:val="0"/>
          <w:numId w:val="6"/>
        </w:numPr>
        <w:rPr>
          <w:rFonts w:hint="eastAsia" w:ascii="宋体" w:hAnsi="宋体" w:eastAsia="宋体" w:cs="宋体"/>
          <w:b/>
          <w:sz w:val="36"/>
          <w:szCs w:val="36"/>
          <w:highlight w:val="none"/>
        </w:rPr>
      </w:pPr>
      <w:r>
        <w:rPr>
          <w:rFonts w:hint="eastAsia" w:ascii="宋体" w:hAnsi="宋体" w:eastAsia="宋体" w:cs="宋体"/>
          <w:b/>
          <w:sz w:val="36"/>
          <w:szCs w:val="36"/>
          <w:highlight w:val="none"/>
        </w:rPr>
        <w:t>技术保障措施</w:t>
      </w:r>
    </w:p>
    <w:p w14:paraId="47AE95E6">
      <w:pPr>
        <w:numPr>
          <w:ilvl w:val="0"/>
          <w:numId w:val="6"/>
        </w:numPr>
        <w:rPr>
          <w:rFonts w:hint="eastAsia" w:ascii="宋体" w:hAnsi="宋体" w:eastAsia="宋体" w:cs="宋体"/>
          <w:b/>
          <w:sz w:val="36"/>
          <w:szCs w:val="36"/>
          <w:highlight w:val="none"/>
        </w:rPr>
      </w:pPr>
      <w:r>
        <w:rPr>
          <w:rFonts w:hint="eastAsia" w:ascii="宋体" w:hAnsi="宋体" w:eastAsia="宋体" w:cs="宋体"/>
          <w:b/>
          <w:sz w:val="36"/>
          <w:szCs w:val="36"/>
          <w:highlight w:val="none"/>
        </w:rPr>
        <w:t>投标人认为需要加以说明的其他内容（</w:t>
      </w:r>
      <w:r>
        <w:rPr>
          <w:rFonts w:hint="eastAsia" w:ascii="宋体" w:hAnsi="宋体" w:eastAsia="宋体" w:cs="宋体"/>
          <w:b/>
          <w:sz w:val="36"/>
          <w:szCs w:val="36"/>
          <w:highlight w:val="none"/>
          <w:lang w:val="en-US" w:eastAsia="zh-CN"/>
        </w:rPr>
        <w:t>附件</w:t>
      </w:r>
      <w:r>
        <w:rPr>
          <w:rFonts w:hint="eastAsia" w:ascii="宋体" w:hAnsi="宋体" w:eastAsia="宋体" w:cs="宋体"/>
          <w:b/>
          <w:sz w:val="36"/>
          <w:szCs w:val="36"/>
          <w:highlight w:val="none"/>
        </w:rPr>
        <w:t>）</w:t>
      </w:r>
    </w:p>
    <w:p w14:paraId="40D985E8">
      <w:pPr>
        <w:rPr>
          <w:rFonts w:hint="eastAsia" w:ascii="宋体" w:hAnsi="宋体" w:eastAsia="宋体" w:cs="宋体"/>
          <w:highlight w:val="none"/>
        </w:rPr>
      </w:pPr>
    </w:p>
    <w:p w14:paraId="18E7A11D">
      <w:pPr>
        <w:pStyle w:val="11"/>
        <w:rPr>
          <w:rFonts w:hint="eastAsia" w:ascii="宋体" w:hAnsi="宋体" w:eastAsia="宋体" w:cs="宋体"/>
          <w:b/>
          <w:sz w:val="36"/>
          <w:szCs w:val="36"/>
          <w:highlight w:val="none"/>
        </w:rPr>
      </w:pPr>
    </w:p>
    <w:p w14:paraId="56E86D6B">
      <w:pPr>
        <w:pStyle w:val="11"/>
        <w:rPr>
          <w:rFonts w:hint="eastAsia" w:ascii="宋体" w:hAnsi="宋体" w:eastAsia="宋体" w:cs="宋体"/>
          <w:b/>
          <w:sz w:val="36"/>
          <w:szCs w:val="36"/>
          <w:highlight w:val="none"/>
        </w:rPr>
      </w:pPr>
    </w:p>
    <w:p w14:paraId="17B9AC5B">
      <w:pPr>
        <w:pStyle w:val="11"/>
        <w:rPr>
          <w:rFonts w:hint="eastAsia" w:ascii="宋体" w:hAnsi="宋体" w:eastAsia="宋体" w:cs="宋体"/>
          <w:b/>
          <w:sz w:val="36"/>
          <w:szCs w:val="36"/>
          <w:highlight w:val="none"/>
        </w:rPr>
      </w:pPr>
    </w:p>
    <w:p w14:paraId="763B7CAC">
      <w:pPr>
        <w:pStyle w:val="11"/>
        <w:rPr>
          <w:rFonts w:hint="eastAsia" w:ascii="宋体" w:hAnsi="宋体" w:eastAsia="宋体" w:cs="宋体"/>
          <w:b/>
          <w:sz w:val="36"/>
          <w:szCs w:val="36"/>
          <w:highlight w:val="none"/>
        </w:rPr>
      </w:pPr>
    </w:p>
    <w:p w14:paraId="686EFC29">
      <w:pPr>
        <w:snapToGrid w:val="0"/>
        <w:spacing w:line="360" w:lineRule="auto"/>
        <w:rPr>
          <w:rFonts w:hint="eastAsia" w:ascii="宋体" w:hAnsi="宋体" w:eastAsia="宋体" w:cs="宋体"/>
          <w:bCs/>
          <w:szCs w:val="21"/>
          <w:highlight w:val="none"/>
        </w:rPr>
      </w:pPr>
    </w:p>
    <w:p w14:paraId="4251DC75">
      <w:pPr>
        <w:pStyle w:val="11"/>
        <w:jc w:val="both"/>
        <w:rPr>
          <w:rFonts w:hint="eastAsia" w:ascii="宋体" w:hAnsi="宋体" w:eastAsia="宋体" w:cs="宋体"/>
          <w:highlight w:val="none"/>
        </w:rPr>
      </w:pPr>
      <w:r>
        <w:rPr>
          <w:rFonts w:hint="eastAsia" w:ascii="宋体" w:hAnsi="宋体" w:eastAsia="宋体" w:cs="宋体"/>
          <w:highlight w:val="none"/>
        </w:rPr>
        <w:br w:type="page"/>
      </w:r>
    </w:p>
    <w:p w14:paraId="6548FF3D">
      <w:pPr>
        <w:pStyle w:val="4"/>
        <w:numPr>
          <w:ilvl w:val="0"/>
          <w:numId w:val="2"/>
        </w:numPr>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合同条款</w:t>
      </w:r>
    </w:p>
    <w:p w14:paraId="738085A2">
      <w:pPr>
        <w:jc w:val="center"/>
        <w:rPr>
          <w:rFonts w:hint="eastAsia" w:ascii="宋体" w:hAnsi="宋体" w:eastAsia="宋体" w:cs="宋体"/>
          <w:highlight w:val="none"/>
        </w:rPr>
      </w:pPr>
      <w:r>
        <w:rPr>
          <w:rFonts w:hint="eastAsia" w:ascii="宋体" w:hAnsi="宋体" w:eastAsia="宋体" w:cs="宋体"/>
          <w:b/>
          <w:highlight w:val="none"/>
        </w:rPr>
        <w:t>（仅供参考，项目具体要求以招标项目需求为准）</w:t>
      </w:r>
    </w:p>
    <w:p w14:paraId="4F5BB20B">
      <w:pPr>
        <w:rPr>
          <w:rFonts w:hint="eastAsia" w:ascii="宋体" w:hAnsi="宋体" w:eastAsia="宋体" w:cs="宋体"/>
          <w:b/>
          <w:bCs/>
          <w:szCs w:val="21"/>
          <w:highlight w:val="none"/>
        </w:rPr>
      </w:pPr>
    </w:p>
    <w:p w14:paraId="6E126C74">
      <w:pPr>
        <w:rPr>
          <w:rFonts w:hint="eastAsia" w:ascii="宋体" w:hAnsi="宋体" w:eastAsia="宋体" w:cs="宋体"/>
          <w:b/>
          <w:bCs/>
          <w:szCs w:val="21"/>
          <w:highlight w:val="none"/>
        </w:rPr>
      </w:pPr>
    </w:p>
    <w:p w14:paraId="6D318FEF">
      <w:pPr>
        <w:rPr>
          <w:rFonts w:hint="eastAsia" w:ascii="宋体" w:hAnsi="宋体" w:eastAsia="宋体" w:cs="宋体"/>
          <w:b/>
          <w:bCs/>
          <w:szCs w:val="21"/>
          <w:highlight w:val="none"/>
        </w:rPr>
      </w:pPr>
      <w:r>
        <w:rPr>
          <w:rFonts w:hint="eastAsia" w:ascii="宋体" w:hAnsi="宋体" w:eastAsia="宋体" w:cs="宋体"/>
          <w:b/>
          <w:bCs/>
          <w:szCs w:val="21"/>
          <w:highlight w:val="none"/>
        </w:rPr>
        <w:t xml:space="preserve">                              </w:t>
      </w:r>
    </w:p>
    <w:p w14:paraId="7A34F224">
      <w:pPr>
        <w:rPr>
          <w:rFonts w:hint="eastAsia" w:ascii="宋体" w:hAnsi="宋体" w:eastAsia="宋体" w:cs="宋体"/>
          <w:szCs w:val="21"/>
          <w:highlight w:val="none"/>
        </w:rPr>
      </w:pPr>
    </w:p>
    <w:p w14:paraId="61607DB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工程名称：                                     </w:t>
      </w:r>
    </w:p>
    <w:p w14:paraId="05043C7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工程地点：                                    </w:t>
      </w:r>
    </w:p>
    <w:p w14:paraId="25284E9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采购单位：                                     </w:t>
      </w:r>
    </w:p>
    <w:p w14:paraId="233D406D">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中标单位：                                       </w:t>
      </w:r>
    </w:p>
    <w:p w14:paraId="278505D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编制说明</w:t>
      </w:r>
    </w:p>
    <w:p w14:paraId="4A2992D7">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p>
    <w:p w14:paraId="745C4E8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本合同是根据《中华人民共和国民法典》、《中华人民共和国建筑法》、《中华人民共和国招</w:t>
      </w:r>
      <w:r>
        <w:rPr>
          <w:rFonts w:hint="eastAsia" w:ascii="宋体" w:hAnsi="宋体" w:eastAsia="宋体" w:cs="宋体"/>
          <w:sz w:val="24"/>
          <w:szCs w:val="24"/>
          <w:lang w:val="en-US" w:eastAsia="zh-CN"/>
        </w:rPr>
        <w:t>标</w:t>
      </w:r>
      <w:r>
        <w:rPr>
          <w:rFonts w:hint="eastAsia" w:ascii="宋体" w:hAnsi="宋体" w:eastAsia="宋体" w:cs="宋体"/>
          <w:sz w:val="24"/>
          <w:szCs w:val="24"/>
        </w:rPr>
        <w:t>投标法》等法律以及深圳市相关的法规制定的项目建设工程施工合同，针对项目实际情况简化后的施工合同。</w:t>
      </w:r>
    </w:p>
    <w:p w14:paraId="4B6F24C5">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本合同包括工程概况、合同工期、质量标准、合同条款等合同主要内容，明确了组成合同的所有文件，并约定了合同生效的方式及合同订立的时间、地点。招标投标的工程，合同当事人应当依据招投标文件订立合同，合同条款不得与招投标文件内容有实质性背离。</w:t>
      </w:r>
    </w:p>
    <w:p w14:paraId="09A4D4EE">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本合同适用于建设工程施工承发包单价合同（固定单价合同）。</w:t>
      </w:r>
    </w:p>
    <w:p w14:paraId="66B901E4">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任何人未经采购单位人同意，不得以任何形式复制、抄袭本合同的任何部分。</w:t>
      </w:r>
    </w:p>
    <w:p w14:paraId="36F2B55B">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第一部分  协议书</w:t>
      </w:r>
    </w:p>
    <w:p w14:paraId="06DDDD1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p>
    <w:p w14:paraId="783D5DC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采购单位(全称)：                  </w:t>
      </w:r>
    </w:p>
    <w:p w14:paraId="7A69ED2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中标单位(全称)：                  </w:t>
      </w:r>
    </w:p>
    <w:p w14:paraId="2895B18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根据《中华人民共和国民法典》、《中华人民共和国建筑法》等有关法律、法规，遵循平等、自愿、公平和诚信的原则，发、中标单位就本工程施工事项协商一致，订立本合同，达成协议如下：</w:t>
      </w:r>
    </w:p>
    <w:p w14:paraId="4910CAD4">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p>
    <w:p w14:paraId="48B9CA0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一、工程概况</w:t>
      </w:r>
    </w:p>
    <w:p w14:paraId="76BBEB4D">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工程名称：                                                        </w:t>
      </w:r>
    </w:p>
    <w:p w14:paraId="2440E9ED">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工程地点：                                      </w:t>
      </w:r>
    </w:p>
    <w:p w14:paraId="34CDA83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工程规模及特征： 小型工程，具体施工内容详见设计图纸               </w:t>
      </w:r>
    </w:p>
    <w:p w14:paraId="00B95A3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工程承包范围：  详见预算书或工程量清单                            </w:t>
      </w:r>
    </w:p>
    <w:p w14:paraId="4AF01F8C">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资金来源：      财政性资金100%                                   </w:t>
      </w:r>
    </w:p>
    <w:p w14:paraId="1294F7E5">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二、合同工期</w:t>
      </w:r>
    </w:p>
    <w:p w14:paraId="3E2B2ED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计划开工日期：                              </w:t>
      </w:r>
    </w:p>
    <w:p w14:paraId="47BB995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计划竣工日期：                                 </w:t>
      </w:r>
    </w:p>
    <w:p w14:paraId="2DD9106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合同工期总日历天数            天。</w:t>
      </w:r>
    </w:p>
    <w:p w14:paraId="4BD54F77">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1、因采购单位原因导致本合同项目不能在约定日期开工的，以具备开工条件的时间为开工日期，工期相应顺延。采购单位与中标单位双方应书面确认具体开工时间。</w:t>
      </w:r>
    </w:p>
    <w:p w14:paraId="131EE38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2、因中标单位原因导致本合同项目不能在约定的日期开工的，工期不予顺</w:t>
      </w:r>
    </w:p>
    <w:p w14:paraId="0B22BCD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延。</w:t>
      </w:r>
    </w:p>
    <w:p w14:paraId="4219B2F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3、自工程完工之日起   日内，中标单位通知采购单位验收。经采购单位确认验收通过的时间为竣工日期。</w:t>
      </w:r>
      <w:r>
        <w:rPr>
          <w:rFonts w:hint="eastAsia" w:ascii="宋体" w:hAnsi="宋体" w:eastAsia="宋体" w:cs="宋体"/>
          <w:sz w:val="24"/>
          <w:szCs w:val="24"/>
          <w:lang w:val="en-US" w:eastAsia="zh-CN"/>
        </w:rPr>
        <w:t>中标单位不存在违约情形时，</w:t>
      </w:r>
      <w:r>
        <w:rPr>
          <w:rFonts w:hint="eastAsia" w:ascii="宋体" w:hAnsi="宋体" w:eastAsia="宋体" w:cs="宋体"/>
          <w:sz w:val="24"/>
          <w:szCs w:val="24"/>
        </w:rPr>
        <w:t>因采购单位原因不进行验收的，中标单位向采购单位发出验收通知的时间为竣工日期。采购单位在中标单位发出验收通知前擅自使用的，视为已经验收，采购单位开始使用的时间为竣工日期。</w:t>
      </w:r>
    </w:p>
    <w:p w14:paraId="64E63007">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三、质量标准</w:t>
      </w:r>
    </w:p>
    <w:p w14:paraId="364E836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本工程质量标准应当符合中华人民共和国《建筑工程施工质量验收统一标准》等国家、行业、施工项目所在地政府部门制定的质量标准及其他有关法律法规的规定。</w:t>
      </w:r>
    </w:p>
    <w:p w14:paraId="6FFC416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四、合同价款</w:t>
      </w:r>
    </w:p>
    <w:p w14:paraId="7057C62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1、币种：            </w:t>
      </w:r>
    </w:p>
    <w:p w14:paraId="61F36F4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2、合同总价（大写）：             </w:t>
      </w:r>
    </w:p>
    <w:p w14:paraId="7328AEC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lang w:val="zh-CN"/>
        </w:rPr>
      </w:pPr>
      <w:r>
        <w:rPr>
          <w:rFonts w:hint="eastAsia" w:ascii="宋体" w:hAnsi="宋体" w:eastAsia="宋体" w:cs="宋体"/>
          <w:sz w:val="24"/>
          <w:szCs w:val="24"/>
        </w:rPr>
        <w:t>（小写）：¥</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元 </w:t>
      </w:r>
    </w:p>
    <w:p w14:paraId="232105E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（其中本项目预算价为           元，大写              元，下浮率    %）</w:t>
      </w:r>
    </w:p>
    <w:p w14:paraId="41D8575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3、项目单价：详见经采购单位与中标单位盖章确认的工程报价单或预算书。</w:t>
      </w:r>
    </w:p>
    <w:p w14:paraId="38ED2237">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五、工程款支付</w:t>
      </w:r>
    </w:p>
    <w:p w14:paraId="7F44845D">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1、采购单位向中标单位支付工程预付款的时间：                  </w:t>
      </w:r>
    </w:p>
    <w:p w14:paraId="477043F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2、采购单位向中标单位支付工程预付款的数额：   合同总价的（10-20）％         </w:t>
      </w:r>
    </w:p>
    <w:p w14:paraId="65F750C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3、办理期中结算与支付的时间间隔和要求：本合同工程进度款按月进度申报，中标单位向采购单位提交已完成工程量报表，经监理人和采购单位审核确认后进行支付。</w:t>
      </w:r>
    </w:p>
    <w:p w14:paraId="608EE6BD">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采购单位自本合同工程竣工验收合格之日起   日内，向中标单位支付至合同总价的  %，经采购单位审定造价之日起   日内向中标单位支付至合同总价的  %，剩余的  %作为工程质量缺陷保修金，采购单位应自本合同工程项目保修期满之日起  个工作日内将尾支付至中标单位。</w:t>
      </w:r>
    </w:p>
    <w:p w14:paraId="782FAAF9">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六、承诺</w:t>
      </w:r>
    </w:p>
    <w:p w14:paraId="05DEF0A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1、采购单位向中标单位承诺按照本合同约定的期限和方式支付合同价款及其它应当支付的款项,并履行本合同所约定的全部义务。</w:t>
      </w:r>
    </w:p>
    <w:p w14:paraId="24F50F2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2、中标单位向采购单位承诺按照本合同约定进行施工、竣工并在缺陷责任期内及保修期内承担工程质量缺陷保修责任,并履行本合同书所约定的全部义务。</w:t>
      </w:r>
    </w:p>
    <w:p w14:paraId="70C123DF">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七、合同生效</w:t>
      </w:r>
    </w:p>
    <w:p w14:paraId="1243D0C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采购单位、中标单位约定本合同自双方法定代表人（或负责人）签字并加盖单位公章之日起生效。</w:t>
      </w:r>
    </w:p>
    <w:p w14:paraId="75349934">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八、合同份数</w:t>
      </w:r>
    </w:p>
    <w:p w14:paraId="7CED1527">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本合同一式陆份，采购单位肆份，中标单位贰份，均具有同等的法律效力。</w:t>
      </w:r>
    </w:p>
    <w:p w14:paraId="22BBE6BD">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九、补充协议</w:t>
      </w:r>
    </w:p>
    <w:p w14:paraId="56354E6D">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合同未尽事宜，采购单位、中标单位另行签订书面补充协议，补充协议是合同的组成部分。</w:t>
      </w:r>
    </w:p>
    <w:p w14:paraId="6144DD89">
      <w:pPr>
        <w:pStyle w:val="8"/>
        <w:keepNext w:val="0"/>
        <w:keepLines w:val="0"/>
        <w:pageBreakBefore w:val="0"/>
        <w:widowControl/>
        <w:numPr>
          <w:ilvl w:val="0"/>
          <w:numId w:val="7"/>
        </w:numPr>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争议的解决</w:t>
      </w:r>
    </w:p>
    <w:p w14:paraId="273238C4">
      <w:pPr>
        <w:pStyle w:val="8"/>
        <w:keepNext w:val="0"/>
        <w:keepLines w:val="0"/>
        <w:pageBreakBefore w:val="0"/>
        <w:widowControl/>
        <w:kinsoku/>
        <w:wordWrap/>
        <w:overflowPunct/>
        <w:topLinePunct w:val="0"/>
        <w:bidi w:val="0"/>
        <w:snapToGrid/>
        <w:ind w:firstLine="0"/>
        <w:rPr>
          <w:rFonts w:hint="eastAsia" w:ascii="宋体" w:hAnsi="宋体" w:eastAsia="宋体" w:cs="宋体"/>
          <w:sz w:val="24"/>
          <w:szCs w:val="24"/>
        </w:rPr>
      </w:pPr>
      <w:r>
        <w:rPr>
          <w:rFonts w:hint="eastAsia" w:ascii="宋体" w:hAnsi="宋体" w:eastAsia="宋体" w:cs="宋体"/>
          <w:sz w:val="24"/>
          <w:szCs w:val="24"/>
        </w:rPr>
        <w:t xml:space="preserve">    因履行本合同发生的一切争议，双方应友好协商解决，协商不成的，任何一方均可向</w:t>
      </w:r>
      <w:r>
        <w:rPr>
          <w:rFonts w:hint="eastAsia" w:ascii="宋体" w:hAnsi="宋体" w:eastAsia="宋体" w:cs="宋体"/>
          <w:sz w:val="24"/>
          <w:szCs w:val="24"/>
          <w:lang w:val="en-US" w:eastAsia="zh-CN"/>
        </w:rPr>
        <w:t>采购单位所在地有管辖权的人民法院提起诉讼</w:t>
      </w:r>
      <w:r>
        <w:rPr>
          <w:rFonts w:hint="eastAsia" w:ascii="宋体" w:hAnsi="宋体" w:eastAsia="宋体" w:cs="宋体"/>
          <w:sz w:val="24"/>
          <w:szCs w:val="24"/>
        </w:rPr>
        <w:t>。</w:t>
      </w:r>
    </w:p>
    <w:p w14:paraId="2935647B">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十一、签订时间</w:t>
      </w:r>
    </w:p>
    <w:p w14:paraId="67851804">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本合同于     年    月    日订立。</w:t>
      </w:r>
    </w:p>
    <w:p w14:paraId="234E5A3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十二、签订地点</w:t>
      </w:r>
    </w:p>
    <w:p w14:paraId="14F59535">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本合同在        签订。 </w:t>
      </w:r>
    </w:p>
    <w:p w14:paraId="35E441F5">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p>
    <w:p w14:paraId="581125EB">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18"/>
        <w:tblW w:w="0" w:type="auto"/>
        <w:tblInd w:w="468" w:type="dxa"/>
        <w:tblLayout w:type="fixed"/>
        <w:tblCellMar>
          <w:top w:w="0" w:type="dxa"/>
          <w:left w:w="108" w:type="dxa"/>
          <w:bottom w:w="0" w:type="dxa"/>
          <w:right w:w="108" w:type="dxa"/>
        </w:tblCellMar>
      </w:tblPr>
      <w:tblGrid>
        <w:gridCol w:w="1805"/>
        <w:gridCol w:w="2166"/>
        <w:gridCol w:w="1805"/>
        <w:gridCol w:w="2375"/>
      </w:tblGrid>
      <w:tr w14:paraId="6A077C58">
        <w:tblPrEx>
          <w:tblCellMar>
            <w:top w:w="0" w:type="dxa"/>
            <w:left w:w="108" w:type="dxa"/>
            <w:bottom w:w="0" w:type="dxa"/>
            <w:right w:w="108" w:type="dxa"/>
          </w:tblCellMar>
        </w:tblPrEx>
        <w:trPr>
          <w:trHeight w:val="567" w:hRule="exact"/>
        </w:trPr>
        <w:tc>
          <w:tcPr>
            <w:tcW w:w="1805" w:type="dxa"/>
            <w:noWrap w:val="0"/>
            <w:vAlign w:val="top"/>
          </w:tcPr>
          <w:p w14:paraId="7413E6A3">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采购单位</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公章</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w:t>
            </w:r>
          </w:p>
        </w:tc>
        <w:tc>
          <w:tcPr>
            <w:tcW w:w="2166" w:type="dxa"/>
            <w:noWrap w:val="0"/>
            <w:vAlign w:val="top"/>
          </w:tcPr>
          <w:p w14:paraId="657BBF06">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p>
          <w:p w14:paraId="77D0A65E">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p>
          <w:p w14:paraId="68547C95">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p>
        </w:tc>
        <w:tc>
          <w:tcPr>
            <w:tcW w:w="1805" w:type="dxa"/>
            <w:noWrap w:val="0"/>
            <w:vAlign w:val="top"/>
          </w:tcPr>
          <w:p w14:paraId="7111389F">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中标单位</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公章</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w:t>
            </w:r>
          </w:p>
        </w:tc>
        <w:tc>
          <w:tcPr>
            <w:tcW w:w="2375" w:type="dxa"/>
            <w:noWrap w:val="0"/>
            <w:vAlign w:val="top"/>
          </w:tcPr>
          <w:p w14:paraId="5EE41163">
            <w:pPr>
              <w:pStyle w:val="8"/>
              <w:keepNext w:val="0"/>
              <w:keepLines w:val="0"/>
              <w:pageBreakBefore w:val="0"/>
              <w:widowControl/>
              <w:kinsoku/>
              <w:wordWrap/>
              <w:overflowPunct/>
              <w:topLinePunct w:val="0"/>
              <w:autoSpaceDE/>
              <w:autoSpaceDN/>
              <w:bidi w:val="0"/>
              <w:adjustRightInd/>
              <w:snapToGrid/>
              <w:ind w:firstLine="448" w:firstLineChars="187"/>
              <w:textAlignment w:val="auto"/>
              <w:rPr>
                <w:rFonts w:hint="eastAsia" w:ascii="宋体" w:hAnsi="宋体" w:eastAsia="宋体" w:cs="宋体"/>
                <w:sz w:val="24"/>
                <w:szCs w:val="24"/>
                <w:lang w:val="en-US" w:eastAsia="zh-CN"/>
              </w:rPr>
            </w:pPr>
          </w:p>
          <w:p w14:paraId="5231E50E">
            <w:pPr>
              <w:pStyle w:val="8"/>
              <w:keepNext w:val="0"/>
              <w:keepLines w:val="0"/>
              <w:pageBreakBefore w:val="0"/>
              <w:widowControl/>
              <w:kinsoku/>
              <w:wordWrap/>
              <w:overflowPunct/>
              <w:topLinePunct w:val="0"/>
              <w:autoSpaceDE/>
              <w:autoSpaceDN/>
              <w:bidi w:val="0"/>
              <w:adjustRightInd/>
              <w:snapToGrid/>
              <w:ind w:firstLine="448" w:firstLineChars="187"/>
              <w:textAlignment w:val="auto"/>
              <w:rPr>
                <w:rFonts w:hint="eastAsia" w:ascii="宋体" w:hAnsi="宋体" w:eastAsia="宋体" w:cs="宋体"/>
                <w:sz w:val="24"/>
                <w:szCs w:val="24"/>
                <w:lang w:val="en-US" w:eastAsia="zh-CN"/>
              </w:rPr>
            </w:pPr>
          </w:p>
          <w:p w14:paraId="6ECCA190">
            <w:pPr>
              <w:pStyle w:val="8"/>
              <w:keepNext w:val="0"/>
              <w:keepLines w:val="0"/>
              <w:pageBreakBefore w:val="0"/>
              <w:widowControl/>
              <w:kinsoku/>
              <w:wordWrap/>
              <w:overflowPunct/>
              <w:topLinePunct w:val="0"/>
              <w:autoSpaceDE/>
              <w:autoSpaceDN/>
              <w:bidi w:val="0"/>
              <w:adjustRightInd/>
              <w:snapToGrid/>
              <w:ind w:firstLine="448" w:firstLineChars="187"/>
              <w:textAlignment w:val="auto"/>
              <w:rPr>
                <w:rFonts w:hint="eastAsia" w:ascii="宋体" w:hAnsi="宋体" w:eastAsia="宋体" w:cs="宋体"/>
                <w:sz w:val="24"/>
                <w:szCs w:val="24"/>
                <w:lang w:val="en-US" w:eastAsia="zh-CN"/>
              </w:rPr>
            </w:pPr>
          </w:p>
          <w:p w14:paraId="4FF0C081">
            <w:pPr>
              <w:pStyle w:val="8"/>
              <w:keepNext w:val="0"/>
              <w:keepLines w:val="0"/>
              <w:pageBreakBefore w:val="0"/>
              <w:widowControl/>
              <w:kinsoku/>
              <w:wordWrap/>
              <w:overflowPunct/>
              <w:topLinePunct w:val="0"/>
              <w:autoSpaceDE/>
              <w:autoSpaceDN/>
              <w:bidi w:val="0"/>
              <w:adjustRightInd/>
              <w:snapToGrid/>
              <w:ind w:firstLine="448" w:firstLineChars="187"/>
              <w:textAlignment w:val="auto"/>
              <w:rPr>
                <w:rFonts w:hint="eastAsia" w:ascii="宋体" w:hAnsi="宋体" w:eastAsia="宋体" w:cs="宋体"/>
                <w:sz w:val="24"/>
                <w:szCs w:val="24"/>
                <w:lang w:val="en-US" w:eastAsia="zh-CN"/>
              </w:rPr>
            </w:pPr>
          </w:p>
        </w:tc>
      </w:tr>
      <w:tr w14:paraId="479C6155">
        <w:tblPrEx>
          <w:tblCellMar>
            <w:top w:w="0" w:type="dxa"/>
            <w:left w:w="108" w:type="dxa"/>
            <w:bottom w:w="0" w:type="dxa"/>
            <w:right w:w="108" w:type="dxa"/>
          </w:tblCellMar>
        </w:tblPrEx>
        <w:trPr>
          <w:trHeight w:val="567" w:hRule="exact"/>
        </w:trPr>
        <w:tc>
          <w:tcPr>
            <w:tcW w:w="1805" w:type="dxa"/>
            <w:noWrap w:val="0"/>
            <w:vAlign w:val="top"/>
          </w:tcPr>
          <w:p w14:paraId="7DCD27D5">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p>
        </w:tc>
        <w:tc>
          <w:tcPr>
            <w:tcW w:w="2166" w:type="dxa"/>
            <w:noWrap w:val="0"/>
            <w:vAlign w:val="top"/>
          </w:tcPr>
          <w:p w14:paraId="3060D8A0">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p>
        </w:tc>
        <w:tc>
          <w:tcPr>
            <w:tcW w:w="1805" w:type="dxa"/>
            <w:noWrap w:val="0"/>
            <w:vAlign w:val="top"/>
          </w:tcPr>
          <w:p w14:paraId="65D3C412">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p>
        </w:tc>
        <w:tc>
          <w:tcPr>
            <w:tcW w:w="2375" w:type="dxa"/>
            <w:noWrap w:val="0"/>
            <w:vAlign w:val="top"/>
          </w:tcPr>
          <w:p w14:paraId="616A9671">
            <w:pPr>
              <w:pStyle w:val="8"/>
              <w:keepNext w:val="0"/>
              <w:keepLines w:val="0"/>
              <w:pageBreakBefore w:val="0"/>
              <w:widowControl/>
              <w:kinsoku/>
              <w:wordWrap/>
              <w:overflowPunct/>
              <w:topLinePunct w:val="0"/>
              <w:autoSpaceDE/>
              <w:autoSpaceDN/>
              <w:bidi w:val="0"/>
              <w:adjustRightInd/>
              <w:snapToGrid/>
              <w:ind w:firstLine="448" w:firstLineChars="187"/>
              <w:textAlignment w:val="auto"/>
              <w:rPr>
                <w:rFonts w:hint="eastAsia" w:ascii="宋体" w:hAnsi="宋体" w:eastAsia="宋体" w:cs="宋体"/>
                <w:sz w:val="24"/>
                <w:szCs w:val="24"/>
                <w:lang w:val="en-US" w:eastAsia="zh-CN"/>
              </w:rPr>
            </w:pPr>
          </w:p>
        </w:tc>
      </w:tr>
      <w:tr w14:paraId="522F9DC6">
        <w:tblPrEx>
          <w:tblCellMar>
            <w:top w:w="0" w:type="dxa"/>
            <w:left w:w="108" w:type="dxa"/>
            <w:bottom w:w="0" w:type="dxa"/>
            <w:right w:w="108" w:type="dxa"/>
          </w:tblCellMar>
        </w:tblPrEx>
        <w:trPr>
          <w:trHeight w:val="567" w:hRule="exact"/>
        </w:trPr>
        <w:tc>
          <w:tcPr>
            <w:tcW w:w="1805" w:type="dxa"/>
            <w:noWrap w:val="0"/>
            <w:vAlign w:val="top"/>
          </w:tcPr>
          <w:p w14:paraId="1C02F22F">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委托代理人：</w:t>
            </w:r>
          </w:p>
        </w:tc>
        <w:tc>
          <w:tcPr>
            <w:tcW w:w="2166" w:type="dxa"/>
            <w:noWrap w:val="0"/>
            <w:vAlign w:val="top"/>
          </w:tcPr>
          <w:p w14:paraId="44856ABD">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p>
        </w:tc>
        <w:tc>
          <w:tcPr>
            <w:tcW w:w="1805" w:type="dxa"/>
            <w:noWrap w:val="0"/>
            <w:vAlign w:val="top"/>
          </w:tcPr>
          <w:p w14:paraId="107DC391">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委托代理人：</w:t>
            </w:r>
          </w:p>
        </w:tc>
        <w:tc>
          <w:tcPr>
            <w:tcW w:w="2375" w:type="dxa"/>
            <w:noWrap w:val="0"/>
            <w:vAlign w:val="top"/>
          </w:tcPr>
          <w:p w14:paraId="0B9F1590">
            <w:pPr>
              <w:pStyle w:val="8"/>
              <w:keepNext w:val="0"/>
              <w:keepLines w:val="0"/>
              <w:pageBreakBefore w:val="0"/>
              <w:widowControl/>
              <w:kinsoku/>
              <w:wordWrap/>
              <w:overflowPunct/>
              <w:topLinePunct w:val="0"/>
              <w:autoSpaceDE/>
              <w:autoSpaceDN/>
              <w:bidi w:val="0"/>
              <w:adjustRightInd/>
              <w:snapToGrid/>
              <w:ind w:firstLine="448" w:firstLineChars="187"/>
              <w:textAlignment w:val="auto"/>
              <w:rPr>
                <w:rFonts w:hint="eastAsia" w:ascii="宋体" w:hAnsi="宋体" w:eastAsia="宋体" w:cs="宋体"/>
                <w:sz w:val="24"/>
                <w:szCs w:val="24"/>
                <w:lang w:val="en-US" w:eastAsia="zh-CN"/>
              </w:rPr>
            </w:pPr>
          </w:p>
        </w:tc>
      </w:tr>
      <w:tr w14:paraId="695FC9C5">
        <w:tblPrEx>
          <w:tblCellMar>
            <w:top w:w="0" w:type="dxa"/>
            <w:left w:w="108" w:type="dxa"/>
            <w:bottom w:w="0" w:type="dxa"/>
            <w:right w:w="108" w:type="dxa"/>
          </w:tblCellMar>
        </w:tblPrEx>
        <w:trPr>
          <w:trHeight w:val="567" w:hRule="exact"/>
        </w:trPr>
        <w:tc>
          <w:tcPr>
            <w:tcW w:w="1805" w:type="dxa"/>
            <w:noWrap w:val="0"/>
            <w:vAlign w:val="top"/>
          </w:tcPr>
          <w:p w14:paraId="37D1F781">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 户 银 行：</w:t>
            </w:r>
          </w:p>
        </w:tc>
        <w:tc>
          <w:tcPr>
            <w:tcW w:w="2166" w:type="dxa"/>
            <w:noWrap w:val="0"/>
            <w:vAlign w:val="top"/>
          </w:tcPr>
          <w:p w14:paraId="48B082AD">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p>
        </w:tc>
        <w:tc>
          <w:tcPr>
            <w:tcW w:w="1805" w:type="dxa"/>
            <w:noWrap w:val="0"/>
            <w:vAlign w:val="top"/>
          </w:tcPr>
          <w:p w14:paraId="21FF8109">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 户 银 行：</w:t>
            </w:r>
          </w:p>
        </w:tc>
        <w:tc>
          <w:tcPr>
            <w:tcW w:w="2375" w:type="dxa"/>
            <w:noWrap w:val="0"/>
            <w:vAlign w:val="top"/>
          </w:tcPr>
          <w:p w14:paraId="725475F4">
            <w:pPr>
              <w:pStyle w:val="8"/>
              <w:keepNext w:val="0"/>
              <w:keepLines w:val="0"/>
              <w:pageBreakBefore w:val="0"/>
              <w:widowControl/>
              <w:kinsoku/>
              <w:wordWrap/>
              <w:overflowPunct/>
              <w:topLinePunct w:val="0"/>
              <w:autoSpaceDE/>
              <w:autoSpaceDN/>
              <w:bidi w:val="0"/>
              <w:adjustRightInd/>
              <w:snapToGrid/>
              <w:ind w:firstLine="448" w:firstLineChars="187"/>
              <w:textAlignment w:val="auto"/>
              <w:rPr>
                <w:rFonts w:hint="eastAsia" w:ascii="宋体" w:hAnsi="宋体" w:eastAsia="宋体" w:cs="宋体"/>
                <w:sz w:val="24"/>
                <w:szCs w:val="24"/>
                <w:lang w:val="en-US" w:eastAsia="zh-CN"/>
              </w:rPr>
            </w:pPr>
          </w:p>
        </w:tc>
      </w:tr>
      <w:tr w14:paraId="4EA9D990">
        <w:tblPrEx>
          <w:tblCellMar>
            <w:top w:w="0" w:type="dxa"/>
            <w:left w:w="108" w:type="dxa"/>
            <w:bottom w:w="0" w:type="dxa"/>
            <w:right w:w="108" w:type="dxa"/>
          </w:tblCellMar>
        </w:tblPrEx>
        <w:trPr>
          <w:trHeight w:val="567" w:hRule="exact"/>
        </w:trPr>
        <w:tc>
          <w:tcPr>
            <w:tcW w:w="1805" w:type="dxa"/>
            <w:noWrap w:val="0"/>
            <w:vAlign w:val="top"/>
          </w:tcPr>
          <w:p w14:paraId="4F3624DC">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       号：</w:t>
            </w:r>
          </w:p>
        </w:tc>
        <w:tc>
          <w:tcPr>
            <w:tcW w:w="2166" w:type="dxa"/>
            <w:noWrap w:val="0"/>
            <w:vAlign w:val="top"/>
          </w:tcPr>
          <w:p w14:paraId="29CFD2D6">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p>
        </w:tc>
        <w:tc>
          <w:tcPr>
            <w:tcW w:w="1805" w:type="dxa"/>
            <w:noWrap w:val="0"/>
            <w:vAlign w:val="top"/>
          </w:tcPr>
          <w:p w14:paraId="3E6EA140">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      号：</w:t>
            </w:r>
          </w:p>
        </w:tc>
        <w:tc>
          <w:tcPr>
            <w:tcW w:w="2375" w:type="dxa"/>
            <w:noWrap w:val="0"/>
            <w:vAlign w:val="top"/>
          </w:tcPr>
          <w:p w14:paraId="71244E9A">
            <w:pPr>
              <w:pStyle w:val="8"/>
              <w:keepNext w:val="0"/>
              <w:keepLines w:val="0"/>
              <w:pageBreakBefore w:val="0"/>
              <w:widowControl/>
              <w:kinsoku/>
              <w:wordWrap/>
              <w:overflowPunct/>
              <w:topLinePunct w:val="0"/>
              <w:autoSpaceDE/>
              <w:autoSpaceDN/>
              <w:bidi w:val="0"/>
              <w:adjustRightInd/>
              <w:snapToGrid/>
              <w:ind w:firstLine="448" w:firstLineChars="187"/>
              <w:textAlignment w:val="auto"/>
              <w:rPr>
                <w:rFonts w:hint="eastAsia" w:ascii="宋体" w:hAnsi="宋体" w:eastAsia="宋体" w:cs="宋体"/>
                <w:sz w:val="24"/>
                <w:szCs w:val="24"/>
                <w:lang w:val="en-US" w:eastAsia="zh-CN"/>
              </w:rPr>
            </w:pPr>
          </w:p>
        </w:tc>
      </w:tr>
      <w:tr w14:paraId="5E07C0A8">
        <w:tblPrEx>
          <w:tblCellMar>
            <w:top w:w="0" w:type="dxa"/>
            <w:left w:w="108" w:type="dxa"/>
            <w:bottom w:w="0" w:type="dxa"/>
            <w:right w:w="108" w:type="dxa"/>
          </w:tblCellMar>
        </w:tblPrEx>
        <w:trPr>
          <w:trHeight w:val="567" w:hRule="exact"/>
        </w:trPr>
        <w:tc>
          <w:tcPr>
            <w:tcW w:w="1805" w:type="dxa"/>
            <w:noWrap w:val="0"/>
            <w:vAlign w:val="top"/>
          </w:tcPr>
          <w:p w14:paraId="206F972C">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w:t>
            </w:r>
          </w:p>
        </w:tc>
        <w:tc>
          <w:tcPr>
            <w:tcW w:w="2166" w:type="dxa"/>
            <w:noWrap w:val="0"/>
            <w:vAlign w:val="top"/>
          </w:tcPr>
          <w:p w14:paraId="4B4D3111">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p>
        </w:tc>
        <w:tc>
          <w:tcPr>
            <w:tcW w:w="1805" w:type="dxa"/>
            <w:noWrap w:val="0"/>
            <w:vAlign w:val="top"/>
          </w:tcPr>
          <w:p w14:paraId="49732B4B">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w:t>
            </w:r>
          </w:p>
        </w:tc>
        <w:tc>
          <w:tcPr>
            <w:tcW w:w="2375" w:type="dxa"/>
            <w:noWrap w:val="0"/>
            <w:vAlign w:val="top"/>
          </w:tcPr>
          <w:p w14:paraId="4B6646B3">
            <w:pPr>
              <w:pStyle w:val="8"/>
              <w:keepNext w:val="0"/>
              <w:keepLines w:val="0"/>
              <w:pageBreakBefore w:val="0"/>
              <w:widowControl/>
              <w:kinsoku/>
              <w:wordWrap/>
              <w:overflowPunct/>
              <w:topLinePunct w:val="0"/>
              <w:autoSpaceDE/>
              <w:autoSpaceDN/>
              <w:bidi w:val="0"/>
              <w:adjustRightInd/>
              <w:snapToGrid/>
              <w:ind w:firstLine="448" w:firstLineChars="187"/>
              <w:textAlignment w:val="auto"/>
              <w:rPr>
                <w:rFonts w:hint="eastAsia" w:ascii="宋体" w:hAnsi="宋体" w:eastAsia="宋体" w:cs="宋体"/>
                <w:sz w:val="24"/>
                <w:szCs w:val="24"/>
                <w:lang w:val="en-US" w:eastAsia="zh-CN"/>
              </w:rPr>
            </w:pPr>
          </w:p>
        </w:tc>
      </w:tr>
      <w:tr w14:paraId="7BB6F5C1">
        <w:tblPrEx>
          <w:tblCellMar>
            <w:top w:w="0" w:type="dxa"/>
            <w:left w:w="108" w:type="dxa"/>
            <w:bottom w:w="0" w:type="dxa"/>
            <w:right w:w="108" w:type="dxa"/>
          </w:tblCellMar>
        </w:tblPrEx>
        <w:trPr>
          <w:trHeight w:val="567" w:hRule="exact"/>
        </w:trPr>
        <w:tc>
          <w:tcPr>
            <w:tcW w:w="1805" w:type="dxa"/>
            <w:noWrap w:val="0"/>
            <w:vAlign w:val="top"/>
          </w:tcPr>
          <w:p w14:paraId="318A4C8E">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p>
        </w:tc>
        <w:tc>
          <w:tcPr>
            <w:tcW w:w="2166" w:type="dxa"/>
            <w:noWrap w:val="0"/>
            <w:vAlign w:val="top"/>
          </w:tcPr>
          <w:p w14:paraId="1E67393B">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p>
        </w:tc>
        <w:tc>
          <w:tcPr>
            <w:tcW w:w="1805" w:type="dxa"/>
            <w:noWrap w:val="0"/>
            <w:vAlign w:val="top"/>
          </w:tcPr>
          <w:p w14:paraId="00265A20">
            <w:pPr>
              <w:pStyle w:val="8"/>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p>
        </w:tc>
        <w:tc>
          <w:tcPr>
            <w:tcW w:w="2375" w:type="dxa"/>
            <w:noWrap w:val="0"/>
            <w:vAlign w:val="top"/>
          </w:tcPr>
          <w:p w14:paraId="18A90F47">
            <w:pPr>
              <w:pStyle w:val="8"/>
              <w:keepNext w:val="0"/>
              <w:keepLines w:val="0"/>
              <w:pageBreakBefore w:val="0"/>
              <w:widowControl/>
              <w:kinsoku/>
              <w:wordWrap/>
              <w:overflowPunct/>
              <w:topLinePunct w:val="0"/>
              <w:autoSpaceDE/>
              <w:autoSpaceDN/>
              <w:bidi w:val="0"/>
              <w:adjustRightInd/>
              <w:snapToGrid/>
              <w:ind w:firstLine="448" w:firstLineChars="187"/>
              <w:textAlignment w:val="auto"/>
              <w:rPr>
                <w:rFonts w:hint="eastAsia" w:ascii="宋体" w:hAnsi="宋体" w:eastAsia="宋体" w:cs="宋体"/>
                <w:sz w:val="24"/>
                <w:szCs w:val="24"/>
                <w:lang w:val="en-US" w:eastAsia="zh-CN"/>
              </w:rPr>
            </w:pPr>
          </w:p>
        </w:tc>
      </w:tr>
    </w:tbl>
    <w:p w14:paraId="56ED233C">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p>
    <w:p w14:paraId="7615772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第二部分  专用条款</w:t>
      </w:r>
    </w:p>
    <w:p w14:paraId="7BEAF37E">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p>
    <w:p w14:paraId="1DB92B7B">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一、合同文件组成及解释顺序</w:t>
      </w:r>
    </w:p>
    <w:p w14:paraId="77FFEF7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组成合同的各项文件应互相解释，互为说明。除专用条款另有约定外，解释合同文件的优先顺序如下：</w:t>
      </w:r>
    </w:p>
    <w:p w14:paraId="4797535C">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（1） 协议书                                                   </w:t>
      </w:r>
    </w:p>
    <w:p w14:paraId="298841D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（2） 中标通知书                                              </w:t>
      </w:r>
    </w:p>
    <w:p w14:paraId="6FCFA40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（3） 专用条款及其附件                                          </w:t>
      </w:r>
    </w:p>
    <w:p w14:paraId="49FA606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（4） 标准、规范及有关技术文件                                        </w:t>
      </w:r>
    </w:p>
    <w:p w14:paraId="32AB104E">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（5） 图纸                             </w:t>
      </w:r>
    </w:p>
    <w:p w14:paraId="3851EB2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（6） 工程量清单                                       </w:t>
      </w:r>
    </w:p>
    <w:p w14:paraId="7CC58A4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（7） 双方有关工程的洽商、变更等书面记录文件                           </w:t>
      </w:r>
    </w:p>
    <w:p w14:paraId="79F828B5">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（8） 采购单位和工程师有关通知及工程会议纪要                          </w:t>
      </w:r>
    </w:p>
    <w:p w14:paraId="78884B5D">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（9） 工程进行过程中的有关信件、数据电文（电报、电传、传真、电子邮件等） </w:t>
      </w:r>
    </w:p>
    <w:p w14:paraId="4CAFE89D">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上述给各项合同文件包括采购单位、中标单位就该项合同文件所作出的补充和修改，属于同一类内容文件，应以最新签署的为准。</w:t>
      </w:r>
    </w:p>
    <w:p w14:paraId="6137D9A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在合同订立及履行过程中形成的与合同有关的文件均构成合同文件组成部分，并根据其性质确定优先解释顺序。</w:t>
      </w:r>
    </w:p>
    <w:p w14:paraId="2A49990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二、图纸和技术资料</w:t>
      </w:r>
    </w:p>
    <w:p w14:paraId="7B6E6C5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（一）图纸的提供与交底</w:t>
      </w:r>
    </w:p>
    <w:p w14:paraId="50D80FF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1、采购单位向中标单位提供图纸套数：    二套   </w:t>
      </w:r>
    </w:p>
    <w:p w14:paraId="67EB241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2、采购单位向中标单位提供图纸期限：    自本合同签订之日起2日内      </w:t>
      </w:r>
    </w:p>
    <w:p w14:paraId="2873C7A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3、采购单位对工程的保密要求和保密期限：   未经采购单位许可，中标单位不得向第三方泄露图纸内容，保密期限为本工程的合理使用年限。   </w:t>
      </w:r>
    </w:p>
    <w:p w14:paraId="5E3D7A8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4、图纸会审和设计交底的时间以采购单位另行通知的时间为准。</w:t>
      </w:r>
    </w:p>
    <w:p w14:paraId="309D62BB">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（二）图纸的错误</w:t>
      </w:r>
    </w:p>
    <w:p w14:paraId="4E7F2DC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中标单位应当自发、积极地负责对图纸及技术要求作出全面检查（图纸尺寸应以图纸上标明的为准，不能用比例尺量度），如发现有任何矛盾、不一致的地方应当立即书面通知采购单位。若本工程的任何项目系因中标单位对前述矛盾、不一致的地方没有向采购单位的工程师及时要求澄清导致错误地建造，则当采购单位工程师要求予以更正、重建时，中标单位应予以拆除及重建，并自行承担相应的费用，且不延长工期。</w:t>
      </w:r>
    </w:p>
    <w:p w14:paraId="4B2AA1F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2、采购单位工程师对合同施工项目的图纸或标准、规范和技术要求相互矛盾、不一致的地方发出或作出的澄清不视为对合同项目工程的变更指示，中标单位不会因此获得工期延长及费用补偿。</w:t>
      </w:r>
    </w:p>
    <w:p w14:paraId="0C9B8FE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highlight w:val="none"/>
        </w:rPr>
      </w:pPr>
      <w:r>
        <w:rPr>
          <w:rFonts w:hint="eastAsia" w:ascii="宋体" w:hAnsi="宋体" w:eastAsia="宋体" w:cs="宋体"/>
          <w:sz w:val="24"/>
          <w:szCs w:val="24"/>
        </w:rPr>
        <w:t>三、施工准备工作</w:t>
      </w:r>
    </w:p>
    <w:p w14:paraId="7A5D10C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highlight w:val="none"/>
        </w:rPr>
        <w:t>1、中标单位应自本合同签订之日起七日内向发</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人提供施工组织</w:t>
      </w:r>
      <w:r>
        <w:rPr>
          <w:rFonts w:hint="eastAsia" w:ascii="宋体" w:hAnsi="宋体" w:eastAsia="宋体" w:cs="宋体"/>
          <w:sz w:val="24"/>
          <w:szCs w:val="24"/>
        </w:rPr>
        <w:t xml:space="preserve">设计和工程进度计划。 </w:t>
      </w:r>
    </w:p>
    <w:p w14:paraId="66C80A4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采购单位自收到中标单位提交的施工组织设计和工程进度计划之日起7日内，予以确认或提出修改意见，对于采购单位提出的修改意见，中标单位应自费修改完善。逾期未确认或未提出书面意见的，视为采购单位同意该施工组织设计和工程进度计划。</w:t>
      </w:r>
    </w:p>
    <w:p w14:paraId="60BAE26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3、采购单位向中标单位提供工程项目名称、施工位置、建设工程施工许可证后中标单位方可进场施工。</w:t>
      </w:r>
    </w:p>
    <w:p w14:paraId="2D3A7A3D">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四、材料与设备</w:t>
      </w:r>
    </w:p>
    <w:p w14:paraId="11EAA68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1、中标单位应按照工程设计人要求的标准采购施工项目所需的材料设备，材料设备采购所需的费用已包含在合同价款中。</w:t>
      </w:r>
    </w:p>
    <w:p w14:paraId="73E70CA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2、中标单位在预订或采购材料设备前应取得采购单位的同意，并向采购单位提供产品合格证明及检验证明采购，对材料设备质量负责。</w:t>
      </w:r>
    </w:p>
    <w:p w14:paraId="5591CDD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3、中标单位应在材料和设备到达施工现场前24小时通知采购单位清点、检验和接收。</w:t>
      </w:r>
    </w:p>
    <w:p w14:paraId="1028229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4、中标单位采购的材料和设备不符合设计或有关标准的，中标单位应将其运出施工现场，并重新采购符合要求的材料和设备，因此增加的费用或延误的工期由中标单位承担。</w:t>
      </w:r>
    </w:p>
    <w:p w14:paraId="6004DD9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5、本合同项下所有需要进行试验、检验的材料和设备的试验、检验费用，以及质量监督部门按一定比例抽取现场材料的检验费用，由中标单位承担，该费用已包含在合同总价中。</w:t>
      </w:r>
    </w:p>
    <w:p w14:paraId="44B6B73E">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六、工程量确认</w:t>
      </w:r>
    </w:p>
    <w:p w14:paraId="4837B24C">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本工程采用的工程量计算规则：《建设工程工程量清单计价规范》及《建设工程工程量清单补充计价规范》。如上述相关标准、规范被修订，应以最新标准、规范为准。</w:t>
      </w:r>
    </w:p>
    <w:p w14:paraId="2772C30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七、变更价款的确定</w:t>
      </w:r>
    </w:p>
    <w:p w14:paraId="16B8D5F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1、增加部分工程量的项目单价确定方法： 按中标单价确定。</w:t>
      </w:r>
    </w:p>
    <w:p w14:paraId="71C0770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2、减少部分工程量的项目单价确定方法： 按中标单价确定。</w:t>
      </w:r>
    </w:p>
    <w:p w14:paraId="73B5483E">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3、当合同中没有适用或类似于变更工程的项目单价时，变更价款确定方法：按照标底的编制方法以变更发生时深圳建设工程信息单价及市场价，确定变更工程的项目单价，最终以采购单位审定价为准。</w:t>
      </w:r>
    </w:p>
    <w:p w14:paraId="723B0EA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无论变更幅度多少，中标单位均同意继续完成本合同项下的施工项目。</w:t>
      </w:r>
    </w:p>
    <w:p w14:paraId="3E3EE445">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八、工程质量和检验</w:t>
      </w:r>
    </w:p>
    <w:p w14:paraId="2D6B301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1、工程质量标准：符合《建筑工程施工质量验收统一标准》规定的标准。</w:t>
      </w:r>
    </w:p>
    <w:p w14:paraId="642BE0F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2、工程试车：试车内容按照现行国家、地方和行业规定执行，因工程试车产生的费用由中标单位承担。试车合格后，中标单位方可向采购单位申请办理竣工验收手续。</w:t>
      </w:r>
    </w:p>
    <w:p w14:paraId="4848F30B">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 xml:space="preserve">九、竣工验收 </w:t>
      </w:r>
    </w:p>
    <w:p w14:paraId="12D3D80B">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1、工程具备以下条件的，中标单位可以向采购单位申请验收：</w:t>
      </w:r>
    </w:p>
    <w:p w14:paraId="13E376A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（1）合同范围内的全部工程以及有关工作（包括试验、试运行及检验已完成）；</w:t>
      </w:r>
    </w:p>
    <w:p w14:paraId="1C39EE2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（2）合同约定的工期届满；</w:t>
      </w:r>
    </w:p>
    <w:p w14:paraId="66F67F6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（3）已编制缺陷修补工作清单及施工计划，并备齐竣工资料。</w:t>
      </w:r>
    </w:p>
    <w:p w14:paraId="471F1A6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2、中标单位提供竣工资料的约定：在工程具备竣工验收条件和满足合同工期的情况下，中标单位应在工程竣工验收  天前按照档案管理部门的要求向采购单位提供竣工图肆套和竣工图电子档壹份。竣工图的费用由中标单位自行承担，已包含在合同总价内。</w:t>
      </w:r>
    </w:p>
    <w:p w14:paraId="06F4117B">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采购单位应对中标单位的验收申请进行审查，验收合格的，采购单位应向中标单位出具工程接收证书；验收不合格的，中标单位应对不合格工程进行返工、修复或采取其他补救措施，并重新提交采购单位验收。</w:t>
      </w:r>
    </w:p>
    <w:p w14:paraId="78CCDF2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4、自本合同施工工程项目竣工验收通过之日起  日内，中标单位需移交给采购单位并取得签章手续；</w:t>
      </w:r>
    </w:p>
    <w:p w14:paraId="630B559C">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十、结算审核</w:t>
      </w:r>
    </w:p>
    <w:p w14:paraId="1F963454">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工程结算经监理人审查盖章确认后，最终结算价格以采购单位审定结果为准。</w:t>
      </w:r>
    </w:p>
    <w:p w14:paraId="0B9B84C1">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sz w:val="24"/>
          <w:szCs w:val="24"/>
        </w:rPr>
      </w:pPr>
      <w:r>
        <w:rPr>
          <w:rFonts w:hint="eastAsia" w:ascii="宋体" w:hAnsi="宋体" w:eastAsia="宋体" w:cs="宋体"/>
          <w:b/>
          <w:bCs/>
          <w:sz w:val="24"/>
          <w:szCs w:val="24"/>
        </w:rPr>
        <w:t>十一、采购单位的权利与义务</w:t>
      </w:r>
    </w:p>
    <w:p w14:paraId="60FE452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1、采购单位有权根据实际需要调整施工方案、内容和数量，中标单位应予以配合。</w:t>
      </w:r>
    </w:p>
    <w:p w14:paraId="0683C77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2、采购单位对因中标单位的原因致使建设工程质量不符合合同约定的，有权要求中标单位无偿修理或返工、改建。</w:t>
      </w:r>
    </w:p>
    <w:p w14:paraId="392312C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3、项目施工竣工后，采购单位应予以验收，验收合格的，采购单位应按合同约定支付价款。</w:t>
      </w:r>
    </w:p>
    <w:p w14:paraId="5519087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十二、中标单位的权利与义务</w:t>
      </w:r>
    </w:p>
    <w:p w14:paraId="4525594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1、施工场地内施工所需水、电、通讯由中标单位自行解决并承担相应的费用和风险。</w:t>
      </w:r>
    </w:p>
    <w:p w14:paraId="3666181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2、中标单位应负责提供和维护施</w:t>
      </w:r>
      <w:r>
        <w:rPr>
          <w:rFonts w:hint="eastAsia" w:ascii="宋体" w:hAnsi="宋体" w:eastAsia="宋体" w:cs="宋体"/>
          <w:sz w:val="24"/>
          <w:szCs w:val="24"/>
          <w:highlight w:val="none"/>
        </w:rPr>
        <w:t>工区段的围</w:t>
      </w:r>
      <w:r>
        <w:rPr>
          <w:rFonts w:hint="eastAsia" w:ascii="宋体" w:hAnsi="宋体" w:eastAsia="宋体" w:cs="宋体"/>
          <w:sz w:val="24"/>
          <w:szCs w:val="24"/>
          <w:highlight w:val="none"/>
          <w:lang w:val="en-US" w:eastAsia="zh-CN"/>
        </w:rPr>
        <w:t>挡</w:t>
      </w:r>
      <w:r>
        <w:rPr>
          <w:rFonts w:hint="eastAsia" w:ascii="宋体" w:hAnsi="宋体" w:eastAsia="宋体" w:cs="宋体"/>
          <w:sz w:val="24"/>
          <w:szCs w:val="24"/>
          <w:highlight w:val="none"/>
        </w:rPr>
        <w:t>、照明、通行标牌等设施，并负责施工现场的安全保卫工作和交通疏导工作，施工现场应符合深圳安全文明施工规范要求，所需费用已包含在合同总价中，由中标单位自行承担。因</w:t>
      </w:r>
      <w:r>
        <w:rPr>
          <w:rFonts w:hint="eastAsia" w:ascii="宋体" w:hAnsi="宋体" w:eastAsia="宋体" w:cs="宋体"/>
          <w:sz w:val="24"/>
          <w:szCs w:val="24"/>
        </w:rPr>
        <w:t>中标单位原因在施工场地内及其毗邻地带造成采购单位及第三方人员伤亡和财产损失的，由中标单位承担相应的赔偿责任。</w:t>
      </w:r>
    </w:p>
    <w:p w14:paraId="11A888C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中标单位在施工过程中应遵守政府有关主管部门对施工场地交通、环境保护、施工噪音及安全生产管理规定，加强施工现场的环境管理，在施工过程中严格落实粉尘、废水、施工噪音等污染防治措施、生态保护及水土保持措施。</w:t>
      </w:r>
    </w:p>
    <w:p w14:paraId="321433C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4、中标单位负责办理符合开工条件所需的一切手续，并在本合同施工项目开工前  日完成报批，因完成报批所产生的费用已包含在合同总价中，由中标单位自行承担。如因中标单位不报、少报或漏报产生的一切后果由中标单位承担，因此造成施工项目工期延误的，采购单位不予顺延。</w:t>
      </w:r>
    </w:p>
    <w:p w14:paraId="42F90B5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5、本合同施工项目的红线外临时占地租用费用由中标单位承担，该费用已包含在合同总价中。</w:t>
      </w:r>
    </w:p>
    <w:p w14:paraId="798889C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6、本合同施工项目在交付采购单位正式投入使用之前，中标单位应负责已完工程的保护工作，因工程成品保护而产生的费用由中标单位承担。保护期间如工程发生损坏，中标单位应予以修复，并承担相应的修复费用。 </w:t>
      </w:r>
    </w:p>
    <w:p w14:paraId="0FD03DB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7、中标单位做好施工场地地下管线和邻近建筑物、构筑物（包括文物保护建筑）、古树古木的保护工作，与之相关的一切费用均由中标单位自行承担。</w:t>
      </w:r>
    </w:p>
    <w:p w14:paraId="3B1C9D4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8、中标单位应保证施工现场整洁，及时清理施工现场产生的建筑垃圾。</w:t>
      </w:r>
    </w:p>
    <w:p w14:paraId="751FE05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9、中标单位应当按照深圳市环境卫生管理部门的有关规定，完成本合同施工项目交工前清理、修复工作（包括</w:t>
      </w:r>
      <w:r>
        <w:rPr>
          <w:rFonts w:hint="eastAsia" w:ascii="宋体" w:hAnsi="宋体" w:eastAsia="宋体" w:cs="宋体"/>
          <w:sz w:val="24"/>
          <w:szCs w:val="24"/>
          <w:highlight w:val="none"/>
          <w:lang w:val="en-US" w:eastAsia="zh-CN"/>
        </w:rPr>
        <w:t>但</w:t>
      </w:r>
      <w:r>
        <w:rPr>
          <w:rFonts w:hint="eastAsia" w:ascii="宋体" w:hAnsi="宋体" w:eastAsia="宋体" w:cs="宋体"/>
          <w:sz w:val="24"/>
          <w:szCs w:val="24"/>
        </w:rPr>
        <w:t>不限于余土、垃圾外运，生产和生活临时设施的拆除，场地恢复，施工破坏的修复等），并使得项目施工现场达到验收的要求，做到工完场清。施工现场的竣工退场费用由中标单位承担。</w:t>
      </w:r>
    </w:p>
    <w:p w14:paraId="1AC99BF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10、中标单位派驻到施工现场的主要施工管理人员应相对稳定，施工过程中主要施工管理人员如有变动，中标单位应及时向采购单位提交人员变动情况，并注明更换主要施工管理人员的基本信息。</w:t>
      </w:r>
    </w:p>
    <w:p w14:paraId="09E1993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11、中标单位应依法为其雇佣的施工人员办理必要的证件、许可、保险等，中标单位不得拖欠施工人员工资，如发生劳资纠纷产生的一切责任均由中标单位承担。</w:t>
      </w:r>
    </w:p>
    <w:p w14:paraId="0133DC7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12、红线外临时占地租用费用由中标单位承担，该费用已包含在合同总价中。</w:t>
      </w:r>
    </w:p>
    <w:p w14:paraId="2C92A12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13、中标单位应当按现行国家及地方规定办理中标单位必须购买的保险（包括工程一切险和第三者责任险）,中标单位应向采购单位提交其已投保的各项保险的凭证和保险单复印件。</w:t>
      </w:r>
    </w:p>
    <w:p w14:paraId="2671F6A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14、中标单位应对建设工程缺陷负保修责任。在工程质量保修期内，如工程所有人和使用人发现工程缺陷的，中标单位应当负责维修。</w:t>
      </w:r>
    </w:p>
    <w:p w14:paraId="555F7F2C">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15、中标单位不得以贿赂或变相贿赂的方式，谋取非法利益，不得与采购单位聘请的第三方串通损害采购单位利益。</w:t>
      </w:r>
    </w:p>
    <w:p w14:paraId="1B68398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16、中标单位不得将本合同项下施工项目转包、分包至第三方。</w:t>
      </w:r>
    </w:p>
    <w:p w14:paraId="36809583">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十三、联络</w:t>
      </w:r>
    </w:p>
    <w:p w14:paraId="77F1190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1、与合同有关的通知、批准、证明、意见、决定等，除特殊或紧急情况外，均应采用书面形式。</w:t>
      </w:r>
    </w:p>
    <w:p w14:paraId="27827AB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2、采购单位、中标单位承诺在本合同约定的地址、联系方式均有效，如任何一方的地址或联系方式有变更时，需在变更前  日以书面形式通</w:t>
      </w:r>
      <w:r>
        <w:rPr>
          <w:rFonts w:hint="eastAsia" w:ascii="宋体" w:hAnsi="宋体" w:eastAsia="宋体" w:cs="宋体"/>
          <w:sz w:val="24"/>
          <w:szCs w:val="24"/>
          <w:highlight w:val="none"/>
        </w:rPr>
        <w:t>知对方。因迟延通知而造成的损失，由过错方承担责任。本合同项下的通知自送达之日</w:t>
      </w:r>
      <w:r>
        <w:rPr>
          <w:rFonts w:hint="eastAsia" w:ascii="宋体" w:hAnsi="宋体" w:eastAsia="宋体" w:cs="宋体"/>
          <w:sz w:val="24"/>
          <w:szCs w:val="24"/>
          <w:highlight w:val="none"/>
          <w:lang w:val="en-US" w:eastAsia="zh-CN"/>
        </w:rPr>
        <w:t>起</w:t>
      </w:r>
      <w:r>
        <w:rPr>
          <w:rFonts w:hint="eastAsia" w:ascii="宋体" w:hAnsi="宋体" w:eastAsia="宋体" w:cs="宋体"/>
          <w:sz w:val="24"/>
          <w:szCs w:val="24"/>
          <w:highlight w:val="none"/>
        </w:rPr>
        <w:t>发生</w:t>
      </w:r>
      <w:r>
        <w:rPr>
          <w:rFonts w:hint="eastAsia" w:ascii="宋体" w:hAnsi="宋体" w:eastAsia="宋体" w:cs="宋体"/>
          <w:sz w:val="24"/>
          <w:szCs w:val="24"/>
        </w:rPr>
        <w:t>效力。</w:t>
      </w:r>
    </w:p>
    <w:p w14:paraId="536652CF">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十四、知识产权</w:t>
      </w:r>
    </w:p>
    <w:p w14:paraId="16CC7D6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采购单位提供给中标单位的图纸、采购单位为实施工程自行编制或委托编制的技术规范以及反映采购单位要求的或其他类似性质的文件的著作权属于采购单位，中标单位可为实现合同目的而复制、使用此类文件，但不能用于与合同无关的其他事项。未经采购单位书面同意，中标单位不得为了合同以外的目的复制、使用上述文件或将其提供给任何第三方。</w:t>
      </w:r>
    </w:p>
    <w:p w14:paraId="58DEB5A7">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2、中标单位保证在履行合同过程中不侵犯任何第三方的知识产权。中标单位在使用材料、施工设备、工程设备或采用施工工艺时，因侵犯他人的专利权或其他知识产权所引起的责任，由中标单位承担。</w:t>
      </w:r>
    </w:p>
    <w:p w14:paraId="19D6B80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3、中标单位确认在合同签订前和签订时已确定采用的专利、专有技术、技术秘密的使用费已包含在本合同总价中。</w:t>
      </w:r>
    </w:p>
    <w:p w14:paraId="7D2F3072">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十五、违约责任</w:t>
      </w:r>
    </w:p>
    <w:p w14:paraId="4ADB29C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1、因采购单位暂停工程导致的停工，中标单位的工期相应顺延。</w:t>
      </w:r>
    </w:p>
    <w:p w14:paraId="3F46256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lang w:val="en-US" w:eastAsia="zh-CN"/>
        </w:rPr>
      </w:pPr>
      <w:r>
        <w:rPr>
          <w:rFonts w:hint="eastAsia" w:ascii="宋体" w:hAnsi="宋体" w:eastAsia="宋体" w:cs="宋体"/>
          <w:sz w:val="24"/>
          <w:szCs w:val="24"/>
        </w:rPr>
        <w:t>2、采购单位</w:t>
      </w:r>
      <w:r>
        <w:rPr>
          <w:rFonts w:hint="eastAsia" w:ascii="宋体" w:hAnsi="宋体" w:eastAsia="宋体" w:cs="宋体"/>
          <w:sz w:val="24"/>
          <w:szCs w:val="24"/>
          <w:lang w:val="en-US" w:eastAsia="zh-CN"/>
        </w:rPr>
        <w:t>无正当理由</w:t>
      </w:r>
      <w:r>
        <w:rPr>
          <w:rFonts w:hint="eastAsia" w:ascii="宋体" w:hAnsi="宋体" w:eastAsia="宋体" w:cs="宋体"/>
          <w:sz w:val="24"/>
          <w:szCs w:val="24"/>
        </w:rPr>
        <w:t>未按本合同约定按时支付工程预付款、工程进度款、工程竣工结算款的，采购单位应向中标单位承担违约责任，具体承担方式由采购单位与中标单位另行协商确定。</w:t>
      </w:r>
      <w:r>
        <w:rPr>
          <w:rFonts w:hint="eastAsia" w:ascii="宋体" w:hAnsi="宋体" w:eastAsia="宋体" w:cs="宋体"/>
          <w:sz w:val="24"/>
          <w:szCs w:val="24"/>
          <w:lang w:val="en-US" w:eastAsia="zh-CN"/>
        </w:rPr>
        <w:t>因中标单位未及时提供合格发票或财政支付流程导致的付款迟延，不视为采购单位违约。</w:t>
      </w:r>
    </w:p>
    <w:p w14:paraId="543722C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本合同项下工程质量没有达到招标文件中规定的质量标准，中标单位未按招标文件的规定采购分部分项工程量清单的任何材料设备，均属中标单位违约。中标单位必须立即返工或返修，并承担由此产生的费用及相关的检验、验收费用，直至验收合格。因此造成工期延误的，每延误一天，中标单位应向采购单位支付</w:t>
      </w:r>
      <w:r>
        <w:rPr>
          <w:rFonts w:hint="eastAsia" w:ascii="宋体" w:hAnsi="宋体" w:eastAsia="宋体" w:cs="宋体"/>
          <w:sz w:val="24"/>
          <w:szCs w:val="24"/>
          <w:lang w:val="en-US" w:eastAsia="zh-CN"/>
        </w:rPr>
        <w:t>工程总价款的千分之五的</w:t>
      </w:r>
      <w:r>
        <w:rPr>
          <w:rFonts w:hint="eastAsia" w:ascii="宋体" w:hAnsi="宋体" w:eastAsia="宋体" w:cs="宋体"/>
          <w:sz w:val="24"/>
          <w:szCs w:val="24"/>
        </w:rPr>
        <w:t>违约金。违约金不足以弥补采购单位因此遭受损失（包括但不限于律师费、诉讼费、鉴定费、保全费、调查费等费用支出）的，中标单位还应予以赔偿。</w:t>
      </w:r>
    </w:p>
    <w:p w14:paraId="53D69F1C">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4、中标单位应严格按照合同约定工期完工，因中标单位原因造成工程项目未按合同约定完工的，每延期一天，中标单位应向采购单位支付</w:t>
      </w:r>
      <w:r>
        <w:rPr>
          <w:rFonts w:hint="eastAsia" w:ascii="宋体" w:hAnsi="宋体" w:eastAsia="宋体" w:cs="宋体"/>
          <w:sz w:val="24"/>
          <w:szCs w:val="24"/>
          <w:lang w:val="en-US" w:eastAsia="zh-CN"/>
        </w:rPr>
        <w:t>工程总价款的千分之五的</w:t>
      </w:r>
      <w:r>
        <w:rPr>
          <w:rFonts w:hint="eastAsia" w:ascii="宋体" w:hAnsi="宋体" w:eastAsia="宋体" w:cs="宋体"/>
          <w:sz w:val="24"/>
          <w:szCs w:val="24"/>
        </w:rPr>
        <w:t>违约金，如果违约金不足以弥补采购单位因此遭受损失（包括但不限于律师费、诉讼费、鉴定费、保全费、调查费等费用支出）的，中标单位应予以赔偿。</w:t>
      </w:r>
    </w:p>
    <w:p w14:paraId="0553B4AB">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十六、争议解决</w:t>
      </w:r>
    </w:p>
    <w:p w14:paraId="40282435">
      <w:pPr>
        <w:pStyle w:val="9"/>
        <w:keepNext w:val="0"/>
        <w:keepLines w:val="0"/>
        <w:pageBreakBefore w:val="0"/>
        <w:widowControl/>
        <w:kinsoku/>
        <w:wordWrap/>
        <w:overflowPunct/>
        <w:topLinePunct w:val="0"/>
        <w:bidi w:val="0"/>
        <w:snapToGrid/>
        <w:rPr>
          <w:rFonts w:hint="eastAsia" w:ascii="宋体" w:hAnsi="宋体" w:eastAsia="宋体" w:cs="宋体"/>
          <w:sz w:val="24"/>
          <w:szCs w:val="24"/>
        </w:rPr>
      </w:pPr>
      <w:r>
        <w:rPr>
          <w:rFonts w:hint="eastAsia" w:ascii="宋体" w:hAnsi="宋体" w:eastAsia="宋体" w:cs="宋体"/>
          <w:sz w:val="24"/>
          <w:szCs w:val="24"/>
        </w:rPr>
        <w:t>双方约定，在履行本合同过程中产生争议时，由采购单位和中标单位自行调解，调解不成的任何一方均可向</w:t>
      </w:r>
      <w:r>
        <w:rPr>
          <w:rFonts w:hint="eastAsia" w:ascii="宋体" w:hAnsi="宋体" w:eastAsia="宋体" w:cs="宋体"/>
          <w:sz w:val="24"/>
          <w:szCs w:val="24"/>
          <w:lang w:val="en-US" w:eastAsia="zh-CN"/>
        </w:rPr>
        <w:t>采购单位所在地的人民法院提起诉讼</w:t>
      </w:r>
      <w:r>
        <w:rPr>
          <w:rFonts w:hint="eastAsia" w:ascii="宋体" w:hAnsi="宋体" w:eastAsia="宋体" w:cs="宋体"/>
          <w:sz w:val="24"/>
          <w:szCs w:val="24"/>
        </w:rPr>
        <w:t>。</w:t>
      </w:r>
    </w:p>
    <w:p w14:paraId="429DE873">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十七、不可抗力</w:t>
      </w:r>
    </w:p>
    <w:p w14:paraId="623EAD3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不可抗力是指在合同履行过程中不能避免且不能克服的自然灾害和社会性突发事件，本合同中约定的不可抗力如下： </w:t>
      </w:r>
    </w:p>
    <w:p w14:paraId="2732671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 6 级以上的地震；</w:t>
      </w:r>
    </w:p>
    <w:p w14:paraId="290615E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（2）平均风力  8  级以上的大风；</w:t>
      </w:r>
    </w:p>
    <w:p w14:paraId="1CB6BEE5">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（3）3个小时内降雨量为50 mm以上的暴雨；</w:t>
      </w:r>
    </w:p>
    <w:p w14:paraId="2F96961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（4）  37  摄氏度以上并持续2天的高温天气；</w:t>
      </w:r>
    </w:p>
    <w:p w14:paraId="0AB547E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（5）其它：  战乱、动乱、空中飞行物体坠落或其他非采购单位承包责任造成的爆炸、火灾等。</w:t>
      </w:r>
    </w:p>
    <w:p w14:paraId="0C87778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不可抗力发生后，遭遇不可抗力的一方应及时书面通知对方，并应在合理期限内向对方提供遭遇不可抗力的证明，同时采取必要措施，并由中标单位、采购单位共同协商确定是否继续履行本合同。</w:t>
      </w:r>
    </w:p>
    <w:p w14:paraId="4B960F34">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十八、补充条款</w:t>
      </w:r>
    </w:p>
    <w:p w14:paraId="3BE972D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1、工程量清单外增加的工程量，经监理人及采购单位审核确认后按实际增（减）工程造价，最后结算价应以采购单位审定为准。</w:t>
      </w:r>
    </w:p>
    <w:p w14:paraId="62120DE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、采购单位、中标单位约定，本工程中安全文明施工费用不下浮。</w:t>
      </w:r>
    </w:p>
    <w:p w14:paraId="489C26F7">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、结算时清单编制方法（子目套法）同原标底清单编制。</w:t>
      </w:r>
    </w:p>
    <w:p w14:paraId="5FD370E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、本工程涉及“营改增”的内容参照《深圳市建筑业营改增建设工程计价依据调整实施细则》执行。</w:t>
      </w:r>
    </w:p>
    <w:p w14:paraId="7B9DA167">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工程报价单》中所列的量均为暂定量，最终由双方根据实际完成的工程量据实结算。计算工程量时除双方书面明确的外，均按照完成后的净值计算，不包括任何损耗。《工程报价单》中单价为中标单位根据列明材料规格、档次、施工做法以及有关标准、规定完成单位工程内容的全部费用。中标单位应在报价时提供相应的材料样本，作为材料供应和验收的依据。双方应就中标单位提供的材料样本进行封存。</w:t>
      </w:r>
    </w:p>
    <w:p w14:paraId="7D179564">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p>
    <w:p w14:paraId="1442B0EE">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 xml:space="preserve"> </w:t>
      </w:r>
    </w:p>
    <w:p w14:paraId="652CFB78">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工 程 质 量 缺 陷 保 修 书</w:t>
      </w:r>
    </w:p>
    <w:p w14:paraId="0517766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p>
    <w:p w14:paraId="5841F2F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采购单位（全称）：                  </w:t>
      </w:r>
    </w:p>
    <w:p w14:paraId="79E5678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中标单位（全称）：                                     </w:t>
      </w:r>
    </w:p>
    <w:p w14:paraId="42D579B7">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为保证         在合理使用期限内正常使用，采购单位和中标单位根据《中华人民共和国建筑法》、《建设工程质量管理条例》和《深圳经济特区建设工程质量管理条例》，经协商一致，签订工程质量缺陷保修书。中标单位在质量缺陷保修期内按照有关规定及双方约定承担工程质量缺陷保修责任。</w:t>
      </w:r>
    </w:p>
    <w:p w14:paraId="65F57765">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一、工程质量保修范围和内容</w:t>
      </w:r>
    </w:p>
    <w:p w14:paraId="36FF595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质量缺陷保修范围包括地基基础工程、主体结构工程、屋面防水工程/有防水要求的卫生间/房间和外墙面的防渗漏工程、电气管线、给排水管道、设备安装工程、供热和供冷系统工程、装饰装修工程以及双方约定的其他项目。</w:t>
      </w:r>
    </w:p>
    <w:p w14:paraId="2A9ABCE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具体质量缺陷保修范围，双方约定如下：</w:t>
      </w:r>
    </w:p>
    <w:p w14:paraId="33A4935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（1）施工范围内的标书内容工程；</w:t>
      </w:r>
    </w:p>
    <w:p w14:paraId="1306673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（2）在施工范围内，非因采购单位使用不当或者第三方造成的质量缺陷；</w:t>
      </w:r>
    </w:p>
    <w:p w14:paraId="2B46A3E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（3）非因不可抗力造成的质量缺陷。 </w:t>
      </w:r>
    </w:p>
    <w:p w14:paraId="38A8E559">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二、质量保修期</w:t>
      </w:r>
    </w:p>
    <w:p w14:paraId="57A3398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质量缺陷保修期从工程实际竣工之日算起。单项竣工验收的工程，按单项工程分别计算质量缺陷保修期。</w:t>
      </w:r>
    </w:p>
    <w:p w14:paraId="3DE2F265">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双方约定本工程质量缺陷保修期如下：</w:t>
      </w:r>
    </w:p>
    <w:p w14:paraId="78D2557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地基基础工程、主体结构工程为设计文件规定的合理使用年限；</w:t>
      </w:r>
    </w:p>
    <w:p w14:paraId="6CC3153E">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屋面防水工程、有防水要求的卫生间、房间和外墙面的防渗漏工程为∕年；</w:t>
      </w:r>
    </w:p>
    <w:p w14:paraId="522B1F57">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电气管线、给排水管道、设备安装工程为∕年；</w:t>
      </w:r>
    </w:p>
    <w:p w14:paraId="118FB47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供热和供冷系统工程为∕个</w:t>
      </w:r>
      <w:r>
        <w:rPr>
          <w:rFonts w:hint="eastAsia" w:ascii="宋体" w:hAnsi="宋体" w:eastAsia="宋体" w:cs="宋体"/>
          <w:sz w:val="24"/>
          <w:szCs w:val="24"/>
          <w:highlight w:val="none"/>
        </w:rPr>
        <w:t>采</w:t>
      </w:r>
      <w:r>
        <w:rPr>
          <w:rFonts w:hint="eastAsia" w:ascii="宋体" w:hAnsi="宋体" w:eastAsia="宋体" w:cs="宋体"/>
          <w:sz w:val="24"/>
          <w:szCs w:val="24"/>
          <w:highlight w:val="none"/>
          <w:lang w:val="en-US" w:eastAsia="zh-CN"/>
        </w:rPr>
        <w:t>暖</w:t>
      </w:r>
      <w:r>
        <w:rPr>
          <w:rFonts w:hint="eastAsia" w:ascii="宋体" w:hAnsi="宋体" w:eastAsia="宋体" w:cs="宋体"/>
          <w:sz w:val="24"/>
          <w:szCs w:val="24"/>
          <w:highlight w:val="none"/>
        </w:rPr>
        <w:t>期</w:t>
      </w:r>
      <w:r>
        <w:rPr>
          <w:rFonts w:hint="eastAsia" w:ascii="宋体" w:hAnsi="宋体" w:eastAsia="宋体" w:cs="宋体"/>
          <w:sz w:val="24"/>
          <w:szCs w:val="24"/>
        </w:rPr>
        <w:t>、供冷期；</w:t>
      </w:r>
    </w:p>
    <w:p w14:paraId="740A8A28">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装饰装修工程为∕年；</w:t>
      </w:r>
    </w:p>
    <w:p w14:paraId="7804778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本工程保修期为  年。 </w:t>
      </w:r>
    </w:p>
    <w:p w14:paraId="28A19F48">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三、质量保修责任</w:t>
      </w:r>
    </w:p>
    <w:p w14:paraId="4D310204">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1、属于保修范围和内容项目，在保修期内，中标单位应在接到保修通知之日后7天内派人修理。中标单位未约定期限内派人修理，采购单位可委托第三方进行修理，因此产生的费用由中标单位承担。</w:t>
      </w:r>
    </w:p>
    <w:p w14:paraId="6B6F910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2、发生紧急抢修事故的，中标单位接到事故通知后，应立即到达事故现场抢修。</w:t>
      </w:r>
    </w:p>
    <w:p w14:paraId="72A080EC">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四、工程质量缺陷保修费用</w:t>
      </w:r>
    </w:p>
    <w:p w14:paraId="123536BB">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工程质量缺陷保修费用及相关的损害赔偿责任由造成质量缺陷的责任方承担。</w:t>
      </w:r>
    </w:p>
    <w:p w14:paraId="7C92E4AE">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五、工程质量缺陷保修金</w:t>
      </w:r>
    </w:p>
    <w:p w14:paraId="3819D429">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采购单位、中标单位约定本工程的工程质量保修金为施工合同价款的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，具体金额如下：</w:t>
      </w:r>
    </w:p>
    <w:p w14:paraId="47D30FCA">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币种：   人民币   </w:t>
      </w:r>
    </w:p>
    <w:p w14:paraId="43446876">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金额（大写）  竣工结算价× ％      </w:t>
      </w:r>
    </w:p>
    <w:p w14:paraId="32FE5F02">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（小写）           /          </w:t>
      </w:r>
    </w:p>
    <w:p w14:paraId="25AF78C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 xml:space="preserve">质量缺陷保修金银行利率为：      /           </w:t>
      </w:r>
    </w:p>
    <w:p w14:paraId="11DCA8A9">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六、工程质量缺陷保修金的支付</w:t>
      </w:r>
    </w:p>
    <w:p w14:paraId="3BAFA7BC">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采购单位在工程竣工验收满贰年后第 天内，将剩余工程质量缺陷保修金支付给中标单位，但并不免除中标单位在保修期内的保修责任。</w:t>
      </w:r>
    </w:p>
    <w:p w14:paraId="250EFEAE">
      <w:pPr>
        <w:pStyle w:val="8"/>
        <w:keepNext w:val="0"/>
        <w:keepLines w:val="0"/>
        <w:pageBreakBefore w:val="0"/>
        <w:widowControl/>
        <w:kinsoku/>
        <w:wordWrap/>
        <w:overflowPunct/>
        <w:topLinePunct w:val="0"/>
        <w:bidi w:val="0"/>
        <w:snapToGrid/>
        <w:ind w:firstLine="451" w:firstLineChars="187"/>
        <w:rPr>
          <w:rFonts w:hint="eastAsia" w:ascii="宋体" w:hAnsi="宋体" w:eastAsia="宋体" w:cs="宋体"/>
          <w:b/>
          <w:bCs/>
          <w:sz w:val="24"/>
          <w:szCs w:val="24"/>
        </w:rPr>
      </w:pPr>
      <w:r>
        <w:rPr>
          <w:rFonts w:hint="eastAsia" w:ascii="宋体" w:hAnsi="宋体" w:eastAsia="宋体" w:cs="宋体"/>
          <w:b/>
          <w:bCs/>
          <w:sz w:val="24"/>
          <w:szCs w:val="24"/>
        </w:rPr>
        <w:t>七、其它</w:t>
      </w:r>
    </w:p>
    <w:p w14:paraId="0CAC1737">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本《工程质量缺陷保修书》作为施工合同附件由采购单位中标单位双方共同签署，本《工程质量缺陷保修书》作为施工合同的组成部分，与施工合同具有通同等的法律效力。</w:t>
      </w:r>
    </w:p>
    <w:p w14:paraId="0479E560">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p>
    <w:p w14:paraId="644523A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采购单位（公章）                   中标单位（公章）</w:t>
      </w:r>
    </w:p>
    <w:p w14:paraId="2DE32A71">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p>
    <w:p w14:paraId="65A20963">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法定代表人：                      法定代表人：</w:t>
      </w:r>
    </w:p>
    <w:p w14:paraId="019F104F">
      <w:pPr>
        <w:pStyle w:val="8"/>
        <w:keepNext w:val="0"/>
        <w:keepLines w:val="0"/>
        <w:pageBreakBefore w:val="0"/>
        <w:widowControl/>
        <w:kinsoku/>
        <w:wordWrap/>
        <w:overflowPunct/>
        <w:topLinePunct w:val="0"/>
        <w:bidi w:val="0"/>
        <w:snapToGrid/>
        <w:ind w:firstLine="448" w:firstLineChars="187"/>
        <w:rPr>
          <w:rFonts w:hint="eastAsia" w:ascii="宋体" w:hAnsi="宋体" w:eastAsia="宋体" w:cs="宋体"/>
          <w:sz w:val="24"/>
          <w:szCs w:val="24"/>
        </w:rPr>
      </w:pPr>
      <w:r>
        <w:rPr>
          <w:rFonts w:hint="eastAsia" w:ascii="宋体" w:hAnsi="宋体" w:eastAsia="宋体" w:cs="宋体"/>
          <w:sz w:val="24"/>
          <w:szCs w:val="24"/>
        </w:rPr>
        <w:t>（签字）                         （签字）</w:t>
      </w:r>
    </w:p>
    <w:p w14:paraId="5F862F81">
      <w:pPr>
        <w:pStyle w:val="8"/>
        <w:keepNext w:val="0"/>
        <w:keepLines w:val="0"/>
        <w:pageBreakBefore w:val="0"/>
        <w:widowControl/>
        <w:kinsoku/>
        <w:wordWrap/>
        <w:overflowPunct/>
        <w:topLinePunct w:val="0"/>
        <w:bidi w:val="0"/>
        <w:snapToGrid/>
        <w:ind w:firstLine="448" w:firstLineChars="187"/>
        <w:rPr>
          <w:rFonts w:hint="eastAsia" w:ascii="宋体" w:hAnsi="宋体"/>
          <w:szCs w:val="21"/>
        </w:rPr>
      </w:pPr>
      <w:r>
        <w:rPr>
          <w:rFonts w:hint="eastAsia" w:ascii="宋体" w:hAnsi="宋体" w:eastAsia="宋体" w:cs="宋体"/>
          <w:sz w:val="24"/>
          <w:szCs w:val="24"/>
        </w:rPr>
        <w:t>签订日期：    年   月   日       签订日期：      年   月   日</w:t>
      </w:r>
    </w:p>
    <w:p w14:paraId="03F13ADB">
      <w:pPr>
        <w:rPr>
          <w:rFonts w:hint="eastAsia" w:ascii="宋体" w:hAnsi="宋体"/>
          <w:szCs w:val="21"/>
        </w:rPr>
      </w:pPr>
      <w:r>
        <w:rPr>
          <w:rFonts w:hint="eastAsia" w:ascii="宋体" w:hAnsi="宋体"/>
          <w:szCs w:val="21"/>
        </w:rPr>
        <w:br w:type="page"/>
      </w:r>
    </w:p>
    <w:p w14:paraId="741BCD88">
      <w:pPr>
        <w:pStyle w:val="3"/>
        <w:rPr>
          <w:rFonts w:hint="eastAsia" w:ascii="宋体" w:hAnsi="宋体" w:eastAsia="宋体" w:cs="宋体"/>
          <w:highlight w:val="none"/>
        </w:rPr>
      </w:pPr>
      <w:r>
        <w:rPr>
          <w:rFonts w:hint="eastAsia" w:ascii="宋体" w:hAnsi="宋体" w:eastAsia="宋体" w:cs="宋体"/>
          <w:highlight w:val="none"/>
        </w:rPr>
        <w:t>第二册  通用条款（公开招标）</w:t>
      </w:r>
    </w:p>
    <w:p w14:paraId="3AF0FD18">
      <w:pPr>
        <w:rPr>
          <w:rFonts w:hint="eastAsia" w:ascii="宋体" w:hAnsi="宋体" w:eastAsia="宋体" w:cs="宋体"/>
          <w:highlight w:val="none"/>
        </w:rPr>
      </w:pPr>
    </w:p>
    <w:p w14:paraId="1A3B6394">
      <w:pPr>
        <w:pStyle w:val="2"/>
        <w:spacing w:before="91" w:line="220" w:lineRule="auto"/>
        <w:ind w:left="4147"/>
        <w:outlineLvl w:val="3"/>
        <w:rPr>
          <w:sz w:val="28"/>
          <w:szCs w:val="28"/>
          <w:highlight w:val="none"/>
        </w:rPr>
      </w:pPr>
      <w:r>
        <w:rPr>
          <w:b/>
          <w:bCs/>
          <w:spacing w:val="-8"/>
          <w:sz w:val="28"/>
          <w:szCs w:val="28"/>
          <w:highlight w:val="none"/>
        </w:rPr>
        <w:t>第一章</w:t>
      </w:r>
      <w:r>
        <w:rPr>
          <w:spacing w:val="115"/>
          <w:sz w:val="28"/>
          <w:szCs w:val="28"/>
          <w:highlight w:val="none"/>
        </w:rPr>
        <w:t xml:space="preserve"> </w:t>
      </w:r>
      <w:r>
        <w:rPr>
          <w:b/>
          <w:bCs/>
          <w:spacing w:val="-8"/>
          <w:sz w:val="28"/>
          <w:szCs w:val="28"/>
          <w:highlight w:val="none"/>
        </w:rPr>
        <w:t>总则</w:t>
      </w:r>
    </w:p>
    <w:p w14:paraId="4328514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 通用条款说明</w:t>
      </w:r>
    </w:p>
    <w:p w14:paraId="2E3369F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1.1 政府集中采购机构发出招标文件通用条款版本，列出深圳市政府采购项目进行招标采购所 适用的通用条款内容。如有需要，政府集中采购机构可以对通用条款的内容进行补充。</w:t>
      </w:r>
    </w:p>
    <w:p w14:paraId="2BD3AAB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1.2 招标文件分为第一册“专用条款 ”和第二册“通用条款 ”。</w:t>
      </w:r>
    </w:p>
    <w:p w14:paraId="64B81A5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1.3“专用条款 ”是对本次采购项目的具体要求，包含招标公告、对通用条款的补充内容及其他 关键信息、用户需求书、投标文件格式及附件、合同条款及格式等内容。</w:t>
      </w:r>
    </w:p>
    <w:p w14:paraId="59B7A2F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1.4“通用条款 ”是适用于政府采购公开招标项目的基础性条款，具有普遍性和通用性。</w:t>
      </w:r>
    </w:p>
    <w:p w14:paraId="5D08C50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1.5 “专用条款 ”和“通用条款 ”表述不一致或有冲突时，以“专用条款 ”为准。</w:t>
      </w:r>
    </w:p>
    <w:p w14:paraId="3C49A17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2．招标说明</w:t>
      </w:r>
    </w:p>
    <w:p w14:paraId="06F059A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本项目参照《深圳经济特区政府采购条例》、《深圳经济特区政府采购条例实施细则》及政府 采购其他法律法规，通过公开招标方式确定中标供应商。</w:t>
      </w:r>
    </w:p>
    <w:p w14:paraId="52EA198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3．定义</w:t>
      </w:r>
    </w:p>
    <w:p w14:paraId="1170476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招标文件中下列术语应解释为：</w:t>
      </w:r>
    </w:p>
    <w:p w14:paraId="7ED034F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3.1“采购人 ”：指利用财政性资金依法进行政府采购的国家机关、事业单位、团体组织；</w:t>
      </w:r>
    </w:p>
    <w:p w14:paraId="259068CB">
      <w:pPr>
        <w:autoSpaceDE w:val="0"/>
        <w:autoSpaceDN w:val="0"/>
        <w:ind w:firstLine="464" w:firstLineChars="200"/>
        <w:rPr>
          <w:rFonts w:hint="default" w:ascii="宋体" w:hAnsi="宋体" w:eastAsia="宋体" w:cs="宋体"/>
          <w:b/>
          <w:bCs/>
          <w:spacing w:val="-4"/>
          <w:highlight w:val="none"/>
          <w:lang w:val="en-US" w:eastAsia="zh-CN"/>
        </w:rPr>
      </w:pPr>
      <w:r>
        <w:rPr>
          <w:rFonts w:hint="eastAsia" w:ascii="宋体" w:hAnsi="宋体" w:eastAsia="宋体" w:cs="宋体"/>
          <w:spacing w:val="-4"/>
          <w:highlight w:val="none"/>
        </w:rPr>
        <w:t>3.2 “政府集中采购机构 ”是指市政府设立的，组织实施政府采购项目，并对政府采购活动提供服务的专门机构；本文件所述的“政府集中采购机构 ”指深圳公共资源交易中心；</w:t>
      </w:r>
      <w:r>
        <w:rPr>
          <w:rFonts w:hint="eastAsia" w:ascii="宋体" w:hAnsi="宋体" w:eastAsia="宋体" w:cs="宋体"/>
          <w:b/>
          <w:bCs/>
          <w:spacing w:val="-4"/>
          <w:highlight w:val="none"/>
          <w:lang w:val="en-US" w:eastAsia="zh-CN"/>
        </w:rPr>
        <w:t>本文件所述的“社会代理机构”指深圳市东海国际招标有限公司</w:t>
      </w:r>
    </w:p>
    <w:p w14:paraId="37692DF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3.3“投标人 ”，即供应商，指参加投标竞争并愿意按照招标文件要求向采购人提供货物、工程 或者服务的依法成立的法人、其他组织或者自然人；</w:t>
      </w:r>
    </w:p>
    <w:p w14:paraId="02D3187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3.4“评审委员会 ”是依据《深圳经济特区政府采购条例》、《深圳经济特区政府采购条例实施 细则》等有关规定组建的专门负责本次招标其评审工作的临时性机构；</w:t>
      </w:r>
    </w:p>
    <w:p w14:paraId="5F75F47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3.5“ 日期 ”指公历日；</w:t>
      </w:r>
    </w:p>
    <w:p w14:paraId="67F656A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3.6“合同 ”指由本次招标所产生的合同或合约文件；</w:t>
      </w:r>
    </w:p>
    <w:p w14:paraId="284619A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 电子投标文件 ”指利用深圳政府采购自行采购系统网（https://zxcg.szggzy.com/home/index.html）</w:t>
      </w:r>
    </w:p>
    <w:p w14:paraId="343D4DF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3.8“ 网上投标 ”指通过深圳政府采购自行采购系统网（https://zxcg.szggzy.com/home/index.html）网站上传 电子投标文件；</w:t>
      </w:r>
    </w:p>
    <w:p w14:paraId="5A3F4E7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3.9 招标文件中的标题或题名仅起引导作用，而不应视为对招标文件内容的理解和解释。</w:t>
      </w:r>
    </w:p>
    <w:p w14:paraId="29B86C6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 政府采购供应商责任</w:t>
      </w:r>
    </w:p>
    <w:p w14:paraId="65C32C8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4.1 欢迎诚信、有实力和有社会责任心的供应商参与政府采购事业。</w:t>
      </w:r>
    </w:p>
    <w:p w14:paraId="17DCBB8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4.2 投标人应当遵循公平竞争的原则，不得恶意串通，不得妨碍其他投标人的竞争行为，不得 损害采购人或者其他投标人的合法权益。如违反上述要求，经核实后，供应商的投标无效。</w:t>
      </w:r>
    </w:p>
    <w:p w14:paraId="5D097EF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5．投标人参加政府采购的条件</w:t>
      </w:r>
    </w:p>
    <w:p w14:paraId="3601529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5.1 投标人应在投标前到深圳公共资源交易中心（具体在深圳交易集团有限公司政府采购业务  分公司进行办理）进行注册并办理电子密钥。《供应商注册及信息变更指引》详见www.szggzy.com 网站“交易服务指南-政府采购 ”。</w:t>
      </w:r>
    </w:p>
    <w:p w14:paraId="27B8CE1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 投标人资格要求</w:t>
      </w:r>
    </w:p>
    <w:p w14:paraId="46A000E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参加本项目的投标人应具备的资格条件详见本项目招标公告中 “投标人资格要求 ”（即申请人 的资格要求）的内容。</w:t>
      </w:r>
    </w:p>
    <w:p w14:paraId="3392A94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5.3 联合体投标</w:t>
      </w:r>
    </w:p>
    <w:p w14:paraId="0BFC580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5.3.1  以下有关联合体投标的条款仅适用于允许投标人组成联合体投标的项目。</w:t>
      </w:r>
    </w:p>
    <w:p w14:paraId="41B220E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5.3.2  由两个或两个以上的自然人、法人或者其他组织可以组成一个联合体，以一个供应商的 身份共同投标时，应符合以下原则：</w:t>
      </w:r>
    </w:p>
    <w:p w14:paraId="2BA6A97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（1）投标联合体各方参加政府采购活动应当具备下列条件：</w:t>
      </w:r>
    </w:p>
    <w:p w14:paraId="70C2EAD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1、具有独立承担民事责任的能力；</w:t>
      </w:r>
    </w:p>
    <w:p w14:paraId="1783D25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2、有良好的商业信誉和健全的财务会计制度；</w:t>
      </w:r>
    </w:p>
    <w:p w14:paraId="299AAE1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3、具有履行合同所必需的设备和专业技术能力；</w:t>
      </w:r>
    </w:p>
    <w:p w14:paraId="256100E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4、有依法缴纳税收和社会保障资金的良好记录；</w:t>
      </w:r>
    </w:p>
    <w:p w14:paraId="4066D64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5、参加政府采购活动前三年内，在经营活动中没有重大违法记录；</w:t>
      </w:r>
    </w:p>
    <w:p w14:paraId="6CFE855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6、法律、行政法规规定的其他条件。</w:t>
      </w:r>
    </w:p>
    <w:p w14:paraId="0B067C0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（2）在投标截止前，投标联合体各方均应注册成政府集中采购机构供应商；</w:t>
      </w:r>
    </w:p>
    <w:p w14:paraId="79CC508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（3）联合体中有同类资质的供应商按照联合体分工承担相同工作的，应当按照资质等级较低的 供应商确定资质等级；</w:t>
      </w:r>
    </w:p>
    <w:p w14:paraId="2DDC56F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（4）是否允许联合体参加投标，应当由采购人和采购代理机构根据项目的实际情况和潜在供应 商的数量自主决定，如果决定接受联合体投标则应当在招标公告中明示；</w:t>
      </w:r>
    </w:p>
    <w:p w14:paraId="03BC16C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（5）投标人的投标文件及中标后签署的合同协议对联合体各方均具法律约束力；</w:t>
      </w:r>
    </w:p>
    <w:p w14:paraId="11AC825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（6）联合体各方应当签订联合体投标协议，明确约定各方拟承担的工作和责任，并将该协议随 投标文件一并递交给政府集中采购机构；</w:t>
      </w:r>
    </w:p>
    <w:p w14:paraId="16D45CE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（7）联合体中标后，联合体各方应当共同与采购人签订合同，就中标项目向采购人承担连带责 任；</w:t>
      </w:r>
    </w:p>
    <w:p w14:paraId="7D96169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（8）以联合体形式参加政府采购活动的，联合体各方不得再单独参加或者与其他供应商另外组 成联合体参加同一合同项下的政府采购活动，出现上述情况者，其投标和与此有关联合体、总包单 位的投标将被拒绝；</w:t>
      </w:r>
    </w:p>
    <w:p w14:paraId="6D4EEC8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（9）本通用条款中“投标人 ”一词亦指联合体各方，专用条款另有规定或说明的除外。</w:t>
      </w:r>
    </w:p>
    <w:p w14:paraId="658B8E6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6．政策导向</w:t>
      </w:r>
    </w:p>
    <w:p w14:paraId="4542AF6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6.1  政府采购支持本国产品、支持中小企业、监狱企业和残疾人福利性单位发展，支持乡村产 业振兴，支持创新、节能减排、绿色环保等。</w:t>
      </w:r>
    </w:p>
    <w:p w14:paraId="58AE88C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6.2  本项目落实深圳市政府采购供应商诚信管理政策要求。</w:t>
      </w:r>
    </w:p>
    <w:p w14:paraId="0C2614E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6.3  本项目支持投标人性别平等的相关政策。</w:t>
      </w:r>
    </w:p>
    <w:p w14:paraId="23068BB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7. 本项目若涉及采购货物，则合格的货物及相应服务应满足以下要求：</w:t>
      </w:r>
    </w:p>
    <w:p w14:paraId="17857ED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7.1  必须是全新、未使用过的原装合格正品（包括零部件），如安装或配置了软件的，须为正 版软件。</w:t>
      </w:r>
    </w:p>
    <w:p w14:paraId="6B4072C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7.2  国产的货物及其有关服务必须符合中华人民共和国的设计、制造生产标准及行业标准。招标公告有其他要求的，亦应符合其要求。</w:t>
      </w:r>
    </w:p>
    <w:p w14:paraId="0B9F8DD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7.3  进口货物及其有关服务必须符合原产地和中华人民共和国的设计、制造生产标准及行业标准。进口的货物必须具有合法的进口手续和途径，并通过中华人民共和国商检部门检验。招标公告 有其他要求的，亦应符合其要求。</w:t>
      </w:r>
    </w:p>
    <w:p w14:paraId="74A83F3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7.4  投标人应保证，其所提供的货物通过合法正规渠道供货，在提供给采购人前具有完全的所 有权，采购人在中华人民共和国使用该货物或货物的任何一部分时，不会产生因第三方提出的包括 但不限于侵犯其专利权、商标权、工业设计权等知识产权和侵犯其所有权、抵押权等物权及其他权 利而引发的纠纷。如有纠纷，投标人应承担全部责任。</w:t>
      </w:r>
    </w:p>
    <w:p w14:paraId="2C7B5BF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7.5  投标人应保证，其所提供的货物符合国家强制性标准要求；符合相关行业标准（如具备行政主管部门颁发的资质证书或国家质量监督部门的产品《检验报告》等） 。设备到货验收时，还必 须提供设备的产品合格证、质量保证文件。若中标后，除非另有约定，投标人必须按合同规定完成 设备的安装，并达到验收标准。</w:t>
      </w:r>
    </w:p>
    <w:p w14:paraId="0785F1F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7.6  工期要求：投标人在投标时对其所投项目应提交交货进度、交货计划等，在合同规定的时 间内完成项目实施工作。</w:t>
      </w:r>
    </w:p>
    <w:p w14:paraId="15FF613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7.7  投标人必须承担的设备运输、安装调试、验收检测和提供设备操作说明书、图纸等其他相 关及类似的义务。</w:t>
      </w:r>
    </w:p>
    <w:p w14:paraId="37332B8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8．投标费用</w:t>
      </w:r>
    </w:p>
    <w:p w14:paraId="7C20948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不论投标结果如何，投标人应承担其编制投标文件与递交投标文件所涉及的一切费用。</w:t>
      </w:r>
    </w:p>
    <w:p w14:paraId="01CEBFA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9．踏勘现场</w:t>
      </w:r>
    </w:p>
    <w:p w14:paraId="643B11A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9.1 如有需要（详见专用条款），采购人或</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将组织投标人对项目现场及周围环境进行踏勘，以便投标人获取有关编制投标文件和签署合同所需的资料。踏勘现场所发生的费用 由投标人自行承担。投标人应按招标文件所约定的时间、地点踏勘现场。</w:t>
      </w:r>
    </w:p>
    <w:p w14:paraId="41A4705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9.2 投标人及其人员经过采购人的允许，可以进入采购人的项目现场踏勘。若招标文件要求投 标人于统一时间地点踏勘现场的，投标人应当按时前往。</w:t>
      </w:r>
    </w:p>
    <w:p w14:paraId="1AE574C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9.3 采购人应当通过</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向投标人提供有关现场的书面资料和数据。</w:t>
      </w:r>
    </w:p>
    <w:p w14:paraId="5007D58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9.4 任何人或任何组织在踏勘现场时向投标人提供的任何书面资料或口头承诺，未经</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在网上发布或书面通知，均作无效处理。</w:t>
      </w:r>
    </w:p>
    <w:p w14:paraId="6B8E004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9.5 未参与踏勘现场不作为否定投标人资格的理由。</w:t>
      </w:r>
    </w:p>
    <w:p w14:paraId="31DA346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10．标前会议</w:t>
      </w:r>
    </w:p>
    <w:p w14:paraId="29848C7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10.1 如采购人或</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认为有必要组织标前会议，投标人应按照招标文件规定的时间或</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另行书面通知（包括</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网站发布方式，如更正公告等）的时 间和地点，参与标前会议。</w:t>
      </w:r>
    </w:p>
    <w:p w14:paraId="3B4CDCD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10.2 任何人或任何组织在标前会议时向投标人提供的任何书面资料或口头承诺，未经</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在网上发布或书面通知，均作无效处理。</w:t>
      </w:r>
    </w:p>
    <w:p w14:paraId="4BA603A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10.3 未参与标前会议不作为否定投标人资格的理由。</w:t>
      </w:r>
    </w:p>
    <w:p w14:paraId="2A042ADA">
      <w:pPr>
        <w:autoSpaceDE w:val="0"/>
        <w:autoSpaceDN w:val="0"/>
        <w:ind w:firstLine="464" w:firstLineChars="200"/>
        <w:rPr>
          <w:rFonts w:hint="eastAsia" w:ascii="宋体" w:hAnsi="宋体" w:eastAsia="宋体" w:cs="宋体"/>
          <w:spacing w:val="-4"/>
          <w:highlight w:val="none"/>
        </w:rPr>
      </w:pPr>
    </w:p>
    <w:p w14:paraId="2B70633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第一章   招标文件</w:t>
      </w:r>
    </w:p>
    <w:p w14:paraId="2E6D5E4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11．招标文件的编制与组成</w:t>
      </w:r>
    </w:p>
    <w:p w14:paraId="353579E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11.1 招标文件除以下内容外，</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在招标期间发出的澄清或修改等相关公告或通 知内容，均是招标文件的组成部分，对投标人起约束作用；</w:t>
      </w:r>
    </w:p>
    <w:p w14:paraId="2A0E333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招标文件包括下列内容：</w:t>
      </w:r>
    </w:p>
    <w:p w14:paraId="5D4C723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第一册  专用条款 关键信息</w:t>
      </w:r>
    </w:p>
    <w:p w14:paraId="0248D4C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第一章  招标公告</w:t>
      </w:r>
    </w:p>
    <w:p w14:paraId="76AFA13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第二章  对通用条款的补充内容及其他关键信息</w:t>
      </w:r>
    </w:p>
    <w:p w14:paraId="2C4D1C3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第三章  用户需求书</w:t>
      </w:r>
    </w:p>
    <w:p w14:paraId="1597A1F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第四章  投标文件格式及附件</w:t>
      </w:r>
    </w:p>
    <w:p w14:paraId="144C7CF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第五章  合同条款及格式</w:t>
      </w:r>
    </w:p>
    <w:p w14:paraId="260DBA9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第二册  通用条款</w:t>
      </w:r>
    </w:p>
    <w:p w14:paraId="5DCCD17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第一章  总则</w:t>
      </w:r>
    </w:p>
    <w:p w14:paraId="04A42C5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第二章  招标文件</w:t>
      </w:r>
    </w:p>
    <w:p w14:paraId="05A357B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第三章  投标文件的编制</w:t>
      </w:r>
    </w:p>
    <w:p w14:paraId="0D831D1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第四章  投标文件的递交</w:t>
      </w:r>
    </w:p>
    <w:p w14:paraId="03E26E9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第五章  开标</w:t>
      </w:r>
    </w:p>
    <w:p w14:paraId="6D8B2CC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第六章  评审要求</w:t>
      </w:r>
    </w:p>
    <w:p w14:paraId="424A71D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第七章  评审程序及评审方法</w:t>
      </w:r>
    </w:p>
    <w:p w14:paraId="6EF85A2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第八章  定标及公示</w:t>
      </w:r>
    </w:p>
    <w:p w14:paraId="66EC5CC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第九章  公开招标失败的后续处理</w:t>
      </w:r>
    </w:p>
    <w:p w14:paraId="74F0741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 xml:space="preserve">第十章  合同的授予与备案 </w:t>
      </w:r>
    </w:p>
    <w:p w14:paraId="15A759A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第十一章  质疑处理</w:t>
      </w:r>
    </w:p>
    <w:p w14:paraId="4C4DC13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11.2 投标人下载招标文件后，应仔细检查招标文件的所有内容，如有疑问应在答疑截止时间之 前向</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提出，否则， 由此引起的投标损失自负；投标人同时应认真审阅招标文件所有的事项、格式、条款和规范要求等，如果投标人的投标文件未按招标文件要求提交全部资料或者 投标文件未对招标文件做出实质性响应，其风险由投标人自行承担。</w:t>
      </w:r>
    </w:p>
    <w:p w14:paraId="04430DD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11.3 任何人或任何组织向投标人提交的任何书面或口头资料，未经</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在网上发布或书面通知，均作无效处理，不得作为招标文件的组成部分。</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对投标人由此而做出的推论、理解和结论概不负责。</w:t>
      </w:r>
    </w:p>
    <w:p w14:paraId="62C758D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12．招标文件的澄清</w:t>
      </w:r>
    </w:p>
    <w:p w14:paraId="4B06A46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12.1 招标文件澄清的目的是澄清、解答投标人在查阅招标文件后或现场踏勘中可能提出的与投 标有关的疑问或询问。</w:t>
      </w:r>
    </w:p>
    <w:p w14:paraId="4920A13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12.2 投标人如对招标文件内容有疑问，应当在招标公告规定的澄清（提问）截止时间前以网上 提问的形式通过网上政府采购系统提交</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w:t>
      </w:r>
    </w:p>
    <w:p w14:paraId="6FC87C5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12.3 不论是</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根据需要主动对招标文件进行必要的澄清或是根据投标人的要求对招标文件做出澄清，</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都将在投标截止日期前以书面形式（包括</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网站发布方式）答复或发送给所有投标人。答复内容是招标文件的组成部分，对投标人起约束作用，其有效性按照本通用条款第 13.3、13.4 款规定执行。</w:t>
      </w:r>
    </w:p>
    <w:p w14:paraId="376CAB2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13．招标文件的修改</w:t>
      </w:r>
    </w:p>
    <w:p w14:paraId="7EB4EC7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13.1 招标文件发出后，在投标截止日期前任何时候，确需要变更招标文件内容的，</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可主动或在解答投标人提出的澄清问题时对招标文件进行修改。</w:t>
      </w:r>
    </w:p>
    <w:p w14:paraId="14893DF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13.2 招标文件的修改以书面形式（包括</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网站发布方式，如更正公告等）发送给所有投标人，招标文件的修改内容作为招标文件的组成部分，并具有约束力。</w:t>
      </w:r>
    </w:p>
    <w:p w14:paraId="1B2D2A2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13.3 招标文件、招标文件澄清答复内容、招标文件修改补充内容均以书面形式（包括</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网站公开发布方式，如更正公告等） 明确的内容为准。当招标文件、修改补充通知、招标 文件澄清答复内容相互矛盾时，以最后发出的内容为准。</w:t>
      </w:r>
    </w:p>
    <w:p w14:paraId="1CF9CE4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13.4</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保证招标文件澄清答复内容和招标文件修改补充内容在投标截止时间前以书面形式（包括</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网站发布方式，如更正公告等）发送给所有投标人。为使投标人在编制投标文件时有充分时间对招标文件的修改部分进行研究，政府集中采购机构可以酌情延长 递交投标文件的截止日期。</w:t>
      </w:r>
    </w:p>
    <w:p w14:paraId="05B2AF2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第二章   投标文件的编制</w:t>
      </w:r>
    </w:p>
    <w:p w14:paraId="3E16471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14．投标文件的语言及度量单位</w:t>
      </w:r>
    </w:p>
    <w:p w14:paraId="6E965ED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14.1 投标人与政府集中采购机构之间与投标有关的所有往来通知、函件和投标文件均用中文表述。投标人随投标文件提供的证明文件和资料可以为其它语言，但必须附中文译文。翻译的中文资 料与外文资料如果出现差异时，以中文为准，但翻译错误的除外。</w:t>
      </w:r>
    </w:p>
    <w:p w14:paraId="183FD3F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14.2 除技术规范另有规定外，投标文件使用的度量单位，均采用中华人民共和国法定计量单位。</w:t>
      </w:r>
    </w:p>
    <w:p w14:paraId="03F60AD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15．投标文件的组成</w:t>
      </w:r>
    </w:p>
    <w:p w14:paraId="079B276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具体内容在招标文件专用条款中进行规定。</w:t>
      </w:r>
    </w:p>
    <w:p w14:paraId="1E0570D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16．投标文件格式</w:t>
      </w:r>
    </w:p>
    <w:p w14:paraId="5C74D70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投标文件包括本通用条款第 15 条中规定的内容。如招标文件提供了投标文件格式，则投标人提交的投标文件应毫无例外地使用招标文件所提供的相应格式（表格均可按同样格式扩展）。</w:t>
      </w:r>
    </w:p>
    <w:p w14:paraId="7BB3806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17．投标货币</w:t>
      </w:r>
    </w:p>
    <w:p w14:paraId="6590009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本项目的投标报价应以人民币计。</w:t>
      </w:r>
    </w:p>
    <w:p w14:paraId="1B29587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18．证明投标文件投标技术方案的合格性和符合招标文件规定的文件要求</w:t>
      </w:r>
    </w:p>
    <w:p w14:paraId="30C88AE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18.1 投标人应提交证明文件，证明其投标技术方案项下的货物和服务的合格性符合招标文件规 定。该投标技术方案及其证明文件均作为投标文件组成部分。</w:t>
      </w:r>
    </w:p>
    <w:p w14:paraId="5801D87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18.2 投标人提供证明投标技术方案与招标文件的要求相一致的文件，可以是文字资料、图纸、 数据或数码照片、制造商公布的产品说明书、产品彩页和我国政府机构出具的产品检验和核准证件 等，提供的文件应符合以下要求：</w:t>
      </w:r>
    </w:p>
    <w:p w14:paraId="07C67CE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18.2.1 主要技术指标和性能的详细说明。</w:t>
      </w:r>
    </w:p>
    <w:p w14:paraId="4E34C69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18.2.2 投标产品从采购人开始使用至招标文件中规定的周期内正常、连续地使用所必须的备件 和专用工具清单，包括备件和专用工具的货源及现行价格。</w:t>
      </w:r>
    </w:p>
    <w:p w14:paraId="6E1CD38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18.2.3 对照招标文件技术规格，逐条说明投标技术方案已对采购人的技术规格做出了实质性的 响应，或申明与技术规格条文的偏差和例外。投标人应详细说明投标技术方案中产品的具体参数， 不得不合理照搬照抄招标文件的技术要求。</w:t>
      </w:r>
    </w:p>
    <w:p w14:paraId="620BD3A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18.2.4 产品说明书或彩页应为制造商公布或出具的中文产品说明书或彩页；提供外文说明书或 彩页的，必须同时提供加盖制造商公章的对应中文翻译说明，评标依据以中文翻译内容为准，外文 说明书或彩页仅供参考；产品说明书或彩页的尺寸和清晰度要求能够使用电脑阅读、识别和判断；</w:t>
      </w:r>
    </w:p>
    <w:p w14:paraId="5BE766A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18.2.5 我国政府机构出具的产品检验和核准证件应为证件正面、背面和附件标注的全部具体内容；产品检验和核准证件的尺寸和清晰度应该能够在电脑上被阅读、识别和判断，提供原件扫描件。</w:t>
      </w:r>
    </w:p>
    <w:p w14:paraId="23E2F83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18.3 相关资料不符合 18.2 款要求的，评审委员会有权认定为投标技术方案不合格响应，其相关分数予以扣减或作投标无效处理。</w:t>
      </w:r>
    </w:p>
    <w:p w14:paraId="75C272F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18.4 投标人在阐述上述第 18.2 时应注意采购人在技术规格中指出的工艺、材料和设备的标准 以及参照的牌号或分类号仅起说明作用，并没有任何限制性。投标人在投标中可以选用替代标准、 牌号或分类号，但这些替代要实质上满足招标文件中技术规格的要求，是否满足要求， 由评审委员 会来评判。</w:t>
      </w:r>
    </w:p>
    <w:p w14:paraId="7BF9BBE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18.5 除非另有规定或说明，投标人对同一项目投标时，不得同时提供两套或两套以上的投标方 案。</w:t>
      </w:r>
    </w:p>
    <w:p w14:paraId="5BA26DA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19．投标文件其他证明文件的要求</w:t>
      </w:r>
    </w:p>
    <w:p w14:paraId="6116903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19.1 采用综合评分法的项目，对项目招标文件《评标信息》评分项中涉及的相关业绩、社保情 况等内容以及《资格性审查表》和《符合性审查表》 中涉及的证明材料，投标人应提供相关部门出 具的证明材料扫描件或照片，原件备查。有关扫描件（或照片）的尺寸和清晰度要求能够使用电脑 阅读、识别和判断。若投标人未按要求提供证明材料或提供的是部分证明材料或提供不清晰的扫描 件（或照片）的，采购人、代理机构及评审委员会依据各自审查范围，有权认定其投标文件未对招标文件有关需求进行响应，涉及资格性审查或符合性审查的予以投标无效处理，涉及《评标信息》 打分项的则该项评分予以 0 分处理。对供应商投标资料是否异常、是否有效问题进行核查和判定， 如认为供应商投标资料有异常或无效的，若涉及资格性审查或符合性审查条款的，则应作投标无效处理；若涉及评分的，则作不得分处理。</w:t>
      </w:r>
    </w:p>
    <w:p w14:paraId="5E0F34D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19.2 本项目涉及提供的有关资质（资格）证书，若原有资质（资格）证书处于年审期间，须提 供证书颁发部门提供的回执，并且回执须证明该证书依然有效（若在法规范围不需提供的，供应商  应做书面说明并提供证明文件，否则该证书无效），则该投标人提供年审证明的可按原资质（资格） 投标；若投标人正在申报上一级别资质（资格），在未获批准之前，仍按原级别资质（资格）投标。</w:t>
      </w:r>
    </w:p>
    <w:p w14:paraId="5D507A8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20．投标有效期</w:t>
      </w:r>
    </w:p>
    <w:p w14:paraId="0E89C9E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20.1 投标有效期为从投标截止之日算起的日历天数。在此期限内，所有投标文件均保持有效。</w:t>
      </w:r>
    </w:p>
    <w:p w14:paraId="61423CF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20.2 在特殊情况下，政府集中采购机构在原定的投标有效期满之前，</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可以根据需要以书面形式（包括</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网站公开发布方式） 向投标人提出延长投标有效期的要 求，对此要求投标人须以书面形式予以答复，投标人可以拒绝</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此项要求，其投标在原投标有效期满后不再有效。同意延长投标有效期的投标人不能要求也不允许修改其投标文件。</w:t>
      </w:r>
    </w:p>
    <w:p w14:paraId="73D8E2E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20.3 中标供应商的投标文件有效期，截止于完成本招标文件规定的全部项目内容，并通过竣工 验收及保修期结束。</w:t>
      </w:r>
    </w:p>
    <w:p w14:paraId="0681DF3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21．关于投标保证金</w:t>
      </w:r>
    </w:p>
    <w:p w14:paraId="06FB07C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21.1 根据《深圳市财政局关于调整政府采购投标（响应）保证金管理政策的通知》（深财购〔2021〕</w:t>
      </w:r>
    </w:p>
    <w:p w14:paraId="695A271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51 号）文的规定，本项目不收取投标保证金。</w:t>
      </w:r>
    </w:p>
    <w:p w14:paraId="4E6DE59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22．投标人的替代方案</w:t>
      </w:r>
    </w:p>
    <w:p w14:paraId="14B3CCB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22.1 投标人所提交的投标文件应完全满足招标文件（包括图纸和技术规范所示的基本技术设计） 的要求。除非项目明确允许投标人提交替代方案，否则投标人有关替代方案的条款将初审不通过， 作投标无效处理。</w:t>
      </w:r>
    </w:p>
    <w:p w14:paraId="309A0BD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22.2 如果允许投标人提交替代方案，则准备提交替代方案的投标人除应提交一份满足招标文件 （包括图纸和技术规范所示的基本技术设计）要求的投标文件外，还应提交需评审其替代方案所需</w:t>
      </w:r>
    </w:p>
    <w:p w14:paraId="11D009B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的全部资料，包括项目方案书、技术规范、替代方案报价书、所建议的项目方案及有关的其它详细 资料。</w:t>
      </w:r>
    </w:p>
    <w:p w14:paraId="7C89BED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23．投标文件的制作要求</w:t>
      </w:r>
    </w:p>
    <w:p w14:paraId="45AE268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23.1 投标人应准备所投项目的电子投标文件一份。</w:t>
      </w:r>
    </w:p>
    <w:p w14:paraId="5AEF642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23.2 投标人在使用《投标书编制软件》编制投标书时须注意：</w:t>
      </w:r>
    </w:p>
    <w:p w14:paraId="66CBE57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23.2.1 导入《投标书编制软件》的招标文件项目编号、包号应与以此制作的投标文件项目编号、 包号一致。例如，不能将甲项目A 包的招标书导入《投标书编制软件》，制作乙项目B 包的投标书。</w:t>
      </w:r>
    </w:p>
    <w:p w14:paraId="5064CD8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23.2.2 不能用非本公司的电子密钥加密本公司的投标文件，或者用其它公司的登录用户上传本 公司的投标文件。</w:t>
      </w:r>
    </w:p>
    <w:p w14:paraId="563AE99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23.2.3 要求用《投标书编制软件》编制投标书的包，不能用其它方式编制投标书。编制投标文 件时，电脑须连通互联网。</w:t>
      </w:r>
    </w:p>
    <w:p w14:paraId="7CD44D7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23.2.4 投标文件不能带病毒。政府集中采购机构将用专业杀毒软件对投标文件进行病毒检测， 如果这两种软件均报告发现病毒，则政府集中采购机构认为该投标文件带病毒。</w:t>
      </w:r>
    </w:p>
    <w:p w14:paraId="645B81B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23.2.6 投标人在编辑投标文件时，在投标文件目录中属于本节点内容的必须在本节点中填写，填写到其他节点或附件，一切后果由供应商自行承担。</w:t>
      </w:r>
    </w:p>
    <w:p w14:paraId="2FA2C3C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23.2.7 投标文件编写完成后，必须用属于投标人的电子密钥或电子营业执照进行加密，否则视 同未盖公章，将导致投标文件无效。</w:t>
      </w:r>
    </w:p>
    <w:p w14:paraId="2A17449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 xml:space="preserve">23.2.8 </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不接受投标截止时间后递交的纸质、电子、传真等所有形式的投标文件。 由于对网上政府采购系统操作不熟悉或自身电脑、网络等原因导致不能在投标截止时间之前上 传投标文件，</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概不负责。建议于开标前一个工作日完成投标文件的制作与上传， 如上传确有困难，请及时咨询。</w:t>
      </w:r>
    </w:p>
    <w:p w14:paraId="321B614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23.2.9 如果开标时出现网络故障、技术故障，影响了政府采购活动，</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有权采取措施如延期、接受无法从网上上传的投标书等，以保障政府采购活动的公开、公平和公正。</w:t>
      </w:r>
    </w:p>
    <w:p w14:paraId="1054C6E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23.3 电报、电话、传真形式的投标概不接受。</w:t>
      </w:r>
    </w:p>
    <w:p w14:paraId="4634423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23.4 经投标人电子密钥或电子营业执照加密的投标文件无须盖章或签字，专用条款另有要求的 除外。</w:t>
      </w:r>
    </w:p>
    <w:p w14:paraId="3FC2C0C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23.5 各类资格（资质）文件提供扫描件，专用条款另有要求的除外。</w:t>
      </w:r>
    </w:p>
    <w:p w14:paraId="079202F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第三章   投标文件的递交</w:t>
      </w:r>
    </w:p>
    <w:p w14:paraId="1F5D6F8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24．投标文件的保密</w:t>
      </w:r>
    </w:p>
    <w:p w14:paraId="694FB0F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24.1 在投标文件制作完成后，生成后会选择是否加密投标文件，如不加密则直接点击生成文件 即可，如需加密请插入 CA 锁，点击加密后生成文件，需输入 CA 锁密码即可加密成功。加密后会提 示文件生成成功！ (注意：加密的投标文件开标时须使用加密文件时使用的锁在项目规定时间内解密 ！)</w:t>
      </w:r>
    </w:p>
    <w:p w14:paraId="64E28A3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24.2 若采购项目出现延期情况：</w:t>
      </w:r>
    </w:p>
    <w:p w14:paraId="539DD1A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如果供下载的招标文件有更新，投标人必须重新下载招标文件、重新制作投标文件、重新加密 投标文件、重新上传投标文件。</w:t>
      </w:r>
    </w:p>
    <w:p w14:paraId="12F3E86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25．上传投标文件及投标截止日期</w:t>
      </w:r>
    </w:p>
    <w:p w14:paraId="03D4E34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25.1 实行网上投标，投标人必须在招标文件规定的投标截止时间前用电子密钥登录“深圳政府采购自行采购系统（https://trade.szggzy.com/ggzy/center/#/login） ”上传投标文件。如上传过程中遇到问题，可拨打采购公告中的技术支持电话。但上传过程中投标截止时间到达仍无法上传成功的， 由投标人自行负责。</w:t>
      </w:r>
    </w:p>
    <w:p w14:paraId="096FE48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25.2 政府集中采购机构可以按本通用条款第 13 条规定，通过修改招标文件自行决定酌情延长 投标截止期。在此情况下，</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、采购人和投标人受投标截止期制约的所有权利和义 务均应延长至新的截止期。</w:t>
      </w:r>
    </w:p>
    <w:p w14:paraId="3A4389F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25.3 投标截止时间以后不得上传投标文件。</w:t>
      </w:r>
    </w:p>
    <w:p w14:paraId="26FCDA7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26. 样品、现场演示、方案讲解</w:t>
      </w:r>
    </w:p>
    <w:p w14:paraId="575A067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26.1 样品、现场演示、方案讲解等事项在招标文件专用条款中进行规定。</w:t>
      </w:r>
    </w:p>
    <w:p w14:paraId="30027B2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27．投标文件的修改和撤销</w:t>
      </w:r>
    </w:p>
    <w:p w14:paraId="331962E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27.1 投标方在提交投标文件后可对其投标文件进行修改并重新上传投标文件或在网上进行撤销 投标的操作。</w:t>
      </w:r>
    </w:p>
    <w:p w14:paraId="0EF05DB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27.2 投标截止时间以后不得修改投标文件。</w:t>
      </w:r>
    </w:p>
    <w:p w14:paraId="47EB941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27.3 从投标截止期至投标人在投标文件中确定的投标有效期之间的这段时间内，投标人不得撤 回其投标。</w:t>
      </w:r>
    </w:p>
    <w:p w14:paraId="1C4BB4D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 xml:space="preserve">27.4 </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不退还投标文件，专用条款另有规定的除外。</w:t>
      </w:r>
    </w:p>
    <w:p w14:paraId="273B31DC">
      <w:pPr>
        <w:autoSpaceDE w:val="0"/>
        <w:autoSpaceDN w:val="0"/>
        <w:ind w:firstLine="464" w:firstLineChars="200"/>
        <w:rPr>
          <w:rFonts w:hint="eastAsia" w:ascii="宋体" w:hAnsi="宋体" w:eastAsia="宋体" w:cs="宋体"/>
          <w:spacing w:val="-4"/>
          <w:highlight w:val="none"/>
        </w:rPr>
      </w:pPr>
    </w:p>
    <w:p w14:paraId="5A2211A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第四章   开标</w:t>
      </w:r>
    </w:p>
    <w:p w14:paraId="5380D9B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28．开标</w:t>
      </w:r>
    </w:p>
    <w:p w14:paraId="323E8AC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28.1 投标人须在开标当日的开标时间至解密截止时间内进行解密，逾期未解密的作无效处理。</w:t>
      </w:r>
    </w:p>
    <w:p w14:paraId="689A9F1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解密方法：登录“深圳政府采购自行采购系统（</w:t>
      </w:r>
      <w:r>
        <w:rPr>
          <w:rFonts w:hint="eastAsia" w:ascii="宋体" w:hAnsi="宋体" w:eastAsia="宋体" w:cs="宋体"/>
          <w:spacing w:val="-4"/>
          <w:highlight w:val="none"/>
        </w:rPr>
        <w:fldChar w:fldCharType="begin"/>
      </w:r>
      <w:r>
        <w:rPr>
          <w:rFonts w:hint="eastAsia" w:ascii="宋体" w:hAnsi="宋体" w:eastAsia="宋体" w:cs="宋体"/>
          <w:spacing w:val="-4"/>
          <w:highlight w:val="none"/>
        </w:rPr>
        <w:instrText xml:space="preserve"> HYPERLINK "https://trade.szggzy.com/ggzy/center/#/login" </w:instrText>
      </w:r>
      <w:r>
        <w:rPr>
          <w:rFonts w:hint="eastAsia" w:ascii="宋体" w:hAnsi="宋体" w:eastAsia="宋体" w:cs="宋体"/>
          <w:spacing w:val="-4"/>
          <w:highlight w:val="none"/>
        </w:rPr>
        <w:fldChar w:fldCharType="separate"/>
      </w:r>
      <w:r>
        <w:rPr>
          <w:rFonts w:hint="eastAsia" w:ascii="宋体" w:hAnsi="宋体" w:eastAsia="宋体" w:cs="宋体"/>
          <w:spacing w:val="-4"/>
          <w:highlight w:val="none"/>
        </w:rPr>
        <w:t>https://trade.szggzy.com/ggzy/center/#/login</w:t>
      </w:r>
      <w:r>
        <w:rPr>
          <w:rFonts w:hint="eastAsia" w:ascii="宋体" w:hAnsi="宋体" w:eastAsia="宋体" w:cs="宋体"/>
          <w:spacing w:val="-4"/>
          <w:highlight w:val="none"/>
        </w:rPr>
        <w:fldChar w:fldCharType="end"/>
      </w:r>
      <w:r>
        <w:rPr>
          <w:rFonts w:hint="eastAsia" w:ascii="宋体" w:hAnsi="宋体" w:eastAsia="宋体" w:cs="宋体"/>
          <w:spacing w:val="-4"/>
          <w:highlight w:val="none"/>
        </w:rPr>
        <w:t>）”， 使用本单位制作电子投标文件同一个电子密钥进行在线解密、查询开标情况。</w:t>
      </w:r>
    </w:p>
    <w:p w14:paraId="52C999E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28.2 政府集中采购机构将在满足开标条件（①解密时间结束，解密后的投标供应商数量满足开 标要求或②解密时间结束前所有投标供应商均完成投标文件解密）后，对投标文件进行开标，并在 网上公布开标结果。</w:t>
      </w:r>
    </w:p>
    <w:p w14:paraId="7737787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第五章   评审要求</w:t>
      </w:r>
    </w:p>
    <w:p w14:paraId="2ED85C3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29．评审委员会组成</w:t>
      </w:r>
    </w:p>
    <w:p w14:paraId="3E188B5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29.1 网上开标结束后召开评审会议，评审委员会由</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依法组建，负责评审活动。 评审委员会由采购人代表和评审专家组成，成员人数应当为 5 人以上单数（部分条件下为 7 人</w:t>
      </w:r>
    </w:p>
    <w:p w14:paraId="386F11E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以上单数），其中评审专家不得少于成员总数的三分之二。评定分离项目评审专家均由评审专家组成。评审专家一般是从深圳市政府采购评审专家库中随机抽取。采购人代表须持本单位签发的《评审授权书》参加评审。</w:t>
      </w:r>
    </w:p>
    <w:p w14:paraId="49C6EC7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29.2 评审定标应当遵循公平、公正、科学、择优的原则。</w:t>
      </w:r>
    </w:p>
    <w:p w14:paraId="66419C2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29.3 评审活动依法进行，任何单位和个人不得非法干预评标过程和结果。</w:t>
      </w:r>
    </w:p>
    <w:p w14:paraId="3E7AF19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29.4 评审过程中不允许违背评标程序或采用招标文件未载明的评标方法或评标因素进行评标。</w:t>
      </w:r>
    </w:p>
    <w:p w14:paraId="3F1D702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29.5 开标后，直到签订合同为止，凡属于对投标文件的审查、澄清、评价和比较的有关资料以 及中标候选人的推荐情况、与评审有关的其他任何情况均严格保密（信息公开的内容除外）。</w:t>
      </w:r>
    </w:p>
    <w:p w14:paraId="01D760F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30．向评审委员会提供的资料</w:t>
      </w:r>
    </w:p>
    <w:p w14:paraId="7A24FF2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30.1 公开发布的招标文件，包括图纸、服务清单、答疑文件等；</w:t>
      </w:r>
    </w:p>
    <w:p w14:paraId="75FC104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30.2 其他评标必须的资料。</w:t>
      </w:r>
    </w:p>
    <w:p w14:paraId="75F0D9A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30.3 评审委员会应当认真研究招标文件，至少应了解熟悉以下内容：</w:t>
      </w:r>
    </w:p>
    <w:p w14:paraId="516DBB4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（1）招标的目的；</w:t>
      </w:r>
    </w:p>
    <w:p w14:paraId="42B8025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（2）招标项目需求的范围和性质；</w:t>
      </w:r>
    </w:p>
    <w:p w14:paraId="4BC31B6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（3）招标文件规定的投标人的资格、财政预算限额、商务条款；</w:t>
      </w:r>
    </w:p>
    <w:p w14:paraId="3540558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（4）招标文件规定的评标程序、评标方法和评标因素；</w:t>
      </w:r>
    </w:p>
    <w:p w14:paraId="5BD11A5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（5）招标文件所列示的资格性审查表及符合性审查表。</w:t>
      </w:r>
    </w:p>
    <w:p w14:paraId="3CBB614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31．独立评审</w:t>
      </w:r>
    </w:p>
    <w:p w14:paraId="6BA5BA0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31.1 评审委员会成员的评标活动应当独立进行，并应遵循投标文件初审、澄清有关问题、比较 与评价、确定中标供应商、编写评审报告的工作程序。</w:t>
      </w:r>
    </w:p>
    <w:p w14:paraId="0FCC458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第六章   评审程序及评审方法</w:t>
      </w:r>
    </w:p>
    <w:p w14:paraId="65E7C14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32．投标文件初审</w:t>
      </w:r>
    </w:p>
    <w:p w14:paraId="06BD041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32.1 投标文件初审包括资格性审查和符合性审查。</w:t>
      </w:r>
    </w:p>
    <w:p w14:paraId="5B7DBB9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资格性审查：依据法律法规和招标文件的规定，对投标文件中的资格证明等进行审查，以确定 投标供应商是否具备投标资格。</w:t>
      </w:r>
    </w:p>
    <w:p w14:paraId="1830F59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符合性审查：依据招标文件的规定，对投标文件的有效性、完整性和对招标文件的响应程度进 行审查，以确定是否满足符合性审查的要求。</w:t>
      </w:r>
    </w:p>
    <w:p w14:paraId="4B90AB6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32.2 投标文件初审内容请详见《资格性审查表》和《符合性审查表》部分。投标人若有一条审 查不通过则按投标无效处理。</w:t>
      </w:r>
    </w:p>
    <w:p w14:paraId="3B89251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32.3 投标文件初审中关于供应商家数的计算:</w:t>
      </w:r>
    </w:p>
    <w:p w14:paraId="171106D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32.3.1 采用最低评标价法的采购项目，提供相同品牌产品的不同投标人参加同一合同项下投标 的，以其中通过资格审查、符合性审查且报价最低的参加评标；报价相同的， 由采购人或者采购人 委托评审委员会按照招标文件规定的方式确定一个参加评审的投标人，招标文件未规定的采取随机 抽取方式确定，其他投标无效。</w:t>
      </w:r>
    </w:p>
    <w:p w14:paraId="199DB19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32.3.2 采用综合评分法的采购项目，提供相同品牌产品且通过资格审查、符合性审查的不同投 标人参加同一合同项下投标的，按一家投标人计算，评审后得分最高的同品牌投标人获得中标人推 荐资格；评审得分相同的， 由采购人或者采购人委托评审委员会按照招标文件规定的方式确定一个 投标人获得中标人推荐资格，招标文件未规定的采取随机抽取方式确定，其他同品牌投标人不作为 中标候选人。</w:t>
      </w:r>
    </w:p>
    <w:p w14:paraId="6988FF1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32.3.3 非单一产品采购项目，采购人应当根据采购项目技术构成、产品价格比重等合理确定核 心产品，并在招标文件中载明。多家投标人提供的核心产品品牌相同的，按前两款规定处理。</w:t>
      </w:r>
    </w:p>
    <w:p w14:paraId="13B5B8B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32.4 投标人投标文件作无效处理的情形，具体包括但不限于以下：</w:t>
      </w:r>
    </w:p>
    <w:p w14:paraId="5469F54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32.4.1 不同投标人的投标文件由同一单位或者同一个人编制，或者由同一个人分阶段参与编制；</w:t>
      </w:r>
    </w:p>
    <w:p w14:paraId="153DB44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32.4.2 不同投标人委托同一单位或者个人办理投标事宜；</w:t>
      </w:r>
    </w:p>
    <w:p w14:paraId="3299E5A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32.4.3 不同投标人的投标文件载明的项目管理成员或者联系人员为同一人；</w:t>
      </w:r>
    </w:p>
    <w:p w14:paraId="4EEFEAF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32.4.4 不同投标人的投标文件异常一致或者投标报价呈规律性差异；</w:t>
      </w:r>
    </w:p>
    <w:p w14:paraId="56516A7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32.4.5 不同投标供应商的投标文件或部分投标文件相互混装；</w:t>
      </w:r>
    </w:p>
    <w:p w14:paraId="7523AB5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32.4.6 投标供应商之间相互约定给予未中标的供应商利益补偿；</w:t>
      </w:r>
    </w:p>
    <w:p w14:paraId="3F4BE43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32.4.7 不同投标供应商的法定代表人、主要经营负责人、项目投标授权代表人、项目负责人、 主要技术人员为同一人、属同一单位或者同一单位缴纳社会保险；</w:t>
      </w:r>
    </w:p>
    <w:p w14:paraId="5C4ADD5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32.4.8 不同投标供应商的投标文件内容存在非正常一致；</w:t>
      </w:r>
    </w:p>
    <w:p w14:paraId="237F152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32.4.9 在同一单位工作人员为两家以上（含两家）供应商进行同一项投标活动；</w:t>
      </w:r>
    </w:p>
    <w:p w14:paraId="29174BA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32.4.10 主管部门依照法律、法规认定的其他情形。</w:t>
      </w:r>
    </w:p>
    <w:p w14:paraId="7D33DB6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32.5 对不属于《资格性审查表》和《符合性审查表》所列的其他情形，除专用条款另有规定和 32.4 条款所列情形外，不得作为投标无效的理由。</w:t>
      </w:r>
    </w:p>
    <w:p w14:paraId="5FDD4E8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33．澄清有关问题</w:t>
      </w:r>
    </w:p>
    <w:p w14:paraId="1057B6D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33.1 对招标文件中描述有歧义或前后不一致的地方（不含招标文件存在歧义、重大缺陷导致评审工作无法进行的情况），评审委员会有权进行评判，但对同一条款的评判应适用于每个投标人。</w:t>
      </w:r>
    </w:p>
    <w:p w14:paraId="5992219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33.2 评审委员会发现招标文件存在歧义、重大缺陷导致评审工作无法进行，或者招标文件内容 违反国家有关强制性规定的，应当停止评审工作，与政府集中采购机构沟通并作书面记录。经确认 后，项目应当修改招标文件，重新组织采购活动。</w:t>
      </w:r>
    </w:p>
    <w:p w14:paraId="2940886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33.3 对于投标文件中含义不明确、同类问题表述不一致或者有明显文字和计算错误的内容，评 审委员会应当以书面形式要求投标人作出必要的澄清、说明或者补正。</w:t>
      </w:r>
    </w:p>
    <w:p w14:paraId="2855821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投标人的澄清、说明或者补正应当采用书面形式【书面形式是指文书、信件（含电子邮件）、 电报、 电传、传真等形式】，并加盖公章（或者由法定代表人或其授权的代表签字） 。投标人的澄 清、说明或者补正不得超出投标文件的范围或者改变投标文件的实质性内容。</w:t>
      </w:r>
    </w:p>
    <w:p w14:paraId="1FEAC96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根据本通用条款第 34 条，凡属于评审委员会在评审中发现的算术错误进行核实的修改不在此列。 34．错误的修正</w:t>
      </w:r>
    </w:p>
    <w:p w14:paraId="71C9395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投标文件报价出现前后不一致的，除专用条款另有规定外，按照下列规定修正：</w:t>
      </w:r>
    </w:p>
    <w:p w14:paraId="32B5443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34.1 投标文件中开标一览表投标报价内容与投标文件中投标报价相应内容不一致的，以开标一 览表为准；</w:t>
      </w:r>
    </w:p>
    <w:p w14:paraId="1AEDEE4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34.2 大写金额和小写金额不一致的，以大写金额为准；</w:t>
      </w:r>
    </w:p>
    <w:p w14:paraId="0441755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34.3 单价金额小数点或者百分比有明显错位，以开标一览表的总价为准，并修改单价；</w:t>
      </w:r>
    </w:p>
    <w:p w14:paraId="705BB9C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34.4 总价金额与按单价汇总金额不一致的，以单价金额计算结果为准。</w:t>
      </w:r>
    </w:p>
    <w:p w14:paraId="26EC8CA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34.5 同时出现两种以上不一致的，按照前款规定的顺序修正。修正后的报价按照本通用条款 33 条的规定，经投标人确认后产生约束力，投标人不确认的，其投标无效。</w:t>
      </w:r>
    </w:p>
    <w:p w14:paraId="769EB62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35．投标文件的比较与评价</w:t>
      </w:r>
    </w:p>
    <w:p w14:paraId="25B1E0C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评审委员会将按照《深圳经济特区政府采购条例》、《深圳经济特区政府采购条例实施细则》、 《深圳市政府采购评标定标分离管理办法》及政府采购其他法律法规，仅对通过资格性审查和符合 性审查的投标文件进行综合比较与评价。</w:t>
      </w:r>
    </w:p>
    <w:p w14:paraId="1566F5B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评审委员会成员对需要共同认定的事项存在争议的，应当按照少数服从多数的原则作出结论。 持不同意见的评审委员会成员应当书面作出说明，否则视为无异议。</w:t>
      </w:r>
    </w:p>
    <w:p w14:paraId="6F0C5EF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36. 实地考察或资料查验</w:t>
      </w:r>
    </w:p>
    <w:p w14:paraId="393FDC5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36.1 在评审过程中，评审委员会有权决定是否对本项目投标人进行实地考察或资料查验（原件）。 投标人应随时做好接受实地考察或资料查验的准备。</w:t>
      </w:r>
    </w:p>
    <w:p w14:paraId="7E7AF1C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37．评审方法</w:t>
      </w:r>
    </w:p>
    <w:p w14:paraId="20C6D34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37.1.1 最低价法</w:t>
      </w:r>
    </w:p>
    <w:p w14:paraId="77770FA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最低价法，是指投标文件满足招标文件全部实质性要求，且投标报价最低的投标人为中标候选 人的评标方法。</w:t>
      </w:r>
    </w:p>
    <w:p w14:paraId="3158571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采用最低价法的，评标结果按投标报价由低到高顺序排列。投标报价相同的并列。投标文件满 足招标文件全部实质性要求且投标报价最低的投标人为排名第一的中标候选人。出现投标报价相同 的并列情况时，采取随机抽取的方式确定。（抽签原则：</w:t>
      </w:r>
      <w:r>
        <w:rPr>
          <w:rFonts w:hint="eastAsia" w:ascii="宋体" w:hAnsi="宋体" w:eastAsia="宋体" w:cs="宋体"/>
          <w:spacing w:val="-4"/>
          <w:highlight w:val="none"/>
          <w:lang w:val="en-US" w:eastAsia="zh-CN"/>
        </w:rPr>
        <w:t>深圳市东海国际招标有限公司</w:t>
      </w:r>
      <w:r>
        <w:rPr>
          <w:rFonts w:hint="eastAsia" w:ascii="宋体" w:hAnsi="宋体" w:eastAsia="宋体" w:cs="宋体"/>
          <w:spacing w:val="-4"/>
          <w:highlight w:val="none"/>
        </w:rPr>
        <w:t>的组织下，由评标委员会作为抽签小组进行随机抽签确定排序。（1）编号。 抽签小组按上传投标文件的时间先后确定抽签编号，如 A  公司上传投标文件的时间最早，则抽签编 号为 1 ，以此类推。（2）抽签。按抽签编号的数量在摇号机放入相应数量及对应编号的号码球，抽 签小组成员随机抽取号码球，按抽出号码球的顺序，确定号码球对应的供应商排序。（3）确认结果。 全体抽签小组成员签字确认抽签结果。）</w:t>
      </w:r>
    </w:p>
    <w:p w14:paraId="1C76B42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37.1.2 综合评分法</w:t>
      </w:r>
    </w:p>
    <w:p w14:paraId="646C9B7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综合评分法，是指在满足招标文件全部实质性要求的前提下，按照招标文件中规定的各项因素 进行综合评审，评审总得分排名前列的投标人，作为推荐的候选中标供应商。</w:t>
      </w:r>
    </w:p>
    <w:p w14:paraId="09F3716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采用综合评分法的，评标结果按评审后得分由高到低顺序排列。得分相同的，按投标报价由低 到高顺序排列。得分且投标报价相同的并列。投标文件满足招标文件全部实质性要求，且按照评审 因素的量化指标评审得分最高的投标人为排名第一的中标候选人。出现得分且投标报价相同的并列 情况时，采取随机抽取的方式确定。（抽签原则：在</w:t>
      </w:r>
      <w:r>
        <w:rPr>
          <w:rFonts w:hint="eastAsia" w:ascii="宋体" w:hAnsi="宋体" w:eastAsia="宋体" w:cs="宋体"/>
          <w:spacing w:val="-4"/>
          <w:highlight w:val="none"/>
          <w:lang w:val="en-US" w:eastAsia="zh-CN"/>
        </w:rPr>
        <w:t>深圳市东海国际招标有限公司</w:t>
      </w:r>
      <w:r>
        <w:rPr>
          <w:rFonts w:hint="eastAsia" w:ascii="宋体" w:hAnsi="宋体" w:eastAsia="宋体" w:cs="宋体"/>
          <w:spacing w:val="-4"/>
          <w:highlight w:val="none"/>
        </w:rPr>
        <w:t>的组织下，由评标委员会作为抽签小组进行随机抽签确定排序。（1）编号。抽签小 组按上传投标文件的时间先后确定抽签编号，如 A  公司上传投标文件的时间最早，则抽签编号为 1， 以此类推。（2）抽签。按抽签编号的数量在摇号机放入相应数量及对应编号的号码球，抽签小组成 员随机抽取号码球，按抽出号码球的顺序，确定号码球对应的供应商排序。（3）确认结果。全体抽 签小组成员签字确认抽签结果。）</w:t>
      </w:r>
    </w:p>
    <w:p w14:paraId="111BF31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37.2 本项目采用的评审方法见本项目招标文件第一册“专用条款 ”的相关内容。</w:t>
      </w:r>
    </w:p>
    <w:p w14:paraId="67548F3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37.3 重新评审的情形</w:t>
      </w:r>
    </w:p>
    <w:p w14:paraId="4ED82CE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评审结果汇总完成后，除下列情形外，任何人不得修改评审结果：</w:t>
      </w:r>
    </w:p>
    <w:p w14:paraId="4C26DD3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37.3.1 分值汇总计算错误的；</w:t>
      </w:r>
    </w:p>
    <w:p w14:paraId="249C16D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37.3.2 分项评分超出评分标准范围的；</w:t>
      </w:r>
    </w:p>
    <w:p w14:paraId="62BBDE0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37.3.3 评审委员会成员对客观评审因素评分不一致的；</w:t>
      </w:r>
    </w:p>
    <w:p w14:paraId="52EBCD6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37.3.4 经评审委员会认定评分畸高、畸低的。</w:t>
      </w:r>
    </w:p>
    <w:p w14:paraId="7327162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评审报告签署前，经复核发现存在以上情形之一的，评审委员会应当当场修改评审结果，并进行书面记载；评审报告签署后，采购人或者采购代理机构发现存在以上情形之一的，应当组织原评 审委员会进行重新评审，重新评审改变评审结果的，书面报告本级财政部门。</w:t>
      </w:r>
    </w:p>
    <w:p w14:paraId="6DAF73E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投标人对本条第一款情形提出质疑的，采购人或者采购代理机构可以组织原评审委员会进行重 新评审，重新评审改变评审结果的，应当书面报告本级财政部门。</w:t>
      </w:r>
    </w:p>
    <w:p w14:paraId="6C3E2D3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37.4 重新组建评审委员会的情形</w:t>
      </w:r>
    </w:p>
    <w:p w14:paraId="2680513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评审委员会或者其成员存在下列情形导致评审结果无效的，重新组建评审委员会进行评标，并书面报告本级财政部门：</w:t>
      </w:r>
    </w:p>
    <w:p w14:paraId="39A3221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37.4.1 评审委员会组成不符合《政府采购货物和服务招标投标管理办法》规定的；</w:t>
      </w:r>
    </w:p>
    <w:p w14:paraId="3F19E5B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37.4.2 有《政府采购货物和服务招标投标管理办法》第六十二条第一至五项情形的；</w:t>
      </w:r>
    </w:p>
    <w:p w14:paraId="09D95F5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37.4.3 评审委员会及其成员独立评标受到非法干预的；</w:t>
      </w:r>
    </w:p>
    <w:p w14:paraId="1196FCB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37.4.4 有政府采购法实施条例第七十五条规定的违法行为的。</w:t>
      </w:r>
    </w:p>
    <w:p w14:paraId="7552345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有违法违规行为的原评审委员会成员不得参加重新组建的评审委员会。</w:t>
      </w:r>
    </w:p>
    <w:p w14:paraId="0F2ABBA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第七章   定标及公示</w:t>
      </w:r>
    </w:p>
    <w:p w14:paraId="503CF3A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38．定标方法</w:t>
      </w:r>
    </w:p>
    <w:p w14:paraId="1A9FEE0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38.1 非评定分离项目定标方法</w:t>
      </w:r>
    </w:p>
    <w:p w14:paraId="14B4A18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38.1.1 评审委员会依据本项目招标文件所约定的评审方法进行评审和比较，向政府集中采购机 构提交书面评审报告，并根据评审方法比较评价结果从优到劣进行排序，确定候选中标供应商。</w:t>
      </w:r>
    </w:p>
    <w:p w14:paraId="1A358DE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38. 1.2 采用最低价法的，评审结果按投标报价由低到高顺序排列。投标报价相同的并列。投标 文件满足招标文件全部实质性要求且投标报价最低的投标人为中标供应商（排名第二的投标人为第 一替补中标候选人、排名第三的投标人为第二替补中标候选人）。出现投标报价相同的并列情况时， 采取随机抽取的方式确定。（抽签原则：在</w:t>
      </w:r>
      <w:r>
        <w:rPr>
          <w:rFonts w:hint="eastAsia" w:ascii="宋体" w:hAnsi="宋体" w:eastAsia="宋体" w:cs="宋体"/>
          <w:spacing w:val="-4"/>
          <w:highlight w:val="none"/>
          <w:lang w:val="en-US" w:eastAsia="zh-CN"/>
        </w:rPr>
        <w:t>深圳市东海国际招标有限公司</w:t>
      </w:r>
      <w:r>
        <w:rPr>
          <w:rFonts w:hint="eastAsia" w:ascii="宋体" w:hAnsi="宋体" w:eastAsia="宋体" w:cs="宋体"/>
          <w:spacing w:val="-4"/>
          <w:highlight w:val="none"/>
        </w:rPr>
        <w:t>的组织下，由评标委员会作为抽签小组进行随机抽签确定排序。（1）编号。抽签小组按上传 投标文件的时间先后确定抽签编号，如 A  公司上传投标文件的时间最早，则抽签编号为 1 ，以此类 推。（2）抽签。按抽签编号的数量在摇号机放入相应数量及对应编号的号码球，抽签小组成员随机 抽取号码球，按抽出号码球的顺序，确定号码球对应的供应商排序。（3）确认结果。全体抽签小组 成员签字确认抽签结果。）</w:t>
      </w:r>
    </w:p>
    <w:p w14:paraId="11D2A90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38. 1.3 采用综合评分法的，评标结果按评审后得分由高到低顺序排列。得分相同的，按投标报  价由低到高顺序排列。得分且投标报价相同的并列。投标文件满足招标文件全部实质性要求，且按  照评审因素的量化指标评审得分最高的投标人为中标供应商（排名第二的投标人为第一替补中标候  选人、排名第三的投标人为第二替补中标候选人） 。出现得分且投标报价相同的并列情况时，采取  随机抽取的方式确定。（抽签原则：</w:t>
      </w:r>
      <w:r>
        <w:rPr>
          <w:rFonts w:hint="eastAsia" w:ascii="宋体" w:hAnsi="宋体" w:eastAsia="宋体" w:cs="宋体"/>
          <w:spacing w:val="-4"/>
          <w:highlight w:val="none"/>
          <w:lang w:val="en-US" w:eastAsia="zh-CN"/>
        </w:rPr>
        <w:t>深圳市东海国际招标有限公司</w:t>
      </w:r>
      <w:r>
        <w:rPr>
          <w:rFonts w:hint="eastAsia" w:ascii="宋体" w:hAnsi="宋体" w:eastAsia="宋体" w:cs="宋体"/>
          <w:spacing w:val="-4"/>
          <w:highlight w:val="none"/>
        </w:rPr>
        <w:t xml:space="preserve"> 的组织下，由评标委员会作为抽签小组进行随机抽签确定排序。（1）编号。抽签小组按上传投标文  件的时间先后确定抽签编号，如 A  公司上传投标文件的时间最早，则抽签编号为 1 ，以此类推。（2） 抽签。按抽签编号的数量在摇号机放入相应数量及对应编号的号码球，抽签小组成员随机抽取号码  球，按抽出号码球的顺序，确定号码球对应的供应商排序。（3）确认结果。全体抽签小组成员签字  确认抽签结果。）</w:t>
      </w:r>
    </w:p>
    <w:p w14:paraId="796E650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38.2 评定分离项目定标方法</w:t>
      </w:r>
    </w:p>
    <w:p w14:paraId="7DA233F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38.2.1 评定分离是指在政府集中采购程序中，以公开招标方式执行采购，评审委员会负责对投 标文件进行评审、推荐候选中标供应商并出具书面评审报告， 由采购人根据评审委员会出具的评审 报告从推荐的候选中标供应商中确定中标供应商。单个项目需要确定多家中标供应商的，不适用评定分离。</w:t>
      </w:r>
    </w:p>
    <w:p w14:paraId="260E5D0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38.2.2 适用评定分离的政府采购项目，采用综合评分法评审。评审委员会按照评审结果，推荐 三个合格的候选中标供应商。</w:t>
      </w:r>
    </w:p>
    <w:p w14:paraId="3793420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38.2.3 适用评定分离的政府采购项目，按照自定法确定中标供应商： 自定法是指采购人组织定 标委员会，由定标委员会在三家候选中标供应商中确定中标供应商。</w:t>
      </w:r>
    </w:p>
    <w:p w14:paraId="0C3E2F5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 xml:space="preserve">38.2.4 </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应当自评审结束之日起两个工作日内将候选中标供应商名单及其投标文件、评审报告送交采购人。采购人应当安排专人对定标过程进行书面记录，形成定标报告，作为  采购文件的组成部分存档，并及时将定标结果反馈</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。具体定标程序及相关要求以  按照《深圳市财政局关于印发〈深圳市政府采购评标定标分离管理办法〉的通知》（深财规【2020】</w:t>
      </w:r>
    </w:p>
    <w:p w14:paraId="2080258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 号）执行。</w:t>
      </w:r>
    </w:p>
    <w:p w14:paraId="1444B62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说明：采购人及投标供应商应按照上述方法提前做好相关准备。</w:t>
      </w:r>
    </w:p>
    <w:p w14:paraId="27649DC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38.3 专用条款另有规定的，按专用条款相关要求定标。</w:t>
      </w:r>
    </w:p>
    <w:p w14:paraId="06CEC9E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39．编写评审报告</w:t>
      </w:r>
    </w:p>
    <w:p w14:paraId="07C3820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评审报告是评审委员会根据全体评标成员签字的原始评审记录和评审结果编写的报告，评审报告由评审委员会全体成员签字。对评审结论持有异议的评审委员会成员可以书面方式阐述其不同意 见和理由。评审委员会成员拒绝在评审报告上签字且不陈述其不同意见和理由的，视为同意评审结 论。评审委员会应当对此作出书面说明并记录存档。</w:t>
      </w:r>
    </w:p>
    <w:p w14:paraId="6E65A83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40．中标公告</w:t>
      </w:r>
    </w:p>
    <w:p w14:paraId="3559528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40.1 为体现“公开、公平、公正 ”的原则，评审结束后经采购人确认（确定）评审结果，政府集中采购机构将在深圳政府采购自行采购系统（https://zxcg.szggzy.com/home/index.html）上  发布中标结果公告。供应商如对评审结果有异议，可在发布公示日期起七个工作日内向</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提出。监督电话：0755-83948143。若在公示期内未提出质疑，则视为认同该评审结果。</w:t>
      </w:r>
    </w:p>
    <w:p w14:paraId="476E34B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40.2 质疑、投诉供应商应保证质疑、投诉内容的真实性和可靠性，并承担相应的法律责任。</w:t>
      </w:r>
    </w:p>
    <w:p w14:paraId="4E9A51A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41．中标通知书</w:t>
      </w:r>
    </w:p>
    <w:p w14:paraId="56A3900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41.1 中标公告公布以后无异常的情况下,中标供应商和采购人可自行登录“深圳政府采购自行采购系统（https://trade.szggzy.com/ggzy/center/#/login） ”上打印《数字中标通知书》。</w:t>
      </w:r>
    </w:p>
    <w:p w14:paraId="2FDE97B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41.2 中标通知书是合同的重要组成部分。</w:t>
      </w:r>
    </w:p>
    <w:p w14:paraId="193FF18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41.3 因质疑投诉或其它原因导致项目结果变更或采购终止的，</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有权吊销中标通知书。</w:t>
      </w:r>
    </w:p>
    <w:p w14:paraId="21806F0A">
      <w:pPr>
        <w:autoSpaceDE w:val="0"/>
        <w:autoSpaceDN w:val="0"/>
        <w:ind w:firstLine="464" w:firstLineChars="200"/>
        <w:rPr>
          <w:rFonts w:hint="eastAsia" w:ascii="宋体" w:hAnsi="宋体" w:eastAsia="宋体" w:cs="宋体"/>
          <w:spacing w:val="-4"/>
          <w:highlight w:val="none"/>
        </w:rPr>
      </w:pPr>
    </w:p>
    <w:p w14:paraId="6C98245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第八章   公开招标失败的后续处理</w:t>
      </w:r>
    </w:p>
    <w:p w14:paraId="4087611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42．公开招标失败的处理</w:t>
      </w:r>
    </w:p>
    <w:p w14:paraId="09232D4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42.1 本项目公开招标过程中若由于投标截止后实际递交投标文件的供应商数量不足、经评审委员会评审对招标文件作实质响应的供应商不足等原因造成公开招标失败，可由</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重新组织采购。</w:t>
      </w:r>
    </w:p>
    <w:p w14:paraId="2A0C694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42.2 对公开招标失败的项目，评审委员会在出具该项目招标失败结论的同时，可以提出重新采 购组织形式的建议，以及进一步完善招标文件的资格、技术、商务要求的修改建议。</w:t>
      </w:r>
    </w:p>
    <w:p w14:paraId="6264804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42.3 重新组织采购有以下两种组织形式：</w:t>
      </w:r>
    </w:p>
    <w:p w14:paraId="0FF2AB3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 由</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重新组织公开招标；</w:t>
      </w:r>
    </w:p>
    <w:p w14:paraId="7339447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（2）根据实际情况需要向同级财政部门提出非公开招标方式申请，经同级财政部门批准，公开 招标失败采购项目可转为竞争性谈判或单一来源谈判方式采购。</w:t>
      </w:r>
    </w:p>
    <w:p w14:paraId="198904B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42.4 公开招标失败的采购项目重新组织公开招标，由</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重新按公开招标流程组织采购活动。</w:t>
      </w:r>
    </w:p>
    <w:p w14:paraId="509152B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42.5 公开招标失败的采购项目经同级财政部门批准转为竞争性谈判或单一来源谈判方式采购的，按规定要求组织政府采购工作。</w:t>
      </w:r>
    </w:p>
    <w:p w14:paraId="75A31130">
      <w:pPr>
        <w:autoSpaceDE w:val="0"/>
        <w:autoSpaceDN w:val="0"/>
        <w:ind w:firstLine="464" w:firstLineChars="200"/>
        <w:rPr>
          <w:rFonts w:hint="eastAsia" w:ascii="宋体" w:hAnsi="宋体" w:eastAsia="宋体" w:cs="宋体"/>
          <w:spacing w:val="-4"/>
          <w:highlight w:val="none"/>
        </w:rPr>
      </w:pPr>
    </w:p>
    <w:p w14:paraId="1C63923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第九章   合同的授予与备案</w:t>
      </w:r>
    </w:p>
    <w:p w14:paraId="54645CE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43．合同授予标准</w:t>
      </w:r>
    </w:p>
    <w:p w14:paraId="6F0D1EF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本项目的合同将授予经本招标文件规定评审确定的中标供应商。</w:t>
      </w:r>
    </w:p>
    <w:p w14:paraId="424987B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44．接受和拒绝任何或所有投标的权力</w:t>
      </w:r>
    </w:p>
    <w:p w14:paraId="6A2DC13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政府集中采购机构和采购人保留在投标之前任何时候接受或拒绝任何投标或所有投标，以及宣 布招标无效的权力，对受影响的投标人不承担任何责任，也无义务向受影响的投标人解释采取这一 行动的理由。</w:t>
      </w:r>
    </w:p>
    <w:p w14:paraId="4293E07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45．合同的签订</w:t>
      </w:r>
    </w:p>
    <w:p w14:paraId="30CF616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45.1 中标人将于中标通知书发出之日起十个工作日内，按照采购文件（招标文件和投标文件等） 内容与采购人签订政府采购合同；合同的实质性内容应当符合招标文件的规定；</w:t>
      </w:r>
    </w:p>
    <w:p w14:paraId="5B997D7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45.2 中标人如不按本通用条款第 45.1 款的规定与采购人签订合同，情节严重的， 由同级财政 部门记入供应商诚信档案，予以通报；</w:t>
      </w:r>
    </w:p>
    <w:p w14:paraId="2DF8DB2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45.3 中标人应当按照合同约定履行义务，完成中标项目，不得将中标项目转让（转包）给他人。</w:t>
      </w:r>
    </w:p>
    <w:p w14:paraId="76C7820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46．履约担保</w:t>
      </w:r>
    </w:p>
    <w:p w14:paraId="510D12B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46.1 在签订项目合同的同时，中标人应按“对通用条款的补充内容 ”中规定的金额向采购人提 交履约担保；</w:t>
      </w:r>
    </w:p>
    <w:p w14:paraId="0774B36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46.2，允许供应商自主选择以支票、汇票、本票、保函等非现金方式提交履约担保； 中标人提交履约担保不是合同签订的前提条件，不要求中标人提供除法律、法规明确规定外的其他担保。</w:t>
      </w:r>
    </w:p>
    <w:p w14:paraId="46DA602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47. 合同备案</w:t>
      </w:r>
    </w:p>
    <w:p w14:paraId="3434169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采购人与中标供应商自中标通知书发出之日起 10 个工作日内签订政府采购合同，并按财政部门规定 提交备案。</w:t>
      </w:r>
    </w:p>
    <w:p w14:paraId="2338BAE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48. 合同变更</w:t>
      </w:r>
    </w:p>
    <w:p w14:paraId="7F18E85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合同变更事宜按《深圳市财政局关于优化政府采购合同备案的通知》（深财发保〔2022〕2 号）</w:t>
      </w:r>
    </w:p>
    <w:p w14:paraId="1938062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相关规定执行。</w:t>
      </w:r>
    </w:p>
    <w:p w14:paraId="5A9AFE7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49. 项目验收</w:t>
      </w:r>
    </w:p>
    <w:p w14:paraId="55868C8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49.1 采购人应当按照招标文件和合同规定的标准和方法，及时组织验收。</w:t>
      </w:r>
    </w:p>
    <w:p w14:paraId="7A31FC9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50. 宣传</w:t>
      </w:r>
    </w:p>
    <w:p w14:paraId="15BDE0D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凡与政府采购活动有关的宣传或广告，若当中提及政府采购，必须事先将具体对外宣传方案报同级财政部门和政府集中采购机构，并征得其同意。对外市场宣传包括但不限于以下形式：</w:t>
      </w:r>
    </w:p>
    <w:p w14:paraId="158A17D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a.名片、宣传册、广告标语等；</w:t>
      </w:r>
    </w:p>
    <w:p w14:paraId="1A4C4A3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b.案例介绍、推广等；</w:t>
      </w:r>
    </w:p>
    <w:p w14:paraId="5D65EEC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c.工作人员向其他消费群体宣传。</w:t>
      </w:r>
    </w:p>
    <w:p w14:paraId="39A44F4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51. 供应商违法责任</w:t>
      </w:r>
    </w:p>
    <w:p w14:paraId="71388AE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51.1《深圳经济特区政府采购条例》第五十七条 供应商在政府采购中，有下列行为之一的，一 至三年内禁止其参与本市政府采购，并由主管部门记入供应商诚信档案，处以采购金额千分之十以 上千分之二十以下的罚款；情节严重的，取消其参与本市政府采购资格，处以采购金额千分之二十 以上千分之三十以下的罚款，并由市场监管部门依法吊销其营业执照；给他人造成损失的，依法承 担赔偿责任；构成犯罪的，依法追究刑事责任：</w:t>
      </w:r>
    </w:p>
    <w:p w14:paraId="52DA564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（1）在采购活动中应当回避而未回避的；</w:t>
      </w:r>
    </w:p>
    <w:p w14:paraId="65A82D9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（2）未按本条例规定签订、履行采购合同，造成严重后果的；</w:t>
      </w:r>
    </w:p>
    <w:p w14:paraId="103EF75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（3）隐瞒真实情况，提供虚假资料的；</w:t>
      </w:r>
    </w:p>
    <w:p w14:paraId="007A74D6">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（4）以非法手段排斥其他供应商参与竞争的；</w:t>
      </w:r>
    </w:p>
    <w:p w14:paraId="5C4233E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（5）与其他采购参加人串通投标的；</w:t>
      </w:r>
    </w:p>
    <w:p w14:paraId="4238B25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（6）恶意投诉的；</w:t>
      </w:r>
    </w:p>
    <w:p w14:paraId="412E80F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（7）向采购项目相关人行贿或者提供其他不当利益的；</w:t>
      </w:r>
    </w:p>
    <w:p w14:paraId="0792C6C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（8）阻碍、抗拒主管部门监督检查的；</w:t>
      </w:r>
    </w:p>
    <w:p w14:paraId="6EB6ED2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（9）其他违反本条例规定的行为。</w:t>
      </w:r>
    </w:p>
    <w:p w14:paraId="30386CF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51.2 根据《深圳市财政局关于调整政府采购投标（响应）保证金管理政策的通知 》（深财购 〔2021〕51 号）的要求，供应商在政府采购活动中出现《深圳经济特区政府采购条例实施细则》第 八十条所列情形的，政府集中采购机构或采购人不予退还其交纳的谈判保证金，情节严重的，并由 主管部门记入供应商诚信档案，予以通报：</w:t>
      </w:r>
    </w:p>
    <w:p w14:paraId="40F5CFF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（1）投标截止后，撤销投标的；</w:t>
      </w:r>
    </w:p>
    <w:p w14:paraId="6A334B1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（2）中标后无正当理由未在规定期限内签订合同的；</w:t>
      </w:r>
    </w:p>
    <w:p w14:paraId="77F1F16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（3）将中标项目转让给他人、或者在投标文件中未说明且未经采购人、采购招标机构同意，将 中标项目分包给他人的；</w:t>
      </w:r>
    </w:p>
    <w:p w14:paraId="101EE43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（4）拒绝履行合同义务的。</w:t>
      </w:r>
    </w:p>
    <w:p w14:paraId="0BC88226">
      <w:pPr>
        <w:autoSpaceDE w:val="0"/>
        <w:autoSpaceDN w:val="0"/>
        <w:ind w:firstLine="464" w:firstLineChars="200"/>
        <w:rPr>
          <w:rFonts w:hint="eastAsia" w:ascii="宋体" w:hAnsi="宋体" w:eastAsia="宋体" w:cs="宋体"/>
          <w:spacing w:val="-4"/>
          <w:highlight w:val="none"/>
        </w:rPr>
      </w:pPr>
    </w:p>
    <w:p w14:paraId="4736BAA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第十章   质疑处理</w:t>
      </w:r>
    </w:p>
    <w:p w14:paraId="735C0F4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52.质疑提出与答复</w:t>
      </w:r>
    </w:p>
    <w:p w14:paraId="1219035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52.1 提出质疑</w:t>
      </w:r>
    </w:p>
    <w:p w14:paraId="2C6E0F3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参与政府采购活动的供应商认为自己的权益在采购活动中受到损害的，应当自知道或者应当知 道其权益受到损害之日起七个工作日内向采购人、</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以书面形式提出质疑。</w:t>
      </w:r>
    </w:p>
    <w:p w14:paraId="68E0B36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52.2 法律依据</w:t>
      </w:r>
    </w:p>
    <w:p w14:paraId="49CA1DB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《中华人民共和国政府采购法》、《中华人民共和国政府采购法实施条例》、《深圳经济特区 政府采购条例》、《深圳经济特区政府采购条例实施细则》、《政府采购质疑和投诉办法》（财政 部令第 94 号）和其他有关法律法规规定。</w:t>
      </w:r>
    </w:p>
    <w:p w14:paraId="42E9EB9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52.3 质疑条件</w:t>
      </w:r>
    </w:p>
    <w:p w14:paraId="48DDCE6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52.3.1 提出质疑的供应商应当是参与所质疑项目采购活动的供应商；以联合体形式参与的，质 疑应当由组成联合体的所有成员共同提出；</w:t>
      </w:r>
    </w:p>
    <w:p w14:paraId="39E7A5D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52.3.2 应当在法定质疑期内一次性提出针对同一采购程序环节的质疑，法定质疑期为自知道或 应当知道权益受到损害之日起 7 个工作日内。应当知道其权益受到损害之日是指：对招标文件的质 疑，为招标文件公布之日；对采购过程的质疑，为各采购程序环节结束之日；对中标结果以及评审 委员会组成人员的质疑，为中标结果公示之日；</w:t>
      </w:r>
    </w:p>
    <w:p w14:paraId="78BC5DB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52.3.3 应提交书面质疑函，质疑函应当包括以下内容：</w:t>
      </w:r>
    </w:p>
    <w:p w14:paraId="5C8421F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（1）供应商的名称（或者姓名）、地址、邮编、邮箱、联系人及联系电话；</w:t>
      </w:r>
    </w:p>
    <w:p w14:paraId="44F03CD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（2）质疑项目的名称、编号；</w:t>
      </w:r>
    </w:p>
    <w:p w14:paraId="36ECE41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（3）具体、明确的质疑对象、质疑事项和质疑请求；</w:t>
      </w:r>
    </w:p>
    <w:p w14:paraId="555C6DC8">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（4）因质疑事项而受损害的权益；</w:t>
      </w:r>
    </w:p>
    <w:p w14:paraId="779DB40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（5）事实依据；</w:t>
      </w:r>
    </w:p>
    <w:p w14:paraId="7721D5E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（6）必要的法律依据；</w:t>
      </w:r>
    </w:p>
    <w:p w14:paraId="1116C7A7">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（7）提出质疑的日期。</w:t>
      </w:r>
    </w:p>
    <w:p w14:paraId="26349BA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供应商为自然人的，应当由本人签字；供应商为法人或者其他组织的，应当由法定代表人（负 责人），或者其授权代理人签字或者盖章，并加盖公章。</w:t>
      </w:r>
    </w:p>
    <w:p w14:paraId="48338A08">
      <w:pPr>
        <w:autoSpaceDE w:val="0"/>
        <w:autoSpaceDN w:val="0"/>
        <w:ind w:firstLine="464" w:firstLineChars="200"/>
        <w:rPr>
          <w:rFonts w:hint="eastAsia" w:ascii="宋体" w:hAnsi="宋体" w:eastAsia="宋体" w:cs="宋体"/>
          <w:spacing w:val="-4"/>
          <w:highlight w:val="none"/>
        </w:rPr>
      </w:pPr>
    </w:p>
    <w:p w14:paraId="36FE680E">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52.4 提交材料</w:t>
      </w:r>
    </w:p>
    <w:p w14:paraId="25F856A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供应商质疑实行实名制。供应商为自然人的，应当提交本人身份证复印件；供应商为法人或者 其他组织的，应当根据自身性质提交营业执照复印件或者其他证明文件（如事业单位法人证书等） 复印件。</w:t>
      </w:r>
    </w:p>
    <w:p w14:paraId="20EB9CF2">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供应商可以委托代理人进行质疑。其授权委托书应当载明代理人的姓名或者名称、代理事项、 具体权限、期限和相关事项。供应商为自然人的，应当由本人签字；供应商为法人或者其他组织的， 应当由法定代表人、主要负责人签字或者盖章，并加盖公章。</w:t>
      </w:r>
    </w:p>
    <w:p w14:paraId="4830BE3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52.5 收文地点</w:t>
      </w:r>
    </w:p>
    <w:p w14:paraId="384A47AE">
      <w:pPr>
        <w:autoSpaceDE w:val="0"/>
        <w:autoSpaceDN w:val="0"/>
        <w:ind w:firstLine="464" w:firstLineChars="200"/>
        <w:rPr>
          <w:rFonts w:hint="eastAsia" w:ascii="宋体" w:hAnsi="宋体" w:eastAsia="宋体" w:cs="宋体"/>
          <w:spacing w:val="-4"/>
          <w:highlight w:val="none"/>
          <w:lang w:val="en-US" w:eastAsia="zh-CN"/>
        </w:rPr>
      </w:pPr>
      <w:r>
        <w:rPr>
          <w:rFonts w:hint="eastAsia" w:ascii="宋体" w:hAnsi="宋体" w:eastAsia="宋体" w:cs="宋体"/>
          <w:spacing w:val="-4"/>
          <w:highlight w:val="none"/>
        </w:rPr>
        <w:t>地址：</w:t>
      </w:r>
      <w:r>
        <w:rPr>
          <w:rFonts w:hint="eastAsia" w:ascii="宋体" w:hAnsi="宋体" w:eastAsia="宋体" w:cs="宋体"/>
          <w:spacing w:val="-4"/>
          <w:highlight w:val="none"/>
          <w:lang w:val="en-US" w:eastAsia="zh-CN"/>
        </w:rPr>
        <w:t>深圳市东海国际招标有限公司</w:t>
      </w:r>
      <w:r>
        <w:rPr>
          <w:rFonts w:hint="eastAsia" w:ascii="宋体" w:hAnsi="宋体" w:eastAsia="宋体" w:cs="宋体"/>
          <w:spacing w:val="-4"/>
          <w:highlight w:val="none"/>
        </w:rPr>
        <w:t>（地址：</w:t>
      </w:r>
      <w:r>
        <w:rPr>
          <w:rFonts w:hint="eastAsia" w:ascii="宋体" w:hAnsi="宋体" w:eastAsia="宋体" w:cs="宋体"/>
          <w:spacing w:val="-4"/>
          <w:highlight w:val="none"/>
          <w:lang w:val="en-US" w:eastAsia="zh-CN"/>
        </w:rPr>
        <w:t>深圳市罗湖区太宁路2号百仕达大厦27B）。</w:t>
      </w:r>
    </w:p>
    <w:p w14:paraId="4783EDF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52.6 收文办理程序</w:t>
      </w:r>
    </w:p>
    <w:p w14:paraId="045BB11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52.6.1 供应商提交的质疑符合受理条件的，</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自收到质疑材料之日起即为受理， 应当向供应商出具质疑函收文回执并可以要求其递交质疑的法定代表人（负责人）或者授权代理人 签署质疑文书送达地址确认书。</w:t>
      </w:r>
    </w:p>
    <w:p w14:paraId="50BBAA4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52.6.2 供应商提交的质疑材料不符合质疑条件的，视情况处理：</w:t>
      </w:r>
    </w:p>
    <w:p w14:paraId="0DC31F84">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供应商提交的质疑材料不全或者未按要求签字或者盖章的，</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应当一次性告知供应商需补正的内容和补正期限。</w:t>
      </w:r>
    </w:p>
    <w:p w14:paraId="25BFF8F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供应商提交的质疑存在下列情形之一的，不予受理：</w:t>
      </w:r>
    </w:p>
    <w:p w14:paraId="25ACD0D3">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（1）质疑主体不满足要求的；</w:t>
      </w:r>
    </w:p>
    <w:p w14:paraId="29BA25B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（2）供应商自身权益未受到损害的；</w:t>
      </w:r>
    </w:p>
    <w:p w14:paraId="193B268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（3）供应商未在法定质疑期限内提出质疑的；</w:t>
      </w:r>
    </w:p>
    <w:p w14:paraId="6A30F11A">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（4）质疑材料不全或者未按要求签字或者盖章的情况下，要求补正后，逾期未补正或者补正后 仍不符合规定的；</w:t>
      </w:r>
    </w:p>
    <w:p w14:paraId="783CAC3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（5）其他不符合受理条件情形的。</w:t>
      </w:r>
    </w:p>
    <w:p w14:paraId="6CE42CB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质疑事项不予受理的，</w:t>
      </w:r>
      <w:r>
        <w:rPr>
          <w:rFonts w:hint="eastAsia" w:ascii="宋体" w:hAnsi="宋体" w:eastAsia="宋体" w:cs="宋体"/>
          <w:spacing w:val="-4"/>
          <w:highlight w:val="none"/>
          <w:lang w:eastAsia="zh-CN"/>
        </w:rPr>
        <w:t>采购代理机构</w:t>
      </w:r>
      <w:r>
        <w:rPr>
          <w:rFonts w:hint="eastAsia" w:ascii="宋体" w:hAnsi="宋体" w:eastAsia="宋体" w:cs="宋体"/>
          <w:spacing w:val="-4"/>
          <w:highlight w:val="none"/>
        </w:rPr>
        <w:t>应当向供应商出具不符合质疑条件告知书。</w:t>
      </w:r>
    </w:p>
    <w:p w14:paraId="214C0B41">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52.7 质疑答复时限</w:t>
      </w:r>
    </w:p>
    <w:p w14:paraId="24CC76C5">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自收文之日起七个工作日内。</w:t>
      </w:r>
    </w:p>
    <w:p w14:paraId="19174BAD">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52.8 投诉</w:t>
      </w:r>
    </w:p>
    <w:p w14:paraId="3550C5AC">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对质疑答复不满意或者未在规定时间内答复的，提出质疑的供应商可以在答复期满后 15 个工作 日内向本项目预算主管单位投诉。</w:t>
      </w:r>
    </w:p>
    <w:p w14:paraId="21E505AF">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53. 质疑后续处理</w:t>
      </w:r>
    </w:p>
    <w:p w14:paraId="3547E609">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53.1 供应商质疑不成立，或者成立但未对中标、成交结果构成影响的，继续开展采购活动。</w:t>
      </w:r>
    </w:p>
    <w:p w14:paraId="1393D480">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53.2 供应商质疑成立且影响或者可能影响中标、成交结果的，按照下列情况处理：（1）对采购文件提出的质疑，依法通过澄清或者修改可以继续开展采购活动的，澄清或者修改采购文件后继 续开展采购活动；否则应当修改采购文件后重新开展采购活动。（2）对采购过程、中标或者成交结 果提出的质疑，合格供应商符合法定数量时，可以从合格的中标或者成交候选人中另行确定中标、</w:t>
      </w:r>
    </w:p>
    <w:p w14:paraId="6D0B679B">
      <w:pPr>
        <w:autoSpaceDE w:val="0"/>
        <w:autoSpaceDN w:val="0"/>
        <w:ind w:firstLine="464" w:firstLineChars="200"/>
        <w:rPr>
          <w:rFonts w:hint="eastAsia" w:ascii="宋体" w:hAnsi="宋体" w:eastAsia="宋体" w:cs="宋体"/>
          <w:spacing w:val="-4"/>
          <w:highlight w:val="none"/>
        </w:rPr>
      </w:pPr>
      <w:r>
        <w:rPr>
          <w:rFonts w:hint="eastAsia" w:ascii="宋体" w:hAnsi="宋体" w:eastAsia="宋体" w:cs="宋体"/>
          <w:spacing w:val="-4"/>
          <w:highlight w:val="none"/>
        </w:rPr>
        <w:t>成交供应商的，应当依法另行确定中标、成交供应商；否则应当重新开展采购活动。</w:t>
      </w:r>
    </w:p>
    <w:p w14:paraId="0284E12D">
      <w:pPr>
        <w:autoSpaceDE w:val="0"/>
        <w:autoSpaceDN w:val="0"/>
        <w:ind w:firstLine="3480" w:firstLineChars="1500"/>
        <w:rPr>
          <w:rFonts w:hint="eastAsia" w:ascii="宋体" w:hAnsi="宋体" w:eastAsia="宋体" w:cs="宋体"/>
          <w:spacing w:val="-4"/>
          <w:highlight w:val="none"/>
        </w:rPr>
      </w:pPr>
      <w:r>
        <w:rPr>
          <w:rFonts w:hint="eastAsia" w:ascii="宋体" w:hAnsi="宋体" w:eastAsia="宋体" w:cs="宋体"/>
          <w:spacing w:val="-4"/>
          <w:highlight w:val="none"/>
        </w:rPr>
        <w:t>---- END ----</w:t>
      </w:r>
    </w:p>
    <w:p w14:paraId="6C61C72A">
      <w:pPr>
        <w:pStyle w:val="2"/>
        <w:wordWrap w:val="0"/>
        <w:spacing w:line="240" w:lineRule="auto"/>
        <w:rPr>
          <w:rFonts w:hint="eastAsia" w:ascii="宋体" w:hAnsi="宋体" w:eastAsia="宋体" w:cs="宋体"/>
          <w:highlight w:val="none"/>
        </w:rPr>
      </w:pPr>
    </w:p>
    <w:p w14:paraId="603A5144">
      <w:pPr>
        <w:wordWrap w:val="0"/>
        <w:rPr>
          <w:rFonts w:hint="eastAsia" w:ascii="宋体" w:hAnsi="宋体" w:eastAsia="宋体" w:cs="宋体"/>
          <w:highlight w:val="none"/>
        </w:rPr>
      </w:pPr>
    </w:p>
    <w:p w14:paraId="2E3FD54E">
      <w:pPr>
        <w:rPr>
          <w:rFonts w:hint="eastAsia" w:ascii="宋体" w:hAnsi="宋体" w:eastAsia="宋体" w:cs="宋体"/>
          <w:highlight w:val="none"/>
        </w:rPr>
      </w:pPr>
    </w:p>
    <w:p w14:paraId="75FADAB7">
      <w:pPr>
        <w:jc w:val="right"/>
        <w:rPr>
          <w:rFonts w:hint="eastAsia" w:ascii="宋体" w:hAnsi="宋体" w:eastAsia="宋体" w:cs="宋体"/>
          <w:highlight w:val="none"/>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392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-41275</wp:posOffset>
              </wp:positionV>
              <wp:extent cx="171450" cy="17907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71450" cy="179070"/>
                      </a:xfrm>
                      <a:prstGeom prst="rect">
                        <a:avLst/>
                      </a:prstGeom>
                      <a:noFill/>
                      <a:ln w="6350">
                        <a:noFill/>
                      </a:ln>
                      <a:effectLst/>
                    </wps:spPr>
                    <wps:txbx>
                      <w:txbxContent>
                        <w:p w14:paraId="15D176C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25pt;height:14.1pt;width:13.5pt;mso-position-horizontal:center;mso-position-horizontal-relative:margin;z-index:251659264;mso-width-relative:page;mso-height-relative:page;" filled="f" stroked="f" coordsize="21600,21600" o:gfxdata="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M3SxXUAAAABQEAAA8AAAAAAAAAAQAgAAAAIgAAAGRycy9kb3du&#10;cmV2LnhtbFBLAQIUABQAAAAIAIdO4kBTZHvTPAIAAHEEAAAOAAAAAAAAAAEAIAAAACMBAABkcnMv&#10;ZTJvRG9jLnhtbFBLBQYAAAAABgAGAFkBAADRBQAAAAA=&#10;">
              <v:fill on="f" focussize="0,0"/>
              <v:stroke on="f" weight="0.5pt"/>
              <v:imagedata o:title=""/>
              <o:lock v:ext="edit" aspectratio="f"/>
              <v:textbox inset="0mm,0mm,0mm,0mm">
                <w:txbxContent>
                  <w:p w14:paraId="15D176C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0C3AC">
    <w:pPr>
      <w:spacing w:line="176" w:lineRule="auto"/>
      <w:ind w:left="5033"/>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2587625</wp:posOffset>
              </wp:positionH>
              <wp:positionV relativeFrom="paragraph">
                <wp:posOffset>-84455</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F30AC">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75pt;margin-top:-6.65pt;height:144pt;width:144pt;mso-position-horizontal-relative:margin;mso-wrap-style:none;z-index:251660288;mso-width-relative:page;mso-height-relative:page;" filled="f" stroked="f" coordsize="21600,21600" o:gfxdata="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xD0ONkAAAALAQAADwAAAAAAAAABACAAAAAiAAAAZHJzL2Rvd25yZXYu&#10;eG1sUEsBAhQAFAAAAAgAh07iQM2t82AzAgAAYwQAAA4AAAAAAAAAAQAgAAAAKAEAAGRycy9lMm9E&#10;b2MueG1sUEsFBgAAAAAGAAYAWQEAAM0FAAAAAA==&#10;">
              <v:fill on="f" focussize="0,0"/>
              <v:stroke on="f" weight="0.5pt"/>
              <v:imagedata o:title=""/>
              <o:lock v:ext="edit" aspectratio="f"/>
              <v:textbox inset="0mm,0mm,0mm,0mm" style="mso-fit-shape-to-text:t;">
                <w:txbxContent>
                  <w:p w14:paraId="5A7F30AC">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2D8C5">
    <w:pPr>
      <w:pStyle w:val="13"/>
      <w:jc w:val="center"/>
    </w:pPr>
    <w:r>
      <w:fldChar w:fldCharType="begin"/>
    </w:r>
    <w:r>
      <w:rPr>
        <w:rStyle w:val="22"/>
      </w:rPr>
      <w:instrText xml:space="preserve"> PAGE </w:instrText>
    </w:r>
    <w:r>
      <w:fldChar w:fldCharType="separate"/>
    </w:r>
    <w:r>
      <w:rPr>
        <w:rStyle w:val="22"/>
      </w:rP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9FF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EFFB0">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55EFFB0">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1A5C0"/>
    <w:multiLevelType w:val="singleLevel"/>
    <w:tmpl w:val="A261A5C0"/>
    <w:lvl w:ilvl="0" w:tentative="0">
      <w:start w:val="1"/>
      <w:numFmt w:val="chineseCounting"/>
      <w:suff w:val="nothing"/>
      <w:lvlText w:val="%1、"/>
      <w:lvlJc w:val="left"/>
      <w:rPr>
        <w:rFonts w:hint="eastAsia"/>
      </w:rPr>
    </w:lvl>
  </w:abstractNum>
  <w:abstractNum w:abstractNumId="1">
    <w:nsid w:val="C91CF9D4"/>
    <w:multiLevelType w:val="singleLevel"/>
    <w:tmpl w:val="C91CF9D4"/>
    <w:lvl w:ilvl="0" w:tentative="0">
      <w:start w:val="1"/>
      <w:numFmt w:val="chineseCounting"/>
      <w:suff w:val="nothing"/>
      <w:lvlText w:val="%1、"/>
      <w:lvlJc w:val="left"/>
      <w:rPr>
        <w:rFonts w:hint="eastAsia"/>
      </w:rPr>
    </w:lvl>
  </w:abstractNum>
  <w:abstractNum w:abstractNumId="2">
    <w:nsid w:val="EB72D01B"/>
    <w:multiLevelType w:val="singleLevel"/>
    <w:tmpl w:val="EB72D01B"/>
    <w:lvl w:ilvl="0" w:tentative="0">
      <w:start w:val="1"/>
      <w:numFmt w:val="chineseCounting"/>
      <w:suff w:val="nothing"/>
      <w:lvlText w:val="%1、"/>
      <w:lvlJc w:val="left"/>
      <w:pPr>
        <w:ind w:left="300" w:firstLine="420"/>
      </w:pPr>
      <w:rPr>
        <w:rFonts w:hint="eastAsia"/>
      </w:rPr>
    </w:lvl>
  </w:abstractNum>
  <w:abstractNum w:abstractNumId="3">
    <w:nsid w:val="0819AF88"/>
    <w:multiLevelType w:val="singleLevel"/>
    <w:tmpl w:val="0819AF88"/>
    <w:lvl w:ilvl="0" w:tentative="0">
      <w:start w:val="2"/>
      <w:numFmt w:val="decimal"/>
      <w:lvlText w:val="(%1)"/>
      <w:lvlJc w:val="left"/>
      <w:pPr>
        <w:tabs>
          <w:tab w:val="left" w:pos="312"/>
        </w:tabs>
      </w:pPr>
    </w:lvl>
  </w:abstractNum>
  <w:abstractNum w:abstractNumId="4">
    <w:nsid w:val="2B3B8B88"/>
    <w:multiLevelType w:val="singleLevel"/>
    <w:tmpl w:val="2B3B8B88"/>
    <w:lvl w:ilvl="0" w:tentative="0">
      <w:start w:val="1"/>
      <w:numFmt w:val="decimal"/>
      <w:lvlText w:val="%1、"/>
      <w:lvlJc w:val="left"/>
      <w:pPr>
        <w:tabs>
          <w:tab w:val="left" w:pos="420"/>
        </w:tabs>
        <w:ind w:left="425" w:leftChars="0" w:hanging="425" w:firstLineChars="0"/>
      </w:pPr>
      <w:rPr>
        <w:rFonts w:hint="default"/>
      </w:rPr>
    </w:lvl>
  </w:abstractNum>
  <w:abstractNum w:abstractNumId="5">
    <w:nsid w:val="40AE3FBC"/>
    <w:multiLevelType w:val="singleLevel"/>
    <w:tmpl w:val="40AE3FBC"/>
    <w:lvl w:ilvl="0" w:tentative="0">
      <w:start w:val="10"/>
      <w:numFmt w:val="chineseCounting"/>
      <w:suff w:val="nothing"/>
      <w:lvlText w:val="%1、"/>
      <w:lvlJc w:val="left"/>
      <w:rPr>
        <w:rFonts w:hint="eastAsia"/>
      </w:rPr>
    </w:lvl>
  </w:abstractNum>
  <w:abstractNum w:abstractNumId="6">
    <w:nsid w:val="6B9A6336"/>
    <w:multiLevelType w:val="singleLevel"/>
    <w:tmpl w:val="6B9A6336"/>
    <w:lvl w:ilvl="0" w:tentative="0">
      <w:start w:val="1"/>
      <w:numFmt w:val="chineseCounting"/>
      <w:suff w:val="space"/>
      <w:lvlText w:val="第%1章"/>
      <w:lvlJc w:val="left"/>
      <w:rPr>
        <w:rFonts w:hint="eastAsia"/>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MTVjMDgyOTBjZGRlMDk5YTFlNzc5YzVlZDk4MTQifQ=="/>
  </w:docVars>
  <w:rsids>
    <w:rsidRoot w:val="22D42A91"/>
    <w:rsid w:val="000273CC"/>
    <w:rsid w:val="001476F8"/>
    <w:rsid w:val="001841F3"/>
    <w:rsid w:val="00214A15"/>
    <w:rsid w:val="00306231"/>
    <w:rsid w:val="003335FA"/>
    <w:rsid w:val="004A285A"/>
    <w:rsid w:val="005673F6"/>
    <w:rsid w:val="005A729A"/>
    <w:rsid w:val="005B4E48"/>
    <w:rsid w:val="005D761E"/>
    <w:rsid w:val="006A5153"/>
    <w:rsid w:val="008F23A1"/>
    <w:rsid w:val="009D77B3"/>
    <w:rsid w:val="00A06158"/>
    <w:rsid w:val="00A37794"/>
    <w:rsid w:val="00A71431"/>
    <w:rsid w:val="00B17838"/>
    <w:rsid w:val="00B4742B"/>
    <w:rsid w:val="00B62FC9"/>
    <w:rsid w:val="00BB375D"/>
    <w:rsid w:val="00C0690D"/>
    <w:rsid w:val="00CB4131"/>
    <w:rsid w:val="00D37C86"/>
    <w:rsid w:val="00D41540"/>
    <w:rsid w:val="00D756EC"/>
    <w:rsid w:val="00F82770"/>
    <w:rsid w:val="010351AA"/>
    <w:rsid w:val="01334A4E"/>
    <w:rsid w:val="017B22A6"/>
    <w:rsid w:val="01F82D66"/>
    <w:rsid w:val="02192B79"/>
    <w:rsid w:val="02421D02"/>
    <w:rsid w:val="025B4713"/>
    <w:rsid w:val="02872401"/>
    <w:rsid w:val="02A61568"/>
    <w:rsid w:val="02F45E67"/>
    <w:rsid w:val="030F05ED"/>
    <w:rsid w:val="04442B51"/>
    <w:rsid w:val="04D15D4E"/>
    <w:rsid w:val="05700D54"/>
    <w:rsid w:val="05F84AE2"/>
    <w:rsid w:val="05FA2855"/>
    <w:rsid w:val="06083EF4"/>
    <w:rsid w:val="067868FC"/>
    <w:rsid w:val="07195727"/>
    <w:rsid w:val="0774295E"/>
    <w:rsid w:val="07AD0A60"/>
    <w:rsid w:val="07C35DDC"/>
    <w:rsid w:val="07DB0C2F"/>
    <w:rsid w:val="07ED4390"/>
    <w:rsid w:val="07F8785C"/>
    <w:rsid w:val="082F0F7A"/>
    <w:rsid w:val="084F6C69"/>
    <w:rsid w:val="085B3C3F"/>
    <w:rsid w:val="086C1887"/>
    <w:rsid w:val="087A4C54"/>
    <w:rsid w:val="09090D1E"/>
    <w:rsid w:val="0A157218"/>
    <w:rsid w:val="0A361256"/>
    <w:rsid w:val="0A5D1DCF"/>
    <w:rsid w:val="0A69562E"/>
    <w:rsid w:val="0B861BBC"/>
    <w:rsid w:val="0BC278BD"/>
    <w:rsid w:val="0BC91EFA"/>
    <w:rsid w:val="0BD0037E"/>
    <w:rsid w:val="0C0909A5"/>
    <w:rsid w:val="0C105273"/>
    <w:rsid w:val="0C137CD3"/>
    <w:rsid w:val="0C171DA5"/>
    <w:rsid w:val="0C586DD7"/>
    <w:rsid w:val="0C965124"/>
    <w:rsid w:val="0D346243"/>
    <w:rsid w:val="0D907DC5"/>
    <w:rsid w:val="0DEB65BD"/>
    <w:rsid w:val="0E4A0A8E"/>
    <w:rsid w:val="0ED92CE9"/>
    <w:rsid w:val="1086356B"/>
    <w:rsid w:val="10EA4AAE"/>
    <w:rsid w:val="114156CD"/>
    <w:rsid w:val="116421D7"/>
    <w:rsid w:val="118D61C1"/>
    <w:rsid w:val="11EE77B0"/>
    <w:rsid w:val="11FA5177"/>
    <w:rsid w:val="120B6AC2"/>
    <w:rsid w:val="121A63B3"/>
    <w:rsid w:val="12244F80"/>
    <w:rsid w:val="12D06EB6"/>
    <w:rsid w:val="12EE053D"/>
    <w:rsid w:val="1349413E"/>
    <w:rsid w:val="1356560D"/>
    <w:rsid w:val="13E67435"/>
    <w:rsid w:val="13FA243C"/>
    <w:rsid w:val="143D58FA"/>
    <w:rsid w:val="146D2C0E"/>
    <w:rsid w:val="14811B27"/>
    <w:rsid w:val="14AC5F39"/>
    <w:rsid w:val="155838BF"/>
    <w:rsid w:val="15775332"/>
    <w:rsid w:val="15D05D4D"/>
    <w:rsid w:val="169A1CBE"/>
    <w:rsid w:val="16AA3D7D"/>
    <w:rsid w:val="172D0D7B"/>
    <w:rsid w:val="176E148D"/>
    <w:rsid w:val="179C0A16"/>
    <w:rsid w:val="17B648CC"/>
    <w:rsid w:val="18040B17"/>
    <w:rsid w:val="182C0393"/>
    <w:rsid w:val="18337FAC"/>
    <w:rsid w:val="18375738"/>
    <w:rsid w:val="183A6432"/>
    <w:rsid w:val="186B1B5B"/>
    <w:rsid w:val="188D56D9"/>
    <w:rsid w:val="189001A5"/>
    <w:rsid w:val="18A755F8"/>
    <w:rsid w:val="196D545F"/>
    <w:rsid w:val="1977696C"/>
    <w:rsid w:val="199F4469"/>
    <w:rsid w:val="19C77265"/>
    <w:rsid w:val="19F57B1A"/>
    <w:rsid w:val="1A6950D1"/>
    <w:rsid w:val="1A965070"/>
    <w:rsid w:val="1AB52CC6"/>
    <w:rsid w:val="1AFF1C31"/>
    <w:rsid w:val="1B244F63"/>
    <w:rsid w:val="1B575B82"/>
    <w:rsid w:val="1BC73979"/>
    <w:rsid w:val="1BF125FE"/>
    <w:rsid w:val="1C163B8C"/>
    <w:rsid w:val="1C5A0140"/>
    <w:rsid w:val="1C790F32"/>
    <w:rsid w:val="1CC22E37"/>
    <w:rsid w:val="1CDF0421"/>
    <w:rsid w:val="1D5E3A3C"/>
    <w:rsid w:val="1DD52B6B"/>
    <w:rsid w:val="1E1638E4"/>
    <w:rsid w:val="1E336AFB"/>
    <w:rsid w:val="1ED75AA2"/>
    <w:rsid w:val="1EE937D9"/>
    <w:rsid w:val="1F375B04"/>
    <w:rsid w:val="1FB43DE7"/>
    <w:rsid w:val="1FF16DE9"/>
    <w:rsid w:val="20623843"/>
    <w:rsid w:val="207907D8"/>
    <w:rsid w:val="20C11210"/>
    <w:rsid w:val="20F1023D"/>
    <w:rsid w:val="210960CE"/>
    <w:rsid w:val="213626B9"/>
    <w:rsid w:val="217E42C3"/>
    <w:rsid w:val="21EF1AB0"/>
    <w:rsid w:val="22500EC9"/>
    <w:rsid w:val="22D42A91"/>
    <w:rsid w:val="231E2ADA"/>
    <w:rsid w:val="238D2233"/>
    <w:rsid w:val="239F33F8"/>
    <w:rsid w:val="23BD5235"/>
    <w:rsid w:val="23CB5BA3"/>
    <w:rsid w:val="2447702E"/>
    <w:rsid w:val="2471674B"/>
    <w:rsid w:val="24892877"/>
    <w:rsid w:val="24894A06"/>
    <w:rsid w:val="24A202F3"/>
    <w:rsid w:val="24A361D8"/>
    <w:rsid w:val="24D42836"/>
    <w:rsid w:val="24D6045E"/>
    <w:rsid w:val="25A6287A"/>
    <w:rsid w:val="25D24FC7"/>
    <w:rsid w:val="26574DDD"/>
    <w:rsid w:val="26B83574"/>
    <w:rsid w:val="26D16E89"/>
    <w:rsid w:val="26E079BC"/>
    <w:rsid w:val="27726F74"/>
    <w:rsid w:val="281E40AF"/>
    <w:rsid w:val="284B665B"/>
    <w:rsid w:val="2882126D"/>
    <w:rsid w:val="28AA4B54"/>
    <w:rsid w:val="28B01D1E"/>
    <w:rsid w:val="28E2484A"/>
    <w:rsid w:val="28ED24D4"/>
    <w:rsid w:val="29622556"/>
    <w:rsid w:val="29A053DC"/>
    <w:rsid w:val="29FE009F"/>
    <w:rsid w:val="2A5206CF"/>
    <w:rsid w:val="2AF05EF0"/>
    <w:rsid w:val="2B717030"/>
    <w:rsid w:val="2B8F5708"/>
    <w:rsid w:val="2CB155D9"/>
    <w:rsid w:val="2CE265CD"/>
    <w:rsid w:val="2D13200F"/>
    <w:rsid w:val="2D6C3D99"/>
    <w:rsid w:val="2DD156BA"/>
    <w:rsid w:val="2DFB6BD9"/>
    <w:rsid w:val="2E346CB0"/>
    <w:rsid w:val="2E6E3CFB"/>
    <w:rsid w:val="2E9B7C83"/>
    <w:rsid w:val="2EA8190E"/>
    <w:rsid w:val="2F082A28"/>
    <w:rsid w:val="2F276731"/>
    <w:rsid w:val="2F5B427F"/>
    <w:rsid w:val="30420A82"/>
    <w:rsid w:val="31436811"/>
    <w:rsid w:val="314F5391"/>
    <w:rsid w:val="315C56D7"/>
    <w:rsid w:val="31A66205"/>
    <w:rsid w:val="31CD2AE7"/>
    <w:rsid w:val="31EA61B5"/>
    <w:rsid w:val="31EF3498"/>
    <w:rsid w:val="323F300A"/>
    <w:rsid w:val="332C37E0"/>
    <w:rsid w:val="333119D6"/>
    <w:rsid w:val="33B34C59"/>
    <w:rsid w:val="33BC3725"/>
    <w:rsid w:val="33F702EF"/>
    <w:rsid w:val="34114182"/>
    <w:rsid w:val="345532F9"/>
    <w:rsid w:val="34E46AC5"/>
    <w:rsid w:val="35770F77"/>
    <w:rsid w:val="36826596"/>
    <w:rsid w:val="370F061F"/>
    <w:rsid w:val="37265C31"/>
    <w:rsid w:val="373149DA"/>
    <w:rsid w:val="3756532C"/>
    <w:rsid w:val="37621F23"/>
    <w:rsid w:val="379D29F3"/>
    <w:rsid w:val="37CB2FFE"/>
    <w:rsid w:val="37E54145"/>
    <w:rsid w:val="37FF7772"/>
    <w:rsid w:val="38632E3D"/>
    <w:rsid w:val="3899336E"/>
    <w:rsid w:val="3917556A"/>
    <w:rsid w:val="391B54F1"/>
    <w:rsid w:val="39771C5A"/>
    <w:rsid w:val="39C1487F"/>
    <w:rsid w:val="39CF4A42"/>
    <w:rsid w:val="3A290AF1"/>
    <w:rsid w:val="3A36784F"/>
    <w:rsid w:val="3ACB1FB9"/>
    <w:rsid w:val="3B247C1B"/>
    <w:rsid w:val="3B3A3435"/>
    <w:rsid w:val="3B653D90"/>
    <w:rsid w:val="3BDA1544"/>
    <w:rsid w:val="3C3C0F95"/>
    <w:rsid w:val="3C9E0FE4"/>
    <w:rsid w:val="3CFD4A59"/>
    <w:rsid w:val="3D285CC9"/>
    <w:rsid w:val="3D346EE6"/>
    <w:rsid w:val="3D885071"/>
    <w:rsid w:val="3D9904B5"/>
    <w:rsid w:val="3DA95242"/>
    <w:rsid w:val="3DEC7E4F"/>
    <w:rsid w:val="3E1E34BB"/>
    <w:rsid w:val="3E774506"/>
    <w:rsid w:val="3E781704"/>
    <w:rsid w:val="3E813130"/>
    <w:rsid w:val="3F214990"/>
    <w:rsid w:val="3F2B095C"/>
    <w:rsid w:val="3F2F7980"/>
    <w:rsid w:val="3F4072C3"/>
    <w:rsid w:val="3F5409C9"/>
    <w:rsid w:val="3F547DBF"/>
    <w:rsid w:val="3F9328A1"/>
    <w:rsid w:val="3FD6525C"/>
    <w:rsid w:val="4022765F"/>
    <w:rsid w:val="40763B34"/>
    <w:rsid w:val="40905D53"/>
    <w:rsid w:val="40A37834"/>
    <w:rsid w:val="40CA4BB9"/>
    <w:rsid w:val="4142704D"/>
    <w:rsid w:val="42660F50"/>
    <w:rsid w:val="42B52A5A"/>
    <w:rsid w:val="42E36CC4"/>
    <w:rsid w:val="43B371D1"/>
    <w:rsid w:val="448F0BC5"/>
    <w:rsid w:val="458F482B"/>
    <w:rsid w:val="45E613B2"/>
    <w:rsid w:val="4646138E"/>
    <w:rsid w:val="465515D1"/>
    <w:rsid w:val="46647A66"/>
    <w:rsid w:val="47977F99"/>
    <w:rsid w:val="47F13DFC"/>
    <w:rsid w:val="481C6E38"/>
    <w:rsid w:val="487613C4"/>
    <w:rsid w:val="489A1243"/>
    <w:rsid w:val="48E25C3A"/>
    <w:rsid w:val="48E63C26"/>
    <w:rsid w:val="49D722FD"/>
    <w:rsid w:val="49F92273"/>
    <w:rsid w:val="4AAC346E"/>
    <w:rsid w:val="4B272B08"/>
    <w:rsid w:val="4B370DBB"/>
    <w:rsid w:val="4C592E7C"/>
    <w:rsid w:val="4CED2ADB"/>
    <w:rsid w:val="4DA66071"/>
    <w:rsid w:val="4DA92202"/>
    <w:rsid w:val="4DC332C4"/>
    <w:rsid w:val="4E0F0F7A"/>
    <w:rsid w:val="4E683732"/>
    <w:rsid w:val="4ED02784"/>
    <w:rsid w:val="4F710AFD"/>
    <w:rsid w:val="4FA62F54"/>
    <w:rsid w:val="4FB762D4"/>
    <w:rsid w:val="4FC84DAC"/>
    <w:rsid w:val="4FD87415"/>
    <w:rsid w:val="4FED43B3"/>
    <w:rsid w:val="50962F12"/>
    <w:rsid w:val="510703FD"/>
    <w:rsid w:val="5151508A"/>
    <w:rsid w:val="51D96780"/>
    <w:rsid w:val="52876E2C"/>
    <w:rsid w:val="5294522F"/>
    <w:rsid w:val="52CB64CC"/>
    <w:rsid w:val="530028C4"/>
    <w:rsid w:val="530A729F"/>
    <w:rsid w:val="533E01FD"/>
    <w:rsid w:val="535A51E8"/>
    <w:rsid w:val="53F961D2"/>
    <w:rsid w:val="540D006C"/>
    <w:rsid w:val="542947A2"/>
    <w:rsid w:val="54605633"/>
    <w:rsid w:val="54A50F12"/>
    <w:rsid w:val="54B86B3E"/>
    <w:rsid w:val="54E0475B"/>
    <w:rsid w:val="55D805F1"/>
    <w:rsid w:val="55E24503"/>
    <w:rsid w:val="5690756A"/>
    <w:rsid w:val="57263796"/>
    <w:rsid w:val="573F5C03"/>
    <w:rsid w:val="575136EE"/>
    <w:rsid w:val="57BF4210"/>
    <w:rsid w:val="57CB596F"/>
    <w:rsid w:val="584C41EB"/>
    <w:rsid w:val="58A837E2"/>
    <w:rsid w:val="58FB68CD"/>
    <w:rsid w:val="58FF18EE"/>
    <w:rsid w:val="59E002F7"/>
    <w:rsid w:val="5A67772A"/>
    <w:rsid w:val="5B4377F2"/>
    <w:rsid w:val="5B47785D"/>
    <w:rsid w:val="5B514E2B"/>
    <w:rsid w:val="5B6C5E13"/>
    <w:rsid w:val="5BCA3528"/>
    <w:rsid w:val="5BED775E"/>
    <w:rsid w:val="5C190553"/>
    <w:rsid w:val="5C2A6C04"/>
    <w:rsid w:val="5C5679F9"/>
    <w:rsid w:val="5C7625E9"/>
    <w:rsid w:val="5C9245BA"/>
    <w:rsid w:val="5C937179"/>
    <w:rsid w:val="5C961BA3"/>
    <w:rsid w:val="5D172CE4"/>
    <w:rsid w:val="5D477D62"/>
    <w:rsid w:val="5D700646"/>
    <w:rsid w:val="5DD13A18"/>
    <w:rsid w:val="5DE75E69"/>
    <w:rsid w:val="5E200296"/>
    <w:rsid w:val="5F0D5BBC"/>
    <w:rsid w:val="5F4A45E5"/>
    <w:rsid w:val="5FBF4C7C"/>
    <w:rsid w:val="5FF92B75"/>
    <w:rsid w:val="600339F4"/>
    <w:rsid w:val="60A50365"/>
    <w:rsid w:val="60DC2E87"/>
    <w:rsid w:val="612E334A"/>
    <w:rsid w:val="61677FB2"/>
    <w:rsid w:val="617526CF"/>
    <w:rsid w:val="620852F1"/>
    <w:rsid w:val="62650825"/>
    <w:rsid w:val="632E4184"/>
    <w:rsid w:val="63856E98"/>
    <w:rsid w:val="639D5003"/>
    <w:rsid w:val="63C53CC2"/>
    <w:rsid w:val="63D21F33"/>
    <w:rsid w:val="6542310D"/>
    <w:rsid w:val="657F25CC"/>
    <w:rsid w:val="65A92947"/>
    <w:rsid w:val="65B523E6"/>
    <w:rsid w:val="65F01CCB"/>
    <w:rsid w:val="65F55B8D"/>
    <w:rsid w:val="65FB1E1C"/>
    <w:rsid w:val="664D59C9"/>
    <w:rsid w:val="66DD085E"/>
    <w:rsid w:val="670B0801"/>
    <w:rsid w:val="678559EB"/>
    <w:rsid w:val="67E06207"/>
    <w:rsid w:val="67F3043F"/>
    <w:rsid w:val="680C5410"/>
    <w:rsid w:val="683C7AA3"/>
    <w:rsid w:val="68944676"/>
    <w:rsid w:val="69134F88"/>
    <w:rsid w:val="692F13B6"/>
    <w:rsid w:val="692F585A"/>
    <w:rsid w:val="69434A01"/>
    <w:rsid w:val="694B7329"/>
    <w:rsid w:val="696F28E7"/>
    <w:rsid w:val="69A51678"/>
    <w:rsid w:val="69AA358C"/>
    <w:rsid w:val="69C50074"/>
    <w:rsid w:val="69E44896"/>
    <w:rsid w:val="6A236CA4"/>
    <w:rsid w:val="6A70797F"/>
    <w:rsid w:val="6AF4515C"/>
    <w:rsid w:val="6B2A0226"/>
    <w:rsid w:val="6B363CC2"/>
    <w:rsid w:val="6B380DE9"/>
    <w:rsid w:val="6B994C75"/>
    <w:rsid w:val="6B9D4CFC"/>
    <w:rsid w:val="6BC13C68"/>
    <w:rsid w:val="6C687F2E"/>
    <w:rsid w:val="6CF63941"/>
    <w:rsid w:val="6D321474"/>
    <w:rsid w:val="6DC5053A"/>
    <w:rsid w:val="6E5042A8"/>
    <w:rsid w:val="6E580410"/>
    <w:rsid w:val="6F3239AE"/>
    <w:rsid w:val="6F573414"/>
    <w:rsid w:val="6F9D176F"/>
    <w:rsid w:val="6FE65401"/>
    <w:rsid w:val="70F71F0C"/>
    <w:rsid w:val="712B4B58"/>
    <w:rsid w:val="713D5101"/>
    <w:rsid w:val="71B2527A"/>
    <w:rsid w:val="72C2329A"/>
    <w:rsid w:val="730B69EF"/>
    <w:rsid w:val="739C3D03"/>
    <w:rsid w:val="73A3438C"/>
    <w:rsid w:val="73E71C5A"/>
    <w:rsid w:val="740F555D"/>
    <w:rsid w:val="7577110C"/>
    <w:rsid w:val="759C7DD3"/>
    <w:rsid w:val="759C7F87"/>
    <w:rsid w:val="75AD441D"/>
    <w:rsid w:val="76136649"/>
    <w:rsid w:val="76342701"/>
    <w:rsid w:val="76AB7328"/>
    <w:rsid w:val="77544750"/>
    <w:rsid w:val="779A2C49"/>
    <w:rsid w:val="77C27EAE"/>
    <w:rsid w:val="77D5581E"/>
    <w:rsid w:val="77F264BF"/>
    <w:rsid w:val="77F67155"/>
    <w:rsid w:val="78237011"/>
    <w:rsid w:val="78782D79"/>
    <w:rsid w:val="793A6206"/>
    <w:rsid w:val="7982251A"/>
    <w:rsid w:val="79C050CB"/>
    <w:rsid w:val="7A1E34AC"/>
    <w:rsid w:val="7AC84689"/>
    <w:rsid w:val="7B4E7DC1"/>
    <w:rsid w:val="7C291FC0"/>
    <w:rsid w:val="7C2C49AD"/>
    <w:rsid w:val="7C686C61"/>
    <w:rsid w:val="7CB13F12"/>
    <w:rsid w:val="7CB21E29"/>
    <w:rsid w:val="7D444F67"/>
    <w:rsid w:val="7D873F6A"/>
    <w:rsid w:val="7E1A7A97"/>
    <w:rsid w:val="7E3F1C43"/>
    <w:rsid w:val="7E5955D5"/>
    <w:rsid w:val="7E965020"/>
    <w:rsid w:val="7ECB5E9B"/>
    <w:rsid w:val="7FC911BC"/>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Times New Roman" w:cs="Times New Roman"/>
      <w:sz w:val="24"/>
      <w:szCs w:val="24"/>
      <w:lang w:val="en-US" w:eastAsia="zh-CN" w:bidi="ar-SA"/>
    </w:rPr>
  </w:style>
  <w:style w:type="paragraph" w:styleId="3">
    <w:name w:val="heading 1"/>
    <w:basedOn w:val="1"/>
    <w:next w:val="1"/>
    <w:autoRedefine/>
    <w:qFormat/>
    <w:uiPriority w:val="0"/>
    <w:pPr>
      <w:spacing w:before="340" w:after="330" w:line="360" w:lineRule="auto"/>
      <w:jc w:val="center"/>
      <w:outlineLvl w:val="0"/>
    </w:pPr>
    <w:rPr>
      <w:rFonts w:eastAsia="黑体"/>
      <w:kern w:val="44"/>
      <w:sz w:val="32"/>
      <w:szCs w:val="44"/>
    </w:rPr>
  </w:style>
  <w:style w:type="paragraph" w:styleId="4">
    <w:name w:val="heading 2"/>
    <w:basedOn w:val="1"/>
    <w:next w:val="1"/>
    <w:link w:val="36"/>
    <w:autoRedefine/>
    <w:unhideWhenUsed/>
    <w:qFormat/>
    <w:uiPriority w:val="0"/>
    <w:pPr>
      <w:keepNext/>
      <w:keepLines/>
      <w:spacing w:before="260" w:after="260" w:line="413" w:lineRule="auto"/>
      <w:outlineLvl w:val="1"/>
    </w:pPr>
    <w:rPr>
      <w:rFonts w:ascii="Arial" w:hAnsi="Arial" w:eastAsia="宋体"/>
      <w:sz w:val="28"/>
    </w:rPr>
  </w:style>
  <w:style w:type="paragraph" w:styleId="5">
    <w:name w:val="heading 3"/>
    <w:basedOn w:val="1"/>
    <w:next w:val="1"/>
    <w:link w:val="43"/>
    <w:autoRedefine/>
    <w:qFormat/>
    <w:uiPriority w:val="0"/>
    <w:pPr>
      <w:spacing w:before="260" w:after="260"/>
      <w:outlineLvl w:val="2"/>
    </w:pPr>
    <w:rPr>
      <w:rFonts w:ascii="宋体" w:hAnsi="宋体" w:eastAsia="宋体"/>
      <w:szCs w:val="32"/>
    </w:rPr>
  </w:style>
  <w:style w:type="paragraph" w:styleId="6">
    <w:name w:val="heading 4"/>
    <w:basedOn w:val="1"/>
    <w:next w:val="1"/>
    <w:autoRedefine/>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0"/>
    <w:autoRedefine/>
    <w:qFormat/>
    <w:uiPriority w:val="0"/>
    <w:pPr>
      <w:spacing w:line="360" w:lineRule="auto"/>
    </w:pPr>
    <w:rPr>
      <w:b/>
      <w:bCs/>
    </w:rPr>
  </w:style>
  <w:style w:type="paragraph" w:styleId="7">
    <w:name w:val="table of authorities"/>
    <w:basedOn w:val="1"/>
    <w:next w:val="1"/>
    <w:autoRedefine/>
    <w:unhideWhenUsed/>
    <w:qFormat/>
    <w:uiPriority w:val="99"/>
    <w:pPr>
      <w:widowControl w:val="0"/>
      <w:ind w:left="420" w:leftChars="200"/>
      <w:jc w:val="both"/>
    </w:pPr>
    <w:rPr>
      <w:rFonts w:ascii="Calibri" w:hAnsi="Calibri"/>
      <w:kern w:val="2"/>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autoSpaceDE w:val="0"/>
      <w:autoSpaceDN w:val="0"/>
      <w:adjustRightInd w:val="0"/>
      <w:textAlignment w:val="baseline"/>
    </w:pPr>
    <w:rPr>
      <w:rFonts w:ascii="宋体"/>
      <w:sz w:val="34"/>
      <w:szCs w:val="20"/>
    </w:rPr>
  </w:style>
  <w:style w:type="paragraph" w:styleId="10">
    <w:name w:val="toc 5"/>
    <w:basedOn w:val="1"/>
    <w:next w:val="1"/>
    <w:autoRedefine/>
    <w:semiHidden/>
    <w:qFormat/>
    <w:uiPriority w:val="0"/>
    <w:pPr>
      <w:ind w:left="840"/>
    </w:pPr>
    <w:rPr>
      <w:szCs w:val="21"/>
    </w:rPr>
  </w:style>
  <w:style w:type="paragraph" w:styleId="11">
    <w:name w:val="Plain Text"/>
    <w:basedOn w:val="1"/>
    <w:autoRedefine/>
    <w:qFormat/>
    <w:uiPriority w:val="0"/>
    <w:rPr>
      <w:rFonts w:ascii="宋体" w:hAnsi="Courier New" w:cs="宋体"/>
      <w:szCs w:val="21"/>
    </w:rPr>
  </w:style>
  <w:style w:type="paragraph" w:styleId="12">
    <w:name w:val="Balloon Text"/>
    <w:basedOn w:val="1"/>
    <w:link w:val="56"/>
    <w:autoRedefine/>
    <w:qFormat/>
    <w:uiPriority w:val="0"/>
    <w:rPr>
      <w:sz w:val="18"/>
      <w:szCs w:val="18"/>
    </w:rPr>
  </w:style>
  <w:style w:type="paragraph" w:styleId="13">
    <w:name w:val="footer"/>
    <w:basedOn w:val="1"/>
    <w:autoRedefine/>
    <w:qFormat/>
    <w:uiPriority w:val="0"/>
    <w:pPr>
      <w:tabs>
        <w:tab w:val="center" w:pos="4153"/>
        <w:tab w:val="right" w:pos="8306"/>
      </w:tabs>
      <w:snapToGrid w:val="0"/>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Body Text 2"/>
    <w:basedOn w:val="1"/>
    <w:autoRedefine/>
    <w:qFormat/>
    <w:uiPriority w:val="0"/>
    <w:pPr>
      <w:spacing w:line="360" w:lineRule="auto"/>
    </w:pPr>
  </w:style>
  <w:style w:type="paragraph" w:styleId="16">
    <w:name w:val="Normal (Web)"/>
    <w:basedOn w:val="1"/>
    <w:autoRedefine/>
    <w:qFormat/>
    <w:uiPriority w:val="99"/>
  </w:style>
  <w:style w:type="paragraph" w:styleId="17">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b/>
      <w:bCs/>
    </w:rPr>
  </w:style>
  <w:style w:type="character" w:styleId="22">
    <w:name w:val="page number"/>
    <w:basedOn w:val="20"/>
    <w:qFormat/>
    <w:uiPriority w:val="0"/>
  </w:style>
  <w:style w:type="character" w:styleId="23">
    <w:name w:val="FollowedHyperlink"/>
    <w:basedOn w:val="20"/>
    <w:autoRedefine/>
    <w:qFormat/>
    <w:uiPriority w:val="0"/>
    <w:rPr>
      <w:color w:val="5C5C5C"/>
      <w:u w:val="none"/>
    </w:rPr>
  </w:style>
  <w:style w:type="character" w:styleId="24">
    <w:name w:val="Emphasis"/>
    <w:basedOn w:val="20"/>
    <w:autoRedefine/>
    <w:qFormat/>
    <w:uiPriority w:val="0"/>
    <w:rPr>
      <w:b/>
      <w:bCs/>
    </w:rPr>
  </w:style>
  <w:style w:type="character" w:styleId="25">
    <w:name w:val="HTML Definition"/>
    <w:basedOn w:val="20"/>
    <w:autoRedefine/>
    <w:qFormat/>
    <w:uiPriority w:val="0"/>
  </w:style>
  <w:style w:type="character" w:styleId="26">
    <w:name w:val="HTML Typewriter"/>
    <w:basedOn w:val="20"/>
    <w:autoRedefine/>
    <w:qFormat/>
    <w:uiPriority w:val="0"/>
    <w:rPr>
      <w:rFonts w:hint="default" w:ascii="monospace" w:hAnsi="monospace" w:eastAsia="monospace" w:cs="monospace"/>
      <w:sz w:val="20"/>
    </w:rPr>
  </w:style>
  <w:style w:type="character" w:styleId="27">
    <w:name w:val="HTML Acronym"/>
    <w:basedOn w:val="20"/>
    <w:autoRedefine/>
    <w:qFormat/>
    <w:uiPriority w:val="0"/>
  </w:style>
  <w:style w:type="character" w:styleId="28">
    <w:name w:val="HTML Variable"/>
    <w:basedOn w:val="20"/>
    <w:autoRedefine/>
    <w:qFormat/>
    <w:uiPriority w:val="0"/>
  </w:style>
  <w:style w:type="character" w:styleId="29">
    <w:name w:val="Hyperlink"/>
    <w:basedOn w:val="20"/>
    <w:autoRedefine/>
    <w:qFormat/>
    <w:uiPriority w:val="0"/>
    <w:rPr>
      <w:color w:val="0000FF"/>
      <w:u w:val="single"/>
    </w:rPr>
  </w:style>
  <w:style w:type="character" w:styleId="30">
    <w:name w:val="HTML Code"/>
    <w:basedOn w:val="20"/>
    <w:autoRedefine/>
    <w:qFormat/>
    <w:uiPriority w:val="0"/>
    <w:rPr>
      <w:rFonts w:ascii="monospace" w:hAnsi="monospace" w:eastAsia="monospace" w:cs="monospace"/>
      <w:sz w:val="20"/>
    </w:rPr>
  </w:style>
  <w:style w:type="character" w:styleId="31">
    <w:name w:val="annotation reference"/>
    <w:basedOn w:val="20"/>
    <w:autoRedefine/>
    <w:qFormat/>
    <w:uiPriority w:val="0"/>
    <w:rPr>
      <w:sz w:val="21"/>
      <w:szCs w:val="21"/>
    </w:rPr>
  </w:style>
  <w:style w:type="character" w:styleId="32">
    <w:name w:val="HTML Cite"/>
    <w:basedOn w:val="20"/>
    <w:autoRedefine/>
    <w:qFormat/>
    <w:uiPriority w:val="0"/>
  </w:style>
  <w:style w:type="character" w:styleId="33">
    <w:name w:val="HTML Keyboard"/>
    <w:basedOn w:val="20"/>
    <w:autoRedefine/>
    <w:qFormat/>
    <w:uiPriority w:val="0"/>
    <w:rPr>
      <w:rFonts w:hint="default" w:ascii="monospace" w:hAnsi="monospace" w:eastAsia="monospace" w:cs="monospace"/>
      <w:sz w:val="20"/>
    </w:rPr>
  </w:style>
  <w:style w:type="character" w:styleId="34">
    <w:name w:val="HTML Sample"/>
    <w:basedOn w:val="20"/>
    <w:autoRedefine/>
    <w:qFormat/>
    <w:uiPriority w:val="0"/>
    <w:rPr>
      <w:rFonts w:hint="default" w:ascii="monospace" w:hAnsi="monospace" w:eastAsia="monospace" w:cs="monospace"/>
    </w:rPr>
  </w:style>
  <w:style w:type="paragraph" w:customStyle="1" w:styleId="35">
    <w:name w:val="_Style 3"/>
    <w:basedOn w:val="1"/>
    <w:next w:val="1"/>
    <w:autoRedefine/>
    <w:qFormat/>
    <w:uiPriority w:val="99"/>
    <w:pPr>
      <w:spacing w:line="360" w:lineRule="auto"/>
      <w:ind w:firstLine="420" w:firstLineChars="200"/>
    </w:pPr>
  </w:style>
  <w:style w:type="character" w:customStyle="1" w:styleId="36">
    <w:name w:val="标题 2 Char"/>
    <w:link w:val="4"/>
    <w:autoRedefine/>
    <w:qFormat/>
    <w:uiPriority w:val="0"/>
    <w:rPr>
      <w:rFonts w:ascii="Arial" w:hAnsi="Arial" w:eastAsia="宋体"/>
      <w:b/>
      <w:sz w:val="28"/>
    </w:rPr>
  </w:style>
  <w:style w:type="paragraph" w:styleId="37">
    <w:name w:val="List Paragraph"/>
    <w:basedOn w:val="1"/>
    <w:autoRedefine/>
    <w:qFormat/>
    <w:uiPriority w:val="0"/>
    <w:pPr>
      <w:ind w:firstLine="420" w:firstLineChars="200"/>
    </w:pPr>
    <w:rPr>
      <w:rFonts w:ascii="Calibri" w:hAnsi="Calibri"/>
      <w:szCs w:val="22"/>
    </w:rPr>
  </w:style>
  <w:style w:type="paragraph" w:customStyle="1" w:styleId="38">
    <w:name w:val="Table Paragraph"/>
    <w:basedOn w:val="1"/>
    <w:autoRedefine/>
    <w:qFormat/>
    <w:uiPriority w:val="1"/>
    <w:rPr>
      <w:lang w:val="zh-CN" w:bidi="zh-CN"/>
    </w:rPr>
  </w:style>
  <w:style w:type="character" w:customStyle="1" w:styleId="39">
    <w:name w:val="标题 3 Char"/>
    <w:autoRedefine/>
    <w:qFormat/>
    <w:uiPriority w:val="0"/>
    <w:rPr>
      <w:rFonts w:ascii="黑体" w:eastAsia="黑体"/>
      <w:bCs/>
      <w:sz w:val="30"/>
    </w:rPr>
  </w:style>
  <w:style w:type="paragraph" w:customStyle="1" w:styleId="40">
    <w:name w:val="样式 首行缩进:  2 字符"/>
    <w:basedOn w:val="1"/>
    <w:autoRedefine/>
    <w:qFormat/>
    <w:uiPriority w:val="0"/>
    <w:pPr>
      <w:ind w:firstLine="480" w:firstLineChars="200"/>
    </w:pPr>
    <w:rPr>
      <w:rFonts w:ascii="Calibri" w:hAnsi="Calibri"/>
      <w:color w:val="000000"/>
      <w:szCs w:val="20"/>
    </w:rPr>
  </w:style>
  <w:style w:type="table" w:customStyle="1" w:styleId="41">
    <w:name w:val="网格型1"/>
    <w:basedOn w:val="18"/>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表格文字"/>
    <w:basedOn w:val="1"/>
    <w:next w:val="2"/>
    <w:autoRedefine/>
    <w:qFormat/>
    <w:uiPriority w:val="0"/>
    <w:pPr>
      <w:spacing w:before="25" w:after="25"/>
    </w:pPr>
    <w:rPr>
      <w:spacing w:val="10"/>
    </w:rPr>
  </w:style>
  <w:style w:type="character" w:customStyle="1" w:styleId="43">
    <w:name w:val="标题 3 Char1"/>
    <w:link w:val="5"/>
    <w:autoRedefine/>
    <w:qFormat/>
    <w:uiPriority w:val="0"/>
    <w:rPr>
      <w:rFonts w:ascii="宋体" w:hAnsi="宋体" w:eastAsia="宋体"/>
      <w:szCs w:val="32"/>
    </w:rPr>
  </w:style>
  <w:style w:type="character" w:customStyle="1" w:styleId="44">
    <w:name w:val="hover"/>
    <w:basedOn w:val="20"/>
    <w:autoRedefine/>
    <w:qFormat/>
    <w:uiPriority w:val="0"/>
    <w:rPr>
      <w:color w:val="2590EB"/>
    </w:rPr>
  </w:style>
  <w:style w:type="character" w:customStyle="1" w:styleId="45">
    <w:name w:val="hover1"/>
    <w:basedOn w:val="20"/>
    <w:autoRedefine/>
    <w:qFormat/>
    <w:uiPriority w:val="0"/>
    <w:rPr>
      <w:color w:val="2590EB"/>
      <w:shd w:val="clear" w:color="auto" w:fill="E9F4FD"/>
    </w:rPr>
  </w:style>
  <w:style w:type="character" w:customStyle="1" w:styleId="46">
    <w:name w:val="hover2"/>
    <w:basedOn w:val="20"/>
    <w:autoRedefine/>
    <w:qFormat/>
    <w:uiPriority w:val="0"/>
    <w:rPr>
      <w:color w:val="2590EB"/>
    </w:rPr>
  </w:style>
  <w:style w:type="character" w:customStyle="1" w:styleId="47">
    <w:name w:val="hover3"/>
    <w:basedOn w:val="20"/>
    <w:autoRedefine/>
    <w:qFormat/>
    <w:uiPriority w:val="0"/>
  </w:style>
  <w:style w:type="character" w:customStyle="1" w:styleId="48">
    <w:name w:val="mini-outputtext1"/>
    <w:basedOn w:val="20"/>
    <w:autoRedefine/>
    <w:qFormat/>
    <w:uiPriority w:val="0"/>
  </w:style>
  <w:style w:type="paragraph" w:customStyle="1" w:styleId="49">
    <w:name w:val="列出段落1"/>
    <w:basedOn w:val="1"/>
    <w:autoRedefine/>
    <w:qFormat/>
    <w:uiPriority w:val="0"/>
    <w:pPr>
      <w:ind w:firstLine="420" w:firstLineChars="200"/>
    </w:pPr>
    <w:rPr>
      <w:szCs w:val="21"/>
    </w:rPr>
  </w:style>
  <w:style w:type="character" w:customStyle="1" w:styleId="50">
    <w:name w:val="正文文本 Char"/>
    <w:basedOn w:val="20"/>
    <w:link w:val="2"/>
    <w:autoRedefine/>
    <w:qFormat/>
    <w:uiPriority w:val="0"/>
    <w:rPr>
      <w:rFonts w:eastAsia="Times New Roman"/>
      <w:b/>
      <w:bCs/>
      <w:sz w:val="24"/>
      <w:szCs w:val="24"/>
    </w:rPr>
  </w:style>
  <w:style w:type="paragraph" w:customStyle="1" w:styleId="51">
    <w:name w:val="正文1"/>
    <w:basedOn w:val="1"/>
    <w:autoRedefine/>
    <w:qFormat/>
    <w:uiPriority w:val="0"/>
    <w:pPr>
      <w:tabs>
        <w:tab w:val="left" w:pos="4"/>
      </w:tabs>
    </w:pPr>
    <w:rPr>
      <w:rFonts w:ascii="宋体" w:hAnsi="宋体"/>
      <w:sz w:val="18"/>
    </w:rPr>
  </w:style>
  <w:style w:type="character" w:customStyle="1" w:styleId="52">
    <w:name w:val="hover4"/>
    <w:basedOn w:val="20"/>
    <w:autoRedefine/>
    <w:qFormat/>
    <w:uiPriority w:val="0"/>
    <w:rPr>
      <w:color w:val="2590EB"/>
      <w:shd w:val="clear" w:color="auto" w:fill="E9F4FD"/>
    </w:rPr>
  </w:style>
  <w:style w:type="table" w:customStyle="1" w:styleId="53">
    <w:name w:val="Table Normal_0"/>
    <w:autoRedefine/>
    <w:semiHidden/>
    <w:unhideWhenUsed/>
    <w:qFormat/>
    <w:uiPriority w:val="0"/>
    <w:tblPr>
      <w:tblCellMar>
        <w:top w:w="0" w:type="dxa"/>
        <w:left w:w="0" w:type="dxa"/>
        <w:bottom w:w="0" w:type="dxa"/>
        <w:right w:w="0" w:type="dxa"/>
      </w:tblCellMar>
    </w:tblPr>
  </w:style>
  <w:style w:type="table" w:customStyle="1" w:styleId="54">
    <w:name w:val="Table Normal"/>
    <w:autoRedefine/>
    <w:semiHidden/>
    <w:unhideWhenUsed/>
    <w:qFormat/>
    <w:uiPriority w:val="0"/>
    <w:tblPr>
      <w:tblCellMar>
        <w:top w:w="0" w:type="dxa"/>
        <w:left w:w="0" w:type="dxa"/>
        <w:bottom w:w="0" w:type="dxa"/>
        <w:right w:w="0" w:type="dxa"/>
      </w:tblCellMar>
    </w:tblPr>
  </w:style>
  <w:style w:type="paragraph" w:customStyle="1" w:styleId="55">
    <w:name w:val="Table Text"/>
    <w:basedOn w:val="1"/>
    <w:autoRedefine/>
    <w:semiHidden/>
    <w:qFormat/>
    <w:uiPriority w:val="0"/>
    <w:rPr>
      <w:rFonts w:ascii="宋体" w:hAnsi="宋体" w:eastAsia="宋体" w:cs="宋体"/>
      <w:sz w:val="20"/>
      <w:szCs w:val="20"/>
      <w:lang w:eastAsia="en-US"/>
    </w:rPr>
  </w:style>
  <w:style w:type="character" w:customStyle="1" w:styleId="56">
    <w:name w:val="批注框文本 Char"/>
    <w:basedOn w:val="20"/>
    <w:link w:val="12"/>
    <w:autoRedefine/>
    <w:qFormat/>
    <w:uiPriority w:val="0"/>
    <w:rPr>
      <w:rFonts w:eastAsia="Times New Roman"/>
      <w:sz w:val="18"/>
      <w:szCs w:val="18"/>
    </w:rPr>
  </w:style>
  <w:style w:type="character" w:customStyle="1" w:styleId="57">
    <w:name w:val="bq"/>
    <w:basedOn w:val="20"/>
    <w:qFormat/>
    <w:uiPriority w:val="0"/>
    <w:rPr>
      <w:bdr w:val="single" w:color="EEEEEE" w:sz="6" w:space="0"/>
    </w:rPr>
  </w:style>
  <w:style w:type="character" w:customStyle="1" w:styleId="58">
    <w:name w:val="nth-of-type(1)"/>
    <w:basedOn w:val="20"/>
    <w:qFormat/>
    <w:uiPriority w:val="0"/>
  </w:style>
  <w:style w:type="character" w:customStyle="1" w:styleId="59">
    <w:name w:val="nth-of-type(1)1"/>
    <w:basedOn w:val="20"/>
    <w:qFormat/>
    <w:uiPriority w:val="0"/>
  </w:style>
  <w:style w:type="character" w:customStyle="1" w:styleId="60">
    <w:name w:val="nth-of-type(2)"/>
    <w:basedOn w:val="20"/>
    <w:qFormat/>
    <w:uiPriority w:val="0"/>
  </w:style>
  <w:style w:type="character" w:customStyle="1" w:styleId="61">
    <w:name w:val="nth-of-type(2)1"/>
    <w:basedOn w:val="20"/>
    <w:qFormat/>
    <w:uiPriority w:val="0"/>
  </w:style>
  <w:style w:type="character" w:customStyle="1" w:styleId="62">
    <w:name w:val="nth-of-type(3)"/>
    <w:basedOn w:val="20"/>
    <w:qFormat/>
    <w:uiPriority w:val="0"/>
  </w:style>
  <w:style w:type="character" w:customStyle="1" w:styleId="63">
    <w:name w:val="nth-of-type(3)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40107</Words>
  <Characters>41717</Characters>
  <Lines>730</Lines>
  <Paragraphs>205</Paragraphs>
  <TotalTime>1</TotalTime>
  <ScaleCrop>false</ScaleCrop>
  <LinksUpToDate>false</LinksUpToDate>
  <CharactersWithSpaces>44623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2024-05-09T08:39:00Z</dcterms:created>
  <dc:creator>Administrator</dc:creator>
  <cp:lastModifiedBy>东海国际</cp:lastModifiedBy>
  <cp:lastPrinted>2024-05-09T09:18:00Z</cp:lastPrinted>
  <dcterms:modified xsi:type="dcterms:W3CDTF">2024-08-23T08:46:02Z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69ED7984E1E846D3868E747454E2FC49_13</vt:lpwstr>
  </property>
</Properties>
</file>