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C4C0F7">
      <w:pPr>
        <w:widowControl/>
        <w:spacing w:beforeAutospacing="1" w:afterAutospacing="1"/>
        <w:jc w:val="center"/>
        <w:outlineLvl w:val="0"/>
        <w:rPr>
          <w:rFonts w:hint="eastAsia" w:ascii="黑体" w:hAnsi="宋体" w:eastAsia="黑体" w:cs="黑体"/>
          <w:kern w:val="0"/>
          <w:sz w:val="40"/>
          <w:szCs w:val="40"/>
        </w:rPr>
      </w:pPr>
      <w:r>
        <w:rPr>
          <w:rFonts w:hint="eastAsia" w:ascii="黑体" w:hAnsi="宋体" w:eastAsia="黑体" w:cs="黑体"/>
          <w:kern w:val="0"/>
          <w:sz w:val="40"/>
          <w:szCs w:val="40"/>
        </w:rPr>
        <w:t>招标文件信息</w:t>
      </w:r>
    </w:p>
    <w:p w14:paraId="19F4C4B6">
      <w:pPr>
        <w:widowControl/>
        <w:spacing w:beforeAutospacing="1" w:afterAutospacing="1"/>
        <w:jc w:val="center"/>
        <w:outlineLvl w:val="0"/>
        <w:rPr>
          <w:rFonts w:hint="eastAsia" w:ascii="黑体" w:hAnsi="宋体" w:eastAsia="黑体" w:cs="黑体"/>
          <w:kern w:val="0"/>
          <w:sz w:val="40"/>
          <w:szCs w:val="40"/>
        </w:rPr>
      </w:pPr>
    </w:p>
    <w:p w14:paraId="7EFEE386">
      <w:pPr>
        <w:keepNext w:val="0"/>
        <w:keepLines w:val="0"/>
        <w:pageBreakBefore w:val="0"/>
        <w:widowControl w:val="0"/>
        <w:tabs>
          <w:tab w:val="left" w:pos="2790"/>
        </w:tabs>
        <w:kinsoku/>
        <w:wordWrap/>
        <w:overflowPunct/>
        <w:topLinePunct w:val="0"/>
        <w:autoSpaceDE/>
        <w:autoSpaceDN/>
        <w:bidi w:val="0"/>
        <w:adjustRightInd/>
        <w:snapToGrid w:val="0"/>
        <w:spacing w:line="480" w:lineRule="auto"/>
        <w:ind w:firstLine="640" w:firstLineChars="200"/>
        <w:jc w:val="left"/>
        <w:textAlignment w:val="auto"/>
        <w:rPr>
          <w:rFonts w:hint="eastAsia" w:asciiTheme="minorEastAsia" w:hAnsiTheme="minorEastAsia"/>
          <w:sz w:val="32"/>
          <w:szCs w:val="32"/>
        </w:rPr>
      </w:pPr>
      <w:r>
        <w:rPr>
          <w:rFonts w:hint="eastAsia" w:asciiTheme="minorEastAsia" w:hAnsiTheme="minorEastAsia"/>
          <w:sz w:val="32"/>
          <w:szCs w:val="32"/>
        </w:rPr>
        <w:t>项目编号：</w:t>
      </w:r>
      <w:r>
        <w:rPr>
          <w:rFonts w:hint="eastAsia" w:asciiTheme="minorEastAsia" w:hAnsiTheme="minorEastAsia"/>
          <w:sz w:val="32"/>
          <w:szCs w:val="32"/>
        </w:rPr>
        <w:tab/>
      </w:r>
      <w:r>
        <w:rPr>
          <w:rFonts w:hint="eastAsia" w:asciiTheme="minorEastAsia" w:hAnsiTheme="minorEastAsia"/>
          <w:sz w:val="32"/>
          <w:szCs w:val="32"/>
          <w:lang w:eastAsia="zh-CN"/>
        </w:rPr>
        <w:t>LHAZXDL-2024-00076</w:t>
      </w:r>
      <w:r>
        <w:rPr>
          <w:rFonts w:hint="eastAsia" w:asciiTheme="minorEastAsia" w:hAnsiTheme="minorEastAsia"/>
          <w:sz w:val="32"/>
          <w:szCs w:val="32"/>
        </w:rPr>
        <w:t>（</w:t>
      </w:r>
      <w:r>
        <w:rPr>
          <w:rFonts w:hint="eastAsia" w:asciiTheme="minorEastAsia" w:hAnsiTheme="minorEastAsia"/>
          <w:sz w:val="32"/>
          <w:szCs w:val="32"/>
          <w:lang w:eastAsia="zh-CN"/>
        </w:rPr>
        <w:t>3324-DH2432H3234</w:t>
      </w:r>
      <w:r>
        <w:rPr>
          <w:rFonts w:hint="eastAsia" w:asciiTheme="minorEastAsia" w:hAnsiTheme="minorEastAsia"/>
          <w:sz w:val="32"/>
          <w:szCs w:val="32"/>
        </w:rPr>
        <w:t>）</w:t>
      </w:r>
    </w:p>
    <w:p w14:paraId="3EE24E9A">
      <w:pPr>
        <w:keepNext w:val="0"/>
        <w:keepLines w:val="0"/>
        <w:pageBreakBefore w:val="0"/>
        <w:widowControl w:val="0"/>
        <w:tabs>
          <w:tab w:val="left" w:pos="2790"/>
        </w:tabs>
        <w:kinsoku/>
        <w:wordWrap/>
        <w:overflowPunct/>
        <w:topLinePunct w:val="0"/>
        <w:autoSpaceDE/>
        <w:autoSpaceDN/>
        <w:bidi w:val="0"/>
        <w:adjustRightInd/>
        <w:snapToGrid w:val="0"/>
        <w:spacing w:line="480" w:lineRule="auto"/>
        <w:ind w:firstLine="640" w:firstLineChars="200"/>
        <w:jc w:val="left"/>
        <w:textAlignment w:val="auto"/>
        <w:rPr>
          <w:rFonts w:hint="eastAsia" w:asciiTheme="minorEastAsia" w:hAnsiTheme="minorEastAsia" w:eastAsiaTheme="minorEastAsia"/>
          <w:sz w:val="32"/>
          <w:szCs w:val="32"/>
          <w:lang w:eastAsia="zh-CN"/>
        </w:rPr>
      </w:pPr>
      <w:r>
        <w:rPr>
          <w:rFonts w:hint="eastAsia" w:asciiTheme="minorEastAsia" w:hAnsiTheme="minorEastAsia"/>
          <w:sz w:val="32"/>
          <w:szCs w:val="32"/>
        </w:rPr>
        <w:t>项目名称：</w:t>
      </w:r>
      <w:r>
        <w:rPr>
          <w:rFonts w:hint="eastAsia" w:asciiTheme="minorEastAsia" w:hAnsiTheme="minorEastAsia"/>
          <w:sz w:val="32"/>
          <w:szCs w:val="32"/>
        </w:rPr>
        <w:tab/>
      </w:r>
      <w:r>
        <w:rPr>
          <w:rFonts w:hint="eastAsia" w:asciiTheme="minorEastAsia" w:hAnsiTheme="minorEastAsia"/>
          <w:sz w:val="32"/>
          <w:szCs w:val="32"/>
          <w:lang w:eastAsia="zh-CN"/>
        </w:rPr>
        <w:t>计算机教室家具及设施设备采购</w:t>
      </w:r>
    </w:p>
    <w:p w14:paraId="4932A255">
      <w:pPr>
        <w:keepNext w:val="0"/>
        <w:keepLines w:val="0"/>
        <w:pageBreakBefore w:val="0"/>
        <w:widowControl w:val="0"/>
        <w:tabs>
          <w:tab w:val="left" w:pos="2790"/>
        </w:tabs>
        <w:kinsoku/>
        <w:wordWrap/>
        <w:overflowPunct/>
        <w:topLinePunct w:val="0"/>
        <w:autoSpaceDE/>
        <w:autoSpaceDN/>
        <w:bidi w:val="0"/>
        <w:adjustRightInd/>
        <w:snapToGrid w:val="0"/>
        <w:spacing w:line="480" w:lineRule="auto"/>
        <w:ind w:firstLine="640" w:firstLineChars="200"/>
        <w:jc w:val="left"/>
        <w:textAlignment w:val="auto"/>
        <w:rPr>
          <w:rFonts w:hint="eastAsia" w:asciiTheme="minorEastAsia" w:hAnsiTheme="minorEastAsia"/>
          <w:sz w:val="32"/>
          <w:szCs w:val="32"/>
        </w:rPr>
      </w:pPr>
      <w:r>
        <w:rPr>
          <w:rFonts w:hint="eastAsia" w:asciiTheme="minorEastAsia" w:hAnsiTheme="minorEastAsia"/>
          <w:sz w:val="32"/>
          <w:szCs w:val="32"/>
        </w:rPr>
        <w:t>包    号：</w:t>
      </w:r>
      <w:r>
        <w:rPr>
          <w:rFonts w:hint="eastAsia" w:asciiTheme="minorEastAsia" w:hAnsiTheme="minorEastAsia"/>
          <w:sz w:val="32"/>
          <w:szCs w:val="32"/>
        </w:rPr>
        <w:tab/>
      </w:r>
      <w:r>
        <w:rPr>
          <w:rFonts w:hint="eastAsia" w:asciiTheme="minorEastAsia" w:hAnsiTheme="minorEastAsia"/>
          <w:sz w:val="32"/>
          <w:szCs w:val="32"/>
        </w:rPr>
        <w:t>A</w:t>
      </w:r>
    </w:p>
    <w:p w14:paraId="6E65B349">
      <w:pPr>
        <w:keepNext w:val="0"/>
        <w:keepLines w:val="0"/>
        <w:pageBreakBefore w:val="0"/>
        <w:widowControl w:val="0"/>
        <w:tabs>
          <w:tab w:val="left" w:pos="2790"/>
        </w:tabs>
        <w:kinsoku/>
        <w:wordWrap/>
        <w:overflowPunct/>
        <w:topLinePunct w:val="0"/>
        <w:autoSpaceDE/>
        <w:autoSpaceDN/>
        <w:bidi w:val="0"/>
        <w:adjustRightInd/>
        <w:snapToGrid w:val="0"/>
        <w:spacing w:line="480" w:lineRule="auto"/>
        <w:ind w:firstLine="640" w:firstLineChars="200"/>
        <w:jc w:val="left"/>
        <w:textAlignment w:val="auto"/>
        <w:rPr>
          <w:rFonts w:hint="eastAsia" w:asciiTheme="minorEastAsia" w:hAnsiTheme="minorEastAsia"/>
          <w:sz w:val="32"/>
          <w:szCs w:val="32"/>
        </w:rPr>
      </w:pPr>
      <w:r>
        <w:rPr>
          <w:rFonts w:hint="eastAsia" w:asciiTheme="minorEastAsia" w:hAnsiTheme="minorEastAsia"/>
          <w:sz w:val="32"/>
          <w:szCs w:val="32"/>
        </w:rPr>
        <w:t>项目类型：</w:t>
      </w:r>
      <w:r>
        <w:rPr>
          <w:rFonts w:hint="eastAsia" w:asciiTheme="minorEastAsia" w:hAnsiTheme="minorEastAsia"/>
          <w:sz w:val="32"/>
          <w:szCs w:val="32"/>
        </w:rPr>
        <w:tab/>
      </w:r>
      <w:r>
        <w:rPr>
          <w:rFonts w:hint="eastAsia" w:asciiTheme="minorEastAsia" w:hAnsiTheme="minorEastAsia"/>
          <w:sz w:val="32"/>
          <w:szCs w:val="32"/>
        </w:rPr>
        <w:t>货物类</w:t>
      </w:r>
    </w:p>
    <w:p w14:paraId="1F37BAFD">
      <w:pPr>
        <w:keepNext w:val="0"/>
        <w:keepLines w:val="0"/>
        <w:pageBreakBefore w:val="0"/>
        <w:widowControl w:val="0"/>
        <w:tabs>
          <w:tab w:val="left" w:pos="2790"/>
        </w:tabs>
        <w:kinsoku/>
        <w:wordWrap/>
        <w:overflowPunct/>
        <w:topLinePunct w:val="0"/>
        <w:autoSpaceDE/>
        <w:autoSpaceDN/>
        <w:bidi w:val="0"/>
        <w:adjustRightInd/>
        <w:snapToGrid w:val="0"/>
        <w:spacing w:line="480" w:lineRule="auto"/>
        <w:ind w:firstLine="640" w:firstLineChars="200"/>
        <w:jc w:val="left"/>
        <w:textAlignment w:val="auto"/>
        <w:rPr>
          <w:rFonts w:hint="eastAsia" w:asciiTheme="minorEastAsia" w:hAnsiTheme="minorEastAsia"/>
          <w:sz w:val="32"/>
          <w:szCs w:val="32"/>
        </w:rPr>
      </w:pPr>
      <w:r>
        <w:rPr>
          <w:rFonts w:hint="eastAsia" w:asciiTheme="minorEastAsia" w:hAnsiTheme="minorEastAsia"/>
          <w:sz w:val="32"/>
          <w:szCs w:val="32"/>
        </w:rPr>
        <w:t>采购方式：</w:t>
      </w:r>
      <w:r>
        <w:rPr>
          <w:rFonts w:hint="eastAsia" w:asciiTheme="minorEastAsia" w:hAnsiTheme="minorEastAsia"/>
          <w:sz w:val="32"/>
          <w:szCs w:val="32"/>
        </w:rPr>
        <w:tab/>
      </w:r>
      <w:r>
        <w:rPr>
          <w:rFonts w:hint="eastAsia" w:asciiTheme="minorEastAsia" w:hAnsiTheme="minorEastAsia"/>
          <w:sz w:val="32"/>
          <w:szCs w:val="32"/>
        </w:rPr>
        <w:t>公开招标</w:t>
      </w:r>
    </w:p>
    <w:p w14:paraId="16D38854">
      <w:pPr>
        <w:keepNext w:val="0"/>
        <w:keepLines w:val="0"/>
        <w:pageBreakBefore w:val="0"/>
        <w:widowControl w:val="0"/>
        <w:tabs>
          <w:tab w:val="left" w:pos="2790"/>
        </w:tabs>
        <w:kinsoku/>
        <w:wordWrap/>
        <w:overflowPunct/>
        <w:topLinePunct w:val="0"/>
        <w:autoSpaceDE/>
        <w:autoSpaceDN/>
        <w:bidi w:val="0"/>
        <w:adjustRightInd/>
        <w:snapToGrid w:val="0"/>
        <w:spacing w:line="480" w:lineRule="auto"/>
        <w:ind w:firstLine="640" w:firstLineChars="200"/>
        <w:jc w:val="left"/>
        <w:textAlignment w:val="auto"/>
        <w:rPr>
          <w:rFonts w:hint="eastAsia" w:asciiTheme="minorEastAsia" w:hAnsiTheme="minorEastAsia"/>
          <w:sz w:val="32"/>
          <w:szCs w:val="32"/>
        </w:rPr>
      </w:pPr>
      <w:r>
        <w:rPr>
          <w:rFonts w:hint="eastAsia" w:asciiTheme="minorEastAsia" w:hAnsiTheme="minorEastAsia"/>
          <w:sz w:val="32"/>
          <w:szCs w:val="32"/>
        </w:rPr>
        <w:t>货币类型：</w:t>
      </w:r>
      <w:r>
        <w:rPr>
          <w:rFonts w:hint="eastAsia" w:asciiTheme="minorEastAsia" w:hAnsiTheme="minorEastAsia"/>
          <w:sz w:val="32"/>
          <w:szCs w:val="32"/>
        </w:rPr>
        <w:tab/>
      </w:r>
      <w:r>
        <w:rPr>
          <w:rFonts w:hint="eastAsia" w:asciiTheme="minorEastAsia" w:hAnsiTheme="minorEastAsia"/>
          <w:sz w:val="32"/>
          <w:szCs w:val="32"/>
        </w:rPr>
        <w:t>人民币</w:t>
      </w:r>
    </w:p>
    <w:p w14:paraId="0782EB98">
      <w:pPr>
        <w:keepNext w:val="0"/>
        <w:keepLines w:val="0"/>
        <w:pageBreakBefore w:val="0"/>
        <w:widowControl w:val="0"/>
        <w:tabs>
          <w:tab w:val="left" w:pos="2790"/>
        </w:tabs>
        <w:kinsoku/>
        <w:wordWrap/>
        <w:overflowPunct/>
        <w:topLinePunct w:val="0"/>
        <w:autoSpaceDE/>
        <w:autoSpaceDN/>
        <w:bidi w:val="0"/>
        <w:adjustRightInd/>
        <w:snapToGrid w:val="0"/>
        <w:spacing w:line="480" w:lineRule="auto"/>
        <w:ind w:firstLine="640" w:firstLineChars="200"/>
        <w:jc w:val="left"/>
        <w:textAlignment w:val="auto"/>
        <w:rPr>
          <w:rFonts w:hint="eastAsia" w:asciiTheme="minorEastAsia" w:hAnsiTheme="minorEastAsia"/>
          <w:sz w:val="32"/>
          <w:szCs w:val="32"/>
        </w:rPr>
      </w:pPr>
      <w:r>
        <w:rPr>
          <w:rFonts w:hint="eastAsia" w:asciiTheme="minorEastAsia" w:hAnsiTheme="minorEastAsia"/>
          <w:sz w:val="32"/>
          <w:szCs w:val="32"/>
        </w:rPr>
        <w:t>评标方法：</w:t>
      </w:r>
      <w:r>
        <w:rPr>
          <w:rFonts w:hint="eastAsia" w:asciiTheme="minorEastAsia" w:hAnsiTheme="minorEastAsia"/>
          <w:sz w:val="32"/>
          <w:szCs w:val="32"/>
        </w:rPr>
        <w:tab/>
      </w:r>
      <w:r>
        <w:rPr>
          <w:rFonts w:hint="eastAsia" w:asciiTheme="minorEastAsia" w:hAnsiTheme="minorEastAsia"/>
          <w:sz w:val="32"/>
          <w:szCs w:val="32"/>
        </w:rPr>
        <w:t>综合评分法</w:t>
      </w:r>
    </w:p>
    <w:p w14:paraId="5C0C731A">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Theme="minorEastAsia" w:hAnsiTheme="minorEastAsia"/>
          <w:sz w:val="32"/>
          <w:szCs w:val="32"/>
        </w:rPr>
      </w:pPr>
      <w:r>
        <w:rPr>
          <w:rFonts w:hint="eastAsia" w:asciiTheme="minorEastAsia" w:hAnsiTheme="minorEastAsia"/>
          <w:sz w:val="32"/>
          <w:szCs w:val="32"/>
        </w:rPr>
        <w:br w:type="page"/>
      </w:r>
    </w:p>
    <w:p w14:paraId="6E2BC9F8">
      <w:pPr>
        <w:tabs>
          <w:tab w:val="left" w:pos="2790"/>
        </w:tabs>
        <w:snapToGrid w:val="0"/>
        <w:spacing w:line="440" w:lineRule="exact"/>
        <w:jc w:val="left"/>
        <w:rPr>
          <w:rFonts w:hint="eastAsia" w:asciiTheme="minorEastAsia" w:hAnsiTheme="minorEastAsia"/>
          <w:sz w:val="30"/>
          <w:szCs w:val="30"/>
        </w:rPr>
      </w:pPr>
    </w:p>
    <w:p w14:paraId="5A02655E">
      <w:pPr>
        <w:tabs>
          <w:tab w:val="left" w:pos="2790"/>
        </w:tabs>
        <w:snapToGrid w:val="0"/>
        <w:jc w:val="center"/>
        <w:outlineLvl w:val="0"/>
        <w:rPr>
          <w:rFonts w:ascii="黑体" w:hAnsi="黑体" w:eastAsia="黑体" w:cs="Times New Roman"/>
          <w:sz w:val="40"/>
          <w:szCs w:val="40"/>
        </w:rPr>
      </w:pPr>
      <w:r>
        <w:rPr>
          <w:rFonts w:hint="eastAsia" w:ascii="黑体" w:hAnsi="黑体" w:eastAsia="黑体" w:cs="Times New Roman"/>
          <w:sz w:val="40"/>
          <w:szCs w:val="40"/>
        </w:rPr>
        <w:t>资格性审查表</w:t>
      </w:r>
    </w:p>
    <w:tbl>
      <w:tblPr>
        <w:tblStyle w:val="16"/>
        <w:tblW w:w="9463"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94"/>
        <w:gridCol w:w="8669"/>
      </w:tblGrid>
      <w:tr w14:paraId="28A63D2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39D40661">
            <w:pPr>
              <w:spacing w:line="290" w:lineRule="exact"/>
              <w:jc w:val="center"/>
              <w:rPr>
                <w:rFonts w:ascii="宋体" w:hAnsi="宋体" w:eastAsia="宋体" w:cs="宋体"/>
                <w:szCs w:val="21"/>
              </w:rPr>
            </w:pPr>
            <w:r>
              <w:rPr>
                <w:rFonts w:ascii="宋体" w:hAnsi="宋体" w:eastAsia="宋体" w:cs="Times New Roman"/>
                <w:szCs w:val="21"/>
              </w:rPr>
              <w:t>序号</w:t>
            </w:r>
          </w:p>
        </w:tc>
        <w:tc>
          <w:tcPr>
            <w:tcW w:w="8669"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50636B30">
            <w:pPr>
              <w:spacing w:line="290" w:lineRule="exact"/>
              <w:jc w:val="center"/>
              <w:rPr>
                <w:rFonts w:ascii="宋体" w:hAnsi="宋体" w:eastAsia="宋体" w:cs="宋体"/>
                <w:szCs w:val="21"/>
              </w:rPr>
            </w:pPr>
            <w:r>
              <w:rPr>
                <w:rFonts w:ascii="宋体" w:hAnsi="宋体" w:eastAsia="宋体" w:cs="Times New Roman"/>
                <w:szCs w:val="21"/>
              </w:rPr>
              <w:t>内容</w:t>
            </w:r>
          </w:p>
        </w:tc>
      </w:tr>
      <w:tr w14:paraId="0D5C0A5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46CC592B">
            <w:pPr>
              <w:spacing w:line="290" w:lineRule="exact"/>
              <w:jc w:val="center"/>
              <w:rPr>
                <w:rFonts w:ascii="宋体" w:hAnsi="宋体" w:eastAsia="宋体" w:cs="宋体"/>
                <w:szCs w:val="21"/>
              </w:rPr>
            </w:pPr>
            <w:r>
              <w:rPr>
                <w:rFonts w:ascii="宋体" w:hAnsi="宋体" w:eastAsia="宋体" w:cs="Times New Roman"/>
                <w:szCs w:val="21"/>
              </w:rPr>
              <w:t>1</w:t>
            </w:r>
          </w:p>
        </w:tc>
        <w:tc>
          <w:tcPr>
            <w:tcW w:w="8669" w:type="dxa"/>
            <w:tcBorders>
              <w:top w:val="single" w:color="000000" w:sz="8" w:space="0"/>
              <w:left w:val="single" w:color="000000" w:sz="8" w:space="0"/>
              <w:bottom w:val="single" w:color="000000" w:sz="8" w:space="0"/>
              <w:right w:val="single" w:color="000000" w:sz="8" w:space="0"/>
            </w:tcBorders>
          </w:tcPr>
          <w:p w14:paraId="5642DE5F">
            <w:pPr>
              <w:spacing w:line="290" w:lineRule="exact"/>
              <w:rPr>
                <w:rFonts w:ascii="宋体" w:hAnsi="宋体" w:eastAsia="宋体" w:cs="宋体"/>
                <w:szCs w:val="21"/>
              </w:rPr>
            </w:pPr>
            <w:r>
              <w:rPr>
                <w:rFonts w:ascii="宋体" w:hAnsi="宋体" w:eastAsia="宋体" w:cs="宋体"/>
                <w:kern w:val="0"/>
                <w:szCs w:val="21"/>
              </w:rPr>
              <w:t>投标人不</w:t>
            </w:r>
            <w:r>
              <w:rPr>
                <w:rFonts w:hint="eastAsia" w:ascii="宋体" w:hAnsi="宋体" w:eastAsia="宋体" w:cs="宋体"/>
                <w:kern w:val="0"/>
                <w:szCs w:val="21"/>
              </w:rPr>
              <w:t>符合</w:t>
            </w:r>
            <w:r>
              <w:rPr>
                <w:rFonts w:ascii="宋体" w:hAnsi="宋体" w:eastAsia="宋体" w:cs="宋体"/>
                <w:kern w:val="0"/>
                <w:szCs w:val="21"/>
              </w:rPr>
              <w:t>资格要求，或未提交相应的资格证明资料（详见招标公告</w:t>
            </w:r>
            <w:r>
              <w:rPr>
                <w:rFonts w:hint="eastAsia" w:ascii="宋体" w:hAnsi="宋体" w:eastAsia="宋体" w:cs="Times New Roman"/>
                <w:szCs w:val="21"/>
              </w:rPr>
              <w:t>投标人资格要求，即申请人的资格要求</w:t>
            </w:r>
            <w:r>
              <w:rPr>
                <w:rFonts w:ascii="宋体" w:hAnsi="宋体" w:eastAsia="宋体" w:cs="宋体"/>
                <w:kern w:val="0"/>
                <w:szCs w:val="21"/>
              </w:rPr>
              <w:t>）。</w:t>
            </w:r>
          </w:p>
        </w:tc>
      </w:tr>
    </w:tbl>
    <w:p w14:paraId="768A1666">
      <w:pPr>
        <w:tabs>
          <w:tab w:val="left" w:pos="2790"/>
        </w:tabs>
        <w:snapToGrid w:val="0"/>
        <w:jc w:val="center"/>
        <w:rPr>
          <w:rFonts w:ascii="黑体" w:hAnsi="黑体" w:eastAsia="黑体" w:cs="Times New Roman"/>
          <w:sz w:val="40"/>
          <w:szCs w:val="40"/>
        </w:rPr>
      </w:pPr>
    </w:p>
    <w:p w14:paraId="6DFA535F">
      <w:pPr>
        <w:tabs>
          <w:tab w:val="left" w:pos="2790"/>
        </w:tabs>
        <w:snapToGrid w:val="0"/>
        <w:jc w:val="center"/>
        <w:outlineLvl w:val="0"/>
        <w:rPr>
          <w:rFonts w:ascii="黑体" w:hAnsi="黑体" w:eastAsia="黑体" w:cs="Times New Roman"/>
          <w:sz w:val="40"/>
          <w:szCs w:val="40"/>
        </w:rPr>
      </w:pPr>
      <w:r>
        <w:rPr>
          <w:rFonts w:hint="eastAsia" w:ascii="黑体" w:hAnsi="黑体" w:eastAsia="黑体" w:cs="Times New Roman"/>
          <w:sz w:val="40"/>
          <w:szCs w:val="40"/>
        </w:rPr>
        <w:t>符合性审查表</w:t>
      </w:r>
    </w:p>
    <w:tbl>
      <w:tblPr>
        <w:tblStyle w:val="16"/>
        <w:tblW w:w="9078"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94"/>
        <w:gridCol w:w="8284"/>
      </w:tblGrid>
      <w:tr w14:paraId="0EC730B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1225BAD9">
            <w:pPr>
              <w:widowControl/>
              <w:jc w:val="center"/>
              <w:rPr>
                <w:sz w:val="28"/>
                <w:szCs w:val="28"/>
              </w:rPr>
            </w:pPr>
            <w:r>
              <w:rPr>
                <w:rFonts w:ascii="宋体" w:hAnsi="宋体" w:cs="宋体"/>
                <w:kern w:val="0"/>
                <w:sz w:val="28"/>
                <w:szCs w:val="28"/>
                <w:lang w:bidi="ar"/>
              </w:rPr>
              <w:t>序号</w:t>
            </w:r>
          </w:p>
        </w:tc>
        <w:tc>
          <w:tcPr>
            <w:tcW w:w="8284"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146438F0">
            <w:pPr>
              <w:widowControl/>
              <w:jc w:val="center"/>
              <w:rPr>
                <w:sz w:val="28"/>
                <w:szCs w:val="28"/>
              </w:rPr>
            </w:pPr>
            <w:r>
              <w:rPr>
                <w:rFonts w:ascii="宋体" w:hAnsi="宋体" w:cs="宋体"/>
                <w:kern w:val="0"/>
                <w:sz w:val="28"/>
                <w:szCs w:val="28"/>
                <w:lang w:bidi="ar"/>
              </w:rPr>
              <w:t>内容</w:t>
            </w:r>
          </w:p>
        </w:tc>
      </w:tr>
      <w:tr w14:paraId="3A766CB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8B5FA7">
            <w:pPr>
              <w:widowControl/>
              <w:jc w:val="center"/>
              <w:textAlignment w:val="top"/>
              <w:rPr>
                <w:szCs w:val="21"/>
              </w:rPr>
            </w:pPr>
            <w:r>
              <w:rPr>
                <w:rFonts w:ascii="宋体" w:hAnsi="宋体" w:cs="宋体"/>
                <w:kern w:val="0"/>
                <w:szCs w:val="21"/>
                <w:lang w:bidi="ar"/>
              </w:rPr>
              <w:t>1</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0ABA5B62">
            <w:pPr>
              <w:widowControl/>
              <w:jc w:val="left"/>
              <w:textAlignment w:val="top"/>
              <w:rPr>
                <w:szCs w:val="21"/>
              </w:rPr>
            </w:pPr>
            <w:r>
              <w:rPr>
                <w:rFonts w:hint="eastAsia"/>
              </w:rPr>
              <w:t>不得将一个包的内容拆开投标；</w:t>
            </w:r>
          </w:p>
        </w:tc>
      </w:tr>
      <w:tr w14:paraId="3595B07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B70D2C">
            <w:pPr>
              <w:widowControl/>
              <w:jc w:val="center"/>
              <w:textAlignment w:val="top"/>
              <w:rPr>
                <w:szCs w:val="21"/>
              </w:rPr>
            </w:pPr>
            <w:r>
              <w:rPr>
                <w:rFonts w:ascii="宋体" w:hAnsi="宋体" w:cs="宋体"/>
                <w:kern w:val="0"/>
                <w:szCs w:val="21"/>
                <w:lang w:bidi="ar"/>
              </w:rPr>
              <w:t>2</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3F57DD86">
            <w:pPr>
              <w:widowControl/>
              <w:jc w:val="left"/>
              <w:textAlignment w:val="top"/>
              <w:rPr>
                <w:szCs w:val="21"/>
              </w:rPr>
            </w:pPr>
            <w:r>
              <w:rPr>
                <w:rFonts w:hint="eastAsia"/>
              </w:rPr>
              <w:t>对同一项目投标时，不得提供两套以上的投标方案（招标文件另有规定的除外）；</w:t>
            </w:r>
          </w:p>
        </w:tc>
      </w:tr>
      <w:tr w14:paraId="438F06D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58005F">
            <w:pPr>
              <w:widowControl/>
              <w:jc w:val="center"/>
              <w:textAlignment w:val="top"/>
              <w:rPr>
                <w:szCs w:val="21"/>
              </w:rPr>
            </w:pPr>
            <w:r>
              <w:rPr>
                <w:rFonts w:ascii="宋体" w:hAnsi="宋体" w:cs="宋体"/>
                <w:kern w:val="0"/>
                <w:szCs w:val="21"/>
                <w:lang w:bidi="ar"/>
              </w:rPr>
              <w:t>3</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29C8362E">
            <w:pPr>
              <w:widowControl/>
              <w:jc w:val="left"/>
              <w:textAlignment w:val="top"/>
              <w:rPr>
                <w:szCs w:val="21"/>
              </w:rPr>
            </w:pPr>
            <w:r>
              <w:rPr>
                <w:rFonts w:hint="eastAsia"/>
              </w:rPr>
              <w:t>分项报价或投标总价不得高于</w:t>
            </w:r>
            <w:bookmarkStart w:id="0" w:name="_Hlk71832186"/>
            <w:r>
              <w:rPr>
                <w:rFonts w:hint="eastAsia"/>
              </w:rPr>
              <w:t>相应预算金额（或设定的预算金额下的最高限价）</w:t>
            </w:r>
            <w:bookmarkEnd w:id="0"/>
            <w:r>
              <w:rPr>
                <w:rFonts w:hint="eastAsia"/>
              </w:rPr>
              <w:t>；</w:t>
            </w:r>
          </w:p>
        </w:tc>
      </w:tr>
      <w:tr w14:paraId="6EE005A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B8AD4C">
            <w:pPr>
              <w:widowControl/>
              <w:jc w:val="center"/>
              <w:textAlignment w:val="top"/>
              <w:rPr>
                <w:szCs w:val="21"/>
              </w:rPr>
            </w:pPr>
            <w:r>
              <w:rPr>
                <w:rFonts w:ascii="宋体" w:hAnsi="宋体" w:cs="宋体"/>
                <w:kern w:val="0"/>
                <w:szCs w:val="21"/>
                <w:lang w:bidi="ar"/>
              </w:rPr>
              <w:t>4</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3A1C9B81">
            <w:pPr>
              <w:widowControl/>
              <w:jc w:val="left"/>
              <w:textAlignment w:val="top"/>
              <w:rPr>
                <w:szCs w:val="21"/>
              </w:rPr>
            </w:pPr>
            <w:r>
              <w:rPr>
                <w:rFonts w:hint="eastAsia"/>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14:paraId="2631734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D56479">
            <w:pPr>
              <w:widowControl/>
              <w:jc w:val="center"/>
              <w:textAlignment w:val="top"/>
              <w:rPr>
                <w:szCs w:val="21"/>
              </w:rPr>
            </w:pPr>
            <w:r>
              <w:rPr>
                <w:rFonts w:ascii="宋体" w:hAnsi="宋体" w:cs="宋体"/>
                <w:kern w:val="0"/>
                <w:szCs w:val="21"/>
                <w:lang w:bidi="ar"/>
              </w:rPr>
              <w:t>5</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45751EC6">
            <w:pPr>
              <w:widowControl/>
              <w:jc w:val="left"/>
              <w:textAlignment w:val="top"/>
              <w:rPr>
                <w:szCs w:val="21"/>
              </w:rPr>
            </w:pPr>
            <w:r>
              <w:rPr>
                <w:rFonts w:hint="eastAsia"/>
              </w:rPr>
              <w:t>所投货物、服务在技术、商务等方面没有实质性满足招标文件要求的（是否实质性满足招标文件要求，由评审委员会根据实质性条款响应情况做出评判；若招标文件未设置实质性条款，不得据此做投标无效处理）；</w:t>
            </w:r>
          </w:p>
        </w:tc>
      </w:tr>
      <w:tr w14:paraId="241E2BD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6A44D7">
            <w:pPr>
              <w:widowControl/>
              <w:jc w:val="center"/>
              <w:textAlignment w:val="top"/>
              <w:rPr>
                <w:szCs w:val="21"/>
              </w:rPr>
            </w:pPr>
            <w:r>
              <w:rPr>
                <w:rFonts w:ascii="宋体" w:hAnsi="宋体" w:cs="宋体"/>
                <w:kern w:val="0"/>
                <w:szCs w:val="21"/>
                <w:lang w:bidi="ar"/>
              </w:rPr>
              <w:t>6</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1B0537E4">
            <w:pPr>
              <w:widowControl/>
              <w:jc w:val="left"/>
              <w:textAlignment w:val="top"/>
              <w:rPr>
                <w:szCs w:val="21"/>
              </w:rPr>
            </w:pPr>
            <w:r>
              <w:rPr>
                <w:rFonts w:hint="eastAsia"/>
              </w:rPr>
              <w:t>未按招标文件所提供的样式填写《投标函》；未按招标文件所提供的《政府采购投标及履约承诺函》进行承诺；未按招标文件对投标文件组成的要求提供投标文件；</w:t>
            </w:r>
          </w:p>
        </w:tc>
      </w:tr>
      <w:tr w14:paraId="54467B7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DAB9C0">
            <w:pPr>
              <w:widowControl/>
              <w:jc w:val="center"/>
              <w:textAlignment w:val="top"/>
            </w:pPr>
            <w:r>
              <w:rPr>
                <w:rFonts w:hint="eastAsia"/>
              </w:rPr>
              <w:t>7</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1BE205C9">
            <w:pPr>
              <w:widowControl/>
              <w:jc w:val="left"/>
              <w:textAlignment w:val="top"/>
            </w:pPr>
            <w:r>
              <w:rPr>
                <w:rFonts w:hint="eastAsia"/>
              </w:rPr>
              <w:t>采购标的/所投产品/货物清单/报价等任意一类有缺漏项或响应不全，或者对招标文件规定的项目需求内容或者需求数量进行修改，评审委员会判定投标响应不满足采购需求；</w:t>
            </w:r>
          </w:p>
        </w:tc>
      </w:tr>
      <w:tr w14:paraId="592A2BC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6C48AA">
            <w:pPr>
              <w:widowControl/>
              <w:jc w:val="center"/>
              <w:textAlignment w:val="top"/>
              <w:rPr>
                <w:szCs w:val="21"/>
              </w:rPr>
            </w:pPr>
            <w:r>
              <w:rPr>
                <w:rFonts w:ascii="宋体" w:hAnsi="宋体" w:cs="宋体"/>
                <w:kern w:val="0"/>
                <w:szCs w:val="21"/>
                <w:lang w:bidi="ar"/>
              </w:rPr>
              <w:t>8</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49C9D495">
            <w:pPr>
              <w:widowControl/>
              <w:jc w:val="left"/>
              <w:textAlignment w:val="top"/>
              <w:rPr>
                <w:szCs w:val="21"/>
              </w:rPr>
            </w:pPr>
            <w:r>
              <w:rPr>
                <w:rFonts w:hint="eastAsia"/>
              </w:rPr>
              <w:t>投标文件存在列放位置错误，导致属于信息公开情形的没有被公开；</w:t>
            </w:r>
          </w:p>
        </w:tc>
      </w:tr>
      <w:tr w14:paraId="4009102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818E75">
            <w:pPr>
              <w:widowControl/>
              <w:jc w:val="center"/>
              <w:textAlignment w:val="top"/>
              <w:rPr>
                <w:szCs w:val="21"/>
              </w:rPr>
            </w:pPr>
            <w:r>
              <w:rPr>
                <w:rFonts w:ascii="宋体" w:hAnsi="宋体" w:cs="宋体"/>
                <w:kern w:val="0"/>
                <w:szCs w:val="21"/>
                <w:lang w:bidi="ar"/>
              </w:rPr>
              <w:t>9</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3A2EDF08">
            <w:pPr>
              <w:widowControl/>
              <w:jc w:val="left"/>
              <w:textAlignment w:val="top"/>
              <w:rPr>
                <w:szCs w:val="21"/>
              </w:rPr>
            </w:pPr>
            <w:r>
              <w:rPr>
                <w:rFonts w:hint="eastAsia"/>
              </w:rPr>
              <w:t>投标文件电子文档不得带病毒；</w:t>
            </w:r>
          </w:p>
        </w:tc>
      </w:tr>
      <w:tr w14:paraId="35835C9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851594">
            <w:pPr>
              <w:widowControl/>
              <w:jc w:val="center"/>
              <w:textAlignment w:val="top"/>
              <w:rPr>
                <w:szCs w:val="21"/>
              </w:rPr>
            </w:pPr>
            <w:r>
              <w:rPr>
                <w:rFonts w:ascii="宋体" w:hAnsi="宋体" w:cs="宋体"/>
                <w:kern w:val="0"/>
                <w:szCs w:val="21"/>
                <w:lang w:bidi="ar"/>
              </w:rPr>
              <w:t>10</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13171195">
            <w:pPr>
              <w:widowControl/>
              <w:jc w:val="left"/>
              <w:textAlignment w:val="top"/>
              <w:rPr>
                <w:szCs w:val="21"/>
              </w:rPr>
            </w:pPr>
            <w:r>
              <w:rPr>
                <w:rFonts w:hint="eastAsia"/>
              </w:rPr>
              <w:t>投标文件用不属于本公司的电子密钥或电子营业执照进行加密的；</w:t>
            </w:r>
          </w:p>
        </w:tc>
      </w:tr>
      <w:tr w14:paraId="7621E78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280" w:hRule="atLeast"/>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FFC09C">
            <w:pPr>
              <w:widowControl/>
              <w:jc w:val="center"/>
              <w:textAlignment w:val="top"/>
              <w:rPr>
                <w:rFonts w:eastAsia="宋体"/>
                <w:szCs w:val="24"/>
              </w:rPr>
            </w:pPr>
            <w:r>
              <w:rPr>
                <w:rFonts w:hint="eastAsia"/>
                <w:szCs w:val="24"/>
              </w:rPr>
              <w:t>11</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1F8F0103">
            <w:pPr>
              <w:widowControl/>
              <w:jc w:val="left"/>
              <w:textAlignment w:val="top"/>
              <w:rPr>
                <w:rFonts w:eastAsia="宋体"/>
                <w:szCs w:val="24"/>
              </w:rPr>
            </w:pPr>
            <w:r>
              <w:rPr>
                <w:rFonts w:hint="eastAsia" w:ascii="Times New Roman" w:hAnsi="Times New Roman" w:eastAsia="宋体" w:cs="Times New Roman"/>
                <w:szCs w:val="24"/>
              </w:rPr>
              <w:t>不同投标供应商投标文件“文件制作机器码”一致；</w:t>
            </w:r>
          </w:p>
        </w:tc>
      </w:tr>
      <w:tr w14:paraId="3A031BC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54958A">
            <w:pPr>
              <w:widowControl/>
              <w:jc w:val="center"/>
              <w:textAlignment w:val="top"/>
              <w:rPr>
                <w:rFonts w:eastAsia="宋体"/>
                <w:szCs w:val="24"/>
              </w:rPr>
            </w:pPr>
            <w:r>
              <w:rPr>
                <w:rFonts w:hint="eastAsia"/>
                <w:szCs w:val="24"/>
              </w:rPr>
              <w:t>12</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271E87BD">
            <w:pPr>
              <w:widowControl/>
              <w:jc w:val="left"/>
              <w:textAlignment w:val="top"/>
              <w:rPr>
                <w:rFonts w:eastAsia="宋体"/>
                <w:szCs w:val="24"/>
              </w:rPr>
            </w:pPr>
            <w:r>
              <w:rPr>
                <w:rFonts w:hint="eastAsia" w:ascii="Times New Roman" w:hAnsi="Times New Roman" w:eastAsia="宋体" w:cs="Times New Roman"/>
                <w:szCs w:val="24"/>
              </w:rPr>
              <w:t>不同投标供应商投标文件“文件创建标识码”一致；</w:t>
            </w:r>
          </w:p>
        </w:tc>
      </w:tr>
      <w:tr w14:paraId="1A00182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4628BF">
            <w:pPr>
              <w:widowControl/>
              <w:jc w:val="center"/>
              <w:textAlignment w:val="top"/>
              <w:rPr>
                <w:rFonts w:eastAsia="宋体"/>
                <w:szCs w:val="21"/>
              </w:rPr>
            </w:pPr>
            <w:r>
              <w:rPr>
                <w:rFonts w:hint="eastAsia" w:ascii="宋体" w:hAnsi="宋体" w:cs="宋体"/>
                <w:kern w:val="0"/>
                <w:szCs w:val="21"/>
                <w:lang w:bidi="ar"/>
              </w:rPr>
              <w:t>13</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6092C718">
            <w:pPr>
              <w:widowControl/>
              <w:jc w:val="left"/>
              <w:textAlignment w:val="top"/>
              <w:rPr>
                <w:szCs w:val="21"/>
              </w:rPr>
            </w:pPr>
            <w:r>
              <w:rPr>
                <w:rFonts w:hint="eastAsia"/>
              </w:rPr>
              <w:t>法律、法规、规章、规范性文件规定的其他情形。</w:t>
            </w:r>
          </w:p>
        </w:tc>
      </w:tr>
    </w:tbl>
    <w:p w14:paraId="51A6D2F8">
      <w:pPr>
        <w:tabs>
          <w:tab w:val="left" w:pos="2790"/>
        </w:tabs>
        <w:snapToGrid w:val="0"/>
        <w:jc w:val="left"/>
        <w:rPr>
          <w:sz w:val="24"/>
          <w:szCs w:val="24"/>
        </w:rPr>
      </w:pPr>
    </w:p>
    <w:p w14:paraId="1B465FDF">
      <w:pPr>
        <w:tabs>
          <w:tab w:val="left" w:pos="2790"/>
        </w:tabs>
        <w:snapToGrid w:val="0"/>
        <w:jc w:val="left"/>
        <w:rPr>
          <w:sz w:val="24"/>
          <w:szCs w:val="24"/>
        </w:rPr>
      </w:pPr>
    </w:p>
    <w:p w14:paraId="57D630E4">
      <w:pPr>
        <w:tabs>
          <w:tab w:val="left" w:pos="2790"/>
        </w:tabs>
        <w:snapToGrid w:val="0"/>
        <w:jc w:val="left"/>
        <w:rPr>
          <w:sz w:val="24"/>
          <w:szCs w:val="24"/>
        </w:rPr>
      </w:pPr>
    </w:p>
    <w:p w14:paraId="2F6D7867">
      <w:pPr>
        <w:tabs>
          <w:tab w:val="left" w:pos="2790"/>
        </w:tabs>
        <w:snapToGrid w:val="0"/>
        <w:jc w:val="left"/>
        <w:rPr>
          <w:sz w:val="24"/>
          <w:szCs w:val="24"/>
        </w:rPr>
      </w:pPr>
    </w:p>
    <w:p w14:paraId="27C6D402">
      <w:pPr>
        <w:pStyle w:val="14"/>
        <w:jc w:val="center"/>
        <w:outlineLvl w:val="0"/>
        <w:rPr>
          <w:rFonts w:ascii="黑体" w:eastAsia="黑体"/>
          <w:sz w:val="40"/>
          <w:szCs w:val="40"/>
        </w:rPr>
      </w:pPr>
      <w:r>
        <w:rPr>
          <w:rFonts w:hint="eastAsia" w:ascii="黑体" w:hAnsi="黑体" w:eastAsia="黑体"/>
          <w:sz w:val="40"/>
          <w:szCs w:val="40"/>
        </w:rPr>
        <w:t>评标信息</w:t>
      </w:r>
    </w:p>
    <w:tbl>
      <w:tblPr>
        <w:tblStyle w:val="16"/>
        <w:tblW w:w="9141" w:type="dxa"/>
        <w:jc w:val="center"/>
        <w:tblCellSpacing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45" w:type="dxa"/>
          <w:left w:w="45" w:type="dxa"/>
          <w:bottom w:w="45" w:type="dxa"/>
          <w:right w:w="45" w:type="dxa"/>
        </w:tblCellMar>
      </w:tblPr>
      <w:tblGrid>
        <w:gridCol w:w="9141"/>
      </w:tblGrid>
      <w:tr w14:paraId="1C400AC8">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45" w:type="dxa"/>
            <w:left w:w="45" w:type="dxa"/>
            <w:bottom w:w="45" w:type="dxa"/>
            <w:right w:w="45" w:type="dxa"/>
          </w:tblCellMar>
        </w:tblPrEx>
        <w:trPr>
          <w:tblCellSpacing w:w="0" w:type="dxa"/>
          <w:jc w:val="center"/>
        </w:trPr>
        <w:tc>
          <w:tcPr>
            <w:tcW w:w="9078" w:type="dxa"/>
            <w:shd w:val="clear" w:color="auto" w:fill="auto"/>
            <w:vAlign w:val="center"/>
          </w:tcPr>
          <w:p w14:paraId="4451FD94">
            <w:pPr>
              <w:jc w:val="left"/>
              <w:rPr>
                <w:rFonts w:ascii="宋体"/>
                <w:b/>
                <w:bCs/>
                <w:sz w:val="24"/>
              </w:rPr>
            </w:pPr>
            <w:r>
              <w:rPr>
                <w:b/>
                <w:bCs/>
              </w:rPr>
              <w:t>评标方法：综合评分法</w:t>
            </w:r>
          </w:p>
        </w:tc>
      </w:tr>
      <w:tr w14:paraId="08B9767E">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45" w:type="dxa"/>
            <w:left w:w="45" w:type="dxa"/>
            <w:bottom w:w="45" w:type="dxa"/>
            <w:right w:w="45" w:type="dxa"/>
          </w:tblCellMar>
        </w:tblPrEx>
        <w:trPr>
          <w:tblCellSpacing w:w="0" w:type="dxa"/>
          <w:jc w:val="center"/>
        </w:trPr>
        <w:tc>
          <w:tcPr>
            <w:tcW w:w="9078" w:type="dxa"/>
            <w:shd w:val="clear" w:color="auto" w:fill="auto"/>
            <w:vAlign w:val="center"/>
          </w:tcPr>
          <w:p w14:paraId="3A03E6CA">
            <w:pPr>
              <w:ind w:firstLine="420"/>
              <w:rPr>
                <w:rFonts w:eastAsia="宋体"/>
                <w:szCs w:val="21"/>
              </w:rPr>
            </w:pPr>
            <w:r>
              <w:rPr>
                <w:szCs w:val="21"/>
              </w:rPr>
              <w:t>综合评分法，</w:t>
            </w:r>
            <w:r>
              <w:rPr>
                <w:rFonts w:hint="eastAsia"/>
                <w:szCs w:val="21"/>
              </w:rPr>
              <w:t>是指投标文件满足招标文件全部实质性要求，且按照评审因素的量化指标评审得分排名前列</w:t>
            </w:r>
            <w:r>
              <w:rPr>
                <w:szCs w:val="21"/>
              </w:rPr>
              <w:t>的投标人为中标候选人的评标方法。</w:t>
            </w:r>
          </w:p>
          <w:p w14:paraId="2233F6CE">
            <w:pPr>
              <w:ind w:firstLine="420"/>
              <w:rPr>
                <w:szCs w:val="21"/>
              </w:rPr>
            </w:pPr>
            <w:r>
              <w:rPr>
                <w:szCs w:val="21"/>
              </w:rPr>
              <w:t>价格分计算方法：</w:t>
            </w:r>
          </w:p>
          <w:p w14:paraId="63DAD711">
            <w:pPr>
              <w:pStyle w:val="14"/>
              <w:spacing w:beforeAutospacing="0" w:afterAutospacing="0"/>
              <w:ind w:left="420"/>
              <w:rPr>
                <w:rFonts w:hint="eastAsia" w:eastAsiaTheme="minorEastAsia"/>
                <w:sz w:val="21"/>
                <w:szCs w:val="21"/>
                <w:lang w:eastAsia="zh-CN"/>
              </w:rPr>
            </w:pPr>
            <w:r>
              <w:rPr>
                <w:sz w:val="21"/>
                <w:szCs w:val="21"/>
              </w:rPr>
              <w:t xml:space="preserve">采用低价优先法计算，即满足招标文件要求且投标价格最低的投标报价为评标基准价，其价格分为满分。其他投标人的价格分统一按照下列公式计算： </w:t>
            </w:r>
          </w:p>
          <w:p w14:paraId="27935A23">
            <w:pPr>
              <w:pStyle w:val="14"/>
              <w:spacing w:beforeAutospacing="0" w:afterAutospacing="0"/>
              <w:ind w:left="420"/>
              <w:rPr>
                <w:rFonts w:hint="eastAsia" w:eastAsiaTheme="minorEastAsia"/>
                <w:sz w:val="21"/>
                <w:szCs w:val="21"/>
                <w:lang w:eastAsia="zh-CN"/>
              </w:rPr>
            </w:pPr>
            <w:r>
              <w:rPr>
                <w:sz w:val="21"/>
                <w:szCs w:val="21"/>
              </w:rPr>
              <w:t xml:space="preserve">投标报价得分=(评标基准价／投标报价)×100 </w:t>
            </w:r>
          </w:p>
          <w:p w14:paraId="5A51E0C2">
            <w:pPr>
              <w:pStyle w:val="14"/>
              <w:spacing w:beforeAutospacing="0" w:afterAutospacing="0"/>
              <w:ind w:left="420"/>
              <w:rPr>
                <w:rFonts w:hint="eastAsia" w:eastAsiaTheme="minorEastAsia"/>
                <w:sz w:val="21"/>
                <w:szCs w:val="21"/>
                <w:lang w:eastAsia="zh-CN"/>
              </w:rPr>
            </w:pPr>
            <w:r>
              <w:rPr>
                <w:sz w:val="21"/>
                <w:szCs w:val="21"/>
              </w:rPr>
              <w:t xml:space="preserve">评标总得分＝F1×A1＋F2×A2＋……＋Fn×An </w:t>
            </w:r>
          </w:p>
          <w:p w14:paraId="6B93712F">
            <w:pPr>
              <w:pStyle w:val="14"/>
              <w:spacing w:beforeAutospacing="0" w:afterAutospacing="0"/>
              <w:ind w:left="420"/>
              <w:rPr>
                <w:rFonts w:hint="eastAsia" w:eastAsiaTheme="minorEastAsia"/>
                <w:sz w:val="21"/>
                <w:szCs w:val="21"/>
                <w:lang w:eastAsia="zh-CN"/>
              </w:rPr>
            </w:pPr>
            <w:r>
              <w:rPr>
                <w:sz w:val="21"/>
                <w:szCs w:val="21"/>
              </w:rPr>
              <w:t xml:space="preserve">F1、F2……Fn分别为各项评审因素的得分； </w:t>
            </w:r>
          </w:p>
          <w:p w14:paraId="225F0400">
            <w:pPr>
              <w:pStyle w:val="14"/>
              <w:spacing w:beforeAutospacing="0" w:afterAutospacing="0"/>
              <w:ind w:left="420"/>
              <w:rPr>
                <w:rFonts w:hint="eastAsia" w:eastAsiaTheme="minorEastAsia"/>
                <w:sz w:val="21"/>
                <w:szCs w:val="21"/>
                <w:lang w:eastAsia="zh-CN"/>
              </w:rPr>
            </w:pPr>
            <w:r>
              <w:rPr>
                <w:sz w:val="21"/>
                <w:szCs w:val="21"/>
              </w:rPr>
              <w:t xml:space="preserve">A1、A2、……An 分别为各项评审因素所占的权重(A1＋A2＋……＋An＝1)。 </w:t>
            </w:r>
          </w:p>
          <w:p w14:paraId="2A59297D">
            <w:pPr>
              <w:pStyle w:val="14"/>
              <w:spacing w:beforeAutospacing="0" w:afterAutospacing="0"/>
              <w:ind w:left="420"/>
              <w:rPr>
                <w:sz w:val="21"/>
                <w:szCs w:val="21"/>
              </w:rPr>
            </w:pPr>
            <w:r>
              <w:rPr>
                <w:sz w:val="21"/>
                <w:szCs w:val="21"/>
              </w:rPr>
              <w:t>评标过程中，不得去掉报价中的最高报价和最低报价。</w:t>
            </w:r>
          </w:p>
          <w:p w14:paraId="1709F17A">
            <w:pPr>
              <w:pStyle w:val="14"/>
              <w:spacing w:beforeAutospacing="0" w:afterAutospacing="0"/>
              <w:ind w:left="420"/>
            </w:pPr>
            <w:r>
              <w:rPr>
                <w:rFonts w:hint="eastAsia"/>
                <w:sz w:val="21"/>
                <w:szCs w:val="21"/>
              </w:rPr>
              <w:t>因落实政府采购政策进行价格调整的，以调整后的价格计算评标基准价和投标报价。</w:t>
            </w:r>
          </w:p>
        </w:tc>
      </w:tr>
    </w:tbl>
    <w:p w14:paraId="13A741AB"/>
    <w:tbl>
      <w:tblPr>
        <w:tblStyle w:val="16"/>
        <w:tblW w:w="907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Layout w:type="fixed"/>
        <w:tblCellMar>
          <w:top w:w="20" w:type="dxa"/>
          <w:left w:w="108" w:type="dxa"/>
          <w:bottom w:w="20" w:type="dxa"/>
          <w:right w:w="108" w:type="dxa"/>
        </w:tblCellMar>
      </w:tblPr>
      <w:tblGrid>
        <w:gridCol w:w="427"/>
        <w:gridCol w:w="426"/>
        <w:gridCol w:w="2068"/>
        <w:gridCol w:w="749"/>
        <w:gridCol w:w="5402"/>
      </w:tblGrid>
      <w:tr w14:paraId="34C860A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jc w:val="center"/>
        </w:trPr>
        <w:tc>
          <w:tcPr>
            <w:tcW w:w="427"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0F4FD412">
            <w:pPr>
              <w:snapToGrid w:val="0"/>
              <w:jc w:val="center"/>
              <w:rPr>
                <w:rFonts w:ascii="Times New Roman" w:hAnsi="Times New Roman" w:eastAsia="宋体" w:cs="宋体"/>
                <w:b/>
                <w:bCs/>
                <w:color w:val="auto"/>
                <w:szCs w:val="21"/>
              </w:rPr>
            </w:pPr>
            <w:bookmarkStart w:id="104" w:name="_GoBack"/>
            <w:r>
              <w:rPr>
                <w:rFonts w:hint="eastAsia" w:ascii="Times New Roman" w:hAnsi="Times New Roman" w:eastAsia="宋体" w:cs="宋体"/>
                <w:b/>
                <w:bCs/>
                <w:color w:val="auto"/>
                <w:szCs w:val="21"/>
              </w:rPr>
              <w:t>序号</w:t>
            </w:r>
          </w:p>
        </w:tc>
        <w:tc>
          <w:tcPr>
            <w:tcW w:w="3243" w:type="dxa"/>
            <w:gridSpan w:val="3"/>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28844D55">
            <w:pPr>
              <w:snapToGrid w:val="0"/>
              <w:jc w:val="center"/>
              <w:rPr>
                <w:rFonts w:ascii="Times New Roman" w:hAnsi="Times New Roman" w:eastAsia="宋体" w:cs="宋体"/>
                <w:b/>
                <w:bCs/>
                <w:color w:val="auto"/>
                <w:szCs w:val="21"/>
              </w:rPr>
            </w:pPr>
            <w:r>
              <w:rPr>
                <w:rFonts w:hint="eastAsia" w:ascii="Times New Roman" w:hAnsi="Times New Roman" w:eastAsia="宋体" w:cs="宋体"/>
                <w:b/>
                <w:bCs/>
                <w:color w:val="auto"/>
                <w:szCs w:val="21"/>
              </w:rPr>
              <w:t>评分项</w:t>
            </w:r>
          </w:p>
        </w:tc>
        <w:tc>
          <w:tcPr>
            <w:tcW w:w="5402"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59B1A784">
            <w:pPr>
              <w:snapToGrid w:val="0"/>
              <w:jc w:val="center"/>
              <w:rPr>
                <w:rFonts w:ascii="Times New Roman" w:hAnsi="Times New Roman" w:eastAsia="宋体" w:cs="宋体"/>
                <w:b/>
                <w:bCs/>
                <w:color w:val="auto"/>
                <w:szCs w:val="21"/>
              </w:rPr>
            </w:pPr>
            <w:r>
              <w:rPr>
                <w:rFonts w:hint="eastAsia" w:ascii="Times New Roman" w:hAnsi="Times New Roman" w:eastAsia="宋体" w:cs="宋体"/>
                <w:b/>
                <w:bCs/>
                <w:color w:val="auto"/>
                <w:szCs w:val="21"/>
              </w:rPr>
              <w:t>权重（%）</w:t>
            </w:r>
          </w:p>
        </w:tc>
      </w:tr>
      <w:tr w14:paraId="141C22D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trHeight w:val="90" w:hRule="atLeast"/>
          <w:jc w:val="center"/>
        </w:trPr>
        <w:tc>
          <w:tcPr>
            <w:tcW w:w="427" w:type="dxa"/>
            <w:tcBorders>
              <w:top w:val="single" w:color="000000" w:sz="8" w:space="0"/>
              <w:left w:val="single" w:color="000000" w:sz="8" w:space="0"/>
              <w:bottom w:val="single" w:color="000000" w:sz="8" w:space="0"/>
              <w:right w:val="single" w:color="000000" w:sz="8" w:space="0"/>
            </w:tcBorders>
            <w:shd w:val="clear" w:color="auto" w:fill="FFFFFF" w:themeFill="background1"/>
          </w:tcPr>
          <w:p w14:paraId="36E8BFEC">
            <w:pPr>
              <w:snapToGrid w:val="0"/>
              <w:jc w:val="center"/>
              <w:rPr>
                <w:rFonts w:ascii="Times New Roman" w:hAnsi="Times New Roman" w:eastAsia="宋体" w:cs="宋体"/>
                <w:b/>
                <w:bCs/>
                <w:color w:val="auto"/>
                <w:szCs w:val="21"/>
              </w:rPr>
            </w:pPr>
            <w:r>
              <w:rPr>
                <w:rFonts w:hint="eastAsia" w:ascii="Times New Roman" w:hAnsi="Times New Roman" w:eastAsia="宋体" w:cs="宋体"/>
                <w:b/>
                <w:bCs/>
                <w:color w:val="auto"/>
                <w:szCs w:val="21"/>
              </w:rPr>
              <w:t>1</w:t>
            </w:r>
          </w:p>
        </w:tc>
        <w:tc>
          <w:tcPr>
            <w:tcW w:w="3243" w:type="dxa"/>
            <w:gridSpan w:val="3"/>
            <w:tcBorders>
              <w:top w:val="single" w:color="000000" w:sz="8" w:space="0"/>
              <w:left w:val="single" w:color="000000" w:sz="8" w:space="0"/>
              <w:bottom w:val="single" w:color="000000" w:sz="8" w:space="0"/>
              <w:right w:val="single" w:color="000000" w:sz="8" w:space="0"/>
            </w:tcBorders>
            <w:shd w:val="clear" w:color="auto" w:fill="FFFFFF" w:themeFill="background1"/>
          </w:tcPr>
          <w:p w14:paraId="4D08C32F">
            <w:pPr>
              <w:snapToGrid w:val="0"/>
              <w:jc w:val="center"/>
              <w:rPr>
                <w:rFonts w:ascii="Times New Roman" w:hAnsi="Times New Roman" w:eastAsia="宋体" w:cs="宋体"/>
                <w:b/>
                <w:bCs/>
                <w:color w:val="auto"/>
                <w:szCs w:val="21"/>
              </w:rPr>
            </w:pPr>
            <w:r>
              <w:rPr>
                <w:rFonts w:hint="eastAsia" w:ascii="Times New Roman" w:hAnsi="Times New Roman" w:eastAsia="宋体" w:cs="宋体"/>
                <w:b/>
                <w:bCs/>
                <w:color w:val="auto"/>
                <w:szCs w:val="21"/>
              </w:rPr>
              <w:t>价格</w:t>
            </w:r>
          </w:p>
        </w:tc>
        <w:tc>
          <w:tcPr>
            <w:tcW w:w="5402" w:type="dxa"/>
            <w:tcBorders>
              <w:top w:val="single" w:color="000000" w:sz="8" w:space="0"/>
              <w:left w:val="single" w:color="000000" w:sz="8" w:space="0"/>
              <w:bottom w:val="single" w:color="000000" w:sz="8" w:space="0"/>
              <w:right w:val="single" w:color="000000" w:sz="8" w:space="0"/>
            </w:tcBorders>
            <w:shd w:val="clear" w:color="auto" w:fill="FFFFFF" w:themeFill="background1"/>
          </w:tcPr>
          <w:p w14:paraId="5067F3C8">
            <w:pPr>
              <w:snapToGrid w:val="0"/>
              <w:jc w:val="center"/>
              <w:rPr>
                <w:rFonts w:hint="default" w:ascii="Times New Roman" w:hAnsi="Times New Roman" w:eastAsia="宋体" w:cs="宋体"/>
                <w:b/>
                <w:bCs/>
                <w:color w:val="auto"/>
                <w:szCs w:val="21"/>
                <w:lang w:val="en-US" w:eastAsia="zh-CN"/>
              </w:rPr>
            </w:pPr>
            <w:r>
              <w:rPr>
                <w:rFonts w:hint="eastAsia" w:ascii="Times New Roman" w:hAnsi="Times New Roman" w:eastAsia="宋体" w:cs="宋体"/>
                <w:b/>
                <w:bCs/>
                <w:color w:val="auto"/>
                <w:szCs w:val="21"/>
                <w:lang w:val="en-US" w:eastAsia="zh-CN"/>
              </w:rPr>
              <w:t>30</w:t>
            </w:r>
          </w:p>
        </w:tc>
      </w:tr>
      <w:tr w14:paraId="542A258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jc w:val="center"/>
        </w:trPr>
        <w:tc>
          <w:tcPr>
            <w:tcW w:w="427" w:type="dxa"/>
            <w:vMerge w:val="restart"/>
            <w:tcBorders>
              <w:top w:val="single" w:color="000000" w:sz="8" w:space="0"/>
              <w:left w:val="single" w:color="000000" w:sz="8" w:space="0"/>
              <w:right w:val="single" w:color="000000" w:sz="8" w:space="0"/>
            </w:tcBorders>
            <w:shd w:val="clear" w:color="auto" w:fill="FFFFFF" w:themeFill="background1"/>
          </w:tcPr>
          <w:p w14:paraId="24B4DBD0">
            <w:pPr>
              <w:snapToGrid w:val="0"/>
              <w:jc w:val="center"/>
              <w:rPr>
                <w:rFonts w:ascii="Times New Roman" w:hAnsi="Times New Roman" w:eastAsia="宋体" w:cs="宋体"/>
                <w:b/>
                <w:bCs/>
                <w:color w:val="auto"/>
                <w:szCs w:val="21"/>
              </w:rPr>
            </w:pPr>
            <w:r>
              <w:rPr>
                <w:rFonts w:hint="eastAsia" w:ascii="Times New Roman" w:hAnsi="Times New Roman" w:eastAsia="宋体" w:cs="宋体"/>
                <w:b/>
                <w:bCs/>
                <w:color w:val="auto"/>
                <w:szCs w:val="21"/>
              </w:rPr>
              <w:t>2</w:t>
            </w:r>
          </w:p>
        </w:tc>
        <w:tc>
          <w:tcPr>
            <w:tcW w:w="3243" w:type="dxa"/>
            <w:gridSpan w:val="3"/>
            <w:tcBorders>
              <w:top w:val="single" w:color="000000" w:sz="8" w:space="0"/>
              <w:left w:val="single" w:color="000000" w:sz="8" w:space="0"/>
              <w:bottom w:val="single" w:color="000000" w:sz="8" w:space="0"/>
              <w:right w:val="single" w:color="000000" w:sz="8" w:space="0"/>
            </w:tcBorders>
            <w:shd w:val="clear" w:color="auto" w:fill="FFFFFF" w:themeFill="background1"/>
          </w:tcPr>
          <w:p w14:paraId="5DD784A5">
            <w:pPr>
              <w:snapToGrid w:val="0"/>
              <w:jc w:val="center"/>
              <w:rPr>
                <w:rFonts w:ascii="Times New Roman" w:hAnsi="Times New Roman" w:eastAsia="宋体" w:cs="宋体"/>
                <w:b/>
                <w:bCs/>
                <w:color w:val="auto"/>
                <w:szCs w:val="21"/>
              </w:rPr>
            </w:pPr>
            <w:r>
              <w:rPr>
                <w:rFonts w:hint="eastAsia" w:ascii="Times New Roman" w:hAnsi="Times New Roman" w:eastAsia="宋体" w:cs="宋体"/>
                <w:b/>
                <w:bCs/>
                <w:color w:val="auto"/>
                <w:szCs w:val="21"/>
              </w:rPr>
              <w:t>技术部分</w:t>
            </w:r>
          </w:p>
        </w:tc>
        <w:tc>
          <w:tcPr>
            <w:tcW w:w="5402" w:type="dxa"/>
            <w:tcBorders>
              <w:top w:val="single" w:color="000000" w:sz="8" w:space="0"/>
              <w:left w:val="single" w:color="000000" w:sz="8" w:space="0"/>
              <w:bottom w:val="single" w:color="000000" w:sz="8" w:space="0"/>
              <w:right w:val="single" w:color="000000" w:sz="8" w:space="0"/>
            </w:tcBorders>
            <w:shd w:val="clear" w:color="auto" w:fill="FFFFFF" w:themeFill="background1"/>
          </w:tcPr>
          <w:p w14:paraId="63BE3388">
            <w:pPr>
              <w:snapToGrid w:val="0"/>
              <w:jc w:val="center"/>
              <w:rPr>
                <w:rFonts w:hint="default" w:ascii="Times New Roman" w:hAnsi="Times New Roman" w:eastAsia="宋体" w:cs="宋体"/>
                <w:b/>
                <w:bCs/>
                <w:color w:val="auto"/>
                <w:szCs w:val="21"/>
                <w:lang w:val="en-US" w:eastAsia="zh-CN"/>
              </w:rPr>
            </w:pPr>
            <w:r>
              <w:rPr>
                <w:rFonts w:hint="eastAsia" w:ascii="Times New Roman" w:hAnsi="Times New Roman" w:eastAsia="宋体" w:cs="宋体"/>
                <w:b/>
                <w:bCs/>
                <w:color w:val="auto"/>
                <w:szCs w:val="21"/>
                <w:lang w:val="en-US" w:eastAsia="zh-CN"/>
              </w:rPr>
              <w:t>55</w:t>
            </w:r>
          </w:p>
        </w:tc>
      </w:tr>
      <w:tr w14:paraId="7D433B9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jc w:val="center"/>
        </w:trPr>
        <w:tc>
          <w:tcPr>
            <w:tcW w:w="427" w:type="dxa"/>
            <w:vMerge w:val="continue"/>
            <w:tcBorders>
              <w:left w:val="single" w:color="000000" w:sz="8" w:space="0"/>
              <w:right w:val="single" w:color="000000" w:sz="8" w:space="0"/>
            </w:tcBorders>
            <w:shd w:val="clear" w:color="auto" w:fill="FFFFFF" w:themeFill="background1"/>
            <w:vAlign w:val="center"/>
          </w:tcPr>
          <w:p w14:paraId="4BBAF135">
            <w:pPr>
              <w:snapToGrid w:val="0"/>
              <w:rPr>
                <w:rFonts w:ascii="Times New Roman" w:hAnsi="Times New Roman" w:eastAsia="宋体" w:cs="宋体"/>
                <w:b/>
                <w:bCs/>
                <w:color w:val="auto"/>
                <w:szCs w:val="21"/>
              </w:rPr>
            </w:pPr>
          </w:p>
        </w:tc>
        <w:tc>
          <w:tcPr>
            <w:tcW w:w="426" w:type="dxa"/>
            <w:tcBorders>
              <w:top w:val="outset" w:color="000000" w:sz="6" w:space="0"/>
              <w:left w:val="outset" w:color="000000" w:sz="6" w:space="0"/>
              <w:bottom w:val="outset" w:color="000000" w:sz="6" w:space="0"/>
              <w:right w:val="outset" w:color="000000" w:sz="6" w:space="0"/>
            </w:tcBorders>
            <w:shd w:val="clear" w:color="auto" w:fill="FFFFFF" w:themeFill="background1"/>
            <w:vAlign w:val="center"/>
          </w:tcPr>
          <w:p w14:paraId="41A436E8">
            <w:pPr>
              <w:snapToGrid w:val="0"/>
              <w:jc w:val="center"/>
              <w:rPr>
                <w:rFonts w:ascii="Times New Roman" w:hAnsi="Times New Roman" w:eastAsia="宋体" w:cs="宋体"/>
                <w:color w:val="auto"/>
                <w:szCs w:val="21"/>
              </w:rPr>
            </w:pPr>
            <w:r>
              <w:rPr>
                <w:rFonts w:hint="eastAsia" w:ascii="Times New Roman" w:hAnsi="Times New Roman" w:eastAsia="宋体" w:cs="宋体"/>
                <w:color w:val="auto"/>
                <w:szCs w:val="21"/>
              </w:rPr>
              <w:t>序号</w:t>
            </w:r>
          </w:p>
        </w:tc>
        <w:tc>
          <w:tcPr>
            <w:tcW w:w="2068" w:type="dxa"/>
            <w:tcBorders>
              <w:top w:val="outset" w:color="000000" w:sz="6" w:space="0"/>
              <w:left w:val="outset" w:color="000000" w:sz="6" w:space="0"/>
              <w:bottom w:val="outset" w:color="000000" w:sz="6" w:space="0"/>
              <w:right w:val="outset" w:color="000000" w:sz="6" w:space="0"/>
            </w:tcBorders>
            <w:shd w:val="clear" w:color="auto" w:fill="FFFFFF" w:themeFill="background1"/>
            <w:vAlign w:val="center"/>
          </w:tcPr>
          <w:p w14:paraId="6BD79B91">
            <w:pPr>
              <w:snapToGrid w:val="0"/>
              <w:jc w:val="center"/>
              <w:rPr>
                <w:rFonts w:ascii="Times New Roman" w:hAnsi="Times New Roman" w:eastAsia="宋体" w:cs="宋体"/>
                <w:color w:val="auto"/>
                <w:szCs w:val="21"/>
              </w:rPr>
            </w:pPr>
            <w:r>
              <w:rPr>
                <w:rFonts w:hint="eastAsia" w:ascii="Times New Roman" w:hAnsi="Times New Roman" w:eastAsia="宋体" w:cs="宋体"/>
                <w:color w:val="auto"/>
                <w:szCs w:val="21"/>
              </w:rPr>
              <w:t>评分因素</w:t>
            </w:r>
          </w:p>
        </w:tc>
        <w:tc>
          <w:tcPr>
            <w:tcW w:w="749" w:type="dxa"/>
            <w:tcBorders>
              <w:top w:val="outset" w:color="000000" w:sz="6" w:space="0"/>
              <w:left w:val="outset" w:color="000000" w:sz="6" w:space="0"/>
              <w:bottom w:val="outset" w:color="000000" w:sz="6" w:space="0"/>
              <w:right w:val="outset" w:color="000000" w:sz="6" w:space="0"/>
            </w:tcBorders>
            <w:shd w:val="clear" w:color="auto" w:fill="FFFFFF" w:themeFill="background1"/>
            <w:vAlign w:val="center"/>
          </w:tcPr>
          <w:p w14:paraId="7828B0CD">
            <w:pPr>
              <w:snapToGrid w:val="0"/>
              <w:jc w:val="center"/>
              <w:rPr>
                <w:rFonts w:ascii="Times New Roman" w:hAnsi="Times New Roman" w:eastAsia="宋体" w:cs="宋体"/>
                <w:color w:val="auto"/>
                <w:szCs w:val="21"/>
              </w:rPr>
            </w:pPr>
            <w:r>
              <w:rPr>
                <w:rFonts w:hint="eastAsia" w:ascii="Times New Roman" w:hAnsi="Times New Roman" w:eastAsia="宋体" w:cs="宋体"/>
                <w:color w:val="auto"/>
                <w:szCs w:val="21"/>
              </w:rPr>
              <w:t>权重</w:t>
            </w:r>
            <w:r>
              <w:rPr>
                <w:rFonts w:hint="eastAsia" w:ascii="Times New Roman" w:hAnsi="Times New Roman" w:eastAsia="宋体" w:cs="宋体"/>
                <w:bCs/>
                <w:color w:val="auto"/>
                <w:szCs w:val="21"/>
              </w:rPr>
              <w:t>（%）</w:t>
            </w:r>
          </w:p>
        </w:tc>
        <w:tc>
          <w:tcPr>
            <w:tcW w:w="5402" w:type="dxa"/>
            <w:tcBorders>
              <w:top w:val="outset" w:color="000000" w:sz="6" w:space="0"/>
              <w:left w:val="outset" w:color="000000" w:sz="6" w:space="0"/>
              <w:bottom w:val="outset" w:color="000000" w:sz="6" w:space="0"/>
              <w:right w:val="outset" w:color="000000" w:sz="6" w:space="0"/>
            </w:tcBorders>
            <w:shd w:val="clear" w:color="auto" w:fill="FFFFFF" w:themeFill="background1"/>
            <w:vAlign w:val="center"/>
          </w:tcPr>
          <w:p w14:paraId="265CD57D">
            <w:pPr>
              <w:snapToGrid w:val="0"/>
              <w:jc w:val="center"/>
              <w:rPr>
                <w:rFonts w:ascii="Times New Roman" w:hAnsi="Times New Roman" w:eastAsia="宋体" w:cs="宋体"/>
                <w:color w:val="auto"/>
                <w:szCs w:val="21"/>
              </w:rPr>
            </w:pPr>
            <w:r>
              <w:rPr>
                <w:rFonts w:hint="eastAsia" w:ascii="Times New Roman" w:hAnsi="Times New Roman" w:eastAsia="宋体" w:cs="宋体"/>
                <w:color w:val="auto"/>
                <w:szCs w:val="21"/>
              </w:rPr>
              <w:t>评分准则</w:t>
            </w:r>
          </w:p>
        </w:tc>
      </w:tr>
      <w:tr w14:paraId="4DE317A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jc w:val="center"/>
        </w:trPr>
        <w:tc>
          <w:tcPr>
            <w:tcW w:w="427" w:type="dxa"/>
            <w:vMerge w:val="continue"/>
            <w:tcBorders>
              <w:left w:val="single" w:color="000000" w:sz="8" w:space="0"/>
              <w:right w:val="single" w:color="000000" w:sz="8" w:space="0"/>
            </w:tcBorders>
            <w:shd w:val="clear" w:color="auto" w:fill="FFFFFF" w:themeFill="background1"/>
            <w:vAlign w:val="center"/>
          </w:tcPr>
          <w:p w14:paraId="37FE94FF">
            <w:pPr>
              <w:snapToGrid w:val="0"/>
              <w:rPr>
                <w:rFonts w:ascii="Times New Roman" w:hAnsi="Times New Roman" w:eastAsia="宋体" w:cs="宋体"/>
                <w:b/>
                <w:bCs/>
                <w:color w:val="auto"/>
                <w:szCs w:val="21"/>
              </w:rPr>
            </w:pPr>
          </w:p>
        </w:tc>
        <w:tc>
          <w:tcPr>
            <w:tcW w:w="426"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2A7FB426">
            <w:pPr>
              <w:spacing w:line="240" w:lineRule="exact"/>
              <w:jc w:val="center"/>
              <w:rPr>
                <w:rFonts w:ascii="宋体" w:hAnsi="宋体" w:eastAsiaTheme="minorEastAsia" w:cstheme="minorBidi"/>
                <w:color w:val="auto"/>
                <w:kern w:val="2"/>
                <w:sz w:val="21"/>
                <w:szCs w:val="21"/>
                <w:lang w:val="en-US" w:eastAsia="zh-CN" w:bidi="ar-SA"/>
              </w:rPr>
            </w:pPr>
            <w:r>
              <w:rPr>
                <w:rFonts w:ascii="宋体" w:hAnsi="宋体"/>
                <w:color w:val="auto"/>
                <w:szCs w:val="21"/>
              </w:rPr>
              <w:t>1</w:t>
            </w:r>
          </w:p>
        </w:tc>
        <w:tc>
          <w:tcPr>
            <w:tcW w:w="2068"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52C1E251">
            <w:pPr>
              <w:spacing w:line="240" w:lineRule="exact"/>
              <w:jc w:val="center"/>
              <w:rPr>
                <w:rFonts w:ascii="宋体" w:hAnsi="宋体" w:eastAsiaTheme="minorEastAsia" w:cstheme="minorBidi"/>
                <w:color w:val="auto"/>
                <w:kern w:val="2"/>
                <w:sz w:val="21"/>
                <w:szCs w:val="21"/>
                <w:lang w:val="en-US" w:eastAsia="zh-CN" w:bidi="ar-SA"/>
              </w:rPr>
            </w:pPr>
            <w:r>
              <w:rPr>
                <w:rFonts w:hint="eastAsia" w:ascii="宋体" w:hAnsi="宋体"/>
                <w:color w:val="auto"/>
                <w:szCs w:val="21"/>
              </w:rPr>
              <w:t>技术保障措施</w:t>
            </w:r>
          </w:p>
        </w:tc>
        <w:tc>
          <w:tcPr>
            <w:tcW w:w="749"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367212E4">
            <w:pPr>
              <w:spacing w:line="240" w:lineRule="exact"/>
              <w:jc w:val="center"/>
              <w:rPr>
                <w:rFonts w:hint="eastAsia" w:ascii="宋体" w:hAnsi="宋体" w:eastAsia="宋体" w:cstheme="minorBidi"/>
                <w:color w:val="auto"/>
                <w:kern w:val="2"/>
                <w:sz w:val="21"/>
                <w:szCs w:val="21"/>
                <w:lang w:val="en-US" w:eastAsia="zh-CN" w:bidi="ar-SA"/>
              </w:rPr>
            </w:pPr>
            <w:r>
              <w:rPr>
                <w:rFonts w:hint="eastAsia" w:ascii="宋体" w:hAnsi="宋体"/>
                <w:color w:val="auto"/>
                <w:szCs w:val="21"/>
                <w:lang w:val="en-US" w:eastAsia="zh-CN"/>
              </w:rPr>
              <w:t>5</w:t>
            </w:r>
          </w:p>
        </w:tc>
        <w:tc>
          <w:tcPr>
            <w:tcW w:w="5402"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0079916B">
            <w:pPr>
              <w:keepNext w:val="0"/>
              <w:keepLines w:val="0"/>
              <w:pageBreakBefore w:val="0"/>
              <w:numPr>
                <w:ilvl w:val="0"/>
                <w:numId w:val="0"/>
              </w:numPr>
              <w:suppressLineNumbers w:val="0"/>
              <w:kinsoku/>
              <w:wordWrap w:val="0"/>
              <w:overflowPunct/>
              <w:topLinePunct w:val="0"/>
              <w:bidi w:val="0"/>
              <w:adjustRightInd/>
              <w:spacing w:before="0" w:beforeAutospacing="0" w:after="0" w:afterAutospacing="0" w:line="240" w:lineRule="auto"/>
              <w:ind w:left="0" w:leftChars="0" w:right="0" w:firstLine="0" w:firstLineChars="0"/>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lang w:eastAsia="zh-CN"/>
              </w:rPr>
              <w:t>（</w:t>
            </w:r>
            <w:r>
              <w:rPr>
                <w:rFonts w:hint="eastAsia" w:ascii="宋体" w:hAnsi="宋体" w:eastAsia="宋体" w:cs="宋体"/>
                <w:b/>
                <w:bCs/>
                <w:color w:val="auto"/>
                <w:sz w:val="21"/>
                <w:szCs w:val="21"/>
                <w:lang w:val="en-US" w:eastAsia="zh-CN"/>
              </w:rPr>
              <w:t>一</w:t>
            </w:r>
            <w:r>
              <w:rPr>
                <w:rFonts w:hint="eastAsia" w:ascii="宋体" w:hAnsi="宋体" w:eastAsia="宋体" w:cs="宋体"/>
                <w:b/>
                <w:bCs/>
                <w:color w:val="auto"/>
                <w:sz w:val="21"/>
                <w:szCs w:val="21"/>
                <w:lang w:eastAsia="zh-CN"/>
              </w:rPr>
              <w:t>）考察内容：</w:t>
            </w:r>
          </w:p>
          <w:p w14:paraId="757E39E3">
            <w:pPr>
              <w:keepNext w:val="0"/>
              <w:keepLines w:val="0"/>
              <w:pageBreakBefore w:val="0"/>
              <w:numPr>
                <w:ilvl w:val="0"/>
                <w:numId w:val="0"/>
              </w:numPr>
              <w:suppressLineNumbers w:val="0"/>
              <w:kinsoku/>
              <w:wordWrap w:val="0"/>
              <w:overflowPunct/>
              <w:topLinePunct w:val="0"/>
              <w:bidi w:val="0"/>
              <w:adjustRightInd/>
              <w:spacing w:before="0" w:beforeAutospacing="0" w:after="0" w:afterAutospacing="0" w:line="240" w:lineRule="auto"/>
              <w:ind w:left="0" w:leftChars="0" w:right="0"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根据投标人提供的技术保障措施进行评审，投标人需针对本项目提供</w:t>
            </w:r>
            <w:r>
              <w:rPr>
                <w:rFonts w:hint="eastAsia" w:ascii="宋体" w:hAnsi="宋体" w:eastAsia="宋体" w:cs="宋体"/>
                <w:color w:val="auto"/>
                <w:sz w:val="21"/>
                <w:szCs w:val="21"/>
                <w:lang w:val="en-US" w:eastAsia="zh-CN"/>
              </w:rPr>
              <w:t>技术保障</w:t>
            </w:r>
            <w:r>
              <w:rPr>
                <w:rFonts w:hint="eastAsia" w:ascii="宋体" w:hAnsi="宋体" w:eastAsia="宋体" w:cs="宋体"/>
                <w:color w:val="auto"/>
                <w:sz w:val="21"/>
                <w:szCs w:val="21"/>
              </w:rPr>
              <w:t>方案，方案内容需包括：</w:t>
            </w:r>
          </w:p>
          <w:p w14:paraId="74D8D53F">
            <w:pPr>
              <w:keepNext w:val="0"/>
              <w:keepLines w:val="0"/>
              <w:pageBreakBefore w:val="0"/>
              <w:numPr>
                <w:ilvl w:val="0"/>
                <w:numId w:val="0"/>
              </w:numPr>
              <w:suppressLineNumbers w:val="0"/>
              <w:kinsoku/>
              <w:wordWrap w:val="0"/>
              <w:overflowPunct/>
              <w:topLinePunct w:val="0"/>
              <w:bidi w:val="0"/>
              <w:adjustRightInd/>
              <w:spacing w:before="0" w:beforeAutospacing="0" w:after="0" w:afterAutospacing="0" w:line="240" w:lineRule="auto"/>
              <w:ind w:left="0" w:leftChars="0" w:right="0"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供货组织方案</w:t>
            </w:r>
            <w:r>
              <w:rPr>
                <w:rFonts w:hint="eastAsia" w:ascii="宋体" w:hAnsi="宋体" w:eastAsia="宋体" w:cs="宋体"/>
                <w:color w:val="auto"/>
                <w:sz w:val="21"/>
                <w:szCs w:val="21"/>
                <w:lang w:eastAsia="zh-CN"/>
              </w:rPr>
              <w:t>；</w:t>
            </w:r>
          </w:p>
          <w:p w14:paraId="30A12D79">
            <w:pPr>
              <w:keepNext w:val="0"/>
              <w:keepLines w:val="0"/>
              <w:pageBreakBefore w:val="0"/>
              <w:numPr>
                <w:ilvl w:val="0"/>
                <w:numId w:val="0"/>
              </w:numPr>
              <w:suppressLineNumbers w:val="0"/>
              <w:kinsoku/>
              <w:wordWrap w:val="0"/>
              <w:overflowPunct/>
              <w:topLinePunct w:val="0"/>
              <w:bidi w:val="0"/>
              <w:adjustRightInd/>
              <w:spacing w:before="0" w:beforeAutospacing="0" w:after="0" w:afterAutospacing="0" w:line="240" w:lineRule="auto"/>
              <w:ind w:left="0" w:leftChars="0" w:right="0" w:firstLine="0" w:firstLineChars="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质量保障措施</w:t>
            </w:r>
            <w:r>
              <w:rPr>
                <w:rFonts w:hint="eastAsia" w:ascii="宋体" w:hAnsi="宋体" w:eastAsia="宋体" w:cs="宋体"/>
                <w:color w:val="auto"/>
                <w:sz w:val="21"/>
                <w:szCs w:val="21"/>
                <w:lang w:eastAsia="zh-CN"/>
              </w:rPr>
              <w:t>；</w:t>
            </w:r>
          </w:p>
          <w:p w14:paraId="6719EBD9">
            <w:pPr>
              <w:keepNext w:val="0"/>
              <w:keepLines w:val="0"/>
              <w:pageBreakBefore w:val="0"/>
              <w:numPr>
                <w:ilvl w:val="0"/>
                <w:numId w:val="0"/>
              </w:numPr>
              <w:suppressLineNumbers w:val="0"/>
              <w:kinsoku/>
              <w:wordWrap w:val="0"/>
              <w:overflowPunct/>
              <w:topLinePunct w:val="0"/>
              <w:bidi w:val="0"/>
              <w:adjustRightInd/>
              <w:spacing w:before="0" w:beforeAutospacing="0" w:after="0" w:afterAutospacing="0" w:line="240" w:lineRule="auto"/>
              <w:ind w:left="0" w:leftChars="0" w:right="0"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进度保障措施</w:t>
            </w:r>
            <w:r>
              <w:rPr>
                <w:rFonts w:hint="eastAsia" w:ascii="宋体" w:hAnsi="宋体" w:eastAsia="宋体" w:cs="宋体"/>
                <w:color w:val="auto"/>
                <w:sz w:val="21"/>
                <w:szCs w:val="21"/>
                <w:lang w:eastAsia="zh-CN"/>
              </w:rPr>
              <w:t>；</w:t>
            </w:r>
          </w:p>
          <w:p w14:paraId="6BF39F44">
            <w:pPr>
              <w:keepNext w:val="0"/>
              <w:keepLines w:val="0"/>
              <w:pageBreakBefore w:val="0"/>
              <w:numPr>
                <w:ilvl w:val="0"/>
                <w:numId w:val="0"/>
              </w:numPr>
              <w:suppressLineNumbers w:val="0"/>
              <w:kinsoku/>
              <w:wordWrap w:val="0"/>
              <w:overflowPunct/>
              <w:topLinePunct w:val="0"/>
              <w:bidi w:val="0"/>
              <w:adjustRightInd/>
              <w:spacing w:before="0" w:beforeAutospacing="0" w:after="0" w:afterAutospacing="0" w:line="240" w:lineRule="auto"/>
              <w:ind w:left="0" w:leftChars="0" w:right="0"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安全生产保障措施</w:t>
            </w:r>
            <w:r>
              <w:rPr>
                <w:rFonts w:hint="eastAsia" w:ascii="宋体" w:hAnsi="宋体" w:eastAsia="宋体" w:cs="宋体"/>
                <w:color w:val="auto"/>
                <w:sz w:val="21"/>
                <w:szCs w:val="21"/>
                <w:lang w:eastAsia="zh-CN"/>
              </w:rPr>
              <w:t>；</w:t>
            </w:r>
          </w:p>
          <w:p w14:paraId="23EA8631">
            <w:pPr>
              <w:keepNext w:val="0"/>
              <w:keepLines w:val="0"/>
              <w:pageBreakBefore w:val="0"/>
              <w:numPr>
                <w:ilvl w:val="0"/>
                <w:numId w:val="0"/>
              </w:numPr>
              <w:suppressLineNumbers w:val="0"/>
              <w:kinsoku/>
              <w:wordWrap w:val="0"/>
              <w:overflowPunct/>
              <w:topLinePunct w:val="0"/>
              <w:bidi w:val="0"/>
              <w:adjustRightInd/>
              <w:spacing w:before="0" w:beforeAutospacing="0" w:after="0" w:afterAutospacing="0" w:line="240" w:lineRule="auto"/>
              <w:ind w:left="0" w:leftChars="0" w:right="0" w:firstLine="0" w:firstLineChars="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安装调试方案</w:t>
            </w:r>
            <w:r>
              <w:rPr>
                <w:rFonts w:hint="eastAsia" w:ascii="宋体" w:hAnsi="宋体" w:eastAsia="宋体" w:cs="宋体"/>
                <w:color w:val="auto"/>
                <w:sz w:val="21"/>
                <w:szCs w:val="21"/>
                <w:lang w:eastAsia="zh-CN"/>
              </w:rPr>
              <w:t>。</w:t>
            </w:r>
          </w:p>
          <w:p w14:paraId="725E20F6">
            <w:pPr>
              <w:keepNext w:val="0"/>
              <w:keepLines w:val="0"/>
              <w:pageBreakBefore w:val="0"/>
              <w:numPr>
                <w:ilvl w:val="0"/>
                <w:numId w:val="0"/>
              </w:numPr>
              <w:suppressLineNumbers w:val="0"/>
              <w:kinsoku/>
              <w:wordWrap w:val="0"/>
              <w:overflowPunct/>
              <w:topLinePunct w:val="0"/>
              <w:bidi w:val="0"/>
              <w:adjustRightInd/>
              <w:spacing w:before="0" w:beforeAutospacing="0" w:after="0" w:afterAutospacing="0" w:line="240" w:lineRule="auto"/>
              <w:ind w:left="0" w:leftChars="0" w:right="0" w:firstLine="0" w:firstLineChars="0"/>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lang w:eastAsia="zh-CN"/>
              </w:rPr>
              <w:t>（</w:t>
            </w:r>
            <w:r>
              <w:rPr>
                <w:rFonts w:hint="eastAsia" w:ascii="宋体" w:hAnsi="宋体" w:eastAsia="宋体" w:cs="宋体"/>
                <w:b/>
                <w:bCs/>
                <w:color w:val="auto"/>
                <w:sz w:val="21"/>
                <w:szCs w:val="21"/>
                <w:lang w:val="en-US" w:eastAsia="zh-CN"/>
              </w:rPr>
              <w:t>二</w:t>
            </w:r>
            <w:r>
              <w:rPr>
                <w:rFonts w:hint="eastAsia" w:ascii="宋体" w:hAnsi="宋体" w:eastAsia="宋体" w:cs="宋体"/>
                <w:b/>
                <w:bCs/>
                <w:color w:val="auto"/>
                <w:sz w:val="21"/>
                <w:szCs w:val="21"/>
                <w:lang w:eastAsia="zh-CN"/>
              </w:rPr>
              <w:t>）评审标准：</w:t>
            </w:r>
          </w:p>
          <w:p w14:paraId="7FEC6D4E">
            <w:pPr>
              <w:wordWrap w:val="0"/>
              <w:jc w:val="left"/>
              <w:rPr>
                <w:rFonts w:hint="eastAsia" w:ascii="宋体" w:hAnsi="宋体" w:eastAsia="宋体" w:cs="宋体"/>
                <w:color w:val="auto"/>
                <w:sz w:val="22"/>
                <w:szCs w:val="22"/>
              </w:rPr>
            </w:pPr>
            <w:r>
              <w:rPr>
                <w:rFonts w:hint="eastAsia" w:ascii="宋体" w:hAnsi="宋体" w:eastAsia="宋体" w:cs="宋体"/>
                <w:color w:val="auto"/>
                <w:sz w:val="22"/>
                <w:szCs w:val="22"/>
              </w:rPr>
              <w:t>1.</w:t>
            </w:r>
            <w:r>
              <w:rPr>
                <w:rFonts w:hint="eastAsia" w:ascii="宋体" w:hAnsi="宋体"/>
                <w:color w:val="auto"/>
                <w:szCs w:val="21"/>
              </w:rPr>
              <w:t>技术保障措施</w:t>
            </w:r>
            <w:r>
              <w:rPr>
                <w:rFonts w:hint="eastAsia" w:ascii="宋体" w:hAnsi="宋体" w:eastAsia="宋体" w:cs="宋体"/>
                <w:color w:val="auto"/>
                <w:sz w:val="22"/>
                <w:szCs w:val="22"/>
              </w:rPr>
              <w:t>每包含以上1点内容且符合项目需求的，得</w:t>
            </w:r>
            <w:r>
              <w:rPr>
                <w:rFonts w:hint="eastAsia" w:ascii="宋体" w:hAnsi="宋体" w:eastAsia="宋体" w:cs="宋体"/>
                <w:color w:val="auto"/>
                <w:sz w:val="22"/>
                <w:szCs w:val="22"/>
                <w:lang w:val="en-US" w:eastAsia="zh-CN"/>
              </w:rPr>
              <w:t>5</w:t>
            </w:r>
            <w:r>
              <w:rPr>
                <w:rFonts w:hint="eastAsia" w:ascii="宋体" w:hAnsi="宋体" w:eastAsia="宋体" w:cs="宋体"/>
                <w:color w:val="auto"/>
                <w:sz w:val="22"/>
                <w:szCs w:val="22"/>
              </w:rPr>
              <w:t>分，本项最高得</w:t>
            </w:r>
            <w:r>
              <w:rPr>
                <w:rFonts w:hint="eastAsia" w:ascii="宋体" w:hAnsi="宋体" w:eastAsia="宋体" w:cs="宋体"/>
                <w:color w:val="auto"/>
                <w:sz w:val="22"/>
                <w:szCs w:val="22"/>
                <w:lang w:val="en-US" w:eastAsia="zh-CN"/>
              </w:rPr>
              <w:t>25</w:t>
            </w:r>
            <w:r>
              <w:rPr>
                <w:rFonts w:hint="eastAsia" w:ascii="宋体" w:hAnsi="宋体" w:eastAsia="宋体" w:cs="宋体"/>
                <w:color w:val="auto"/>
                <w:sz w:val="22"/>
                <w:szCs w:val="22"/>
              </w:rPr>
              <w:t>分。</w:t>
            </w:r>
          </w:p>
          <w:p w14:paraId="3A3687D4">
            <w:pPr>
              <w:keepNext w:val="0"/>
              <w:keepLines w:val="0"/>
              <w:pageBreakBefore w:val="0"/>
              <w:numPr>
                <w:ilvl w:val="0"/>
                <w:numId w:val="0"/>
              </w:numPr>
              <w:suppressLineNumbers w:val="0"/>
              <w:kinsoku/>
              <w:wordWrap w:val="0"/>
              <w:overflowPunct/>
              <w:topLinePunct w:val="0"/>
              <w:bidi w:val="0"/>
              <w:adjustRightInd/>
              <w:spacing w:before="0" w:beforeAutospacing="0" w:after="0" w:afterAutospacing="0" w:line="240" w:lineRule="auto"/>
              <w:ind w:left="0" w:leftChars="0" w:right="0"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w:t>
            </w:r>
            <w:r>
              <w:rPr>
                <w:rFonts w:hint="eastAsia" w:ascii="宋体" w:hAnsi="宋体" w:eastAsia="宋体" w:cs="宋体"/>
                <w:color w:val="auto"/>
                <w:sz w:val="22"/>
                <w:szCs w:val="22"/>
              </w:rPr>
              <w:t>在第1项的基础上，</w:t>
            </w:r>
            <w:r>
              <w:rPr>
                <w:rFonts w:hint="eastAsia" w:ascii="宋体" w:hAnsi="宋体" w:eastAsia="宋体" w:cs="宋体"/>
                <w:color w:val="auto"/>
                <w:sz w:val="21"/>
                <w:szCs w:val="21"/>
              </w:rPr>
              <w:t>评审委员会根据招标文件的需求和投标文件的响应情况，进行评价及分档评分：技术保障措施内容</w:t>
            </w:r>
            <w:r>
              <w:rPr>
                <w:rFonts w:hint="eastAsia" w:ascii="宋体" w:hAnsi="宋体" w:eastAsia="宋体" w:cs="宋体"/>
                <w:color w:val="auto"/>
                <w:sz w:val="21"/>
                <w:szCs w:val="21"/>
                <w:lang w:val="en-US" w:eastAsia="zh-CN"/>
              </w:rPr>
              <w:t>需</w:t>
            </w:r>
            <w:r>
              <w:rPr>
                <w:rFonts w:hint="eastAsia" w:ascii="宋体" w:hAnsi="宋体" w:eastAsia="宋体" w:cs="宋体"/>
                <w:color w:val="auto"/>
                <w:sz w:val="21"/>
                <w:szCs w:val="21"/>
              </w:rPr>
              <w:t>全面</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具体</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科学合理</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针对性强</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可操作性强。</w:t>
            </w:r>
          </w:p>
          <w:p w14:paraId="6CAD14C8">
            <w:pPr>
              <w:keepNext w:val="0"/>
              <w:keepLines w:val="0"/>
              <w:pageBreakBefore w:val="0"/>
              <w:numPr>
                <w:ilvl w:val="0"/>
                <w:numId w:val="0"/>
              </w:numPr>
              <w:suppressLineNumbers w:val="0"/>
              <w:kinsoku/>
              <w:wordWrap w:val="0"/>
              <w:overflowPunct/>
              <w:topLinePunct w:val="0"/>
              <w:bidi w:val="0"/>
              <w:adjustRightInd/>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u w:val="none"/>
                <w:lang w:val="en-US" w:eastAsia="zh-CN" w:bidi="ar"/>
              </w:rPr>
            </w:pPr>
            <w:r>
              <w:rPr>
                <w:rFonts w:hint="eastAsia" w:ascii="宋体" w:hAnsi="宋体" w:eastAsia="宋体" w:cs="宋体"/>
                <w:color w:val="auto"/>
                <w:sz w:val="21"/>
                <w:szCs w:val="21"/>
                <w:highlight w:val="none"/>
                <w:u w:val="none"/>
                <w:lang w:val="en-US" w:eastAsia="zh-CN" w:bidi="ar"/>
              </w:rPr>
              <w:t>(1）</w:t>
            </w:r>
            <w:r>
              <w:rPr>
                <w:rFonts w:hint="eastAsia" w:ascii="宋体" w:hAnsi="宋体" w:eastAsia="宋体" w:cs="宋体"/>
                <w:color w:val="auto"/>
                <w:sz w:val="21"/>
                <w:szCs w:val="21"/>
                <w:lang w:val="en-US" w:eastAsia="zh-CN"/>
              </w:rPr>
              <w:t>方案较全面具体，整体科学合理，针对性强，可操作性强，条理非常清晰的</w:t>
            </w:r>
            <w:r>
              <w:rPr>
                <w:rFonts w:hint="eastAsia" w:ascii="宋体" w:hAnsi="宋体" w:eastAsia="宋体" w:cs="宋体"/>
                <w:color w:val="auto"/>
                <w:sz w:val="21"/>
                <w:szCs w:val="21"/>
                <w:highlight w:val="none"/>
                <w:u w:val="none"/>
                <w:lang w:val="en-US" w:eastAsia="zh-CN" w:bidi="ar"/>
              </w:rPr>
              <w:t>，评价为优得 75分。</w:t>
            </w:r>
          </w:p>
          <w:p w14:paraId="701AF569">
            <w:pPr>
              <w:keepNext w:val="0"/>
              <w:keepLines w:val="0"/>
              <w:pageBreakBefore w:val="0"/>
              <w:numPr>
                <w:ilvl w:val="0"/>
                <w:numId w:val="0"/>
              </w:numPr>
              <w:suppressLineNumbers w:val="0"/>
              <w:kinsoku/>
              <w:wordWrap w:val="0"/>
              <w:overflowPunct/>
              <w:topLinePunct w:val="0"/>
              <w:bidi w:val="0"/>
              <w:adjustRightInd/>
              <w:spacing w:before="0" w:beforeAutospacing="0" w:after="0" w:afterAutospacing="0" w:line="240" w:lineRule="auto"/>
              <w:ind w:left="0" w:leftChars="0" w:right="0" w:firstLine="0" w:firstLineChars="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（2方案全面具体，整体较为科学合理，针对性较强，可操作性较强，条理较为清晰的，评价为良得40分。</w:t>
            </w:r>
          </w:p>
          <w:p w14:paraId="53B61C84">
            <w:pPr>
              <w:keepNext w:val="0"/>
              <w:keepLines w:val="0"/>
              <w:pageBreakBefore w:val="0"/>
              <w:numPr>
                <w:ilvl w:val="0"/>
                <w:numId w:val="0"/>
              </w:numPr>
              <w:suppressLineNumbers w:val="0"/>
              <w:kinsoku/>
              <w:wordWrap w:val="0"/>
              <w:overflowPunct/>
              <w:topLinePunct w:val="0"/>
              <w:bidi w:val="0"/>
              <w:adjustRightInd/>
              <w:spacing w:before="0" w:beforeAutospacing="0" w:after="0" w:afterAutospacing="0" w:line="240" w:lineRule="auto"/>
              <w:ind w:left="0" w:leftChars="0" w:right="0" w:firstLine="0" w:firstLineChars="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（3）方案基本上全面具体，整体上基本科学合理，针对性和可操作性基本符合要求的，评价为中得20分。</w:t>
            </w:r>
          </w:p>
          <w:p w14:paraId="58D4122E">
            <w:pPr>
              <w:keepNext w:val="0"/>
              <w:keepLines w:val="0"/>
              <w:pageBreakBefore w:val="0"/>
              <w:widowControl w:val="0"/>
              <w:shd w:val="clear" w:color="auto" w:fill="FFFFFF"/>
              <w:kinsoku/>
              <w:wordWrap/>
              <w:overflowPunct/>
              <w:topLinePunct w:val="0"/>
              <w:bidi w:val="0"/>
              <w:adjustRightInd/>
              <w:snapToGrid/>
              <w:spacing w:line="240" w:lineRule="auto"/>
              <w:jc w:val="left"/>
              <w:textAlignment w:val="auto"/>
              <w:rPr>
                <w:rFonts w:ascii="宋体" w:hAnsi="宋体" w:eastAsiaTheme="minorEastAsia" w:cstheme="minorBidi"/>
                <w:color w:val="auto"/>
                <w:kern w:val="2"/>
                <w:sz w:val="21"/>
                <w:szCs w:val="21"/>
                <w:lang w:val="en-US" w:eastAsia="zh-CN" w:bidi="ar-SA"/>
              </w:rPr>
            </w:pPr>
            <w:r>
              <w:rPr>
                <w:rFonts w:hint="eastAsia" w:ascii="宋体" w:hAnsi="宋体" w:eastAsia="宋体" w:cs="宋体"/>
                <w:color w:val="auto"/>
                <w:sz w:val="21"/>
                <w:szCs w:val="21"/>
                <w:lang w:val="en-US" w:eastAsia="zh-CN"/>
              </w:rPr>
              <w:t>(4）上述情况之外评价为差不得分，未提供或未按要求提供或提供不清晰导致专家无法判断的均不得分。</w:t>
            </w:r>
          </w:p>
        </w:tc>
      </w:tr>
      <w:tr w14:paraId="4C5882E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jc w:val="center"/>
        </w:trPr>
        <w:tc>
          <w:tcPr>
            <w:tcW w:w="427" w:type="dxa"/>
            <w:vMerge w:val="continue"/>
            <w:tcBorders>
              <w:left w:val="single" w:color="000000" w:sz="8" w:space="0"/>
              <w:right w:val="single" w:color="000000" w:sz="8" w:space="0"/>
            </w:tcBorders>
            <w:shd w:val="clear" w:color="auto" w:fill="FFFFFF" w:themeFill="background1"/>
            <w:vAlign w:val="center"/>
          </w:tcPr>
          <w:p w14:paraId="72C15589">
            <w:pPr>
              <w:snapToGrid w:val="0"/>
              <w:rPr>
                <w:rFonts w:ascii="Times New Roman" w:hAnsi="Times New Roman" w:eastAsia="宋体" w:cs="宋体"/>
                <w:b/>
                <w:bCs/>
                <w:color w:val="auto"/>
                <w:szCs w:val="21"/>
              </w:rPr>
            </w:pPr>
          </w:p>
        </w:tc>
        <w:tc>
          <w:tcPr>
            <w:tcW w:w="426"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1613DDA1">
            <w:pPr>
              <w:spacing w:line="240" w:lineRule="exact"/>
              <w:jc w:val="center"/>
              <w:rPr>
                <w:rFonts w:ascii="宋体" w:hAnsi="宋体" w:eastAsiaTheme="minorEastAsia" w:cstheme="minorBidi"/>
                <w:color w:val="auto"/>
                <w:kern w:val="2"/>
                <w:sz w:val="21"/>
                <w:szCs w:val="21"/>
                <w:lang w:val="en-US" w:eastAsia="zh-CN" w:bidi="ar-SA"/>
              </w:rPr>
            </w:pPr>
            <w:r>
              <w:rPr>
                <w:rFonts w:ascii="宋体" w:hAnsi="宋体"/>
                <w:color w:val="auto"/>
                <w:szCs w:val="21"/>
              </w:rPr>
              <w:t>2</w:t>
            </w:r>
          </w:p>
        </w:tc>
        <w:tc>
          <w:tcPr>
            <w:tcW w:w="2068"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7CE56513">
            <w:pPr>
              <w:spacing w:line="240" w:lineRule="exact"/>
              <w:jc w:val="center"/>
              <w:rPr>
                <w:rFonts w:ascii="宋体" w:hAnsi="宋体" w:eastAsiaTheme="minorEastAsia" w:cstheme="minorBidi"/>
                <w:color w:val="auto"/>
                <w:kern w:val="2"/>
                <w:sz w:val="21"/>
                <w:szCs w:val="21"/>
                <w:lang w:val="en-US" w:eastAsia="zh-CN" w:bidi="ar-SA"/>
              </w:rPr>
            </w:pPr>
            <w:r>
              <w:rPr>
                <w:rFonts w:hint="eastAsia" w:ascii="宋体" w:hAnsi="宋体" w:cs="宋体"/>
                <w:color w:val="auto"/>
                <w:kern w:val="0"/>
                <w:szCs w:val="21"/>
              </w:rPr>
              <w:t>技术规格偏离情况</w:t>
            </w:r>
          </w:p>
        </w:tc>
        <w:tc>
          <w:tcPr>
            <w:tcW w:w="749"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481A898B">
            <w:pPr>
              <w:spacing w:line="240" w:lineRule="exact"/>
              <w:jc w:val="center"/>
              <w:rPr>
                <w:rFonts w:hint="default" w:ascii="宋体" w:hAnsi="宋体" w:eastAsia="宋体" w:cstheme="minorBidi"/>
                <w:color w:val="auto"/>
                <w:kern w:val="2"/>
                <w:sz w:val="21"/>
                <w:szCs w:val="21"/>
                <w:lang w:val="en-US" w:eastAsia="zh-CN" w:bidi="ar-SA"/>
              </w:rPr>
            </w:pPr>
            <w:r>
              <w:rPr>
                <w:rFonts w:hint="eastAsia" w:ascii="宋体" w:hAnsi="宋体" w:eastAsia="宋体" w:cs="宋体"/>
                <w:color w:val="auto"/>
                <w:szCs w:val="21"/>
                <w:lang w:val="en-US" w:eastAsia="zh-CN"/>
              </w:rPr>
              <w:t>30</w:t>
            </w:r>
          </w:p>
        </w:tc>
        <w:tc>
          <w:tcPr>
            <w:tcW w:w="5402"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19BA76C0">
            <w:pPr>
              <w:spacing w:line="240" w:lineRule="auto"/>
              <w:jc w:val="left"/>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lang w:val="en-US" w:eastAsia="zh-CN"/>
              </w:rPr>
              <w:t>（一）</w:t>
            </w:r>
            <w:r>
              <w:rPr>
                <w:rFonts w:hint="eastAsia" w:ascii="宋体" w:hAnsi="宋体" w:eastAsia="宋体" w:cs="宋体"/>
                <w:b/>
                <w:bCs/>
                <w:color w:val="auto"/>
                <w:sz w:val="21"/>
                <w:szCs w:val="21"/>
              </w:rPr>
              <w:t>考察内容：</w:t>
            </w:r>
          </w:p>
          <w:p w14:paraId="7E0D876E">
            <w:pPr>
              <w:spacing w:line="240" w:lineRule="auto"/>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rPr>
              <w:t>评审委员会根据《技术规格偏离表》（以下简称“偏离表”）响应情况进行打分，全部满足的得100分，一般参数每负偏离一项扣</w:t>
            </w:r>
            <w:r>
              <w:rPr>
                <w:rFonts w:hint="eastAsia" w:ascii="宋体" w:hAnsi="宋体" w:eastAsia="宋体" w:cs="宋体"/>
                <w:color w:val="auto"/>
                <w:sz w:val="21"/>
                <w:szCs w:val="21"/>
                <w:lang w:val="en-US" w:eastAsia="zh-CN"/>
              </w:rPr>
              <w:t>2.5</w:t>
            </w:r>
            <w:r>
              <w:rPr>
                <w:rFonts w:hint="eastAsia" w:ascii="宋体" w:hAnsi="宋体" w:eastAsia="宋体" w:cs="宋体"/>
                <w:color w:val="auto"/>
                <w:sz w:val="21"/>
                <w:szCs w:val="21"/>
              </w:rPr>
              <w:t>分，重点技术参数▲项每负偏离一项扣</w:t>
            </w:r>
            <w:r>
              <w:rPr>
                <w:rFonts w:hint="eastAsia" w:ascii="宋体" w:hAnsi="宋体" w:eastAsia="宋体" w:cs="宋体"/>
                <w:color w:val="auto"/>
                <w:sz w:val="21"/>
                <w:szCs w:val="21"/>
                <w:lang w:val="en-US" w:eastAsia="zh-CN"/>
              </w:rPr>
              <w:t>12.5</w:t>
            </w:r>
            <w:r>
              <w:rPr>
                <w:rFonts w:hint="eastAsia" w:ascii="宋体" w:hAnsi="宋体" w:eastAsia="宋体" w:cs="宋体"/>
                <w:color w:val="auto"/>
                <w:sz w:val="21"/>
                <w:szCs w:val="21"/>
              </w:rPr>
              <w:t>分。扣完为止。</w:t>
            </w:r>
          </w:p>
          <w:p w14:paraId="1A3AC492">
            <w:pPr>
              <w:spacing w:line="240" w:lineRule="auto"/>
              <w:jc w:val="left"/>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lang w:val="en-US" w:eastAsia="zh-CN"/>
              </w:rPr>
              <w:t>（二）</w:t>
            </w:r>
            <w:r>
              <w:rPr>
                <w:rFonts w:hint="eastAsia" w:ascii="宋体" w:hAnsi="宋体" w:eastAsia="宋体" w:cs="宋体"/>
                <w:b/>
                <w:bCs/>
                <w:color w:val="auto"/>
                <w:sz w:val="21"/>
                <w:szCs w:val="21"/>
              </w:rPr>
              <w:t>证明文件：</w:t>
            </w:r>
          </w:p>
          <w:p w14:paraId="056AE9DC">
            <w:pPr>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rPr>
              <w:t>偏离表应如实对应填写所投产品的具体参数。如要求提供“厂家网站截图/说明书/厂家出具的参数文件/检验报告”等证明资料的，需按要求提供相关证明资料；提供的证明资料与所填写内容不一致的，以证明资料为准，原件备查。证明材料不能满足招标要求的，该项按负偏离处理。（未提供或未按要求提供或提供的不清晰导致专家无法</w:t>
            </w:r>
            <w:r>
              <w:rPr>
                <w:rFonts w:hint="eastAsia" w:ascii="宋体" w:hAnsi="宋体" w:eastAsia="宋体" w:cs="宋体"/>
                <w:color w:val="auto"/>
                <w:sz w:val="21"/>
                <w:szCs w:val="21"/>
                <w:highlight w:val="none"/>
              </w:rPr>
              <w:t>判断的，不得分）</w:t>
            </w:r>
          </w:p>
          <w:p w14:paraId="6EEFE2F1">
            <w:pPr>
              <w:keepNext w:val="0"/>
              <w:keepLines w:val="0"/>
              <w:pageBreakBefore w:val="0"/>
              <w:widowControl w:val="0"/>
              <w:shd w:val="clear" w:color="auto" w:fill="FFFFFF"/>
              <w:kinsoku/>
              <w:wordWrap/>
              <w:overflowPunct/>
              <w:topLinePunct w:val="0"/>
              <w:bidi w:val="0"/>
              <w:adjustRightInd/>
              <w:snapToGrid/>
              <w:spacing w:line="240" w:lineRule="auto"/>
              <w:jc w:val="left"/>
              <w:textAlignment w:val="auto"/>
              <w:rPr>
                <w:rFonts w:asciiTheme="minorHAnsi" w:hAnsiTheme="minorHAnsi" w:eastAsiaTheme="minorEastAsia" w:cstheme="minorBidi"/>
                <w:color w:val="auto"/>
                <w:kern w:val="2"/>
                <w:sz w:val="21"/>
                <w:szCs w:val="22"/>
                <w:lang w:val="en-US" w:eastAsia="zh-CN" w:bidi="ar-SA"/>
              </w:rPr>
            </w:pPr>
            <w:r>
              <w:rPr>
                <w:rFonts w:hint="eastAsia" w:ascii="宋体" w:hAnsi="宋体" w:eastAsia="宋体" w:cs="宋体"/>
                <w:color w:val="auto"/>
                <w:sz w:val="21"/>
                <w:szCs w:val="21"/>
                <w:highlight w:val="none"/>
              </w:rPr>
              <w:t>投标人的“技术规格响应情况”“技术规格偏离情况”等必须与客观实际保持一致，响应不实且情节严重的，经查实，将依法记入供应商诚信档案或受到行政处罚。</w:t>
            </w:r>
          </w:p>
        </w:tc>
      </w:tr>
      <w:tr w14:paraId="289E42A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jc w:val="center"/>
        </w:trPr>
        <w:tc>
          <w:tcPr>
            <w:tcW w:w="427" w:type="dxa"/>
            <w:vMerge w:val="continue"/>
            <w:tcBorders>
              <w:left w:val="single" w:color="000000" w:sz="8" w:space="0"/>
              <w:right w:val="single" w:color="000000" w:sz="8" w:space="0"/>
            </w:tcBorders>
            <w:shd w:val="clear" w:color="auto" w:fill="FFFFFF" w:themeFill="background1"/>
            <w:vAlign w:val="center"/>
          </w:tcPr>
          <w:p w14:paraId="65254988">
            <w:pPr>
              <w:snapToGrid w:val="0"/>
              <w:rPr>
                <w:rFonts w:ascii="Times New Roman" w:hAnsi="Times New Roman" w:eastAsia="宋体" w:cs="宋体"/>
                <w:b/>
                <w:bCs/>
                <w:color w:val="auto"/>
                <w:szCs w:val="21"/>
              </w:rPr>
            </w:pPr>
          </w:p>
        </w:tc>
        <w:tc>
          <w:tcPr>
            <w:tcW w:w="426"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745766B2">
            <w:pPr>
              <w:spacing w:line="240" w:lineRule="exact"/>
              <w:jc w:val="center"/>
              <w:rPr>
                <w:rFonts w:hint="eastAsia" w:ascii="宋体" w:hAnsi="宋体" w:eastAsia="宋体" w:cstheme="minorBidi"/>
                <w:color w:val="auto"/>
                <w:kern w:val="2"/>
                <w:sz w:val="21"/>
                <w:szCs w:val="21"/>
                <w:lang w:val="en-US" w:eastAsia="zh-CN" w:bidi="ar-SA"/>
              </w:rPr>
            </w:pPr>
            <w:r>
              <w:rPr>
                <w:rFonts w:hint="eastAsia" w:ascii="宋体" w:hAnsi="宋体"/>
                <w:color w:val="auto"/>
                <w:szCs w:val="21"/>
                <w:lang w:val="en-US" w:eastAsia="zh-CN"/>
              </w:rPr>
              <w:t>3</w:t>
            </w:r>
          </w:p>
        </w:tc>
        <w:tc>
          <w:tcPr>
            <w:tcW w:w="2068"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1F5F53A5">
            <w:pPr>
              <w:spacing w:line="240" w:lineRule="exact"/>
              <w:jc w:val="center"/>
              <w:rPr>
                <w:rFonts w:hint="eastAsia" w:ascii="宋体" w:hAnsi="宋体" w:eastAsia="宋体"/>
                <w:color w:val="auto"/>
                <w:szCs w:val="21"/>
                <w:lang w:eastAsia="zh-CN"/>
              </w:rPr>
            </w:pPr>
            <w:r>
              <w:rPr>
                <w:rFonts w:hint="eastAsia" w:ascii="宋体" w:hAnsi="宋体"/>
                <w:color w:val="auto"/>
                <w:szCs w:val="21"/>
                <w:lang w:val="en-US" w:eastAsia="zh-CN"/>
              </w:rPr>
              <w:t>技术人员</w:t>
            </w:r>
          </w:p>
          <w:p w14:paraId="35B4088F">
            <w:pPr>
              <w:spacing w:line="240" w:lineRule="exact"/>
              <w:jc w:val="center"/>
              <w:rPr>
                <w:rFonts w:hint="default" w:ascii="宋体" w:hAnsi="宋体" w:eastAsia="宋体" w:cstheme="minorBidi"/>
                <w:color w:val="auto"/>
                <w:kern w:val="2"/>
                <w:sz w:val="21"/>
                <w:szCs w:val="21"/>
                <w:lang w:val="en-US" w:eastAsia="zh-CN" w:bidi="ar-SA"/>
              </w:rPr>
            </w:pPr>
          </w:p>
        </w:tc>
        <w:tc>
          <w:tcPr>
            <w:tcW w:w="749"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729E260C">
            <w:pPr>
              <w:spacing w:line="240" w:lineRule="exact"/>
              <w:jc w:val="center"/>
              <w:rPr>
                <w:rFonts w:hint="eastAsia" w:ascii="宋体" w:hAnsi="宋体" w:eastAsia="宋体" w:cstheme="minorBidi"/>
                <w:color w:val="auto"/>
                <w:kern w:val="2"/>
                <w:sz w:val="21"/>
                <w:szCs w:val="21"/>
                <w:lang w:val="en-US" w:eastAsia="zh-CN" w:bidi="ar-SA"/>
              </w:rPr>
            </w:pPr>
            <w:r>
              <w:rPr>
                <w:rFonts w:hint="eastAsia" w:ascii="宋体" w:hAnsi="宋体"/>
                <w:color w:val="auto"/>
                <w:szCs w:val="21"/>
              </w:rPr>
              <w:t>2</w:t>
            </w:r>
          </w:p>
        </w:tc>
        <w:tc>
          <w:tcPr>
            <w:tcW w:w="5402"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55F9701E">
            <w:pPr>
              <w:keepNext w:val="0"/>
              <w:keepLines w:val="0"/>
              <w:pageBreakBefore w:val="0"/>
              <w:numPr>
                <w:ilvl w:val="0"/>
                <w:numId w:val="0"/>
              </w:numPr>
              <w:suppressLineNumbers w:val="0"/>
              <w:kinsoku/>
              <w:wordWrap w:val="0"/>
              <w:overflowPunct/>
              <w:topLinePunct w:val="0"/>
              <w:bidi w:val="0"/>
              <w:adjustRightInd/>
              <w:spacing w:before="0" w:beforeAutospacing="0" w:after="0" w:afterAutospacing="0" w:line="240" w:lineRule="auto"/>
              <w:ind w:left="0" w:leftChars="0" w:right="0" w:firstLine="0" w:firstLineChars="0"/>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（一）考察内容：</w:t>
            </w:r>
          </w:p>
          <w:p w14:paraId="3ADF22C8">
            <w:pPr>
              <w:keepNext w:val="0"/>
              <w:keepLines w:val="0"/>
              <w:pageBreakBefore w:val="0"/>
              <w:numPr>
                <w:ilvl w:val="0"/>
                <w:numId w:val="0"/>
              </w:numPr>
              <w:suppressLineNumbers w:val="0"/>
              <w:kinsoku/>
              <w:wordWrap w:val="0"/>
              <w:overflowPunct/>
              <w:topLinePunct w:val="0"/>
              <w:bidi w:val="0"/>
              <w:adjustRightInd/>
              <w:spacing w:before="0" w:beforeAutospacing="0" w:after="0" w:afterAutospacing="0" w:line="240" w:lineRule="auto"/>
              <w:ind w:left="0" w:leftChars="0" w:right="0" w:firstLine="0" w:firstLineChars="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项目团队成员，需具有以下要求：</w:t>
            </w:r>
          </w:p>
          <w:p w14:paraId="0B67187A">
            <w:pPr>
              <w:keepNext w:val="0"/>
              <w:keepLines w:val="0"/>
              <w:pageBreakBefore w:val="0"/>
              <w:numPr>
                <w:ilvl w:val="0"/>
                <w:numId w:val="0"/>
              </w:numPr>
              <w:suppressLineNumbers w:val="0"/>
              <w:kinsoku/>
              <w:wordWrap w:val="0"/>
              <w:overflowPunct/>
              <w:topLinePunct w:val="0"/>
              <w:bidi w:val="0"/>
              <w:adjustRightInd/>
              <w:spacing w:before="0" w:beforeAutospacing="0" w:after="0" w:afterAutospacing="0" w:line="240" w:lineRule="auto"/>
              <w:ind w:left="0" w:leftChars="0" w:right="0" w:firstLine="0" w:firstLineChars="0"/>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1、具有计算机类或设计类相关专业的本科或以上学历的，每提供一个得20分，最高得60分；</w:t>
            </w:r>
          </w:p>
          <w:p w14:paraId="29EFC8FF">
            <w:pPr>
              <w:keepNext w:val="0"/>
              <w:keepLines w:val="0"/>
              <w:pageBreakBefore w:val="0"/>
              <w:numPr>
                <w:ilvl w:val="0"/>
                <w:numId w:val="0"/>
              </w:numPr>
              <w:suppressLineNumbers w:val="0"/>
              <w:kinsoku/>
              <w:wordWrap w:val="0"/>
              <w:overflowPunct/>
              <w:topLinePunct w:val="0"/>
              <w:bidi w:val="0"/>
              <w:adjustRightInd/>
              <w:spacing w:before="0" w:beforeAutospacing="0" w:after="0" w:afterAutospacing="0" w:line="240" w:lineRule="auto"/>
              <w:ind w:left="0" w:leftChars="0" w:right="0" w:firstLine="0" w:firstLineChars="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2、具有机械类或电气类中级或以上职称证书的，提供得40分，最高得40分。</w:t>
            </w:r>
          </w:p>
          <w:p w14:paraId="18B670B2">
            <w:pPr>
              <w:widowControl w:val="0"/>
              <w:spacing w:line="240" w:lineRule="auto"/>
              <w:jc w:val="both"/>
              <w:rPr>
                <w:rFonts w:hint="default" w:ascii="Calibri" w:hAnsi="Calibri" w:eastAsia="宋体" w:cs="Times New Roman"/>
                <w:b/>
                <w:bCs/>
                <w:color w:val="auto"/>
                <w:kern w:val="2"/>
                <w:sz w:val="24"/>
                <w:szCs w:val="22"/>
                <w:lang w:val="en-US" w:eastAsia="zh-CN" w:bidi="ar-SA"/>
              </w:rPr>
            </w:pPr>
            <w:r>
              <w:rPr>
                <w:rFonts w:hint="eastAsia" w:ascii="宋体" w:hAnsi="宋体" w:eastAsia="宋体" w:cs="宋体"/>
                <w:b/>
                <w:bCs/>
                <w:color w:val="auto"/>
                <w:kern w:val="2"/>
                <w:sz w:val="21"/>
                <w:szCs w:val="21"/>
                <w:lang w:val="en-US" w:eastAsia="zh-CN" w:bidi="ar-SA"/>
              </w:rPr>
              <w:t>以上最高得100分。</w:t>
            </w:r>
          </w:p>
          <w:p w14:paraId="35046A2F">
            <w:pPr>
              <w:keepNext w:val="0"/>
              <w:keepLines w:val="0"/>
              <w:pageBreakBefore w:val="0"/>
              <w:numPr>
                <w:ilvl w:val="0"/>
                <w:numId w:val="0"/>
              </w:numPr>
              <w:suppressLineNumbers w:val="0"/>
              <w:kinsoku/>
              <w:wordWrap w:val="0"/>
              <w:overflowPunct/>
              <w:topLinePunct w:val="0"/>
              <w:bidi w:val="0"/>
              <w:adjustRightInd/>
              <w:spacing w:before="0" w:beforeAutospacing="0" w:after="0" w:afterAutospacing="0" w:line="240" w:lineRule="auto"/>
              <w:ind w:left="0" w:leftChars="0" w:right="0" w:firstLine="0" w:firstLineChars="0"/>
              <w:rPr>
                <w:rFonts w:hint="eastAsia" w:ascii="宋体" w:hAnsi="宋体" w:eastAsia="宋体" w:cs="宋体"/>
                <w:color w:val="auto"/>
                <w:sz w:val="21"/>
                <w:szCs w:val="21"/>
                <w:lang w:val="en-US" w:eastAsia="zh-CN"/>
              </w:rPr>
            </w:pPr>
            <w:r>
              <w:rPr>
                <w:rFonts w:hint="eastAsia" w:ascii="宋体" w:hAnsi="宋体" w:eastAsia="宋体" w:cs="宋体"/>
                <w:b/>
                <w:bCs/>
                <w:color w:val="auto"/>
                <w:sz w:val="21"/>
                <w:szCs w:val="21"/>
                <w:lang w:val="en-US" w:eastAsia="zh-CN"/>
              </w:rPr>
              <w:t>（二）</w:t>
            </w:r>
            <w:r>
              <w:rPr>
                <w:rFonts w:hint="eastAsia" w:ascii="宋体" w:hAnsi="宋体" w:eastAsia="宋体" w:cs="宋体"/>
                <w:b/>
                <w:bCs/>
                <w:color w:val="auto"/>
                <w:sz w:val="21"/>
                <w:szCs w:val="21"/>
              </w:rPr>
              <w:t>证明文件：</w:t>
            </w:r>
          </w:p>
          <w:p w14:paraId="385AD68C">
            <w:pPr>
              <w:wordWrap/>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1.技术人员</w:t>
            </w:r>
            <w:r>
              <w:rPr>
                <w:rFonts w:hint="eastAsia" w:ascii="宋体" w:hAnsi="宋体" w:eastAsia="宋体" w:cs="宋体"/>
                <w:color w:val="auto"/>
                <w:sz w:val="21"/>
                <w:szCs w:val="21"/>
                <w:highlight w:val="none"/>
              </w:rPr>
              <w:t>必须为</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自有员工，提供相关人员</w:t>
            </w:r>
            <w:r>
              <w:rPr>
                <w:rFonts w:hint="eastAsia" w:ascii="宋体" w:hAnsi="宋体" w:eastAsia="宋体" w:cs="宋体"/>
                <w:color w:val="auto"/>
                <w:sz w:val="21"/>
                <w:szCs w:val="21"/>
                <w:highlight w:val="none"/>
                <w:lang w:val="en-US" w:eastAsia="zh-CN"/>
              </w:rPr>
              <w:t>的上述证书扫描件</w:t>
            </w:r>
            <w:r>
              <w:rPr>
                <w:rFonts w:hint="eastAsia" w:ascii="宋体" w:hAnsi="宋体" w:eastAsia="宋体" w:cs="宋体"/>
                <w:color w:val="auto"/>
                <w:sz w:val="21"/>
                <w:szCs w:val="21"/>
                <w:highlight w:val="none"/>
              </w:rPr>
              <w:t>及开标日前由</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为其缴交的载有社保部门公章的近三个月（</w:t>
            </w:r>
            <w:r>
              <w:rPr>
                <w:rFonts w:hint="eastAsia" w:ascii="宋体" w:hAnsi="宋体" w:eastAsia="宋体" w:cs="宋体"/>
                <w:color w:val="auto"/>
                <w:sz w:val="21"/>
                <w:szCs w:val="21"/>
                <w:highlight w:val="none"/>
                <w:lang w:val="en-US" w:eastAsia="zh-CN"/>
              </w:rPr>
              <w:t>2024</w:t>
            </w:r>
            <w:r>
              <w:rPr>
                <w:rFonts w:hint="eastAsia" w:ascii="宋体" w:hAnsi="宋体" w:eastAsia="宋体" w:cs="宋体"/>
                <w:color w:val="auto"/>
                <w:sz w:val="21"/>
                <w:szCs w:val="21"/>
                <w:highlight w:val="none"/>
              </w:rPr>
              <w:t xml:space="preserve">年 </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月至</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月）社保缴交证明材料（已退休返聘人员需提供聘用合同），如开标日上一个月的社保材料因社保部门原因暂时无法取得，则可以往前顺延一个月；社保资料必须至少显示缴交养老保险信息，未显示该信息的该社保资料则不符合要求，原件备查。</w:t>
            </w:r>
          </w:p>
          <w:p w14:paraId="3957B47C">
            <w:pPr>
              <w:pStyle w:val="49"/>
              <w:numPr>
                <w:ilvl w:val="0"/>
                <w:numId w:val="0"/>
              </w:numPr>
              <w:ind w:left="0" w:leftChars="0" w:firstLine="0" w:firstLineChars="0"/>
              <w:rPr>
                <w:rFonts w:ascii="宋体" w:hAnsi="宋体" w:eastAsia="宋体"/>
                <w:color w:val="auto"/>
                <w:szCs w:val="21"/>
              </w:rPr>
            </w:pPr>
            <w:r>
              <w:rPr>
                <w:rFonts w:ascii="宋体" w:hAnsi="宋体" w:eastAsia="宋体"/>
                <w:color w:val="auto"/>
                <w:szCs w:val="21"/>
              </w:rPr>
              <w:t>（如投标人为新成立企业且成立时间不足三个月可提供加盖公章的情况说明或者证明材料，无需提供相关人员社保）</w:t>
            </w:r>
          </w:p>
          <w:p w14:paraId="6ED72A60">
            <w:pPr>
              <w:rPr>
                <w:rFonts w:hint="default" w:ascii="宋体" w:hAnsi="宋体" w:eastAsia="宋体"/>
                <w:color w:val="auto"/>
                <w:szCs w:val="21"/>
                <w:lang w:val="en-US" w:eastAsia="zh-CN"/>
              </w:rPr>
            </w:pPr>
            <w:r>
              <w:rPr>
                <w:rFonts w:hint="eastAsia" w:ascii="宋体" w:hAnsi="宋体" w:eastAsia="宋体"/>
                <w:color w:val="auto"/>
                <w:szCs w:val="21"/>
                <w:lang w:val="en-US" w:eastAsia="zh-CN"/>
              </w:rPr>
              <w:t>2.</w:t>
            </w:r>
            <w:r>
              <w:rPr>
                <w:rFonts w:hint="eastAsia" w:ascii="宋体" w:hAnsi="宋体"/>
                <w:color w:val="auto"/>
                <w:szCs w:val="21"/>
              </w:rPr>
              <w:t>对于要求提供学历证书的，</w:t>
            </w:r>
            <w:r>
              <w:rPr>
                <w:rFonts w:hint="eastAsia" w:ascii="宋体" w:hAnsi="宋体"/>
                <w:color w:val="auto"/>
                <w:szCs w:val="21"/>
                <w:lang w:eastAsia="zh-CN"/>
              </w:rPr>
              <w:t>需</w:t>
            </w:r>
            <w:r>
              <w:rPr>
                <w:rFonts w:hint="eastAsia" w:ascii="宋体" w:hAnsi="宋体"/>
                <w:color w:val="auto"/>
                <w:szCs w:val="21"/>
              </w:rPr>
              <w:t>提供证书</w:t>
            </w:r>
            <w:r>
              <w:rPr>
                <w:rFonts w:hint="eastAsia" w:ascii="宋体" w:hAnsi="宋体"/>
                <w:color w:val="auto"/>
                <w:szCs w:val="21"/>
                <w:lang w:eastAsia="zh-CN"/>
              </w:rPr>
              <w:t>扫描</w:t>
            </w:r>
            <w:r>
              <w:rPr>
                <w:rFonts w:hint="eastAsia" w:ascii="宋体" w:hAnsi="宋体"/>
                <w:color w:val="auto"/>
                <w:szCs w:val="21"/>
              </w:rPr>
              <w:t>件以及学信网查询记录。对于较早颁发的学历学位证书学信网无法查询的，除要求提供证书复印件外，还应要求提供毕业院校、人社部门等颁发机构或监管机构等单位出具的证明，否则应作不得分处理。</w:t>
            </w:r>
          </w:p>
          <w:p w14:paraId="5A14040A">
            <w:pPr>
              <w:pStyle w:val="49"/>
              <w:numPr>
                <w:ilvl w:val="0"/>
                <w:numId w:val="0"/>
              </w:numPr>
              <w:ind w:left="0" w:leftChars="0" w:firstLine="0" w:firstLineChars="0"/>
              <w:rPr>
                <w:rFonts w:hint="default" w:ascii="Times New Roman" w:hAnsi="Times New Roman" w:eastAsia="宋体" w:cs="Times New Roman"/>
                <w:color w:val="auto"/>
                <w:kern w:val="2"/>
                <w:sz w:val="21"/>
                <w:szCs w:val="22"/>
                <w:lang w:val="en-US" w:eastAsia="zh-CN" w:bidi="ar-SA"/>
              </w:rPr>
            </w:pPr>
            <w:r>
              <w:rPr>
                <w:rFonts w:hint="eastAsia" w:hAnsi="宋体" w:cs="宋体"/>
                <w:color w:val="auto"/>
                <w:sz w:val="21"/>
                <w:szCs w:val="21"/>
                <w:highlight w:val="none"/>
                <w:lang w:val="en-US" w:eastAsia="zh-CN"/>
              </w:rPr>
              <w:t>3.</w:t>
            </w:r>
            <w:r>
              <w:rPr>
                <w:rFonts w:hint="eastAsia" w:ascii="宋体" w:hAnsi="宋体" w:eastAsia="宋体" w:cs="宋体"/>
                <w:color w:val="auto"/>
                <w:sz w:val="21"/>
                <w:szCs w:val="21"/>
                <w:highlight w:val="none"/>
              </w:rPr>
              <w:t>未按要求提供或提供不清晰导致专家无法判断的不得分</w:t>
            </w:r>
          </w:p>
        </w:tc>
      </w:tr>
      <w:tr w14:paraId="692DD72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jc w:val="center"/>
        </w:trPr>
        <w:tc>
          <w:tcPr>
            <w:tcW w:w="427" w:type="dxa"/>
            <w:vMerge w:val="continue"/>
            <w:tcBorders>
              <w:left w:val="single" w:color="000000" w:sz="8" w:space="0"/>
              <w:right w:val="single" w:color="000000" w:sz="8" w:space="0"/>
            </w:tcBorders>
            <w:shd w:val="clear" w:color="auto" w:fill="FFFFFF" w:themeFill="background1"/>
            <w:vAlign w:val="center"/>
          </w:tcPr>
          <w:p w14:paraId="3260F246">
            <w:pPr>
              <w:snapToGrid w:val="0"/>
              <w:rPr>
                <w:rFonts w:ascii="Times New Roman" w:hAnsi="Times New Roman" w:eastAsia="宋体" w:cs="宋体"/>
                <w:b/>
                <w:bCs/>
                <w:color w:val="auto"/>
                <w:szCs w:val="21"/>
              </w:rPr>
            </w:pPr>
          </w:p>
        </w:tc>
        <w:tc>
          <w:tcPr>
            <w:tcW w:w="426"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1474CC86">
            <w:pPr>
              <w:spacing w:line="240" w:lineRule="exact"/>
              <w:jc w:val="center"/>
              <w:rPr>
                <w:rFonts w:hint="eastAsia" w:ascii="宋体" w:hAnsi="宋体" w:eastAsia="宋体" w:cstheme="minorBidi"/>
                <w:color w:val="auto"/>
                <w:kern w:val="2"/>
                <w:sz w:val="21"/>
                <w:szCs w:val="21"/>
                <w:lang w:val="en-US" w:eastAsia="zh-CN" w:bidi="ar-SA"/>
              </w:rPr>
            </w:pPr>
            <w:r>
              <w:rPr>
                <w:rFonts w:hint="eastAsia" w:ascii="宋体" w:hAnsi="宋体"/>
                <w:color w:val="auto"/>
                <w:szCs w:val="21"/>
                <w:lang w:val="en-US" w:eastAsia="zh-CN"/>
              </w:rPr>
              <w:t>4</w:t>
            </w:r>
          </w:p>
        </w:tc>
        <w:tc>
          <w:tcPr>
            <w:tcW w:w="2068"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66589287">
            <w:pPr>
              <w:spacing w:line="240" w:lineRule="exact"/>
              <w:jc w:val="center"/>
              <w:rPr>
                <w:rFonts w:hint="default" w:ascii="宋体" w:hAnsi="宋体" w:eastAsia="宋体" w:cstheme="minorBidi"/>
                <w:color w:val="auto"/>
                <w:kern w:val="2"/>
                <w:sz w:val="21"/>
                <w:szCs w:val="21"/>
                <w:lang w:val="en-US" w:eastAsia="zh-CN" w:bidi="ar-SA"/>
              </w:rPr>
            </w:pPr>
            <w:r>
              <w:rPr>
                <w:rFonts w:hint="eastAsia" w:ascii="宋体" w:hAnsi="宋体"/>
                <w:color w:val="auto"/>
                <w:szCs w:val="21"/>
                <w:lang w:val="en-US" w:eastAsia="zh-CN"/>
              </w:rPr>
              <w:t>检测报告</w:t>
            </w:r>
          </w:p>
        </w:tc>
        <w:tc>
          <w:tcPr>
            <w:tcW w:w="749"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7CD7B0CF">
            <w:pPr>
              <w:spacing w:line="240" w:lineRule="exact"/>
              <w:jc w:val="center"/>
              <w:rPr>
                <w:rFonts w:hint="eastAsia" w:ascii="宋体" w:hAnsi="宋体" w:eastAsia="宋体" w:cstheme="minorBidi"/>
                <w:color w:val="auto"/>
                <w:kern w:val="2"/>
                <w:sz w:val="21"/>
                <w:szCs w:val="21"/>
                <w:lang w:val="en-US" w:eastAsia="zh-CN" w:bidi="ar-SA"/>
              </w:rPr>
            </w:pPr>
            <w:r>
              <w:rPr>
                <w:rFonts w:hint="eastAsia" w:ascii="宋体" w:hAnsi="宋体"/>
                <w:color w:val="auto"/>
                <w:szCs w:val="21"/>
                <w:lang w:val="en-US" w:eastAsia="zh-CN"/>
              </w:rPr>
              <w:t>5</w:t>
            </w:r>
          </w:p>
        </w:tc>
        <w:tc>
          <w:tcPr>
            <w:tcW w:w="5402"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39FA24A6">
            <w:pPr>
              <w:rPr>
                <w:rFonts w:hint="eastAsia" w:ascii="宋体" w:hAnsi="宋体" w:eastAsia="宋体" w:cs="宋体"/>
                <w:color w:val="auto"/>
                <w:kern w:val="2"/>
                <w:sz w:val="21"/>
                <w:szCs w:val="21"/>
                <w:highlight w:val="none"/>
                <w:lang w:val="en-US" w:eastAsia="zh-CN" w:bidi="ar-SA"/>
              </w:rPr>
            </w:pPr>
            <w:r>
              <w:rPr>
                <w:rFonts w:hint="eastAsia" w:ascii="宋体" w:hAnsi="宋体"/>
                <w:color w:val="auto"/>
                <w:szCs w:val="21"/>
              </w:rPr>
              <w:t>投标人所投产品</w:t>
            </w:r>
            <w:r>
              <w:rPr>
                <w:rFonts w:hint="eastAsia" w:ascii="宋体" w:hAnsi="宋体"/>
                <w:color w:val="auto"/>
                <w:szCs w:val="21"/>
                <w:lang w:val="en-US" w:eastAsia="zh-CN"/>
              </w:rPr>
              <w:t>中的</w:t>
            </w:r>
            <w:r>
              <w:rPr>
                <w:rFonts w:hint="eastAsia" w:ascii="宋体" w:hAnsi="宋体"/>
                <w:b/>
                <w:bCs/>
                <w:color w:val="auto"/>
                <w:szCs w:val="21"/>
                <w:lang w:val="en-US" w:eastAsia="zh-CN"/>
              </w:rPr>
              <w:t>抗倍特板材</w:t>
            </w:r>
            <w:r>
              <w:rPr>
                <w:rFonts w:hint="eastAsia" w:ascii="宋体" w:hAnsi="宋体"/>
                <w:color w:val="auto"/>
                <w:szCs w:val="21"/>
              </w:rPr>
              <w:t>需通过由市场监督管理部门资质认定的第三方检测机构关于甲醛</w:t>
            </w:r>
            <w:r>
              <w:rPr>
                <w:rFonts w:hint="eastAsia" w:ascii="宋体" w:hAnsi="宋体"/>
                <w:color w:val="auto"/>
                <w:szCs w:val="21"/>
                <w:lang w:val="en-US" w:eastAsia="zh-CN"/>
              </w:rPr>
              <w:t>释放</w:t>
            </w:r>
            <w:r>
              <w:rPr>
                <w:rFonts w:hint="eastAsia" w:ascii="宋体" w:hAnsi="宋体"/>
                <w:color w:val="auto"/>
                <w:szCs w:val="21"/>
              </w:rPr>
              <w:t>量符合GB18580-2017《室内装饰装修材料人造板及其制品中甲醛释放限量》合格的检测，需同时提供标注CMA</w:t>
            </w:r>
            <w:r>
              <w:rPr>
                <w:rFonts w:hint="eastAsia" w:ascii="宋体" w:hAnsi="宋体"/>
                <w:color w:val="auto"/>
                <w:szCs w:val="21"/>
                <w:lang w:val="en-US" w:eastAsia="zh-CN"/>
              </w:rPr>
              <w:t>和</w:t>
            </w:r>
            <w:r>
              <w:rPr>
                <w:rFonts w:hint="eastAsia" w:ascii="宋体" w:hAnsi="宋体"/>
                <w:color w:val="auto"/>
                <w:szCs w:val="21"/>
              </w:rPr>
              <w:t>CNAS标识的检测报告作为得分依据，否则不得分。</w:t>
            </w:r>
          </w:p>
        </w:tc>
      </w:tr>
      <w:tr w14:paraId="1712602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jc w:val="center"/>
        </w:trPr>
        <w:tc>
          <w:tcPr>
            <w:tcW w:w="427" w:type="dxa"/>
            <w:vMerge w:val="continue"/>
            <w:tcBorders>
              <w:left w:val="single" w:color="000000" w:sz="8" w:space="0"/>
              <w:right w:val="single" w:color="000000" w:sz="8" w:space="0"/>
            </w:tcBorders>
            <w:shd w:val="clear" w:color="auto" w:fill="FFFFFF" w:themeFill="background1"/>
            <w:vAlign w:val="center"/>
          </w:tcPr>
          <w:p w14:paraId="75EE0562">
            <w:pPr>
              <w:snapToGrid w:val="0"/>
              <w:rPr>
                <w:rFonts w:ascii="Times New Roman" w:hAnsi="Times New Roman" w:eastAsia="宋体" w:cs="宋体"/>
                <w:b/>
                <w:bCs/>
                <w:color w:val="auto"/>
                <w:szCs w:val="21"/>
              </w:rPr>
            </w:pPr>
          </w:p>
        </w:tc>
        <w:tc>
          <w:tcPr>
            <w:tcW w:w="426"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4A027AD0">
            <w:pPr>
              <w:spacing w:line="240" w:lineRule="exact"/>
              <w:jc w:val="center"/>
              <w:rPr>
                <w:rFonts w:hint="eastAsia" w:ascii="宋体" w:hAnsi="宋体" w:eastAsia="宋体" w:cstheme="minorBidi"/>
                <w:color w:val="auto"/>
                <w:kern w:val="2"/>
                <w:sz w:val="21"/>
                <w:szCs w:val="21"/>
                <w:lang w:val="en-US" w:eastAsia="zh-CN" w:bidi="ar-SA"/>
              </w:rPr>
            </w:pPr>
            <w:r>
              <w:rPr>
                <w:rFonts w:hint="eastAsia" w:ascii="宋体" w:hAnsi="宋体"/>
                <w:color w:val="auto"/>
                <w:szCs w:val="21"/>
                <w:lang w:val="en-US" w:eastAsia="zh-CN"/>
              </w:rPr>
              <w:t>5</w:t>
            </w:r>
          </w:p>
        </w:tc>
        <w:tc>
          <w:tcPr>
            <w:tcW w:w="2068"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113D7BEE">
            <w:pPr>
              <w:spacing w:line="240" w:lineRule="exact"/>
              <w:jc w:val="center"/>
              <w:rPr>
                <w:rFonts w:hint="default" w:ascii="宋体" w:hAnsi="宋体" w:eastAsiaTheme="minorEastAsia" w:cstheme="minorBidi"/>
                <w:color w:val="auto"/>
                <w:kern w:val="2"/>
                <w:sz w:val="21"/>
                <w:szCs w:val="21"/>
                <w:lang w:val="en-US" w:eastAsia="zh-CN" w:bidi="ar-SA"/>
              </w:rPr>
            </w:pPr>
            <w:r>
              <w:rPr>
                <w:rFonts w:hint="eastAsia" w:ascii="宋体" w:hAnsi="宋体" w:cs="宋体"/>
                <w:color w:val="auto"/>
                <w:szCs w:val="21"/>
                <w:lang w:val="en-US" w:eastAsia="zh-CN"/>
              </w:rPr>
              <w:t>效果图</w:t>
            </w:r>
          </w:p>
        </w:tc>
        <w:tc>
          <w:tcPr>
            <w:tcW w:w="749"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5D87DFF0">
            <w:pPr>
              <w:spacing w:line="240" w:lineRule="exact"/>
              <w:jc w:val="center"/>
              <w:rPr>
                <w:rFonts w:hint="eastAsia" w:ascii="宋体" w:hAnsi="宋体" w:eastAsia="宋体" w:cstheme="minorBidi"/>
                <w:color w:val="auto"/>
                <w:kern w:val="2"/>
                <w:sz w:val="21"/>
                <w:szCs w:val="21"/>
                <w:lang w:val="en-US" w:eastAsia="zh-CN" w:bidi="ar-SA"/>
              </w:rPr>
            </w:pPr>
            <w:r>
              <w:rPr>
                <w:rFonts w:hint="eastAsia" w:ascii="宋体" w:hAnsi="宋体" w:cs="宋体"/>
                <w:color w:val="auto"/>
                <w:szCs w:val="21"/>
                <w:lang w:val="en-US" w:eastAsia="zh-CN"/>
              </w:rPr>
              <w:t>8</w:t>
            </w:r>
          </w:p>
        </w:tc>
        <w:tc>
          <w:tcPr>
            <w:tcW w:w="5402"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249BB999">
            <w:pPr>
              <w:keepNext w:val="0"/>
              <w:keepLines w:val="0"/>
              <w:pageBreakBefore w:val="0"/>
              <w:numPr>
                <w:ilvl w:val="0"/>
                <w:numId w:val="0"/>
              </w:numPr>
              <w:suppressLineNumbers w:val="0"/>
              <w:kinsoku/>
              <w:wordWrap w:val="0"/>
              <w:overflowPunct/>
              <w:topLinePunct w:val="0"/>
              <w:bidi w:val="0"/>
              <w:adjustRightInd/>
              <w:spacing w:before="0" w:beforeAutospacing="0" w:after="0" w:afterAutospacing="0" w:line="240" w:lineRule="auto"/>
              <w:ind w:left="0" w:leftChars="0" w:right="0" w:firstLine="0" w:firstLineChars="0"/>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（一）考察内容：</w:t>
            </w:r>
          </w:p>
          <w:p w14:paraId="42CC623E">
            <w:pPr>
              <w:spacing w:line="240" w:lineRule="auto"/>
              <w:rPr>
                <w:rFonts w:hint="eastAsia" w:ascii="宋体" w:hAnsi="宋体" w:eastAsia="宋体" w:cs="宋体"/>
                <w:color w:val="auto"/>
                <w:sz w:val="21"/>
                <w:szCs w:val="21"/>
              </w:rPr>
            </w:pPr>
            <w:r>
              <w:rPr>
                <w:rFonts w:hint="eastAsia" w:ascii="宋体" w:hAnsi="宋体" w:eastAsia="宋体" w:cs="宋体"/>
                <w:color w:val="auto"/>
                <w:sz w:val="21"/>
                <w:szCs w:val="21"/>
              </w:rPr>
              <w:t>投标人针对本项目提供</w:t>
            </w:r>
            <w:r>
              <w:rPr>
                <w:rFonts w:hint="eastAsia" w:ascii="宋体" w:hAnsi="宋体" w:eastAsia="宋体" w:cs="宋体"/>
                <w:color w:val="auto"/>
                <w:sz w:val="21"/>
                <w:szCs w:val="21"/>
                <w:lang w:val="en-US" w:eastAsia="zh-CN"/>
              </w:rPr>
              <w:t>计算机实验室</w:t>
            </w:r>
            <w:r>
              <w:rPr>
                <w:rFonts w:hint="eastAsia" w:ascii="宋体" w:hAnsi="宋体" w:eastAsia="宋体" w:cs="宋体"/>
                <w:color w:val="auto"/>
                <w:sz w:val="21"/>
                <w:szCs w:val="21"/>
              </w:rPr>
              <w:t>的整体设计方案，方案内容需包括：</w:t>
            </w:r>
          </w:p>
          <w:p w14:paraId="6C3E52E7">
            <w:pPr>
              <w:spacing w:line="240" w:lineRule="auto"/>
              <w:rPr>
                <w:rFonts w:hint="eastAsia" w:ascii="宋体" w:hAnsi="宋体" w:eastAsia="宋体" w:cs="宋体"/>
                <w:color w:val="auto"/>
                <w:sz w:val="21"/>
                <w:szCs w:val="21"/>
              </w:rPr>
            </w:pPr>
            <w:r>
              <w:rPr>
                <w:rFonts w:hint="eastAsia" w:ascii="宋体" w:hAnsi="宋体" w:eastAsia="宋体" w:cs="宋体"/>
                <w:color w:val="auto"/>
                <w:sz w:val="21"/>
                <w:szCs w:val="21"/>
              </w:rPr>
              <w:t>1、整体平面布置图（需与现场情况完全一致且包含招标文件中所有产品，</w:t>
            </w:r>
            <w:r>
              <w:rPr>
                <w:rFonts w:hint="eastAsia" w:ascii="宋体" w:hAnsi="宋体" w:eastAsia="宋体" w:cs="宋体"/>
                <w:color w:val="auto"/>
                <w:sz w:val="21"/>
                <w:szCs w:val="21"/>
                <w:lang w:val="en-US" w:eastAsia="zh-CN"/>
              </w:rPr>
              <w:t>平面布置图中的</w:t>
            </w:r>
            <w:r>
              <w:rPr>
                <w:rFonts w:hint="eastAsia" w:ascii="宋体" w:hAnsi="宋体" w:eastAsia="宋体" w:cs="宋体"/>
                <w:color w:val="auto"/>
                <w:sz w:val="21"/>
                <w:szCs w:val="21"/>
              </w:rPr>
              <w:t>产品尺寸与文件技术参数一致）；</w:t>
            </w:r>
          </w:p>
          <w:p w14:paraId="215F57D9">
            <w:pPr>
              <w:spacing w:line="240" w:lineRule="auto"/>
              <w:rPr>
                <w:rFonts w:hint="eastAsia" w:ascii="宋体" w:hAnsi="宋体" w:eastAsia="宋体" w:cs="宋体"/>
                <w:color w:val="auto"/>
                <w:sz w:val="21"/>
                <w:szCs w:val="21"/>
              </w:rPr>
            </w:pPr>
            <w:r>
              <w:rPr>
                <w:rFonts w:hint="eastAsia" w:ascii="宋体" w:hAnsi="宋体" w:eastAsia="宋体" w:cs="宋体"/>
                <w:color w:val="auto"/>
                <w:sz w:val="21"/>
                <w:szCs w:val="21"/>
              </w:rPr>
              <w:t>2、整体效果图（与整体平面布置图一一对应，含</w:t>
            </w:r>
            <w:r>
              <w:rPr>
                <w:rFonts w:hint="eastAsia" w:ascii="宋体" w:hAnsi="宋体" w:eastAsia="宋体" w:cs="宋体"/>
                <w:color w:val="auto"/>
                <w:sz w:val="21"/>
                <w:szCs w:val="21"/>
                <w:lang w:val="en-US" w:eastAsia="zh-CN"/>
              </w:rPr>
              <w:t>鸟瞰</w:t>
            </w:r>
            <w:r>
              <w:rPr>
                <w:rFonts w:hint="eastAsia" w:ascii="宋体" w:hAnsi="宋体" w:eastAsia="宋体" w:cs="宋体"/>
                <w:color w:val="auto"/>
                <w:sz w:val="21"/>
                <w:szCs w:val="21"/>
              </w:rPr>
              <w:t>、正视、局部特写图）不少于 3 张（未达到数量不得分）。</w:t>
            </w:r>
          </w:p>
          <w:p w14:paraId="2CC73162">
            <w:pPr>
              <w:spacing w:line="240" w:lineRule="auto"/>
              <w:rPr>
                <w:rFonts w:hint="eastAsia" w:ascii="宋体" w:hAnsi="宋体" w:eastAsia="宋体" w:cs="宋体"/>
                <w:b/>
                <w:bCs/>
                <w:color w:val="auto"/>
                <w:sz w:val="21"/>
                <w:szCs w:val="21"/>
              </w:rPr>
            </w:pPr>
            <w:r>
              <w:rPr>
                <w:rFonts w:hint="eastAsia" w:ascii="宋体" w:hAnsi="宋体" w:eastAsia="宋体" w:cs="宋体"/>
                <w:b/>
                <w:bCs/>
                <w:color w:val="auto"/>
                <w:sz w:val="21"/>
                <w:szCs w:val="21"/>
                <w:lang w:eastAsia="zh-CN"/>
              </w:rPr>
              <w:t>（</w:t>
            </w:r>
            <w:r>
              <w:rPr>
                <w:rFonts w:hint="eastAsia" w:ascii="宋体" w:hAnsi="宋体" w:eastAsia="宋体" w:cs="宋体"/>
                <w:b/>
                <w:bCs/>
                <w:color w:val="auto"/>
                <w:sz w:val="21"/>
                <w:szCs w:val="21"/>
                <w:lang w:val="en-US" w:eastAsia="zh-CN"/>
              </w:rPr>
              <w:t>二</w:t>
            </w:r>
            <w:r>
              <w:rPr>
                <w:rFonts w:hint="eastAsia" w:ascii="宋体" w:hAnsi="宋体" w:eastAsia="宋体" w:cs="宋体"/>
                <w:b/>
                <w:bCs/>
                <w:color w:val="auto"/>
                <w:sz w:val="21"/>
                <w:szCs w:val="21"/>
                <w:lang w:eastAsia="zh-CN"/>
              </w:rPr>
              <w:t>）</w:t>
            </w:r>
            <w:r>
              <w:rPr>
                <w:rFonts w:hint="eastAsia" w:ascii="宋体" w:hAnsi="宋体" w:eastAsia="宋体" w:cs="宋体"/>
                <w:b/>
                <w:bCs/>
                <w:color w:val="auto"/>
                <w:sz w:val="21"/>
                <w:szCs w:val="21"/>
              </w:rPr>
              <w:t>评分标准：</w:t>
            </w:r>
          </w:p>
          <w:p w14:paraId="05957E00">
            <w:pPr>
              <w:wordWrap w:val="0"/>
              <w:jc w:val="left"/>
              <w:rPr>
                <w:rFonts w:hint="eastAsia" w:ascii="宋体" w:hAnsi="宋体" w:eastAsia="宋体" w:cs="宋体"/>
                <w:color w:val="auto"/>
                <w:sz w:val="22"/>
                <w:szCs w:val="22"/>
              </w:rPr>
            </w:pPr>
            <w:r>
              <w:rPr>
                <w:rFonts w:hint="eastAsia" w:ascii="宋体" w:hAnsi="宋体" w:eastAsia="宋体" w:cs="宋体"/>
                <w:color w:val="auto"/>
                <w:sz w:val="22"/>
                <w:szCs w:val="22"/>
              </w:rPr>
              <w:t>1.效果图每包含以上1点内容且符合项目需求的，得</w:t>
            </w:r>
            <w:r>
              <w:rPr>
                <w:rFonts w:hint="eastAsia" w:ascii="宋体" w:hAnsi="宋体" w:eastAsia="宋体" w:cs="宋体"/>
                <w:color w:val="auto"/>
                <w:sz w:val="22"/>
                <w:szCs w:val="22"/>
                <w:lang w:val="en-US" w:eastAsia="zh-CN"/>
              </w:rPr>
              <w:t>5</w:t>
            </w:r>
            <w:r>
              <w:rPr>
                <w:rFonts w:hint="eastAsia" w:ascii="宋体" w:hAnsi="宋体" w:eastAsia="宋体" w:cs="宋体"/>
                <w:color w:val="auto"/>
                <w:sz w:val="22"/>
                <w:szCs w:val="22"/>
              </w:rPr>
              <w:t>分，本项最高得</w:t>
            </w:r>
            <w:r>
              <w:rPr>
                <w:rFonts w:hint="eastAsia" w:ascii="宋体" w:hAnsi="宋体" w:eastAsia="宋体" w:cs="宋体"/>
                <w:color w:val="auto"/>
                <w:sz w:val="22"/>
                <w:szCs w:val="22"/>
                <w:lang w:val="en-US" w:eastAsia="zh-CN"/>
              </w:rPr>
              <w:t>10</w:t>
            </w:r>
            <w:r>
              <w:rPr>
                <w:rFonts w:hint="eastAsia" w:ascii="宋体" w:hAnsi="宋体" w:eastAsia="宋体" w:cs="宋体"/>
                <w:color w:val="auto"/>
                <w:sz w:val="22"/>
                <w:szCs w:val="22"/>
              </w:rPr>
              <w:t>分。</w:t>
            </w:r>
          </w:p>
          <w:p w14:paraId="50B90568">
            <w:pPr>
              <w:spacing w:line="240" w:lineRule="auto"/>
              <w:rPr>
                <w:rFonts w:hint="eastAsia" w:ascii="宋体" w:hAnsi="宋体" w:eastAsia="宋体" w:cs="宋体"/>
                <w:color w:val="auto"/>
                <w:sz w:val="22"/>
                <w:szCs w:val="22"/>
              </w:rPr>
            </w:pPr>
            <w:r>
              <w:rPr>
                <w:rFonts w:hint="eastAsia" w:ascii="宋体" w:hAnsi="宋体" w:eastAsia="宋体" w:cs="宋体"/>
                <w:color w:val="auto"/>
                <w:sz w:val="21"/>
                <w:szCs w:val="21"/>
                <w:lang w:val="en-US" w:eastAsia="zh-CN"/>
              </w:rPr>
              <w:t>2.</w:t>
            </w:r>
            <w:r>
              <w:rPr>
                <w:rFonts w:hint="eastAsia" w:ascii="宋体" w:hAnsi="宋体" w:eastAsia="宋体" w:cs="宋体"/>
                <w:color w:val="auto"/>
                <w:sz w:val="22"/>
                <w:szCs w:val="22"/>
              </w:rPr>
              <w:t>在第1项的基础上，</w:t>
            </w:r>
            <w:r>
              <w:rPr>
                <w:rFonts w:hint="eastAsia" w:ascii="宋体" w:hAnsi="宋体" w:eastAsia="宋体" w:cs="宋体"/>
                <w:color w:val="auto"/>
                <w:sz w:val="21"/>
                <w:szCs w:val="21"/>
              </w:rPr>
              <w:t>评审委员会根据招标文件的需求和投标文件的响应情况，进行评价及分档评分：</w:t>
            </w:r>
          </w:p>
          <w:p w14:paraId="3FA05E19">
            <w:pPr>
              <w:spacing w:line="240" w:lineRule="auto"/>
              <w:rPr>
                <w:rFonts w:hint="eastAsia" w:ascii="宋体" w:hAnsi="宋体" w:eastAsia="宋体" w:cs="宋体"/>
                <w:color w:val="auto"/>
                <w:sz w:val="21"/>
                <w:szCs w:val="21"/>
              </w:rPr>
            </w:pPr>
            <w:r>
              <w:rPr>
                <w:rFonts w:hint="eastAsia" w:ascii="宋体" w:hAnsi="宋体" w:eastAsia="宋体" w:cs="宋体"/>
                <w:color w:val="auto"/>
                <w:sz w:val="21"/>
                <w:szCs w:val="21"/>
              </w:rPr>
              <w:t>（1）整体平面布置图布局合理，设计规范、完整、清晰准确，整体效果图设计整体功能展示正确，光线、材质逼真，结构、色彩搭配合理评审为优得</w:t>
            </w:r>
            <w:r>
              <w:rPr>
                <w:rFonts w:hint="eastAsia" w:ascii="宋体" w:hAnsi="宋体" w:eastAsia="宋体" w:cs="宋体"/>
                <w:color w:val="auto"/>
                <w:sz w:val="21"/>
                <w:szCs w:val="21"/>
                <w:lang w:val="en-US" w:eastAsia="zh-CN"/>
              </w:rPr>
              <w:t>90</w:t>
            </w:r>
            <w:r>
              <w:rPr>
                <w:rFonts w:hint="eastAsia" w:ascii="宋体" w:hAnsi="宋体" w:eastAsia="宋体" w:cs="宋体"/>
                <w:color w:val="auto"/>
                <w:sz w:val="21"/>
                <w:szCs w:val="21"/>
              </w:rPr>
              <w:t>分；</w:t>
            </w:r>
          </w:p>
          <w:p w14:paraId="44C66C46">
            <w:pPr>
              <w:spacing w:line="240" w:lineRule="auto"/>
              <w:rPr>
                <w:rFonts w:hint="eastAsia" w:ascii="宋体" w:hAnsi="宋体" w:eastAsia="宋体" w:cs="宋体"/>
                <w:color w:val="auto"/>
                <w:sz w:val="21"/>
                <w:szCs w:val="21"/>
              </w:rPr>
            </w:pPr>
            <w:r>
              <w:rPr>
                <w:rFonts w:hint="eastAsia" w:ascii="宋体" w:hAnsi="宋体" w:eastAsia="宋体" w:cs="宋体"/>
                <w:color w:val="auto"/>
                <w:sz w:val="21"/>
                <w:szCs w:val="21"/>
              </w:rPr>
              <w:t>（2）整体平面布置图布局较合理，设计较规范、完整、清晰准确，整体效果图设计整体功能展示正确，光线、材质较逼真，结构、色彩搭配较合理评审为良得</w:t>
            </w:r>
            <w:r>
              <w:rPr>
                <w:rFonts w:hint="eastAsia" w:ascii="宋体" w:hAnsi="宋体" w:eastAsia="宋体" w:cs="宋体"/>
                <w:color w:val="auto"/>
                <w:sz w:val="21"/>
                <w:szCs w:val="21"/>
                <w:lang w:val="en-US" w:eastAsia="zh-CN"/>
              </w:rPr>
              <w:t>50</w:t>
            </w:r>
            <w:r>
              <w:rPr>
                <w:rFonts w:hint="eastAsia" w:ascii="宋体" w:hAnsi="宋体" w:eastAsia="宋体" w:cs="宋体"/>
                <w:color w:val="auto"/>
                <w:sz w:val="21"/>
                <w:szCs w:val="21"/>
              </w:rPr>
              <w:t>分；</w:t>
            </w:r>
          </w:p>
          <w:p w14:paraId="04908171">
            <w:pPr>
              <w:spacing w:line="240" w:lineRule="auto"/>
              <w:rPr>
                <w:rFonts w:hint="eastAsia" w:ascii="宋体" w:hAnsi="宋体" w:eastAsia="宋体" w:cs="宋体"/>
                <w:color w:val="auto"/>
                <w:sz w:val="21"/>
                <w:szCs w:val="21"/>
              </w:rPr>
            </w:pPr>
            <w:r>
              <w:rPr>
                <w:rFonts w:hint="eastAsia" w:ascii="宋体" w:hAnsi="宋体" w:eastAsia="宋体" w:cs="宋体"/>
                <w:color w:val="auto"/>
                <w:sz w:val="21"/>
                <w:szCs w:val="21"/>
              </w:rPr>
              <w:t>（3）整体平面布置图布局基本合理，设计基本规范、完整、清晰准确，整体效果图设计整体功能展示正确，光线、材质逼真，结构、色彩搭配基本合理评审为中得</w:t>
            </w:r>
            <w:r>
              <w:rPr>
                <w:rFonts w:hint="eastAsia" w:ascii="宋体" w:hAnsi="宋体" w:eastAsia="宋体" w:cs="宋体"/>
                <w:color w:val="auto"/>
                <w:sz w:val="21"/>
                <w:szCs w:val="21"/>
                <w:lang w:val="en-US" w:eastAsia="zh-CN"/>
              </w:rPr>
              <w:t>30</w:t>
            </w:r>
            <w:r>
              <w:rPr>
                <w:rFonts w:hint="eastAsia" w:ascii="宋体" w:hAnsi="宋体" w:eastAsia="宋体" w:cs="宋体"/>
                <w:color w:val="auto"/>
                <w:sz w:val="21"/>
                <w:szCs w:val="21"/>
              </w:rPr>
              <w:t>分；</w:t>
            </w:r>
          </w:p>
          <w:p w14:paraId="71E94B40">
            <w:pPr>
              <w:spacing w:line="240" w:lineRule="auto"/>
              <w:rPr>
                <w:rFonts w:asciiTheme="minorHAnsi" w:hAnsiTheme="minorHAnsi" w:eastAsiaTheme="minorEastAsia" w:cstheme="minorBidi"/>
                <w:color w:val="auto"/>
                <w:kern w:val="2"/>
                <w:sz w:val="21"/>
                <w:szCs w:val="22"/>
                <w:lang w:val="en-US" w:eastAsia="zh-CN" w:bidi="ar-SA"/>
              </w:rPr>
            </w:pPr>
            <w:r>
              <w:rPr>
                <w:rFonts w:hint="eastAsia" w:ascii="宋体" w:hAnsi="宋体" w:eastAsia="宋体" w:cs="宋体"/>
                <w:color w:val="auto"/>
                <w:sz w:val="21"/>
                <w:szCs w:val="21"/>
              </w:rPr>
              <w:t>(4）上述情况之外评价为差不得分，未提供或未按要求提供或提供不清晰导致专家无法判断的均不得分。</w:t>
            </w:r>
          </w:p>
        </w:tc>
      </w:tr>
      <w:tr w14:paraId="501D174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jc w:val="center"/>
        </w:trPr>
        <w:tc>
          <w:tcPr>
            <w:tcW w:w="427" w:type="dxa"/>
            <w:vMerge w:val="continue"/>
            <w:tcBorders>
              <w:left w:val="single" w:color="000000" w:sz="8" w:space="0"/>
              <w:right w:val="single" w:color="000000" w:sz="8" w:space="0"/>
            </w:tcBorders>
            <w:shd w:val="clear" w:color="auto" w:fill="FFFFFF" w:themeFill="background1"/>
            <w:vAlign w:val="center"/>
          </w:tcPr>
          <w:p w14:paraId="000252AF">
            <w:pPr>
              <w:snapToGrid w:val="0"/>
              <w:rPr>
                <w:rFonts w:ascii="Times New Roman" w:hAnsi="Times New Roman" w:eastAsia="宋体" w:cs="宋体"/>
                <w:b/>
                <w:bCs/>
                <w:color w:val="auto"/>
                <w:szCs w:val="21"/>
              </w:rPr>
            </w:pPr>
          </w:p>
        </w:tc>
        <w:tc>
          <w:tcPr>
            <w:tcW w:w="426"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15C2522D">
            <w:pPr>
              <w:spacing w:line="240" w:lineRule="exact"/>
              <w:jc w:val="center"/>
              <w:rPr>
                <w:rFonts w:hint="default" w:ascii="宋体" w:hAnsi="宋体"/>
                <w:color w:val="auto"/>
                <w:szCs w:val="21"/>
                <w:lang w:val="en-US" w:eastAsia="zh-CN"/>
              </w:rPr>
            </w:pPr>
            <w:r>
              <w:rPr>
                <w:rFonts w:hint="eastAsia" w:ascii="宋体" w:hAnsi="宋体"/>
                <w:color w:val="auto"/>
                <w:szCs w:val="21"/>
                <w:lang w:val="en-US" w:eastAsia="zh-CN"/>
              </w:rPr>
              <w:t>6</w:t>
            </w:r>
          </w:p>
        </w:tc>
        <w:tc>
          <w:tcPr>
            <w:tcW w:w="2068"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0020CB2F">
            <w:pPr>
              <w:spacing w:line="240" w:lineRule="exact"/>
              <w:jc w:val="center"/>
              <w:rPr>
                <w:rFonts w:hint="eastAsia" w:ascii="宋体" w:hAnsi="宋体" w:cs="宋体" w:eastAsiaTheme="minorEastAsia"/>
                <w:color w:val="auto"/>
                <w:kern w:val="2"/>
                <w:sz w:val="21"/>
                <w:szCs w:val="21"/>
                <w:lang w:val="en-US" w:eastAsia="zh-CN" w:bidi="ar-SA"/>
              </w:rPr>
            </w:pPr>
            <w:r>
              <w:rPr>
                <w:rFonts w:hint="eastAsia" w:ascii="宋体" w:hAnsi="宋体" w:cs="宋体"/>
                <w:color w:val="auto"/>
                <w:szCs w:val="21"/>
                <w:lang w:val="en-US" w:eastAsia="zh-CN"/>
              </w:rPr>
              <w:t>售后服务</w:t>
            </w:r>
          </w:p>
        </w:tc>
        <w:tc>
          <w:tcPr>
            <w:tcW w:w="749"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7DF99477">
            <w:pPr>
              <w:spacing w:line="240" w:lineRule="exact"/>
              <w:jc w:val="center"/>
              <w:rPr>
                <w:rFonts w:hint="eastAsia" w:ascii="宋体" w:hAnsi="宋体" w:cs="宋体"/>
                <w:color w:val="auto"/>
                <w:szCs w:val="21"/>
                <w:lang w:val="en-US" w:eastAsia="zh-CN"/>
              </w:rPr>
            </w:pPr>
            <w:r>
              <w:rPr>
                <w:rFonts w:hint="eastAsia" w:ascii="宋体" w:hAnsi="宋体" w:cs="宋体"/>
                <w:color w:val="auto"/>
                <w:szCs w:val="21"/>
                <w:lang w:val="en-US" w:eastAsia="zh-CN"/>
              </w:rPr>
              <w:t>5</w:t>
            </w:r>
          </w:p>
        </w:tc>
        <w:tc>
          <w:tcPr>
            <w:tcW w:w="5402"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07FFECFE">
            <w:pPr>
              <w:keepNext w:val="0"/>
              <w:keepLines w:val="0"/>
              <w:pageBreakBefore w:val="0"/>
              <w:numPr>
                <w:ilvl w:val="0"/>
                <w:numId w:val="0"/>
              </w:numPr>
              <w:suppressLineNumbers w:val="0"/>
              <w:kinsoku/>
              <w:wordWrap w:val="0"/>
              <w:overflowPunct/>
              <w:topLinePunct w:val="0"/>
              <w:bidi w:val="0"/>
              <w:adjustRightInd/>
              <w:spacing w:before="0" w:beforeAutospacing="0" w:after="0" w:afterAutospacing="0" w:line="240" w:lineRule="auto"/>
              <w:ind w:left="0" w:leftChars="0" w:right="0" w:firstLine="0" w:firstLineChars="0"/>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（一）考察内容：</w:t>
            </w:r>
          </w:p>
          <w:p w14:paraId="06787848">
            <w:pPr>
              <w:keepNext w:val="0"/>
              <w:keepLines w:val="0"/>
              <w:pageBreakBefore w:val="0"/>
              <w:numPr>
                <w:ilvl w:val="0"/>
                <w:numId w:val="0"/>
              </w:numPr>
              <w:suppressLineNumbers w:val="0"/>
              <w:kinsoku/>
              <w:wordWrap w:val="0"/>
              <w:overflowPunct/>
              <w:topLinePunct w:val="0"/>
              <w:bidi w:val="0"/>
              <w:adjustRightInd/>
              <w:spacing w:before="0" w:beforeAutospacing="0" w:after="0" w:afterAutospacing="0" w:line="240" w:lineRule="auto"/>
              <w:ind w:left="0" w:leftChars="0" w:right="0" w:firstLine="0" w:firstLineChars="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根据投标人提供的售后服务方案进行评审，投标人需针对本项目提供售后服务方案，方案内容需包括：</w:t>
            </w:r>
          </w:p>
          <w:p w14:paraId="7A112FD9">
            <w:pPr>
              <w:keepNext w:val="0"/>
              <w:keepLines w:val="0"/>
              <w:pageBreakBefore w:val="0"/>
              <w:numPr>
                <w:ilvl w:val="0"/>
                <w:numId w:val="0"/>
              </w:numPr>
              <w:suppressLineNumbers w:val="0"/>
              <w:kinsoku/>
              <w:wordWrap w:val="0"/>
              <w:overflowPunct/>
              <w:topLinePunct w:val="0"/>
              <w:bidi w:val="0"/>
              <w:adjustRightInd/>
              <w:spacing w:before="0" w:beforeAutospacing="0" w:after="0" w:afterAutospacing="0" w:line="240" w:lineRule="auto"/>
              <w:ind w:left="0" w:leftChars="0" w:right="0" w:firstLine="0" w:firstLineChars="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（1）售后服务体系内容；</w:t>
            </w:r>
          </w:p>
          <w:p w14:paraId="4D8A4996">
            <w:pPr>
              <w:keepNext w:val="0"/>
              <w:keepLines w:val="0"/>
              <w:pageBreakBefore w:val="0"/>
              <w:numPr>
                <w:ilvl w:val="0"/>
                <w:numId w:val="0"/>
              </w:numPr>
              <w:suppressLineNumbers w:val="0"/>
              <w:kinsoku/>
              <w:wordWrap w:val="0"/>
              <w:overflowPunct/>
              <w:topLinePunct w:val="0"/>
              <w:bidi w:val="0"/>
              <w:adjustRightInd/>
              <w:spacing w:before="0" w:beforeAutospacing="0" w:after="0" w:afterAutospacing="0" w:line="240" w:lineRule="auto"/>
              <w:ind w:left="0" w:leftChars="0" w:right="0" w:firstLine="0" w:firstLineChars="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（2）培训方案等。</w:t>
            </w:r>
          </w:p>
          <w:p w14:paraId="3EB7E157">
            <w:pPr>
              <w:keepNext w:val="0"/>
              <w:keepLines w:val="0"/>
              <w:pageBreakBefore w:val="0"/>
              <w:numPr>
                <w:ilvl w:val="0"/>
                <w:numId w:val="0"/>
              </w:numPr>
              <w:suppressLineNumbers w:val="0"/>
              <w:kinsoku/>
              <w:wordWrap w:val="0"/>
              <w:overflowPunct/>
              <w:topLinePunct w:val="0"/>
              <w:bidi w:val="0"/>
              <w:adjustRightInd/>
              <w:spacing w:before="0" w:beforeAutospacing="0" w:after="0" w:afterAutospacing="0" w:line="240" w:lineRule="auto"/>
              <w:ind w:left="0" w:leftChars="0" w:right="0" w:firstLine="0" w:firstLineChars="0"/>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（二）评审标准：</w:t>
            </w:r>
          </w:p>
          <w:p w14:paraId="0F8232E9">
            <w:pPr>
              <w:wordWrap w:val="0"/>
              <w:jc w:val="left"/>
              <w:rPr>
                <w:rFonts w:hint="eastAsia" w:ascii="宋体" w:hAnsi="宋体" w:eastAsia="宋体" w:cs="宋体"/>
                <w:color w:val="auto"/>
                <w:sz w:val="22"/>
                <w:szCs w:val="22"/>
              </w:rPr>
            </w:pPr>
            <w:r>
              <w:rPr>
                <w:rFonts w:hint="eastAsia" w:ascii="宋体" w:hAnsi="宋体" w:eastAsia="宋体" w:cs="宋体"/>
                <w:color w:val="auto"/>
                <w:sz w:val="22"/>
                <w:szCs w:val="22"/>
              </w:rPr>
              <w:t>1.</w:t>
            </w:r>
            <w:r>
              <w:rPr>
                <w:rFonts w:hint="eastAsia" w:ascii="宋体" w:hAnsi="宋体" w:eastAsia="宋体" w:cs="宋体"/>
                <w:color w:val="auto"/>
                <w:sz w:val="22"/>
                <w:szCs w:val="22"/>
                <w:lang w:val="en-US" w:eastAsia="zh-CN"/>
              </w:rPr>
              <w:t>售后服务</w:t>
            </w:r>
            <w:r>
              <w:rPr>
                <w:rFonts w:hint="eastAsia" w:ascii="宋体" w:hAnsi="宋体" w:eastAsia="宋体" w:cs="宋体"/>
                <w:color w:val="auto"/>
                <w:sz w:val="22"/>
                <w:szCs w:val="22"/>
              </w:rPr>
              <w:t>每包含以上1点内容且符合项目需求的，得</w:t>
            </w:r>
            <w:r>
              <w:rPr>
                <w:rFonts w:hint="eastAsia" w:ascii="宋体" w:hAnsi="宋体" w:eastAsia="宋体" w:cs="宋体"/>
                <w:color w:val="auto"/>
                <w:sz w:val="22"/>
                <w:szCs w:val="22"/>
                <w:lang w:val="en-US" w:eastAsia="zh-CN"/>
              </w:rPr>
              <w:t>5</w:t>
            </w:r>
            <w:r>
              <w:rPr>
                <w:rFonts w:hint="eastAsia" w:ascii="宋体" w:hAnsi="宋体" w:eastAsia="宋体" w:cs="宋体"/>
                <w:color w:val="auto"/>
                <w:sz w:val="22"/>
                <w:szCs w:val="22"/>
              </w:rPr>
              <w:t>分，本项最高得</w:t>
            </w:r>
            <w:r>
              <w:rPr>
                <w:rFonts w:hint="eastAsia" w:ascii="宋体" w:hAnsi="宋体" w:eastAsia="宋体" w:cs="宋体"/>
                <w:color w:val="auto"/>
                <w:sz w:val="22"/>
                <w:szCs w:val="22"/>
                <w:lang w:val="en-US" w:eastAsia="zh-CN"/>
              </w:rPr>
              <w:t>10</w:t>
            </w:r>
            <w:r>
              <w:rPr>
                <w:rFonts w:hint="eastAsia" w:ascii="宋体" w:hAnsi="宋体" w:eastAsia="宋体" w:cs="宋体"/>
                <w:color w:val="auto"/>
                <w:sz w:val="22"/>
                <w:szCs w:val="22"/>
              </w:rPr>
              <w:t>分。</w:t>
            </w:r>
          </w:p>
          <w:p w14:paraId="76915ECD">
            <w:pPr>
              <w:spacing w:line="240" w:lineRule="auto"/>
              <w:rPr>
                <w:rFonts w:hint="eastAsia" w:ascii="宋体" w:hAnsi="宋体" w:eastAsia="宋体" w:cs="宋体"/>
                <w:color w:val="auto"/>
                <w:sz w:val="22"/>
                <w:szCs w:val="22"/>
              </w:rPr>
            </w:pPr>
            <w:r>
              <w:rPr>
                <w:rFonts w:hint="eastAsia" w:ascii="宋体" w:hAnsi="宋体" w:eastAsia="宋体" w:cs="宋体"/>
                <w:color w:val="auto"/>
                <w:sz w:val="21"/>
                <w:szCs w:val="21"/>
                <w:lang w:val="en-US" w:eastAsia="zh-CN"/>
              </w:rPr>
              <w:t>2.</w:t>
            </w:r>
            <w:r>
              <w:rPr>
                <w:rFonts w:hint="eastAsia" w:ascii="宋体" w:hAnsi="宋体" w:eastAsia="宋体" w:cs="宋体"/>
                <w:color w:val="auto"/>
                <w:sz w:val="22"/>
                <w:szCs w:val="22"/>
              </w:rPr>
              <w:t>在第1项的基础上，</w:t>
            </w:r>
            <w:r>
              <w:rPr>
                <w:rFonts w:hint="eastAsia" w:ascii="宋体" w:hAnsi="宋体" w:eastAsia="宋体" w:cs="宋体"/>
                <w:color w:val="auto"/>
                <w:sz w:val="21"/>
                <w:szCs w:val="21"/>
              </w:rPr>
              <w:t>评审委员会根据招标文件的需求和投标文件的响应情况，进行评价及分档评分：</w:t>
            </w:r>
          </w:p>
          <w:p w14:paraId="6E87C51F">
            <w:pPr>
              <w:keepNext w:val="0"/>
              <w:keepLines w:val="0"/>
              <w:pageBreakBefore w:val="0"/>
              <w:numPr>
                <w:ilvl w:val="0"/>
                <w:numId w:val="0"/>
              </w:numPr>
              <w:suppressLineNumbers w:val="0"/>
              <w:kinsoku/>
              <w:wordWrap w:val="0"/>
              <w:overflowPunct/>
              <w:topLinePunct w:val="0"/>
              <w:bidi w:val="0"/>
              <w:adjustRightInd/>
              <w:spacing w:before="0" w:beforeAutospacing="0" w:after="0" w:afterAutospacing="0" w:line="240" w:lineRule="auto"/>
              <w:ind w:left="0" w:leftChars="0" w:right="0" w:firstLine="0" w:firstLineChars="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（1）方案较全面具体，整体科学合理，针对性强，可操作性强，条理非常清晰的评审为优得90分；</w:t>
            </w:r>
          </w:p>
          <w:p w14:paraId="437A2AD9">
            <w:pPr>
              <w:keepNext w:val="0"/>
              <w:keepLines w:val="0"/>
              <w:pageBreakBefore w:val="0"/>
              <w:numPr>
                <w:ilvl w:val="0"/>
                <w:numId w:val="0"/>
              </w:numPr>
              <w:suppressLineNumbers w:val="0"/>
              <w:kinsoku/>
              <w:wordWrap w:val="0"/>
              <w:overflowPunct/>
              <w:topLinePunct w:val="0"/>
              <w:bidi w:val="0"/>
              <w:adjustRightInd/>
              <w:spacing w:before="0" w:beforeAutospacing="0" w:after="0" w:afterAutospacing="0" w:line="240" w:lineRule="auto"/>
              <w:ind w:left="0" w:leftChars="0" w:right="0" w:firstLine="0" w:firstLineChars="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（2）方案全面具体，整体较为科学合理，针对性较强，可操作性较强，条理较为清晰的评审为良得50分；</w:t>
            </w:r>
          </w:p>
          <w:p w14:paraId="36918E94">
            <w:pPr>
              <w:keepNext w:val="0"/>
              <w:keepLines w:val="0"/>
              <w:pageBreakBefore w:val="0"/>
              <w:numPr>
                <w:ilvl w:val="0"/>
                <w:numId w:val="0"/>
              </w:numPr>
              <w:suppressLineNumbers w:val="0"/>
              <w:kinsoku/>
              <w:wordWrap w:val="0"/>
              <w:overflowPunct/>
              <w:topLinePunct w:val="0"/>
              <w:bidi w:val="0"/>
              <w:adjustRightInd/>
              <w:spacing w:before="0" w:beforeAutospacing="0" w:after="0" w:afterAutospacing="0" w:line="240" w:lineRule="auto"/>
              <w:ind w:left="0" w:leftChars="0" w:right="0" w:firstLine="0" w:firstLineChars="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（3）方案基本上全面具体，整体上基本科学合理，针对性和可操作性基本符合要求的评审为中得30分；</w:t>
            </w:r>
          </w:p>
          <w:p w14:paraId="0CC72D02">
            <w:pPr>
              <w:spacing w:line="240" w:lineRule="auto"/>
              <w:rPr>
                <w:rFonts w:hint="eastAsia" w:ascii="宋体" w:hAnsi="宋体" w:eastAsiaTheme="minorEastAsia" w:cstheme="minorBidi"/>
                <w:color w:val="auto"/>
                <w:kern w:val="2"/>
                <w:sz w:val="21"/>
                <w:szCs w:val="21"/>
                <w:lang w:val="en-US" w:eastAsia="zh-CN" w:bidi="ar-SA"/>
              </w:rPr>
            </w:pPr>
            <w:r>
              <w:rPr>
                <w:rFonts w:hint="eastAsia" w:ascii="宋体" w:hAnsi="宋体" w:eastAsia="宋体" w:cs="宋体"/>
                <w:color w:val="auto"/>
                <w:sz w:val="21"/>
                <w:szCs w:val="21"/>
                <w:lang w:val="en-US" w:eastAsia="zh-CN"/>
              </w:rPr>
              <w:t>(4）上述情况之外评价为差不得分，未提供或未按要求提供或提供不清晰导致专家无法判断的均不得分。</w:t>
            </w:r>
          </w:p>
        </w:tc>
      </w:tr>
      <w:tr w14:paraId="1CA0BFB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jc w:val="center"/>
        </w:trPr>
        <w:tc>
          <w:tcPr>
            <w:tcW w:w="427" w:type="dxa"/>
            <w:vMerge w:val="restart"/>
            <w:tcBorders>
              <w:top w:val="single" w:color="000000" w:sz="8" w:space="0"/>
              <w:left w:val="single" w:color="000000" w:sz="8" w:space="0"/>
              <w:right w:val="single" w:color="000000" w:sz="8" w:space="0"/>
            </w:tcBorders>
            <w:shd w:val="clear" w:color="auto" w:fill="FFFFFF" w:themeFill="background1"/>
          </w:tcPr>
          <w:p w14:paraId="7735886F">
            <w:pPr>
              <w:snapToGrid w:val="0"/>
              <w:jc w:val="center"/>
              <w:rPr>
                <w:rFonts w:ascii="Times New Roman" w:hAnsi="Times New Roman" w:eastAsia="宋体" w:cs="宋体"/>
                <w:b/>
                <w:bCs/>
                <w:color w:val="auto"/>
                <w:szCs w:val="21"/>
              </w:rPr>
            </w:pPr>
            <w:r>
              <w:rPr>
                <w:rFonts w:hint="eastAsia" w:ascii="Times New Roman" w:hAnsi="Times New Roman" w:eastAsia="宋体" w:cs="宋体"/>
                <w:b/>
                <w:bCs/>
                <w:color w:val="auto"/>
                <w:szCs w:val="21"/>
              </w:rPr>
              <w:t>3</w:t>
            </w:r>
          </w:p>
        </w:tc>
        <w:tc>
          <w:tcPr>
            <w:tcW w:w="3243" w:type="dxa"/>
            <w:gridSpan w:val="3"/>
            <w:tcBorders>
              <w:top w:val="single" w:color="000000" w:sz="8" w:space="0"/>
              <w:left w:val="single" w:color="000000" w:sz="8" w:space="0"/>
              <w:bottom w:val="single" w:color="000000" w:sz="8" w:space="0"/>
              <w:right w:val="single" w:color="000000" w:sz="8" w:space="0"/>
            </w:tcBorders>
            <w:shd w:val="clear" w:color="auto" w:fill="FFFFFF" w:themeFill="background1"/>
          </w:tcPr>
          <w:p w14:paraId="716F52C1">
            <w:pPr>
              <w:snapToGrid w:val="0"/>
              <w:jc w:val="center"/>
              <w:rPr>
                <w:rFonts w:ascii="Times New Roman" w:hAnsi="Times New Roman" w:eastAsia="宋体" w:cs="宋体"/>
                <w:b/>
                <w:bCs/>
                <w:color w:val="auto"/>
                <w:szCs w:val="21"/>
              </w:rPr>
            </w:pPr>
            <w:r>
              <w:rPr>
                <w:rFonts w:hint="eastAsia" w:ascii="Times New Roman" w:hAnsi="Times New Roman" w:eastAsia="宋体"/>
                <w:b/>
                <w:bCs/>
                <w:color w:val="auto"/>
                <w:szCs w:val="21"/>
              </w:rPr>
              <w:t>商务</w:t>
            </w:r>
            <w:r>
              <w:rPr>
                <w:rFonts w:hint="eastAsia" w:ascii="Times New Roman" w:hAnsi="Times New Roman" w:eastAsia="宋体" w:cs="宋体"/>
                <w:b/>
                <w:bCs/>
                <w:color w:val="auto"/>
                <w:szCs w:val="21"/>
              </w:rPr>
              <w:t>部分</w:t>
            </w:r>
          </w:p>
        </w:tc>
        <w:tc>
          <w:tcPr>
            <w:tcW w:w="5402" w:type="dxa"/>
            <w:tcBorders>
              <w:top w:val="single" w:color="000000" w:sz="8" w:space="0"/>
              <w:left w:val="single" w:color="000000" w:sz="8" w:space="0"/>
              <w:bottom w:val="single" w:color="000000" w:sz="8" w:space="0"/>
              <w:right w:val="single" w:color="000000" w:sz="8" w:space="0"/>
            </w:tcBorders>
            <w:shd w:val="clear" w:color="auto" w:fill="FFFFFF" w:themeFill="background1"/>
          </w:tcPr>
          <w:p w14:paraId="327F9EEA">
            <w:pPr>
              <w:snapToGrid w:val="0"/>
              <w:jc w:val="center"/>
              <w:rPr>
                <w:rFonts w:hint="default" w:ascii="Times New Roman" w:hAnsi="Times New Roman" w:eastAsia="宋体" w:cs="宋体"/>
                <w:b/>
                <w:bCs/>
                <w:color w:val="auto"/>
                <w:szCs w:val="21"/>
                <w:lang w:val="en-US" w:eastAsia="zh-CN"/>
              </w:rPr>
            </w:pPr>
            <w:r>
              <w:rPr>
                <w:rFonts w:hint="eastAsia" w:ascii="Times New Roman" w:hAnsi="Times New Roman" w:eastAsia="宋体" w:cs="宋体"/>
                <w:b/>
                <w:bCs/>
                <w:color w:val="auto"/>
                <w:szCs w:val="21"/>
                <w:lang w:val="en-US" w:eastAsia="zh-CN"/>
              </w:rPr>
              <w:t>15</w:t>
            </w:r>
          </w:p>
        </w:tc>
      </w:tr>
      <w:tr w14:paraId="6154AEF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jc w:val="center"/>
        </w:trPr>
        <w:tc>
          <w:tcPr>
            <w:tcW w:w="427" w:type="dxa"/>
            <w:vMerge w:val="continue"/>
            <w:tcBorders>
              <w:left w:val="single" w:color="000000" w:sz="8" w:space="0"/>
              <w:right w:val="single" w:color="000000" w:sz="8" w:space="0"/>
            </w:tcBorders>
            <w:shd w:val="clear" w:color="auto" w:fill="FFFFFF" w:themeFill="background1"/>
            <w:vAlign w:val="center"/>
          </w:tcPr>
          <w:p w14:paraId="24D6A912">
            <w:pPr>
              <w:snapToGrid w:val="0"/>
              <w:rPr>
                <w:rFonts w:ascii="Times New Roman" w:hAnsi="Times New Roman" w:eastAsia="宋体" w:cs="宋体"/>
                <w:b/>
                <w:bCs/>
                <w:color w:val="auto"/>
                <w:szCs w:val="21"/>
              </w:rPr>
            </w:pPr>
          </w:p>
        </w:tc>
        <w:tc>
          <w:tcPr>
            <w:tcW w:w="426" w:type="dxa"/>
            <w:tcBorders>
              <w:top w:val="outset" w:color="000000" w:sz="6" w:space="0"/>
              <w:left w:val="outset" w:color="000000" w:sz="6" w:space="0"/>
              <w:bottom w:val="outset" w:color="000000" w:sz="6" w:space="0"/>
              <w:right w:val="outset" w:color="000000" w:sz="6" w:space="0"/>
            </w:tcBorders>
            <w:shd w:val="clear" w:color="auto" w:fill="FFFFFF" w:themeFill="background1"/>
            <w:vAlign w:val="center"/>
          </w:tcPr>
          <w:p w14:paraId="161679AD">
            <w:pPr>
              <w:snapToGrid w:val="0"/>
              <w:jc w:val="center"/>
              <w:rPr>
                <w:rFonts w:ascii="Times New Roman" w:hAnsi="Times New Roman" w:eastAsia="宋体" w:cs="宋体"/>
                <w:color w:val="auto"/>
                <w:szCs w:val="21"/>
              </w:rPr>
            </w:pPr>
            <w:r>
              <w:rPr>
                <w:rFonts w:hint="eastAsia" w:ascii="Times New Roman" w:hAnsi="Times New Roman" w:eastAsia="宋体" w:cs="宋体"/>
                <w:color w:val="auto"/>
                <w:szCs w:val="21"/>
              </w:rPr>
              <w:t>序号</w:t>
            </w:r>
          </w:p>
        </w:tc>
        <w:tc>
          <w:tcPr>
            <w:tcW w:w="2068" w:type="dxa"/>
            <w:tcBorders>
              <w:top w:val="outset" w:color="000000" w:sz="6" w:space="0"/>
              <w:left w:val="outset" w:color="000000" w:sz="6" w:space="0"/>
              <w:bottom w:val="outset" w:color="000000" w:sz="6" w:space="0"/>
              <w:right w:val="outset" w:color="000000" w:sz="6" w:space="0"/>
            </w:tcBorders>
            <w:shd w:val="clear" w:color="auto" w:fill="FFFFFF" w:themeFill="background1"/>
            <w:vAlign w:val="center"/>
          </w:tcPr>
          <w:p w14:paraId="42061CC5">
            <w:pPr>
              <w:snapToGrid w:val="0"/>
              <w:jc w:val="center"/>
              <w:rPr>
                <w:rFonts w:ascii="Times New Roman" w:hAnsi="Times New Roman" w:eastAsia="宋体" w:cs="宋体"/>
                <w:color w:val="auto"/>
                <w:szCs w:val="21"/>
              </w:rPr>
            </w:pPr>
            <w:r>
              <w:rPr>
                <w:rFonts w:hint="eastAsia" w:ascii="Times New Roman" w:hAnsi="Times New Roman" w:eastAsia="宋体" w:cs="宋体"/>
                <w:color w:val="auto"/>
                <w:szCs w:val="21"/>
              </w:rPr>
              <w:t>评分因素</w:t>
            </w:r>
          </w:p>
        </w:tc>
        <w:tc>
          <w:tcPr>
            <w:tcW w:w="749" w:type="dxa"/>
            <w:tcBorders>
              <w:top w:val="outset" w:color="000000" w:sz="6" w:space="0"/>
              <w:left w:val="outset" w:color="000000" w:sz="6" w:space="0"/>
              <w:bottom w:val="outset" w:color="000000" w:sz="6" w:space="0"/>
              <w:right w:val="outset" w:color="000000" w:sz="6" w:space="0"/>
            </w:tcBorders>
            <w:shd w:val="clear" w:color="auto" w:fill="FFFFFF" w:themeFill="background1"/>
            <w:vAlign w:val="center"/>
          </w:tcPr>
          <w:p w14:paraId="650852BE">
            <w:pPr>
              <w:snapToGrid w:val="0"/>
              <w:jc w:val="center"/>
              <w:rPr>
                <w:rFonts w:ascii="Times New Roman" w:hAnsi="Times New Roman" w:eastAsia="宋体" w:cs="宋体"/>
                <w:color w:val="auto"/>
                <w:szCs w:val="21"/>
              </w:rPr>
            </w:pPr>
            <w:r>
              <w:rPr>
                <w:rFonts w:hint="eastAsia" w:ascii="Times New Roman" w:hAnsi="Times New Roman" w:eastAsia="宋体" w:cs="宋体"/>
                <w:color w:val="auto"/>
                <w:szCs w:val="21"/>
              </w:rPr>
              <w:t>权重</w:t>
            </w:r>
            <w:r>
              <w:rPr>
                <w:rFonts w:hint="eastAsia" w:ascii="Times New Roman" w:hAnsi="Times New Roman" w:eastAsia="宋体" w:cs="宋体"/>
                <w:bCs/>
                <w:color w:val="auto"/>
                <w:szCs w:val="21"/>
              </w:rPr>
              <w:t>（%）</w:t>
            </w:r>
          </w:p>
        </w:tc>
        <w:tc>
          <w:tcPr>
            <w:tcW w:w="5402" w:type="dxa"/>
            <w:tcBorders>
              <w:top w:val="outset" w:color="000000" w:sz="6" w:space="0"/>
              <w:left w:val="outset" w:color="000000" w:sz="6" w:space="0"/>
              <w:bottom w:val="outset" w:color="000000" w:sz="6" w:space="0"/>
              <w:right w:val="outset" w:color="000000" w:sz="6" w:space="0"/>
            </w:tcBorders>
            <w:shd w:val="clear" w:color="auto" w:fill="FFFFFF" w:themeFill="background1"/>
            <w:vAlign w:val="center"/>
          </w:tcPr>
          <w:p w14:paraId="767E5D42">
            <w:pPr>
              <w:snapToGrid w:val="0"/>
              <w:jc w:val="center"/>
              <w:rPr>
                <w:rFonts w:ascii="Times New Roman" w:hAnsi="Times New Roman" w:eastAsia="宋体" w:cs="宋体"/>
                <w:color w:val="auto"/>
                <w:szCs w:val="21"/>
              </w:rPr>
            </w:pPr>
            <w:r>
              <w:rPr>
                <w:rFonts w:hint="eastAsia" w:ascii="Times New Roman" w:hAnsi="Times New Roman" w:eastAsia="宋体" w:cs="宋体"/>
                <w:color w:val="auto"/>
                <w:szCs w:val="21"/>
              </w:rPr>
              <w:t>评分准则</w:t>
            </w:r>
          </w:p>
        </w:tc>
      </w:tr>
      <w:tr w14:paraId="66F07F9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jc w:val="center"/>
        </w:trPr>
        <w:tc>
          <w:tcPr>
            <w:tcW w:w="427" w:type="dxa"/>
            <w:vMerge w:val="continue"/>
            <w:tcBorders>
              <w:left w:val="single" w:color="000000" w:sz="8" w:space="0"/>
              <w:right w:val="single" w:color="000000" w:sz="8" w:space="0"/>
            </w:tcBorders>
            <w:shd w:val="clear" w:color="auto" w:fill="FFFFFF" w:themeFill="background1"/>
            <w:vAlign w:val="center"/>
          </w:tcPr>
          <w:p w14:paraId="031AC360">
            <w:pPr>
              <w:snapToGrid w:val="0"/>
              <w:rPr>
                <w:rFonts w:ascii="Times New Roman" w:hAnsi="Times New Roman" w:eastAsia="宋体" w:cs="宋体"/>
                <w:b/>
                <w:bCs/>
                <w:color w:val="auto"/>
                <w:szCs w:val="21"/>
              </w:rPr>
            </w:pPr>
          </w:p>
        </w:tc>
        <w:tc>
          <w:tcPr>
            <w:tcW w:w="426"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6F82C4DA">
            <w:pPr>
              <w:spacing w:line="240" w:lineRule="exact"/>
              <w:jc w:val="center"/>
              <w:rPr>
                <w:rFonts w:ascii="宋体" w:hAnsi="宋体" w:eastAsiaTheme="minorEastAsia" w:cstheme="minorBidi"/>
                <w:color w:val="auto"/>
                <w:kern w:val="2"/>
                <w:sz w:val="21"/>
                <w:szCs w:val="21"/>
                <w:lang w:val="en-US" w:eastAsia="zh-CN" w:bidi="ar-SA"/>
              </w:rPr>
            </w:pPr>
            <w:r>
              <w:rPr>
                <w:rFonts w:ascii="宋体" w:hAnsi="宋体"/>
                <w:color w:val="auto"/>
                <w:szCs w:val="21"/>
              </w:rPr>
              <w:t>1</w:t>
            </w:r>
          </w:p>
        </w:tc>
        <w:tc>
          <w:tcPr>
            <w:tcW w:w="2068"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2B377AD7">
            <w:pPr>
              <w:spacing w:line="240" w:lineRule="exact"/>
              <w:jc w:val="center"/>
              <w:rPr>
                <w:rFonts w:ascii="宋体" w:hAnsi="宋体" w:eastAsiaTheme="minorEastAsia" w:cstheme="minorBidi"/>
                <w:color w:val="auto"/>
                <w:kern w:val="2"/>
                <w:sz w:val="21"/>
                <w:szCs w:val="21"/>
                <w:lang w:val="en-US" w:eastAsia="zh-CN" w:bidi="ar-SA"/>
              </w:rPr>
            </w:pPr>
            <w:r>
              <w:rPr>
                <w:rFonts w:hint="eastAsia" w:ascii="宋体" w:hAnsi="宋体"/>
                <w:color w:val="auto"/>
                <w:szCs w:val="21"/>
              </w:rPr>
              <w:t>商务条款偏离情况</w:t>
            </w:r>
          </w:p>
        </w:tc>
        <w:tc>
          <w:tcPr>
            <w:tcW w:w="749"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272E0A27">
            <w:pPr>
              <w:spacing w:line="240" w:lineRule="exact"/>
              <w:jc w:val="center"/>
              <w:rPr>
                <w:rFonts w:hint="default" w:ascii="宋体" w:hAnsi="宋体" w:eastAsia="宋体" w:cstheme="minorBidi"/>
                <w:color w:val="auto"/>
                <w:kern w:val="2"/>
                <w:sz w:val="21"/>
                <w:szCs w:val="21"/>
                <w:lang w:val="en-US" w:eastAsia="zh-CN" w:bidi="ar-SA"/>
              </w:rPr>
            </w:pPr>
            <w:r>
              <w:rPr>
                <w:rFonts w:hint="eastAsia" w:ascii="宋体" w:hAnsi="宋体"/>
                <w:color w:val="auto"/>
                <w:szCs w:val="21"/>
                <w:lang w:val="en-US" w:eastAsia="zh-CN"/>
              </w:rPr>
              <w:t>8</w:t>
            </w:r>
          </w:p>
        </w:tc>
        <w:tc>
          <w:tcPr>
            <w:tcW w:w="5402"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5BC4C6B2">
            <w:pPr>
              <w:spacing w:line="240" w:lineRule="exact"/>
              <w:rPr>
                <w:rFonts w:ascii="宋体" w:hAnsi="宋体" w:eastAsiaTheme="minorEastAsia" w:cstheme="minorBidi"/>
                <w:color w:val="auto"/>
                <w:kern w:val="2"/>
                <w:sz w:val="21"/>
                <w:szCs w:val="21"/>
                <w:lang w:val="en-US" w:eastAsia="zh-CN" w:bidi="ar-SA"/>
              </w:rPr>
            </w:pPr>
            <w:r>
              <w:rPr>
                <w:rFonts w:hint="eastAsia" w:ascii="宋体" w:hAnsi="宋体" w:eastAsia="宋体" w:cs="宋体"/>
                <w:color w:val="auto"/>
                <w:sz w:val="21"/>
                <w:szCs w:val="21"/>
              </w:rPr>
              <w:t>投标人应如实填写《商务要求偏离表》，评审小组根据响应情况进行打分，全部满足要求的得100分，每负偏离一项扣</w:t>
            </w:r>
            <w:r>
              <w:rPr>
                <w:rFonts w:hint="eastAsia" w:ascii="宋体" w:hAnsi="宋体" w:eastAsia="宋体" w:cs="宋体"/>
                <w:color w:val="auto"/>
                <w:sz w:val="21"/>
                <w:szCs w:val="21"/>
                <w:lang w:val="en-US" w:eastAsia="zh-CN"/>
              </w:rPr>
              <w:t>8.4</w:t>
            </w:r>
            <w:r>
              <w:rPr>
                <w:rFonts w:hint="eastAsia" w:ascii="宋体" w:hAnsi="宋体" w:eastAsia="宋体" w:cs="宋体"/>
                <w:color w:val="auto"/>
                <w:sz w:val="21"/>
                <w:szCs w:val="21"/>
              </w:rPr>
              <w:t>分。</w:t>
            </w:r>
          </w:p>
        </w:tc>
      </w:tr>
      <w:tr w14:paraId="2E9F6BB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jc w:val="center"/>
        </w:trPr>
        <w:tc>
          <w:tcPr>
            <w:tcW w:w="427" w:type="dxa"/>
            <w:vMerge w:val="continue"/>
            <w:tcBorders>
              <w:left w:val="single" w:color="000000" w:sz="8" w:space="0"/>
              <w:right w:val="single" w:color="000000" w:sz="8" w:space="0"/>
            </w:tcBorders>
            <w:shd w:val="clear" w:color="auto" w:fill="FFFFFF" w:themeFill="background1"/>
          </w:tcPr>
          <w:p w14:paraId="023B5B70">
            <w:pPr>
              <w:snapToGrid w:val="0"/>
              <w:rPr>
                <w:rFonts w:ascii="Times New Roman" w:hAnsi="Times New Roman" w:eastAsia="宋体" w:cs="宋体"/>
                <w:b/>
                <w:bCs/>
                <w:color w:val="auto"/>
                <w:szCs w:val="21"/>
              </w:rPr>
            </w:pPr>
          </w:p>
        </w:tc>
        <w:tc>
          <w:tcPr>
            <w:tcW w:w="426" w:type="dxa"/>
            <w:shd w:val="clear" w:color="auto" w:fill="FFFFFF" w:themeFill="background1"/>
            <w:vAlign w:val="center"/>
          </w:tcPr>
          <w:p w14:paraId="7BE8A7E5">
            <w:pPr>
              <w:spacing w:line="240" w:lineRule="exact"/>
              <w:jc w:val="center"/>
              <w:rPr>
                <w:rFonts w:hint="eastAsia" w:ascii="宋体" w:hAnsi="宋体" w:eastAsiaTheme="minorEastAsia" w:cstheme="minorBidi"/>
                <w:color w:val="auto"/>
                <w:kern w:val="2"/>
                <w:sz w:val="21"/>
                <w:szCs w:val="21"/>
                <w:lang w:val="en-US" w:eastAsia="zh-CN" w:bidi="ar-SA"/>
              </w:rPr>
            </w:pPr>
            <w:r>
              <w:rPr>
                <w:rFonts w:hint="eastAsia" w:ascii="宋体" w:hAnsi="宋体"/>
                <w:color w:val="auto"/>
                <w:szCs w:val="21"/>
                <w:lang w:val="en-US" w:eastAsia="zh-CN"/>
              </w:rPr>
              <w:t>2</w:t>
            </w:r>
          </w:p>
        </w:tc>
        <w:tc>
          <w:tcPr>
            <w:tcW w:w="2068" w:type="dxa"/>
            <w:shd w:val="clear" w:color="auto" w:fill="FFFFFF" w:themeFill="background1"/>
            <w:vAlign w:val="center"/>
          </w:tcPr>
          <w:p w14:paraId="3D9C21B9">
            <w:pPr>
              <w:spacing w:line="240" w:lineRule="exact"/>
              <w:jc w:val="center"/>
              <w:rPr>
                <w:rFonts w:hint="eastAsia" w:ascii="宋体" w:hAnsi="宋体" w:eastAsiaTheme="minorEastAsia" w:cstheme="minorBidi"/>
                <w:color w:val="auto"/>
                <w:kern w:val="2"/>
                <w:sz w:val="21"/>
                <w:szCs w:val="21"/>
                <w:lang w:val="en-US" w:eastAsia="zh-CN" w:bidi="ar-SA"/>
              </w:rPr>
            </w:pPr>
            <w:r>
              <w:rPr>
                <w:rFonts w:hint="eastAsia" w:ascii="宋体" w:hAnsi="宋体"/>
                <w:color w:val="auto"/>
                <w:szCs w:val="21"/>
              </w:rPr>
              <w:t>同类项目业绩</w:t>
            </w:r>
          </w:p>
        </w:tc>
        <w:tc>
          <w:tcPr>
            <w:tcW w:w="749" w:type="dxa"/>
            <w:shd w:val="clear" w:color="auto" w:fill="FFFFFF" w:themeFill="background1"/>
            <w:vAlign w:val="center"/>
          </w:tcPr>
          <w:p w14:paraId="73A5EF22">
            <w:pPr>
              <w:spacing w:line="240" w:lineRule="exact"/>
              <w:jc w:val="center"/>
              <w:rPr>
                <w:rFonts w:hint="eastAsia" w:ascii="宋体" w:hAnsi="宋体" w:eastAsia="宋体" w:cs="宋体"/>
                <w:color w:val="auto"/>
                <w:kern w:val="2"/>
                <w:sz w:val="21"/>
                <w:szCs w:val="21"/>
                <w:lang w:val="en-US" w:eastAsia="zh-CN" w:bidi="ar-SA"/>
              </w:rPr>
            </w:pPr>
            <w:r>
              <w:rPr>
                <w:rFonts w:hint="eastAsia" w:ascii="宋体" w:hAnsi="宋体" w:cs="宋体"/>
                <w:color w:val="auto"/>
                <w:szCs w:val="21"/>
                <w:lang w:val="en-US" w:eastAsia="zh-CN"/>
              </w:rPr>
              <w:t>2</w:t>
            </w:r>
          </w:p>
        </w:tc>
        <w:tc>
          <w:tcPr>
            <w:tcW w:w="5402" w:type="dxa"/>
            <w:shd w:val="clear" w:color="auto" w:fill="FFFFFF" w:themeFill="background1"/>
            <w:vAlign w:val="center"/>
          </w:tcPr>
          <w:p w14:paraId="6C167927">
            <w:pPr>
              <w:spacing w:line="240" w:lineRule="auto"/>
              <w:rPr>
                <w:rFonts w:hint="eastAsia" w:ascii="宋体" w:hAnsi="宋体" w:eastAsia="宋体" w:cs="宋体"/>
                <w:b/>
                <w:bCs/>
                <w:color w:val="auto"/>
                <w:sz w:val="21"/>
                <w:szCs w:val="21"/>
              </w:rPr>
            </w:pPr>
            <w:r>
              <w:rPr>
                <w:rFonts w:hint="eastAsia" w:ascii="宋体" w:hAnsi="宋体" w:eastAsia="宋体" w:cs="宋体"/>
                <w:b/>
                <w:bCs/>
                <w:color w:val="auto"/>
                <w:sz w:val="21"/>
                <w:szCs w:val="21"/>
                <w:lang w:eastAsia="zh-CN"/>
              </w:rPr>
              <w:t>（</w:t>
            </w:r>
            <w:r>
              <w:rPr>
                <w:rFonts w:hint="eastAsia" w:ascii="宋体" w:hAnsi="宋体" w:eastAsia="宋体" w:cs="宋体"/>
                <w:b/>
                <w:bCs/>
                <w:color w:val="auto"/>
                <w:sz w:val="21"/>
                <w:szCs w:val="21"/>
                <w:lang w:val="en-US" w:eastAsia="zh-CN"/>
              </w:rPr>
              <w:t>一</w:t>
            </w:r>
            <w:r>
              <w:rPr>
                <w:rFonts w:hint="eastAsia" w:ascii="宋体" w:hAnsi="宋体" w:eastAsia="宋体" w:cs="宋体"/>
                <w:b/>
                <w:bCs/>
                <w:color w:val="auto"/>
                <w:sz w:val="21"/>
                <w:szCs w:val="21"/>
                <w:lang w:eastAsia="zh-CN"/>
              </w:rPr>
              <w:t>）</w:t>
            </w:r>
            <w:r>
              <w:rPr>
                <w:rFonts w:hint="eastAsia" w:ascii="宋体" w:hAnsi="宋体" w:eastAsia="宋体" w:cs="宋体"/>
                <w:b/>
                <w:bCs/>
                <w:color w:val="auto"/>
                <w:sz w:val="21"/>
                <w:szCs w:val="21"/>
              </w:rPr>
              <w:t>评审内容：</w:t>
            </w:r>
          </w:p>
          <w:p w14:paraId="427CEE1F">
            <w:pPr>
              <w:spacing w:line="240" w:lineRule="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2021</w:t>
            </w:r>
            <w:r>
              <w:rPr>
                <w:rFonts w:hint="eastAsia" w:ascii="宋体" w:hAnsi="宋体" w:eastAsia="宋体" w:cs="宋体"/>
                <w:color w:val="auto"/>
                <w:sz w:val="21"/>
                <w:szCs w:val="21"/>
                <w:lang w:eastAsia="zh-CN"/>
              </w:rPr>
              <w:t>年1月1日至本项目投标截止之日（以合同签订时间为准），具有</w:t>
            </w:r>
            <w:r>
              <w:rPr>
                <w:rFonts w:hint="eastAsia" w:ascii="宋体" w:hAnsi="宋体" w:eastAsia="宋体" w:cs="宋体"/>
                <w:color w:val="auto"/>
                <w:sz w:val="21"/>
                <w:szCs w:val="21"/>
                <w:lang w:val="en-US" w:eastAsia="zh-CN"/>
              </w:rPr>
              <w:t>同类计算机实验室</w:t>
            </w:r>
            <w:r>
              <w:rPr>
                <w:rFonts w:hint="eastAsia" w:ascii="宋体" w:hAnsi="宋体" w:eastAsia="宋体" w:cs="宋体"/>
                <w:color w:val="auto"/>
                <w:sz w:val="21"/>
                <w:szCs w:val="21"/>
                <w:lang w:eastAsia="zh-CN"/>
              </w:rPr>
              <w:t>类项目经验,每提供1个</w:t>
            </w:r>
            <w:r>
              <w:rPr>
                <w:rFonts w:hint="eastAsia" w:ascii="宋体" w:hAnsi="宋体" w:eastAsia="宋体" w:cs="宋体"/>
                <w:color w:val="auto"/>
                <w:sz w:val="21"/>
                <w:szCs w:val="21"/>
                <w:lang w:val="en-US" w:eastAsia="zh-CN"/>
              </w:rPr>
              <w:t>同</w:t>
            </w:r>
            <w:r>
              <w:rPr>
                <w:rFonts w:hint="eastAsia" w:ascii="宋体" w:hAnsi="宋体" w:eastAsia="宋体" w:cs="宋体"/>
                <w:color w:val="auto"/>
                <w:sz w:val="21"/>
                <w:szCs w:val="21"/>
                <w:lang w:eastAsia="zh-CN"/>
              </w:rPr>
              <w:t>类经验的得</w:t>
            </w:r>
            <w:r>
              <w:rPr>
                <w:rFonts w:hint="eastAsia" w:ascii="宋体" w:hAnsi="宋体" w:eastAsia="宋体" w:cs="宋体"/>
                <w:color w:val="auto"/>
                <w:sz w:val="21"/>
                <w:szCs w:val="21"/>
                <w:lang w:val="en-US" w:eastAsia="zh-CN"/>
              </w:rPr>
              <w:t>20分</w:t>
            </w:r>
            <w:r>
              <w:rPr>
                <w:rFonts w:hint="eastAsia" w:ascii="宋体" w:hAnsi="宋体" w:eastAsia="宋体" w:cs="宋体"/>
                <w:color w:val="auto"/>
                <w:sz w:val="21"/>
                <w:szCs w:val="21"/>
                <w:lang w:eastAsia="zh-CN"/>
              </w:rPr>
              <w:t>，最高得</w:t>
            </w:r>
            <w:r>
              <w:rPr>
                <w:rFonts w:hint="eastAsia" w:ascii="宋体" w:hAnsi="宋体" w:eastAsia="宋体" w:cs="宋体"/>
                <w:color w:val="auto"/>
                <w:sz w:val="21"/>
                <w:szCs w:val="21"/>
                <w:lang w:val="en-US" w:eastAsia="zh-CN"/>
              </w:rPr>
              <w:t>100分</w:t>
            </w:r>
            <w:r>
              <w:rPr>
                <w:rFonts w:hint="eastAsia" w:ascii="宋体" w:hAnsi="宋体" w:eastAsia="宋体" w:cs="宋体"/>
                <w:color w:val="auto"/>
                <w:sz w:val="21"/>
                <w:szCs w:val="21"/>
                <w:lang w:eastAsia="zh-CN"/>
              </w:rPr>
              <w:t>。</w:t>
            </w:r>
          </w:p>
          <w:p w14:paraId="1727DEBE">
            <w:pPr>
              <w:spacing w:line="240" w:lineRule="auto"/>
              <w:rPr>
                <w:rFonts w:hint="eastAsia" w:ascii="宋体" w:hAnsi="宋体" w:eastAsia="宋体" w:cs="宋体"/>
                <w:color w:val="auto"/>
                <w:sz w:val="21"/>
                <w:szCs w:val="21"/>
              </w:rPr>
            </w:pPr>
            <w:r>
              <w:rPr>
                <w:rFonts w:hint="eastAsia" w:ascii="宋体" w:hAnsi="宋体" w:eastAsia="宋体" w:cs="宋体"/>
                <w:b/>
                <w:bCs/>
                <w:color w:val="auto"/>
                <w:sz w:val="21"/>
                <w:szCs w:val="21"/>
                <w:lang w:eastAsia="zh-CN"/>
              </w:rPr>
              <w:t>（</w:t>
            </w:r>
            <w:r>
              <w:rPr>
                <w:rFonts w:hint="eastAsia" w:ascii="宋体" w:hAnsi="宋体" w:eastAsia="宋体" w:cs="宋体"/>
                <w:b/>
                <w:bCs/>
                <w:color w:val="auto"/>
                <w:sz w:val="21"/>
                <w:szCs w:val="21"/>
                <w:lang w:val="en-US" w:eastAsia="zh-CN"/>
              </w:rPr>
              <w:t>二</w:t>
            </w:r>
            <w:r>
              <w:rPr>
                <w:rFonts w:hint="eastAsia" w:ascii="宋体" w:hAnsi="宋体" w:eastAsia="宋体" w:cs="宋体"/>
                <w:b/>
                <w:bCs/>
                <w:color w:val="auto"/>
                <w:sz w:val="21"/>
                <w:szCs w:val="21"/>
                <w:lang w:eastAsia="zh-CN"/>
              </w:rPr>
              <w:t>）</w:t>
            </w:r>
            <w:r>
              <w:rPr>
                <w:rFonts w:hint="eastAsia" w:ascii="宋体" w:hAnsi="宋体" w:eastAsia="宋体" w:cs="宋体"/>
                <w:b/>
                <w:bCs/>
                <w:color w:val="auto"/>
                <w:sz w:val="21"/>
                <w:szCs w:val="21"/>
              </w:rPr>
              <w:t>证明文件：</w:t>
            </w:r>
          </w:p>
          <w:p w14:paraId="10CAB255">
            <w:pPr>
              <w:numPr>
                <w:ilvl w:val="0"/>
                <w:numId w:val="1"/>
              </w:numPr>
              <w:snapToGrid w:val="0"/>
              <w:spacing w:line="240" w:lineRule="auto"/>
              <w:rPr>
                <w:rFonts w:hint="eastAsia" w:ascii="宋体" w:hAnsi="宋体" w:eastAsia="宋体" w:cs="宋体"/>
                <w:color w:val="auto"/>
                <w:sz w:val="21"/>
                <w:szCs w:val="21"/>
              </w:rPr>
            </w:pPr>
            <w:r>
              <w:rPr>
                <w:rFonts w:hint="eastAsia" w:ascii="宋体" w:hAnsi="宋体" w:eastAsia="宋体" w:cs="宋体"/>
                <w:color w:val="auto"/>
                <w:sz w:val="21"/>
                <w:szCs w:val="21"/>
              </w:rPr>
              <w:t>同时提供以下：（1）提供中标通知书；（2）合同关键页(需体现甲乙双方名称、合同内容、合同签订时间和盖章页等关键内容)扫描件；（3）验收报告</w:t>
            </w:r>
            <w:r>
              <w:rPr>
                <w:rFonts w:hint="eastAsia" w:ascii="宋体" w:hAnsi="宋体" w:eastAsia="宋体" w:cs="宋体"/>
                <w:color w:val="auto"/>
                <w:sz w:val="21"/>
                <w:szCs w:val="21"/>
                <w:lang w:val="en-US" w:eastAsia="zh-CN"/>
              </w:rPr>
              <w:t>扫描件</w:t>
            </w:r>
            <w:r>
              <w:rPr>
                <w:rFonts w:hint="eastAsia" w:ascii="宋体" w:hAnsi="宋体" w:eastAsia="宋体" w:cs="宋体"/>
                <w:color w:val="auto"/>
                <w:sz w:val="21"/>
                <w:szCs w:val="21"/>
              </w:rPr>
              <w:t>。</w:t>
            </w:r>
          </w:p>
          <w:p w14:paraId="04B6ED8D">
            <w:pPr>
              <w:snapToGrid w:val="0"/>
              <w:spacing w:line="240" w:lineRule="auto"/>
              <w:rPr>
                <w:rFonts w:hint="eastAsia" w:cs="宋体" w:asciiTheme="minorHAnsi" w:hAnsiTheme="minorHAnsi" w:eastAsiaTheme="minorEastAsia"/>
                <w:color w:val="auto"/>
                <w:kern w:val="2"/>
                <w:sz w:val="21"/>
                <w:szCs w:val="21"/>
                <w:lang w:val="en-US" w:eastAsia="zh-CN" w:bidi="ar-SA"/>
              </w:rPr>
            </w:pPr>
            <w:r>
              <w:rPr>
                <w:rFonts w:hint="eastAsia" w:ascii="宋体" w:hAnsi="宋体" w:eastAsia="宋体" w:cs="宋体"/>
                <w:color w:val="auto"/>
                <w:sz w:val="21"/>
                <w:szCs w:val="21"/>
              </w:rPr>
              <w:t>2、</w:t>
            </w:r>
            <w:r>
              <w:rPr>
                <w:rFonts w:hint="eastAsia" w:ascii="宋体" w:hAnsi="宋体" w:eastAsia="宋体" w:cs="宋体"/>
                <w:color w:val="auto"/>
                <w:kern w:val="0"/>
                <w:sz w:val="21"/>
                <w:szCs w:val="21"/>
                <w:lang w:bidi="ar"/>
              </w:rPr>
              <w:t>未按要求提供证明材料（或证明材料无法判断是否符合评分要求）的不得分，原件备查。</w:t>
            </w:r>
          </w:p>
        </w:tc>
      </w:tr>
      <w:tr w14:paraId="09A6397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jc w:val="center"/>
        </w:trPr>
        <w:tc>
          <w:tcPr>
            <w:tcW w:w="427" w:type="dxa"/>
            <w:vMerge w:val="continue"/>
            <w:tcBorders>
              <w:left w:val="single" w:color="000000" w:sz="8" w:space="0"/>
              <w:right w:val="single" w:color="000000" w:sz="8" w:space="0"/>
            </w:tcBorders>
            <w:shd w:val="clear" w:color="auto" w:fill="FFFFFF" w:themeFill="background1"/>
          </w:tcPr>
          <w:p w14:paraId="7DD6E8E4">
            <w:pPr>
              <w:snapToGrid w:val="0"/>
              <w:rPr>
                <w:rFonts w:ascii="Times New Roman" w:hAnsi="Times New Roman" w:eastAsia="宋体" w:cs="宋体"/>
                <w:b/>
                <w:bCs/>
                <w:color w:val="auto"/>
                <w:szCs w:val="21"/>
              </w:rPr>
            </w:pPr>
          </w:p>
        </w:tc>
        <w:tc>
          <w:tcPr>
            <w:tcW w:w="426" w:type="dxa"/>
            <w:shd w:val="clear" w:color="auto" w:fill="FFFFFF" w:themeFill="background1"/>
            <w:vAlign w:val="center"/>
          </w:tcPr>
          <w:p w14:paraId="1A75E14D">
            <w:pPr>
              <w:spacing w:line="240" w:lineRule="exact"/>
              <w:jc w:val="center"/>
              <w:rPr>
                <w:rFonts w:hint="eastAsia" w:ascii="宋体" w:hAnsi="宋体" w:eastAsiaTheme="minorEastAsia" w:cstheme="minorBidi"/>
                <w:color w:val="auto"/>
                <w:kern w:val="2"/>
                <w:sz w:val="21"/>
                <w:szCs w:val="21"/>
                <w:lang w:val="en-US" w:eastAsia="zh-CN" w:bidi="ar-SA"/>
              </w:rPr>
            </w:pPr>
            <w:r>
              <w:rPr>
                <w:rFonts w:hint="eastAsia" w:ascii="宋体" w:hAnsi="宋体"/>
                <w:color w:val="auto"/>
                <w:szCs w:val="21"/>
                <w:lang w:val="en-US" w:eastAsia="zh-CN"/>
              </w:rPr>
              <w:t>3</w:t>
            </w:r>
          </w:p>
        </w:tc>
        <w:tc>
          <w:tcPr>
            <w:tcW w:w="2068" w:type="dxa"/>
            <w:shd w:val="clear" w:color="auto" w:fill="FFFFFF" w:themeFill="background1"/>
            <w:vAlign w:val="center"/>
          </w:tcPr>
          <w:p w14:paraId="10009DCA">
            <w:pPr>
              <w:jc w:val="center"/>
              <w:rPr>
                <w:rFonts w:ascii="宋体" w:hAnsi="宋体" w:eastAsiaTheme="minorEastAsia" w:cstheme="minorBidi"/>
                <w:color w:val="auto"/>
                <w:kern w:val="2"/>
                <w:sz w:val="21"/>
                <w:szCs w:val="21"/>
                <w:lang w:val="en-US" w:eastAsia="zh-CN" w:bidi="ar-SA"/>
              </w:rPr>
            </w:pPr>
            <w:r>
              <w:rPr>
                <w:rFonts w:hint="eastAsia" w:ascii="宋体" w:hAnsi="宋体"/>
                <w:color w:val="auto"/>
                <w:lang w:bidi="ar"/>
              </w:rPr>
              <w:t>诚信</w:t>
            </w:r>
            <w:r>
              <w:rPr>
                <w:rFonts w:hint="eastAsia" w:ascii="宋体" w:hAnsi="宋体"/>
                <w:color w:val="auto"/>
                <w:lang w:val="en-US" w:eastAsia="zh-CN" w:bidi="ar"/>
              </w:rPr>
              <w:t>承诺函</w:t>
            </w:r>
          </w:p>
        </w:tc>
        <w:tc>
          <w:tcPr>
            <w:tcW w:w="749" w:type="dxa"/>
            <w:shd w:val="clear" w:color="auto" w:fill="FFFFFF" w:themeFill="background1"/>
            <w:vAlign w:val="center"/>
          </w:tcPr>
          <w:p w14:paraId="69ACB812">
            <w:pPr>
              <w:spacing w:line="240" w:lineRule="exact"/>
              <w:jc w:val="center"/>
              <w:rPr>
                <w:rFonts w:hint="eastAsia" w:ascii="宋体" w:hAnsi="宋体" w:eastAsia="宋体" w:cstheme="minorBidi"/>
                <w:color w:val="auto"/>
                <w:kern w:val="2"/>
                <w:sz w:val="21"/>
                <w:szCs w:val="21"/>
                <w:lang w:val="en-US" w:eastAsia="zh-CN" w:bidi="ar-SA"/>
              </w:rPr>
            </w:pPr>
            <w:r>
              <w:rPr>
                <w:rFonts w:hint="eastAsia" w:ascii="宋体" w:hAnsi="宋体"/>
                <w:color w:val="auto"/>
                <w:szCs w:val="21"/>
                <w:lang w:val="en-US" w:eastAsia="zh-CN"/>
              </w:rPr>
              <w:t>5</w:t>
            </w:r>
          </w:p>
        </w:tc>
        <w:tc>
          <w:tcPr>
            <w:tcW w:w="5402" w:type="dxa"/>
            <w:shd w:val="clear" w:color="auto" w:fill="FFFFFF" w:themeFill="background1"/>
            <w:vAlign w:val="top"/>
          </w:tcPr>
          <w:p w14:paraId="0CBEB96B">
            <w:pPr>
              <w:widowControl w:val="0"/>
              <w:wordWrap w:val="0"/>
              <w:spacing w:line="240" w:lineRule="auto"/>
              <w:jc w:val="both"/>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投标人存在 《深圳市财政局政府采购供应商信用信息管理办法》（深财规〔2023〕3号）列明的一般行政处罚信息、一般违法失信记录信息的，本项不得分，不存在上述情形的本项得100分。投标人无需提供任何证明材料，评标过程中由工作人员向评审委员会提供有关供应商诚信查询结果。</w:t>
            </w:r>
          </w:p>
          <w:p w14:paraId="3A4DF249">
            <w:pPr>
              <w:spacing w:line="240" w:lineRule="auto"/>
              <w:rPr>
                <w:rFonts w:ascii="宋体" w:hAnsi="宋体" w:eastAsiaTheme="minorEastAsia" w:cstheme="minorBidi"/>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查询渠道：通过“信用中国”（www.creditchina.gov.cn，下载信用信息报告）、“中国政府采购网”（www.ccgp.gov.cn）以及“深圳市政府采购监管网”（http://zfcg.sz.gov.cn）查询供应商信用信息，信用信息以开标当日的查询结果为准。</w:t>
            </w:r>
          </w:p>
        </w:tc>
      </w:tr>
      <w:bookmarkEnd w:id="104"/>
    </w:tbl>
    <w:p w14:paraId="539295CB"/>
    <w:p w14:paraId="4637F7CA">
      <w:pPr>
        <w:rPr>
          <w:b/>
          <w:sz w:val="84"/>
          <w:szCs w:val="84"/>
        </w:rPr>
      </w:pPr>
      <w:r>
        <w:rPr>
          <w:b/>
          <w:sz w:val="84"/>
          <w:szCs w:val="84"/>
        </w:rPr>
        <w:br w:type="page"/>
      </w:r>
    </w:p>
    <w:p w14:paraId="7F6600C7">
      <w:pPr>
        <w:rPr>
          <w:b/>
          <w:sz w:val="84"/>
          <w:szCs w:val="84"/>
        </w:rPr>
      </w:pPr>
    </w:p>
    <w:p w14:paraId="0C286FE1">
      <w:pPr>
        <w:jc w:val="center"/>
        <w:rPr>
          <w:b/>
          <w:sz w:val="84"/>
          <w:szCs w:val="84"/>
        </w:rPr>
      </w:pPr>
    </w:p>
    <w:p w14:paraId="10FAAEFC">
      <w:pPr>
        <w:rPr>
          <w:b/>
          <w:sz w:val="120"/>
          <w:szCs w:val="120"/>
        </w:rPr>
      </w:pPr>
    </w:p>
    <w:p w14:paraId="323F297C">
      <w:pPr>
        <w:jc w:val="center"/>
        <w:rPr>
          <w:b/>
          <w:sz w:val="120"/>
          <w:szCs w:val="120"/>
        </w:rPr>
      </w:pPr>
      <w:r>
        <w:rPr>
          <w:rFonts w:hint="eastAsia"/>
          <w:b/>
          <w:sz w:val="120"/>
          <w:szCs w:val="120"/>
        </w:rPr>
        <w:t>自行采购</w:t>
      </w:r>
    </w:p>
    <w:p w14:paraId="08955196">
      <w:pPr>
        <w:jc w:val="center"/>
        <w:rPr>
          <w:b/>
          <w:sz w:val="120"/>
          <w:szCs w:val="120"/>
        </w:rPr>
      </w:pPr>
      <w:r>
        <w:rPr>
          <w:rFonts w:hint="eastAsia"/>
          <w:b/>
          <w:sz w:val="120"/>
          <w:szCs w:val="120"/>
        </w:rPr>
        <w:t>招标文件</w:t>
      </w:r>
    </w:p>
    <w:p w14:paraId="63DD0959">
      <w:pPr>
        <w:jc w:val="center"/>
        <w:rPr>
          <w:b/>
          <w:sz w:val="52"/>
          <w:szCs w:val="52"/>
        </w:rPr>
      </w:pPr>
      <w:r>
        <w:rPr>
          <w:rFonts w:hint="eastAsia"/>
          <w:b/>
          <w:sz w:val="52"/>
          <w:szCs w:val="52"/>
        </w:rPr>
        <w:t>（货物类）</w:t>
      </w:r>
    </w:p>
    <w:p w14:paraId="64F849B0"/>
    <w:p w14:paraId="5290D4AC"/>
    <w:p w14:paraId="220FF16C"/>
    <w:p w14:paraId="46B66A80"/>
    <w:p w14:paraId="697B261E"/>
    <w:p w14:paraId="08F2D6EC"/>
    <w:p w14:paraId="35A5BE07"/>
    <w:p w14:paraId="62695B1C"/>
    <w:p w14:paraId="5D73DE11"/>
    <w:p w14:paraId="5ACBBC85"/>
    <w:p w14:paraId="08F343F9"/>
    <w:p w14:paraId="3006F249"/>
    <w:p w14:paraId="60BCDE55">
      <w:pPr>
        <w:jc w:val="center"/>
        <w:rPr>
          <w:rFonts w:hint="eastAsia" w:eastAsiaTheme="minorEastAsia"/>
          <w:b/>
          <w:sz w:val="44"/>
          <w:szCs w:val="44"/>
          <w:lang w:eastAsia="zh-CN"/>
        </w:rPr>
      </w:pPr>
      <w:r>
        <w:rPr>
          <w:rFonts w:hint="eastAsia" w:ascii="宋体" w:hAnsi="宋体"/>
          <w:b/>
          <w:sz w:val="44"/>
          <w:szCs w:val="44"/>
          <w:lang w:eastAsia="zh-CN"/>
        </w:rPr>
        <w:t>深圳市东海国际招标有限公司</w:t>
      </w:r>
    </w:p>
    <w:p w14:paraId="6602FC4A">
      <w:pPr>
        <w:jc w:val="center"/>
        <w:rPr>
          <w:b/>
          <w:sz w:val="44"/>
          <w:szCs w:val="44"/>
        </w:rPr>
      </w:pPr>
      <w:r>
        <w:rPr>
          <w:rFonts w:hint="eastAsia" w:ascii="宋体" w:hAnsi="宋体"/>
          <w:b/>
          <w:sz w:val="44"/>
          <w:szCs w:val="44"/>
        </w:rPr>
        <w:t>（</w:t>
      </w:r>
      <w:r>
        <w:rPr>
          <w:b/>
          <w:sz w:val="44"/>
          <w:szCs w:val="44"/>
        </w:rPr>
        <w:t>20</w:t>
      </w:r>
      <w:r>
        <w:rPr>
          <w:rFonts w:hint="eastAsia"/>
          <w:b/>
          <w:sz w:val="44"/>
          <w:szCs w:val="44"/>
        </w:rPr>
        <w:t>24</w:t>
      </w:r>
      <w:r>
        <w:rPr>
          <w:rFonts w:hint="eastAsia" w:ascii="宋体" w:hAnsi="宋体"/>
          <w:b/>
          <w:sz w:val="44"/>
          <w:szCs w:val="44"/>
        </w:rPr>
        <w:t>）</w:t>
      </w:r>
    </w:p>
    <w:p w14:paraId="4E345B5E">
      <w:pPr>
        <w:ind w:firstLine="6786" w:firstLineChars="1300"/>
        <w:jc w:val="center"/>
        <w:rPr>
          <w:bCs/>
          <w:color w:val="FF0000"/>
        </w:rPr>
      </w:pPr>
      <w:r>
        <w:rPr>
          <w:rFonts w:hint="eastAsia"/>
          <w:b/>
          <w:color w:val="FF0000"/>
          <w:sz w:val="52"/>
          <w:szCs w:val="52"/>
        </w:rPr>
        <w:br w:type="page"/>
      </w:r>
    </w:p>
    <w:p w14:paraId="53CE2375">
      <w:pPr>
        <w:ind w:firstLine="3654" w:firstLineChars="1300"/>
        <w:rPr>
          <w:rFonts w:ascii="宋体" w:hAnsi="宋体"/>
          <w:color w:val="FF0000"/>
          <w:szCs w:val="21"/>
        </w:rPr>
      </w:pPr>
      <w:bookmarkStart w:id="1" w:name="_Hlk73564573"/>
      <w:r>
        <w:rPr>
          <w:rFonts w:hint="eastAsia" w:ascii="宋体" w:hAnsi="宋体" w:eastAsia="黑体"/>
          <w:b/>
          <w:bCs/>
          <w:color w:val="FF0000"/>
          <w:kern w:val="44"/>
          <w:sz w:val="28"/>
          <w:szCs w:val="44"/>
        </w:rPr>
        <w:t>警示条款</w:t>
      </w:r>
    </w:p>
    <w:p w14:paraId="568D0F03">
      <w:pPr>
        <w:ind w:firstLine="400" w:firstLineChars="200"/>
        <w:rPr>
          <w:rFonts w:ascii="宋体" w:hAnsi="宋体"/>
          <w:color w:val="FF0000"/>
          <w:sz w:val="20"/>
          <w:szCs w:val="20"/>
        </w:rPr>
      </w:pPr>
      <w:r>
        <w:rPr>
          <w:rFonts w:hint="eastAsia" w:ascii="宋体" w:hAnsi="宋体"/>
          <w:color w:val="FF0000"/>
          <w:sz w:val="20"/>
          <w:szCs w:val="20"/>
        </w:rPr>
        <w:t>一、</w:t>
      </w:r>
      <w:r>
        <w:rPr>
          <w:rFonts w:hint="eastAsia" w:ascii="宋体" w:hAnsi="宋体"/>
          <w:b/>
          <w:bCs/>
          <w:color w:val="FF0000"/>
          <w:sz w:val="20"/>
          <w:szCs w:val="20"/>
        </w:rPr>
        <w:t>《深圳经济特区政府采购条例》第五十七条</w:t>
      </w:r>
      <w:r>
        <w:rPr>
          <w:rFonts w:hint="eastAsia" w:ascii="宋体" w:hAnsi="宋体"/>
          <w:color w:val="FF0000"/>
          <w:sz w:val="20"/>
          <w:szCs w:val="20"/>
        </w:rPr>
        <w:t xml:space="preserve"> 供应商在政府采购中，有下列行为之一的，一至三年内禁止其参与本市政府采购，并由主管部门记入供应商诚信档案，处采购金额千分之十以上千分之二十以下的罚款；情节严重的，取消其参与本市政府采购资格，处采购金额千分之二十以上千分之三十以下的罚款，并由市场监管部门依法吊销其营业执照；给他人造成损失的，依法承担赔偿责任；构成犯罪的，依法追究刑事责任：</w:t>
      </w:r>
    </w:p>
    <w:p w14:paraId="27ECED19">
      <w:pPr>
        <w:ind w:firstLine="400" w:firstLineChars="200"/>
        <w:rPr>
          <w:rFonts w:ascii="宋体" w:hAnsi="宋体"/>
          <w:color w:val="FF0000"/>
          <w:sz w:val="20"/>
          <w:szCs w:val="20"/>
        </w:rPr>
      </w:pPr>
      <w:r>
        <w:rPr>
          <w:rFonts w:hint="eastAsia" w:ascii="宋体" w:hAnsi="宋体"/>
          <w:color w:val="FF0000"/>
          <w:sz w:val="20"/>
          <w:szCs w:val="20"/>
        </w:rPr>
        <w:t>（一）在采购活动中应当回避而未回避的；</w:t>
      </w:r>
    </w:p>
    <w:p w14:paraId="2612E15D">
      <w:pPr>
        <w:ind w:firstLine="400" w:firstLineChars="200"/>
        <w:rPr>
          <w:rFonts w:ascii="宋体" w:hAnsi="宋体"/>
          <w:color w:val="FF0000"/>
          <w:sz w:val="20"/>
          <w:szCs w:val="20"/>
        </w:rPr>
      </w:pPr>
      <w:r>
        <w:rPr>
          <w:rFonts w:hint="eastAsia" w:ascii="宋体" w:hAnsi="宋体"/>
          <w:color w:val="FF0000"/>
          <w:sz w:val="20"/>
          <w:szCs w:val="20"/>
        </w:rPr>
        <w:t>（二）未按本条例规定签订、履行采购合同，造成严重后果的；</w:t>
      </w:r>
    </w:p>
    <w:p w14:paraId="0E23CCF0">
      <w:pPr>
        <w:ind w:firstLine="400" w:firstLineChars="200"/>
        <w:rPr>
          <w:rFonts w:ascii="宋体" w:hAnsi="宋体"/>
          <w:color w:val="FF0000"/>
          <w:sz w:val="20"/>
          <w:szCs w:val="20"/>
        </w:rPr>
      </w:pPr>
      <w:r>
        <w:rPr>
          <w:rFonts w:hint="eastAsia" w:ascii="宋体" w:hAnsi="宋体"/>
          <w:color w:val="FF0000"/>
          <w:sz w:val="20"/>
          <w:szCs w:val="20"/>
        </w:rPr>
        <w:t>（三）隐瞒真实情况，提供虚假资料的；</w:t>
      </w:r>
    </w:p>
    <w:p w14:paraId="463D727C">
      <w:pPr>
        <w:ind w:firstLine="400" w:firstLineChars="200"/>
        <w:rPr>
          <w:rFonts w:ascii="宋体" w:hAnsi="宋体"/>
          <w:color w:val="FF0000"/>
          <w:sz w:val="20"/>
          <w:szCs w:val="20"/>
        </w:rPr>
      </w:pPr>
      <w:r>
        <w:rPr>
          <w:rFonts w:hint="eastAsia" w:ascii="宋体" w:hAnsi="宋体"/>
          <w:color w:val="FF0000"/>
          <w:sz w:val="20"/>
          <w:szCs w:val="20"/>
        </w:rPr>
        <w:t>（四）以非法手段排斥其他供应商参与竞争的；</w:t>
      </w:r>
    </w:p>
    <w:p w14:paraId="2A9A8F02">
      <w:pPr>
        <w:ind w:firstLine="400" w:firstLineChars="200"/>
        <w:rPr>
          <w:rFonts w:ascii="宋体" w:hAnsi="宋体"/>
          <w:color w:val="FF0000"/>
          <w:sz w:val="20"/>
          <w:szCs w:val="20"/>
        </w:rPr>
      </w:pPr>
      <w:r>
        <w:rPr>
          <w:rFonts w:hint="eastAsia" w:ascii="宋体" w:hAnsi="宋体"/>
          <w:color w:val="FF0000"/>
          <w:sz w:val="20"/>
          <w:szCs w:val="20"/>
        </w:rPr>
        <w:t>（五）与其他采购参加人串通投标的；</w:t>
      </w:r>
    </w:p>
    <w:p w14:paraId="65BB8500">
      <w:pPr>
        <w:ind w:firstLine="400" w:firstLineChars="200"/>
        <w:rPr>
          <w:rFonts w:ascii="宋体" w:hAnsi="宋体"/>
          <w:color w:val="FF0000"/>
          <w:sz w:val="20"/>
          <w:szCs w:val="20"/>
        </w:rPr>
      </w:pPr>
      <w:r>
        <w:rPr>
          <w:rFonts w:hint="eastAsia" w:ascii="宋体" w:hAnsi="宋体"/>
          <w:color w:val="FF0000"/>
          <w:sz w:val="20"/>
          <w:szCs w:val="20"/>
        </w:rPr>
        <w:t>（六）恶意投诉的；</w:t>
      </w:r>
    </w:p>
    <w:p w14:paraId="2FD203E3">
      <w:pPr>
        <w:ind w:firstLine="400" w:firstLineChars="200"/>
        <w:rPr>
          <w:rFonts w:ascii="宋体" w:hAnsi="宋体"/>
          <w:color w:val="FF0000"/>
          <w:sz w:val="20"/>
          <w:szCs w:val="20"/>
        </w:rPr>
      </w:pPr>
      <w:r>
        <w:rPr>
          <w:rFonts w:hint="eastAsia" w:ascii="宋体" w:hAnsi="宋体"/>
          <w:color w:val="FF0000"/>
          <w:sz w:val="20"/>
          <w:szCs w:val="20"/>
        </w:rPr>
        <w:t>（七）向采购项目相关人行贿或者提供其他不当利益的；</w:t>
      </w:r>
    </w:p>
    <w:p w14:paraId="156396A7">
      <w:pPr>
        <w:ind w:firstLine="400" w:firstLineChars="200"/>
        <w:rPr>
          <w:rFonts w:ascii="宋体" w:hAnsi="宋体"/>
          <w:color w:val="FF0000"/>
          <w:sz w:val="20"/>
          <w:szCs w:val="20"/>
        </w:rPr>
      </w:pPr>
      <w:r>
        <w:rPr>
          <w:rFonts w:hint="eastAsia" w:ascii="宋体" w:hAnsi="宋体"/>
          <w:color w:val="FF0000"/>
          <w:sz w:val="20"/>
          <w:szCs w:val="20"/>
        </w:rPr>
        <w:t>（八）阻碍、抗拒主管部门监督检查的；</w:t>
      </w:r>
    </w:p>
    <w:p w14:paraId="44B71238">
      <w:pPr>
        <w:ind w:firstLine="400" w:firstLineChars="200"/>
        <w:rPr>
          <w:rFonts w:ascii="宋体" w:hAnsi="宋体"/>
          <w:color w:val="FF0000"/>
          <w:sz w:val="20"/>
          <w:szCs w:val="20"/>
        </w:rPr>
      </w:pPr>
      <w:r>
        <w:rPr>
          <w:rFonts w:hint="eastAsia" w:ascii="宋体" w:hAnsi="宋体"/>
          <w:color w:val="FF0000"/>
          <w:sz w:val="20"/>
          <w:szCs w:val="20"/>
        </w:rPr>
        <w:t>（九）其他违反本条例规定的行为。</w:t>
      </w:r>
    </w:p>
    <w:p w14:paraId="4982F95A">
      <w:pPr>
        <w:ind w:firstLine="402" w:firstLineChars="200"/>
        <w:rPr>
          <w:rFonts w:ascii="宋体" w:hAnsi="宋体"/>
          <w:color w:val="FF0000"/>
          <w:sz w:val="20"/>
          <w:szCs w:val="20"/>
        </w:rPr>
      </w:pPr>
      <w:r>
        <w:rPr>
          <w:rFonts w:hint="eastAsia" w:ascii="宋体" w:hAnsi="宋体"/>
          <w:b/>
          <w:bCs/>
          <w:color w:val="FF0000"/>
          <w:sz w:val="20"/>
          <w:szCs w:val="20"/>
        </w:rPr>
        <w:t xml:space="preserve">二、《深圳经济特区政府采购条例实施细则》第七十五条 </w:t>
      </w:r>
      <w:r>
        <w:rPr>
          <w:rFonts w:hint="eastAsia" w:ascii="宋体" w:hAnsi="宋体"/>
          <w:color w:val="FF0000"/>
          <w:sz w:val="20"/>
          <w:szCs w:val="20"/>
        </w:rPr>
        <w:t>供应商有下列情形之一的，属于采购条例所称的串通投标行为，按照采购条例第五十七条有关规定处理：（一）投标供应商之间相互约定给予未中标的供应商利益补偿。（二）不同投标供应商的法定代表人、主要经营负责人、项目投标授权代表人、项目负责人、主要技术人员为同一人、属同一单位或者在同一单位缴纳社会保险。（三）不同投标供应商的投标文件由同一单位或者同一人编制，或者由同一人分阶段参与编制的。（四）不同投标供应商的投标文件或部分投标文件相互混装。（五）不同投标供应商的投标文件内容存在非正常一致。（六）由同一单位工作人员为两家以上（含两家）供应商进行同一项投标活动的。（七）主管部门依照法律、法规认定的其他情形。</w:t>
      </w:r>
    </w:p>
    <w:p w14:paraId="74DB8311">
      <w:pPr>
        <w:ind w:firstLine="402" w:firstLineChars="200"/>
        <w:rPr>
          <w:rFonts w:ascii="宋体" w:hAnsi="宋体"/>
          <w:color w:val="FF0000"/>
          <w:sz w:val="20"/>
          <w:szCs w:val="20"/>
        </w:rPr>
      </w:pPr>
      <w:r>
        <w:rPr>
          <w:rFonts w:hint="eastAsia" w:ascii="宋体" w:hAnsi="宋体"/>
          <w:b/>
          <w:bCs/>
          <w:color w:val="FF0000"/>
          <w:sz w:val="20"/>
          <w:szCs w:val="20"/>
        </w:rPr>
        <w:t xml:space="preserve">三、《深圳经济特区政府采购条例实施细则》第七十七条 </w:t>
      </w:r>
      <w:r>
        <w:rPr>
          <w:rFonts w:hint="eastAsia" w:ascii="宋体" w:hAnsi="宋体"/>
          <w:color w:val="FF0000"/>
          <w:sz w:val="20"/>
          <w:szCs w:val="20"/>
        </w:rPr>
        <w:t>供应商有下列情形之一的，属于隐瞒真实情况，提供虚假资料，按照采购条例第五十七条的有关规定处理：（一）通过转让或者租借等方式从其他单位获取资格或者资质证书投标的。（二）由其他单位或者其他单位负责人在投标供应商编制的投标文件上加盖印章或者签字的。（三）项目负责人或者主要技术人员不是本单位人员的。（四）投标保证金不是从投标供应商基本账户转出的。（五）其他隐瞒真实情况、提供虚假资料的行为。</w:t>
      </w:r>
    </w:p>
    <w:p w14:paraId="1B48C548">
      <w:pPr>
        <w:ind w:firstLine="400" w:firstLineChars="200"/>
        <w:rPr>
          <w:rFonts w:ascii="宋体" w:hAnsi="宋体"/>
          <w:color w:val="FF0000"/>
          <w:sz w:val="20"/>
          <w:szCs w:val="20"/>
        </w:rPr>
      </w:pPr>
      <w:r>
        <w:rPr>
          <w:rFonts w:hint="eastAsia" w:ascii="宋体" w:hAnsi="宋体"/>
          <w:color w:val="FF0000"/>
          <w:sz w:val="20"/>
          <w:szCs w:val="20"/>
        </w:rPr>
        <w:t>投标供应商不能提供项目负责人或者主要技术人员的劳动合同、社会保险等劳动关系证明材料的，视为存在前款第（三）项规定的情形。</w:t>
      </w:r>
    </w:p>
    <w:bookmarkEnd w:id="1"/>
    <w:p w14:paraId="1C74CC30">
      <w:pPr>
        <w:ind w:firstLine="422" w:firstLineChars="200"/>
        <w:rPr>
          <w:b/>
          <w:color w:val="FF0000"/>
        </w:rPr>
      </w:pPr>
      <w:r>
        <w:rPr>
          <w:rFonts w:hint="eastAsia"/>
          <w:b/>
          <w:color w:val="FF0000"/>
        </w:rPr>
        <w:t>四、请投标供应商阅读《政府采购违法行为风险知悉确认书》（内容详见“投标文件附件（信息不公开部分）”中节点“投标人认为需要加以说明的其他内容（格式自定）”），并经各投标供应商负责人或投标授权代表签字并加盖单位公章后，扫描上传至投标文件一并提交。注：该风险知悉确认书用于对供应商违法行为的警示，不作为供应商资格性审查及符合性审查条件。</w:t>
      </w:r>
    </w:p>
    <w:p w14:paraId="088B65CA">
      <w:pPr>
        <w:ind w:firstLine="400" w:firstLineChars="200"/>
        <w:rPr>
          <w:bCs/>
          <w:color w:val="FF0000"/>
          <w:sz w:val="20"/>
          <w:szCs w:val="20"/>
        </w:rPr>
      </w:pPr>
      <w:r>
        <w:rPr>
          <w:rFonts w:hint="eastAsia"/>
          <w:bCs/>
          <w:color w:val="FF0000"/>
          <w:sz w:val="20"/>
          <w:szCs w:val="20"/>
        </w:rPr>
        <w:t>五、供应商在使用深圳政府采购智慧平台的投标文件制作工具创建投标文件时，该工具将自动在投标文件中记录文件创建标识码，同时提取投标文件制作电脑的网卡MAC地址、硬盘序列号、CPU序列号、主板序列号和工具标识号，经加密生成文件制作机器码并在投标文件中记录。文件制作机器码一致表明不同供应商使用了同一设备编制投标文件，文件创建标识码一致表明不同供应商的投标文件为同一份文件，IP地址一致表明上传投标文件时使用了相同的网络。</w:t>
      </w:r>
    </w:p>
    <w:p w14:paraId="79CDD0FC">
      <w:pPr>
        <w:ind w:firstLine="400" w:firstLineChars="200"/>
        <w:rPr>
          <w:bCs/>
          <w:color w:val="FF0000"/>
          <w:sz w:val="20"/>
          <w:szCs w:val="20"/>
        </w:rPr>
      </w:pPr>
      <w:r>
        <w:rPr>
          <w:rFonts w:hint="eastAsia"/>
          <w:bCs/>
          <w:color w:val="FF0000"/>
          <w:sz w:val="20"/>
          <w:szCs w:val="20"/>
        </w:rPr>
        <w:t>为避免出现不同供应商投标文件的文件制作机器码、文件创建标识码、IP地址一致的异常情况，建议各供应商编制、上传投标文件时不要使用公共电脑设备或公共网络。</w:t>
      </w:r>
    </w:p>
    <w:p w14:paraId="5BC4FFDE">
      <w:pPr>
        <w:ind w:firstLine="400" w:firstLineChars="200"/>
        <w:rPr>
          <w:rFonts w:hint="eastAsia"/>
          <w:bCs/>
          <w:color w:val="FF0000"/>
          <w:sz w:val="20"/>
          <w:szCs w:val="20"/>
        </w:rPr>
      </w:pPr>
      <w:r>
        <w:rPr>
          <w:rFonts w:hint="eastAsia"/>
          <w:bCs/>
          <w:color w:val="FF0000"/>
          <w:sz w:val="20"/>
          <w:szCs w:val="20"/>
        </w:rPr>
        <w:t>根据《深圳经济特区政府采购条例实施细则》第七十五条规定，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活动、</w:t>
      </w:r>
      <w:r>
        <w:rPr>
          <w:rFonts w:hint="eastAsia" w:ascii="宋体" w:hAnsi="宋体"/>
          <w:color w:val="FF0000"/>
          <w:sz w:val="20"/>
          <w:szCs w:val="20"/>
        </w:rPr>
        <w:t>取消参与本市政府采购资格</w:t>
      </w:r>
      <w:r>
        <w:rPr>
          <w:rFonts w:hint="eastAsia" w:hAnsi="宋体"/>
          <w:color w:val="FF0000"/>
          <w:sz w:val="20"/>
          <w:szCs w:val="20"/>
        </w:rPr>
        <w:t>、</w:t>
      </w:r>
      <w:r>
        <w:rPr>
          <w:rFonts w:hint="eastAsia" w:ascii="宋体" w:hAnsi="宋体"/>
          <w:color w:val="FF0000"/>
          <w:sz w:val="20"/>
          <w:szCs w:val="20"/>
        </w:rPr>
        <w:t>依法吊销其营业</w:t>
      </w:r>
      <w:r>
        <w:rPr>
          <w:rFonts w:hint="eastAsia" w:hAnsi="宋体"/>
          <w:color w:val="FF0000"/>
          <w:sz w:val="20"/>
          <w:szCs w:val="20"/>
        </w:rPr>
        <w:t>执照等行政处罚，</w:t>
      </w:r>
      <w:r>
        <w:rPr>
          <w:rFonts w:hint="eastAsia" w:ascii="宋体" w:hAnsi="宋体"/>
          <w:color w:val="FF0000"/>
          <w:sz w:val="20"/>
          <w:szCs w:val="20"/>
        </w:rPr>
        <w:t>构成犯罪的，依法追究刑事责任</w:t>
      </w:r>
      <w:r>
        <w:rPr>
          <w:rFonts w:hint="eastAsia"/>
          <w:bCs/>
          <w:color w:val="FF0000"/>
          <w:sz w:val="20"/>
          <w:szCs w:val="20"/>
        </w:rPr>
        <w:t>，请各供应商独立编制、上传投标文件，妥善保管和使用电子秘钥。</w:t>
      </w:r>
    </w:p>
    <w:p w14:paraId="1C8A2D49">
      <w:pPr>
        <w:rPr>
          <w:rFonts w:hint="eastAsia"/>
          <w:bCs/>
          <w:color w:val="FF0000"/>
          <w:sz w:val="20"/>
          <w:szCs w:val="20"/>
        </w:rPr>
      </w:pPr>
      <w:r>
        <w:rPr>
          <w:rFonts w:hint="eastAsia"/>
          <w:bCs/>
          <w:color w:val="FF0000"/>
          <w:sz w:val="20"/>
          <w:szCs w:val="20"/>
        </w:rPr>
        <w:br w:type="page"/>
      </w:r>
    </w:p>
    <w:p w14:paraId="40865D70">
      <w:pPr>
        <w:ind w:firstLine="400" w:firstLineChars="200"/>
        <w:rPr>
          <w:rFonts w:hint="eastAsia"/>
          <w:bCs/>
          <w:color w:val="FF0000"/>
          <w:sz w:val="20"/>
          <w:szCs w:val="20"/>
        </w:rPr>
      </w:pPr>
    </w:p>
    <w:p w14:paraId="31C9FF9C">
      <w:pPr>
        <w:snapToGrid w:val="0"/>
        <w:spacing w:line="360" w:lineRule="exact"/>
        <w:jc w:val="left"/>
        <w:rPr>
          <w:rFonts w:ascii="宋体" w:hAnsi="宋体" w:eastAsia="宋体" w:cs="宋体"/>
          <w:color w:val="000000"/>
          <w:kern w:val="0"/>
          <w:sz w:val="24"/>
          <w:szCs w:val="24"/>
        </w:rPr>
      </w:pPr>
    </w:p>
    <w:p w14:paraId="1ADD3E84">
      <w:pPr>
        <w:snapToGrid w:val="0"/>
        <w:spacing w:line="360" w:lineRule="exact"/>
        <w:jc w:val="left"/>
        <w:rPr>
          <w:rFonts w:ascii="宋体" w:hAnsi="宋体" w:eastAsia="宋体" w:cs="宋体"/>
          <w:color w:val="000000"/>
          <w:kern w:val="0"/>
          <w:sz w:val="24"/>
          <w:szCs w:val="24"/>
        </w:rPr>
      </w:pPr>
    </w:p>
    <w:p w14:paraId="4BD65071">
      <w:pPr>
        <w:jc w:val="center"/>
        <w:outlineLvl w:val="0"/>
        <w:rPr>
          <w:rFonts w:ascii="Arial" w:hAnsi="Arial" w:eastAsia="宋体" w:cs="Times New Roman"/>
          <w:b/>
          <w:bCs/>
          <w:kern w:val="44"/>
          <w:sz w:val="32"/>
          <w:szCs w:val="32"/>
        </w:rPr>
      </w:pPr>
      <w:r>
        <w:rPr>
          <w:rFonts w:hint="eastAsia" w:ascii="Arial" w:hAnsi="Arial" w:eastAsia="宋体" w:cs="Times New Roman"/>
          <w:b/>
          <w:bCs/>
          <w:kern w:val="44"/>
          <w:sz w:val="32"/>
          <w:szCs w:val="32"/>
        </w:rPr>
        <w:t>目   录</w:t>
      </w:r>
    </w:p>
    <w:p w14:paraId="0E396820">
      <w:pPr>
        <w:rPr>
          <w:b/>
          <w:sz w:val="24"/>
          <w:szCs w:val="24"/>
        </w:rPr>
      </w:pPr>
      <w:r>
        <w:rPr>
          <w:rFonts w:hint="eastAsia"/>
          <w:b/>
          <w:sz w:val="24"/>
          <w:szCs w:val="24"/>
        </w:rPr>
        <w:t>第一册  专用条款</w:t>
      </w:r>
    </w:p>
    <w:p w14:paraId="04A45812">
      <w:pPr>
        <w:ind w:left="630" w:leftChars="300" w:firstLine="411" w:firstLineChars="196"/>
        <w:rPr>
          <w:rFonts w:ascii="宋体" w:hAnsi="宋体"/>
          <w:szCs w:val="21"/>
        </w:rPr>
      </w:pPr>
      <w:r>
        <w:rPr>
          <w:rFonts w:hint="eastAsia" w:ascii="宋体" w:hAnsi="宋体"/>
          <w:szCs w:val="21"/>
        </w:rPr>
        <w:tab/>
      </w:r>
      <w:r>
        <w:rPr>
          <w:rFonts w:hint="eastAsia" w:ascii="宋体" w:hAnsi="宋体"/>
          <w:szCs w:val="21"/>
        </w:rPr>
        <w:t>关键信息</w:t>
      </w:r>
    </w:p>
    <w:p w14:paraId="7291686E">
      <w:pPr>
        <w:ind w:left="630" w:leftChars="300" w:firstLine="411" w:firstLineChars="196"/>
        <w:outlineLvl w:val="0"/>
        <w:rPr>
          <w:rFonts w:ascii="宋体" w:hAnsi="宋体"/>
          <w:szCs w:val="21"/>
        </w:rPr>
      </w:pPr>
      <w:r>
        <w:rPr>
          <w:rFonts w:hint="eastAsia" w:ascii="宋体" w:hAnsi="宋体"/>
          <w:szCs w:val="21"/>
        </w:rPr>
        <w:t>第一章  招标公告</w:t>
      </w:r>
    </w:p>
    <w:p w14:paraId="5C5EC07B">
      <w:pPr>
        <w:ind w:left="630" w:leftChars="300" w:firstLine="411" w:firstLineChars="196"/>
        <w:outlineLvl w:val="0"/>
        <w:rPr>
          <w:rFonts w:ascii="宋体" w:hAnsi="宋体"/>
          <w:szCs w:val="21"/>
        </w:rPr>
      </w:pPr>
      <w:r>
        <w:rPr>
          <w:rFonts w:hint="eastAsia" w:ascii="宋体" w:hAnsi="宋体"/>
          <w:szCs w:val="21"/>
        </w:rPr>
        <w:t>第二章  对通用条款的补充内容及其他关键信息</w:t>
      </w:r>
    </w:p>
    <w:p w14:paraId="2CD381C9">
      <w:pPr>
        <w:ind w:left="630" w:leftChars="300" w:firstLine="411" w:firstLineChars="196"/>
        <w:outlineLvl w:val="0"/>
        <w:rPr>
          <w:rFonts w:ascii="宋体" w:hAnsi="宋体"/>
          <w:szCs w:val="21"/>
        </w:rPr>
      </w:pPr>
      <w:r>
        <w:rPr>
          <w:rFonts w:hint="eastAsia" w:ascii="宋体" w:hAnsi="宋体"/>
          <w:szCs w:val="21"/>
        </w:rPr>
        <w:t xml:space="preserve">第三章 </w:t>
      </w:r>
      <w:r>
        <w:rPr>
          <w:rFonts w:ascii="宋体" w:hAnsi="宋体"/>
          <w:szCs w:val="21"/>
        </w:rPr>
        <w:t xml:space="preserve"> </w:t>
      </w:r>
      <w:r>
        <w:rPr>
          <w:rFonts w:hint="eastAsia" w:ascii="宋体" w:hAnsi="宋体"/>
          <w:szCs w:val="21"/>
        </w:rPr>
        <w:t>用户需求书</w:t>
      </w:r>
    </w:p>
    <w:p w14:paraId="03E4FB56">
      <w:pPr>
        <w:ind w:left="630" w:leftChars="300" w:firstLine="411" w:firstLineChars="196"/>
        <w:outlineLvl w:val="0"/>
        <w:rPr>
          <w:rFonts w:ascii="宋体" w:hAnsi="宋体"/>
          <w:szCs w:val="21"/>
        </w:rPr>
      </w:pPr>
      <w:r>
        <w:rPr>
          <w:rFonts w:hint="eastAsia" w:ascii="宋体" w:hAnsi="宋体"/>
          <w:szCs w:val="21"/>
        </w:rPr>
        <w:t xml:space="preserve">第四章 </w:t>
      </w:r>
      <w:r>
        <w:rPr>
          <w:rFonts w:ascii="宋体" w:hAnsi="宋体"/>
          <w:szCs w:val="21"/>
        </w:rPr>
        <w:t xml:space="preserve"> </w:t>
      </w:r>
      <w:r>
        <w:rPr>
          <w:rFonts w:hint="eastAsia" w:ascii="宋体" w:hAnsi="宋体"/>
          <w:szCs w:val="21"/>
        </w:rPr>
        <w:t>投标文件组成要求及格式</w:t>
      </w:r>
    </w:p>
    <w:p w14:paraId="4BFB7F59">
      <w:pPr>
        <w:ind w:left="630" w:leftChars="300" w:firstLine="411" w:firstLineChars="196"/>
        <w:outlineLvl w:val="0"/>
        <w:rPr>
          <w:rFonts w:ascii="宋体" w:hAnsi="宋体"/>
          <w:szCs w:val="21"/>
        </w:rPr>
      </w:pPr>
      <w:r>
        <w:rPr>
          <w:rFonts w:hint="eastAsia" w:ascii="宋体" w:hAnsi="宋体"/>
          <w:szCs w:val="21"/>
        </w:rPr>
        <w:t>第五章  合同条款及格式</w:t>
      </w:r>
    </w:p>
    <w:p w14:paraId="4B9FA50B">
      <w:pPr>
        <w:rPr>
          <w:b/>
          <w:sz w:val="24"/>
        </w:rPr>
      </w:pPr>
    </w:p>
    <w:p w14:paraId="545E593B">
      <w:pPr>
        <w:rPr>
          <w:b/>
          <w:sz w:val="24"/>
          <w:szCs w:val="24"/>
        </w:rPr>
      </w:pPr>
      <w:r>
        <w:rPr>
          <w:rFonts w:hint="eastAsia"/>
          <w:b/>
          <w:sz w:val="24"/>
          <w:szCs w:val="24"/>
        </w:rPr>
        <w:t>第二册  通用条款</w:t>
      </w:r>
    </w:p>
    <w:p w14:paraId="5D1E08BA">
      <w:pPr>
        <w:ind w:left="630" w:leftChars="300" w:firstLine="411" w:firstLineChars="196"/>
        <w:outlineLvl w:val="0"/>
        <w:rPr>
          <w:rFonts w:ascii="宋体" w:hAnsi="宋体"/>
          <w:szCs w:val="21"/>
        </w:rPr>
      </w:pPr>
      <w:r>
        <w:rPr>
          <w:rFonts w:hint="eastAsia" w:ascii="宋体" w:hAnsi="宋体"/>
          <w:szCs w:val="21"/>
        </w:rPr>
        <w:t>第一章  总则</w:t>
      </w:r>
    </w:p>
    <w:p w14:paraId="4A12A16B">
      <w:pPr>
        <w:ind w:left="630" w:leftChars="300" w:firstLine="411" w:firstLineChars="196"/>
        <w:outlineLvl w:val="0"/>
        <w:rPr>
          <w:rFonts w:ascii="宋体" w:hAnsi="宋体"/>
          <w:szCs w:val="21"/>
        </w:rPr>
      </w:pPr>
      <w:r>
        <w:rPr>
          <w:rFonts w:hint="eastAsia" w:ascii="宋体" w:hAnsi="宋体"/>
          <w:szCs w:val="21"/>
        </w:rPr>
        <w:t>第二章  招标文件</w:t>
      </w:r>
    </w:p>
    <w:p w14:paraId="7340053A">
      <w:pPr>
        <w:ind w:left="630" w:leftChars="300" w:firstLine="411" w:firstLineChars="196"/>
        <w:outlineLvl w:val="0"/>
        <w:rPr>
          <w:rFonts w:ascii="宋体" w:hAnsi="宋体"/>
          <w:szCs w:val="21"/>
        </w:rPr>
      </w:pPr>
      <w:r>
        <w:rPr>
          <w:rFonts w:hint="eastAsia" w:ascii="宋体" w:hAnsi="宋体"/>
          <w:szCs w:val="21"/>
        </w:rPr>
        <w:t>第三章  投标文件的编制</w:t>
      </w:r>
    </w:p>
    <w:p w14:paraId="72802CC0">
      <w:pPr>
        <w:ind w:left="630" w:leftChars="300" w:firstLine="411" w:firstLineChars="196"/>
        <w:outlineLvl w:val="0"/>
        <w:rPr>
          <w:rFonts w:ascii="宋体" w:hAnsi="宋体"/>
          <w:szCs w:val="21"/>
        </w:rPr>
      </w:pPr>
      <w:r>
        <w:rPr>
          <w:rFonts w:hint="eastAsia" w:ascii="宋体" w:hAnsi="宋体"/>
          <w:szCs w:val="21"/>
        </w:rPr>
        <w:t>第四章  投标文件的递交</w:t>
      </w:r>
    </w:p>
    <w:p w14:paraId="4C046DDE">
      <w:pPr>
        <w:ind w:left="630" w:leftChars="300" w:firstLine="411" w:firstLineChars="196"/>
        <w:outlineLvl w:val="0"/>
        <w:rPr>
          <w:rFonts w:ascii="宋体" w:hAnsi="宋体"/>
          <w:szCs w:val="21"/>
        </w:rPr>
      </w:pPr>
      <w:r>
        <w:rPr>
          <w:rFonts w:hint="eastAsia" w:ascii="宋体" w:hAnsi="宋体"/>
          <w:szCs w:val="21"/>
        </w:rPr>
        <w:t>第五章  开标</w:t>
      </w:r>
    </w:p>
    <w:p w14:paraId="4A0DB007">
      <w:pPr>
        <w:ind w:left="630" w:leftChars="300" w:firstLine="411" w:firstLineChars="196"/>
        <w:outlineLvl w:val="0"/>
        <w:rPr>
          <w:rFonts w:ascii="宋体" w:hAnsi="宋体"/>
          <w:szCs w:val="21"/>
        </w:rPr>
      </w:pPr>
      <w:r>
        <w:rPr>
          <w:rFonts w:hint="eastAsia" w:ascii="宋体" w:hAnsi="宋体"/>
          <w:szCs w:val="21"/>
        </w:rPr>
        <w:t>第六章  评审要求</w:t>
      </w:r>
    </w:p>
    <w:p w14:paraId="5525CA96">
      <w:pPr>
        <w:ind w:left="630" w:leftChars="300" w:firstLine="411" w:firstLineChars="196"/>
        <w:outlineLvl w:val="0"/>
        <w:rPr>
          <w:rFonts w:ascii="宋体" w:hAnsi="宋体"/>
          <w:szCs w:val="21"/>
        </w:rPr>
      </w:pPr>
      <w:r>
        <w:rPr>
          <w:rFonts w:hint="eastAsia" w:ascii="宋体" w:hAnsi="宋体"/>
          <w:szCs w:val="21"/>
        </w:rPr>
        <w:t>第七章  评审程序及评审方法</w:t>
      </w:r>
    </w:p>
    <w:p w14:paraId="143491F4">
      <w:pPr>
        <w:ind w:left="630" w:leftChars="300" w:firstLine="411" w:firstLineChars="196"/>
        <w:outlineLvl w:val="0"/>
        <w:rPr>
          <w:rFonts w:ascii="宋体" w:hAnsi="宋体"/>
          <w:szCs w:val="21"/>
        </w:rPr>
      </w:pPr>
      <w:r>
        <w:rPr>
          <w:rFonts w:hint="eastAsia" w:ascii="宋体" w:hAnsi="宋体"/>
          <w:szCs w:val="21"/>
        </w:rPr>
        <w:t>第八章  定标及公示</w:t>
      </w:r>
    </w:p>
    <w:p w14:paraId="74562FE3">
      <w:pPr>
        <w:ind w:left="630" w:leftChars="300" w:firstLine="411" w:firstLineChars="196"/>
        <w:outlineLvl w:val="0"/>
        <w:rPr>
          <w:rFonts w:ascii="宋体" w:hAnsi="宋体"/>
          <w:szCs w:val="21"/>
        </w:rPr>
      </w:pPr>
      <w:r>
        <w:rPr>
          <w:rFonts w:hint="eastAsia" w:ascii="宋体" w:hAnsi="宋体"/>
          <w:szCs w:val="21"/>
        </w:rPr>
        <w:t>第九章  公开招标失败的后续处理</w:t>
      </w:r>
    </w:p>
    <w:p w14:paraId="2225DCDD">
      <w:pPr>
        <w:ind w:left="630" w:leftChars="300" w:firstLine="411" w:firstLineChars="196"/>
        <w:outlineLvl w:val="0"/>
        <w:rPr>
          <w:rFonts w:ascii="宋体" w:hAnsi="宋体"/>
          <w:szCs w:val="21"/>
        </w:rPr>
      </w:pPr>
      <w:r>
        <w:rPr>
          <w:rFonts w:hint="eastAsia" w:ascii="宋体" w:hAnsi="宋体"/>
          <w:szCs w:val="21"/>
        </w:rPr>
        <w:t>第十章  合同的授予与备案</w:t>
      </w:r>
    </w:p>
    <w:p w14:paraId="01DD4E85">
      <w:pPr>
        <w:outlineLvl w:val="0"/>
      </w:pPr>
      <w:r>
        <w:rPr>
          <w:rFonts w:hint="eastAsia"/>
        </w:rPr>
        <w:t xml:space="preserve">          第十一章  质疑处理</w:t>
      </w:r>
    </w:p>
    <w:p w14:paraId="3CDB7DA7"/>
    <w:p w14:paraId="14494626"/>
    <w:p w14:paraId="4C4A599A">
      <w:pPr>
        <w:widowControl/>
        <w:jc w:val="left"/>
      </w:pPr>
      <w:r>
        <w:br w:type="page"/>
      </w:r>
    </w:p>
    <w:p w14:paraId="1DFD911A">
      <w:pPr>
        <w:pStyle w:val="3"/>
        <w:spacing w:after="78"/>
        <w:jc w:val="center"/>
        <w:rPr>
          <w:sz w:val="32"/>
          <w:szCs w:val="32"/>
        </w:rPr>
      </w:pPr>
      <w:r>
        <w:rPr>
          <w:rFonts w:hint="eastAsia"/>
          <w:sz w:val="32"/>
          <w:szCs w:val="32"/>
        </w:rPr>
        <w:t>第一册  专用条款</w:t>
      </w:r>
    </w:p>
    <w:p w14:paraId="5FC596A4">
      <w:pPr>
        <w:keepNext/>
        <w:keepLines/>
        <w:adjustRightInd w:val="0"/>
        <w:spacing w:before="260" w:after="260"/>
        <w:jc w:val="center"/>
        <w:textAlignment w:val="baseline"/>
        <w:outlineLvl w:val="1"/>
        <w:rPr>
          <w:rFonts w:ascii="宋体" w:hAnsi="宋体" w:eastAsia="宋体" w:cs="Times New Roman"/>
          <w:b/>
          <w:bCs/>
          <w:kern w:val="0"/>
          <w:sz w:val="28"/>
          <w:szCs w:val="28"/>
        </w:rPr>
      </w:pPr>
      <w:r>
        <w:rPr>
          <w:rFonts w:hint="eastAsia" w:ascii="宋体" w:hAnsi="宋体" w:eastAsia="宋体" w:cs="Times New Roman"/>
          <w:b/>
          <w:bCs/>
          <w:kern w:val="0"/>
          <w:sz w:val="28"/>
          <w:szCs w:val="28"/>
        </w:rPr>
        <w:t>第一章  招标公告</w:t>
      </w:r>
    </w:p>
    <w:p w14:paraId="4280AB7F">
      <w:pPr>
        <w:spacing w:line="360" w:lineRule="auto"/>
        <w:rPr>
          <w:rFonts w:ascii="宋体" w:hAnsi="宋体" w:cs="宋体"/>
          <w:b/>
          <w:bCs/>
          <w:kern w:val="0"/>
          <w:szCs w:val="21"/>
        </w:rPr>
      </w:pPr>
      <w:r>
        <w:rPr>
          <w:rFonts w:hint="eastAsia" w:ascii="宋体" w:hAnsi="宋体" w:cs="宋体"/>
          <w:b/>
          <w:bCs/>
          <w:kern w:val="0"/>
          <w:szCs w:val="21"/>
        </w:rPr>
        <w:t>申请人的资格要求：</w:t>
      </w:r>
    </w:p>
    <w:p w14:paraId="16DD9818">
      <w:pPr>
        <w:ind w:firstLine="630" w:firstLineChars="300"/>
        <w:rPr>
          <w:rFonts w:ascii="宋体" w:hAnsi="宋体" w:eastAsia="宋体" w:cs="宋体"/>
          <w:kern w:val="0"/>
          <w:szCs w:val="21"/>
        </w:rPr>
      </w:pPr>
      <w:r>
        <w:rPr>
          <w:rFonts w:hint="eastAsia" w:ascii="宋体" w:hAnsi="宋体" w:cs="宋体"/>
          <w:kern w:val="0"/>
          <w:szCs w:val="21"/>
        </w:rPr>
        <w:t>1</w:t>
      </w:r>
      <w:r>
        <w:rPr>
          <w:rFonts w:ascii="宋体" w:hAnsi="宋体" w:cs="宋体"/>
          <w:kern w:val="0"/>
          <w:szCs w:val="21"/>
        </w:rPr>
        <w:t>.</w:t>
      </w:r>
      <w:r>
        <w:rPr>
          <w:rFonts w:hint="eastAsia" w:ascii="宋体" w:hAnsi="宋体" w:eastAsia="宋体" w:cs="宋体"/>
          <w:szCs w:val="21"/>
        </w:rPr>
        <w:t>具有独立承担民事责任的能力（提供营业执照或事业单位法人证书等证明资料扫描件，原件备查，分公司参与投标的，须提供分公司营业执照、其所属集团(或总公司)等具有独立法人资格的组织</w:t>
      </w:r>
      <w:r>
        <w:rPr>
          <w:rFonts w:hint="eastAsia" w:ascii="宋体" w:hAnsi="宋体" w:cs="宋体"/>
          <w:szCs w:val="21"/>
        </w:rPr>
        <w:t>的营业执照及其</w:t>
      </w:r>
      <w:r>
        <w:rPr>
          <w:rFonts w:hint="eastAsia" w:ascii="宋体" w:hAnsi="宋体" w:eastAsia="宋体" w:cs="宋体"/>
          <w:szCs w:val="21"/>
        </w:rPr>
        <w:t>出具的载明愿为其参与本项目投标的行为以及履约等行为承担民事责任的加盖总公司公章的授权函）</w:t>
      </w:r>
      <w:r>
        <w:rPr>
          <w:rFonts w:hint="eastAsia" w:ascii="宋体" w:hAnsi="宋体" w:cs="宋体"/>
          <w:szCs w:val="21"/>
        </w:rPr>
        <w:t>；</w:t>
      </w:r>
    </w:p>
    <w:p w14:paraId="4EB5FD22">
      <w:pPr>
        <w:ind w:firstLine="630" w:firstLineChars="300"/>
        <w:rPr>
          <w:rFonts w:ascii="宋体" w:hAnsi="宋体" w:eastAsia="宋体" w:cs="宋体"/>
          <w:szCs w:val="21"/>
        </w:rPr>
      </w:pPr>
      <w:r>
        <w:rPr>
          <w:rFonts w:hint="eastAsia" w:ascii="宋体" w:hAnsi="宋体" w:cs="宋体"/>
          <w:kern w:val="0"/>
          <w:szCs w:val="21"/>
        </w:rPr>
        <w:t>2.本项目不接受联合体投标，不接受投标人选用进口产品参与投标；</w:t>
      </w:r>
    </w:p>
    <w:p w14:paraId="3171C5F9">
      <w:pPr>
        <w:ind w:firstLine="630" w:firstLineChars="300"/>
        <w:rPr>
          <w:rFonts w:ascii="宋体" w:hAnsi="宋体" w:cs="宋体"/>
          <w:kern w:val="0"/>
          <w:szCs w:val="21"/>
        </w:rPr>
      </w:pPr>
      <w:r>
        <w:rPr>
          <w:rFonts w:hint="eastAsia" w:ascii="宋体" w:hAnsi="宋体" w:cs="宋体"/>
          <w:kern w:val="0"/>
          <w:szCs w:val="21"/>
        </w:rPr>
        <w:t>3</w:t>
      </w:r>
      <w:r>
        <w:rPr>
          <w:rFonts w:ascii="宋体" w:hAnsi="宋体" w:cs="宋体"/>
          <w:kern w:val="0"/>
          <w:szCs w:val="21"/>
        </w:rPr>
        <w:t>.</w:t>
      </w:r>
      <w:r>
        <w:rPr>
          <w:rFonts w:hint="eastAsia" w:ascii="宋体" w:hAnsi="宋体" w:cs="宋体"/>
          <w:kern w:val="0"/>
          <w:szCs w:val="21"/>
        </w:rPr>
        <w:t>参与本项目政府采购活动时不存在被有关部门禁止参与政府采购活动且在有效期内的情况（由供应商在《政府采购投标及履约承诺函》中作出声明）；</w:t>
      </w:r>
    </w:p>
    <w:p w14:paraId="611B7897">
      <w:pPr>
        <w:ind w:firstLine="630" w:firstLineChars="300"/>
        <w:rPr>
          <w:rFonts w:ascii="宋体" w:hAnsi="宋体" w:cs="宋体"/>
          <w:kern w:val="0"/>
          <w:szCs w:val="21"/>
        </w:rPr>
      </w:pPr>
      <w:r>
        <w:rPr>
          <w:rFonts w:hint="eastAsia" w:ascii="宋体" w:hAnsi="宋体" w:cs="宋体"/>
          <w:kern w:val="0"/>
          <w:szCs w:val="21"/>
        </w:rPr>
        <w:t>4</w:t>
      </w:r>
      <w:r>
        <w:rPr>
          <w:rFonts w:ascii="宋体" w:hAnsi="宋体" w:cs="宋体"/>
          <w:kern w:val="0"/>
          <w:szCs w:val="21"/>
        </w:rPr>
        <w:t>.</w:t>
      </w:r>
      <w:r>
        <w:rPr>
          <w:rFonts w:hint="eastAsia" w:ascii="宋体" w:hAnsi="宋体" w:cs="宋体"/>
          <w:kern w:val="0"/>
          <w:szCs w:val="21"/>
        </w:rPr>
        <w:t>具备《中华人民共和国政府采购法》第二十二条第一款的条件（由供应商在《政府采购投标及履约承诺函》中作出声明）；</w:t>
      </w:r>
    </w:p>
    <w:p w14:paraId="249B2C9A">
      <w:pPr>
        <w:ind w:firstLine="630" w:firstLineChars="300"/>
        <w:rPr>
          <w:rFonts w:ascii="宋体" w:hAnsi="宋体" w:cs="宋体"/>
          <w:kern w:val="0"/>
          <w:szCs w:val="21"/>
        </w:rPr>
      </w:pPr>
      <w:r>
        <w:rPr>
          <w:rFonts w:hint="eastAsia" w:ascii="宋体" w:hAnsi="宋体" w:cs="宋体"/>
          <w:kern w:val="0"/>
          <w:szCs w:val="21"/>
        </w:rPr>
        <w:t>5</w:t>
      </w:r>
      <w:r>
        <w:rPr>
          <w:rFonts w:ascii="宋体" w:hAnsi="宋体" w:cs="宋体"/>
          <w:kern w:val="0"/>
          <w:szCs w:val="21"/>
        </w:rPr>
        <w:t>.</w:t>
      </w:r>
      <w:r>
        <w:rPr>
          <w:rFonts w:hint="eastAsia" w:ascii="宋体" w:hAnsi="宋体" w:cs="宋体"/>
          <w:kern w:val="0"/>
          <w:szCs w:val="21"/>
        </w:rPr>
        <w:t>未被列入失信被执行人、重大税收违法案件当事人名单、政府采购严重违法失信行为记录名单（由供应商在《政府采购投标及履约承诺函》中作出声明）；</w:t>
      </w:r>
    </w:p>
    <w:p w14:paraId="5984F8F0">
      <w:pPr>
        <w:ind w:firstLine="630" w:firstLineChars="300"/>
        <w:rPr>
          <w:rFonts w:ascii="宋体" w:hAnsi="宋体" w:cs="宋体"/>
          <w:kern w:val="0"/>
          <w:szCs w:val="21"/>
        </w:rPr>
      </w:pPr>
      <w:r>
        <w:rPr>
          <w:rFonts w:hint="eastAsia" w:ascii="宋体" w:hAnsi="宋体" w:cs="宋体"/>
          <w:kern w:val="0"/>
          <w:szCs w:val="21"/>
        </w:rPr>
        <w:t>6.不存在《深圳市财政局政府采购供应商信用信息管理办法》（深财规〔2023〕3号）列明的严重违法失信行为（由供应商在《政府采购投标及履约承诺函》中作出声明）；</w:t>
      </w:r>
    </w:p>
    <w:p w14:paraId="19C1C89C">
      <w:pPr>
        <w:ind w:firstLine="630" w:firstLineChars="300"/>
        <w:rPr>
          <w:rFonts w:ascii="宋体" w:hAnsi="宋体" w:eastAsia="宋体" w:cs="宋体"/>
          <w:kern w:val="0"/>
          <w:szCs w:val="21"/>
        </w:rPr>
      </w:pPr>
      <w:r>
        <w:rPr>
          <w:rFonts w:hint="eastAsia" w:ascii="宋体" w:hAnsi="宋体" w:cs="宋体"/>
          <w:kern w:val="0"/>
          <w:szCs w:val="21"/>
        </w:rPr>
        <w:t>7.单位负责人为同一人或者存在直接控股、管理关系的不同供应商，不得参加同一合同项下的政府采购活动；为采购项目提供整体设计、规范编制或者项目管理、监理、检测等服务的供应商，不得再参加该采购项目的其他采购活动（由供应商在《政府采购投标及履约承诺函》中作出声明）；</w:t>
      </w:r>
    </w:p>
    <w:p w14:paraId="2D8DACD0">
      <w:pPr>
        <w:ind w:firstLine="630" w:firstLineChars="300"/>
        <w:rPr>
          <w:rFonts w:hint="eastAsia" w:ascii="宋体" w:hAnsi="宋体" w:cs="宋体"/>
          <w:b/>
          <w:bCs/>
          <w:color w:val="FF0000"/>
          <w:kern w:val="0"/>
          <w:szCs w:val="21"/>
        </w:rPr>
      </w:pPr>
      <w:r>
        <w:rPr>
          <w:rFonts w:hint="eastAsia" w:ascii="宋体" w:hAnsi="宋体" w:cs="宋体"/>
          <w:kern w:val="0"/>
          <w:szCs w:val="21"/>
        </w:rPr>
        <w:t>8.本项目是（否）专门面向中小企业采购：</w:t>
      </w:r>
      <w:r>
        <w:rPr>
          <w:rFonts w:hint="eastAsia" w:ascii="宋体" w:hAnsi="宋体" w:cs="宋体"/>
          <w:b/>
          <w:bCs/>
          <w:color w:val="FF0000"/>
          <w:kern w:val="0"/>
          <w:szCs w:val="21"/>
          <w:lang w:val="en-US" w:eastAsia="zh-CN"/>
        </w:rPr>
        <w:t>否</w:t>
      </w:r>
      <w:r>
        <w:rPr>
          <w:rFonts w:hint="eastAsia" w:ascii="宋体" w:hAnsi="宋体" w:cs="宋体"/>
          <w:b/>
          <w:bCs/>
          <w:color w:val="FF0000"/>
          <w:kern w:val="0"/>
          <w:szCs w:val="21"/>
        </w:rPr>
        <w:t>；</w:t>
      </w:r>
    </w:p>
    <w:p w14:paraId="04301893">
      <w:pPr>
        <w:ind w:firstLine="630" w:firstLineChars="300"/>
        <w:rPr>
          <w:rFonts w:ascii="宋体" w:hAnsi="宋体" w:cs="宋体"/>
          <w:kern w:val="0"/>
          <w:szCs w:val="21"/>
          <w:highlight w:val="yellow"/>
        </w:rPr>
      </w:pPr>
      <w:r>
        <w:rPr>
          <w:rFonts w:hint="eastAsia" w:ascii="宋体" w:hAnsi="宋体" w:cs="宋体"/>
          <w:kern w:val="0"/>
          <w:szCs w:val="21"/>
        </w:rPr>
        <w:t>9.投标人需根据实际填写“股东构成审查表”（详见采购文件相应章节）。</w:t>
      </w:r>
    </w:p>
    <w:p w14:paraId="1098AF03">
      <w:pPr>
        <w:wordWrap w:val="0"/>
        <w:ind w:firstLine="420" w:firstLineChars="200"/>
        <w:rPr>
          <w:rFonts w:ascii="宋体" w:hAnsi="宋体" w:cs="宋体"/>
          <w:kern w:val="0"/>
          <w:szCs w:val="21"/>
        </w:rPr>
      </w:pPr>
      <w:r>
        <w:rPr>
          <w:rFonts w:hint="eastAsia" w:ascii="宋体" w:hAnsi="宋体" w:cs="宋体"/>
          <w:kern w:val="0"/>
          <w:szCs w:val="21"/>
        </w:rPr>
        <w:t>注：（1）“信用中国”（www.creditchina.gov.cn，查询“信用服务”栏的“重大税收违法失信主体”“失信被执行人”或者下载信用信息报告），“中国政府采购网”（www.ccgp.gov.cn）中的“政府采购严重违法失信行为记录名单”，以及“深圳市政府采购监管网”（http://zfcg.sz.gov.cn）为供应商信用信息的查询渠道，相关信息以开标当日的查询结果为准；</w:t>
      </w:r>
    </w:p>
    <w:p w14:paraId="58073370">
      <w:pPr>
        <w:ind w:firstLine="420" w:firstLineChars="200"/>
        <w:rPr>
          <w:rFonts w:ascii="宋体" w:hAnsi="宋体"/>
        </w:rPr>
      </w:pPr>
      <w:r>
        <w:rPr>
          <w:rFonts w:hint="eastAsia" w:ascii="宋体" w:hAnsi="宋体"/>
        </w:rPr>
        <w:t>（2）供应商投标（上传投标文件）必须先行办理注册手续，具体请按照本公告“六、其他补充事宜</w:t>
      </w:r>
      <w:r>
        <w:rPr>
          <w:rFonts w:ascii="宋体" w:hAnsi="宋体"/>
        </w:rPr>
        <w:t>”</w:t>
      </w:r>
      <w:r>
        <w:rPr>
          <w:rFonts w:hint="eastAsia" w:ascii="宋体" w:hAnsi="宋体"/>
        </w:rPr>
        <w:t>相关内容指引办理。</w:t>
      </w:r>
    </w:p>
    <w:p w14:paraId="2C8C6327">
      <w:pPr>
        <w:snapToGrid w:val="0"/>
        <w:spacing w:line="300" w:lineRule="auto"/>
        <w:ind w:firstLine="480" w:firstLineChars="200"/>
        <w:rPr>
          <w:rFonts w:ascii="Arial" w:hAnsi="Arial" w:eastAsia="宋体" w:cs="Times New Roman"/>
          <w:sz w:val="24"/>
          <w:szCs w:val="24"/>
        </w:rPr>
      </w:pPr>
    </w:p>
    <w:p w14:paraId="0E5317DA">
      <w:pPr>
        <w:spacing w:after="78" w:afterLines="25"/>
        <w:jc w:val="center"/>
        <w:rPr>
          <w:b/>
          <w:color w:val="FF0000"/>
          <w:sz w:val="30"/>
          <w:szCs w:val="30"/>
        </w:rPr>
      </w:pPr>
      <w:r>
        <w:rPr>
          <w:rFonts w:hint="eastAsia" w:ascii="Arial" w:hAnsi="Arial" w:eastAsia="宋体" w:cs="Times New Roman"/>
          <w:b/>
          <w:color w:val="FF0000"/>
          <w:sz w:val="30"/>
          <w:szCs w:val="30"/>
        </w:rPr>
        <w:t>完整公告内容以网站公布信息为准，详见：深圳政府采购自行采购系统</w:t>
      </w:r>
      <w:r>
        <w:rPr>
          <w:rFonts w:hint="eastAsia"/>
          <w:b/>
          <w:color w:val="FF0000"/>
          <w:sz w:val="30"/>
          <w:szCs w:val="30"/>
        </w:rPr>
        <w:t>网（https://zxcg.szggzy.com/home/index.html）</w:t>
      </w:r>
    </w:p>
    <w:p w14:paraId="164366D9">
      <w:pPr>
        <w:spacing w:after="78" w:afterLines="25"/>
        <w:rPr>
          <w:rFonts w:ascii="Arial" w:hAnsi="Arial" w:eastAsia="宋体" w:cs="Times New Roman"/>
          <w:b/>
          <w:color w:val="FF0000"/>
          <w:sz w:val="30"/>
          <w:szCs w:val="30"/>
        </w:rPr>
      </w:pPr>
    </w:p>
    <w:p w14:paraId="02B465EC">
      <w:pPr>
        <w:keepNext/>
        <w:keepLines/>
        <w:spacing w:before="260" w:after="260" w:line="416" w:lineRule="auto"/>
        <w:jc w:val="center"/>
        <w:outlineLvl w:val="1"/>
        <w:rPr>
          <w:rFonts w:ascii="宋体" w:hAnsi="宋体" w:eastAsia="宋体" w:cs="Times New Roman"/>
          <w:b/>
          <w:bCs/>
          <w:kern w:val="0"/>
          <w:sz w:val="28"/>
          <w:szCs w:val="28"/>
        </w:rPr>
      </w:pPr>
      <w:r>
        <w:rPr>
          <w:rFonts w:hint="eastAsia" w:ascii="宋体" w:hAnsi="宋体" w:eastAsia="宋体" w:cs="Times New Roman"/>
          <w:b/>
          <w:bCs/>
          <w:kern w:val="0"/>
          <w:sz w:val="28"/>
          <w:szCs w:val="28"/>
        </w:rPr>
        <w:t xml:space="preserve">第二章 </w:t>
      </w:r>
      <w:bookmarkStart w:id="2" w:name="_Hlk71926094"/>
      <w:r>
        <w:rPr>
          <w:rFonts w:hint="eastAsia" w:ascii="宋体" w:hAnsi="宋体" w:eastAsia="宋体" w:cs="Times New Roman"/>
          <w:b/>
          <w:bCs/>
          <w:kern w:val="0"/>
          <w:sz w:val="28"/>
          <w:szCs w:val="28"/>
        </w:rPr>
        <w:t>对通用条款的补充内容及其他关键信息</w:t>
      </w:r>
      <w:bookmarkEnd w:id="2"/>
    </w:p>
    <w:p w14:paraId="4F858BEB">
      <w:pPr>
        <w:keepNext/>
        <w:keepLines/>
        <w:adjustRightInd w:val="0"/>
        <w:spacing w:before="156" w:beforeLines="50" w:after="156" w:afterLines="50"/>
        <w:jc w:val="center"/>
        <w:textAlignment w:val="baseline"/>
        <w:outlineLvl w:val="2"/>
        <w:rPr>
          <w:rFonts w:ascii="宋体" w:hAnsi="宋体" w:eastAsia="宋体" w:cs="Times New Roman"/>
          <w:b/>
          <w:bCs/>
          <w:kern w:val="0"/>
          <w:sz w:val="24"/>
          <w:szCs w:val="24"/>
        </w:rPr>
      </w:pPr>
      <w:bookmarkStart w:id="3" w:name="_Toc60631620"/>
      <w:bookmarkStart w:id="4" w:name="_Toc73521635"/>
      <w:bookmarkStart w:id="5" w:name="_Toc101074876"/>
      <w:bookmarkStart w:id="6" w:name="_Toc60560625"/>
      <w:bookmarkStart w:id="7" w:name="_Toc73518117"/>
      <w:bookmarkStart w:id="8" w:name="_Toc100052364"/>
      <w:bookmarkStart w:id="9" w:name="_Toc73521547"/>
      <w:bookmarkStart w:id="10" w:name="_Toc73517639"/>
      <w:r>
        <w:rPr>
          <w:rFonts w:hint="eastAsia" w:ascii="宋体" w:hAnsi="宋体" w:eastAsia="宋体" w:cs="Times New Roman"/>
          <w:b/>
          <w:bCs/>
          <w:kern w:val="0"/>
          <w:sz w:val="24"/>
          <w:szCs w:val="24"/>
        </w:rPr>
        <w:t>一、对通用条款的补充内容</w:t>
      </w:r>
    </w:p>
    <w:tbl>
      <w:tblPr>
        <w:tblStyle w:val="16"/>
        <w:tblW w:w="9528"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978"/>
        <w:gridCol w:w="1807"/>
        <w:gridCol w:w="6743"/>
      </w:tblGrid>
      <w:tr w14:paraId="1C73D14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219B9EDA">
            <w:pPr>
              <w:jc w:val="center"/>
              <w:rPr>
                <w:rFonts w:ascii="宋体" w:hAnsi="宋体"/>
                <w:b/>
                <w:bCs/>
              </w:rPr>
            </w:pPr>
            <w:r>
              <w:rPr>
                <w:rFonts w:hint="eastAsia" w:ascii="宋体" w:hAnsi="宋体"/>
                <w:b/>
                <w:bCs/>
              </w:rPr>
              <w:t>通用条款序号</w:t>
            </w:r>
          </w:p>
        </w:tc>
        <w:tc>
          <w:tcPr>
            <w:tcW w:w="1807" w:type="dxa"/>
            <w:vAlign w:val="center"/>
          </w:tcPr>
          <w:p w14:paraId="0DAEF99A">
            <w:pPr>
              <w:jc w:val="center"/>
              <w:rPr>
                <w:rFonts w:ascii="宋体" w:hAnsi="宋体"/>
                <w:b/>
                <w:bCs/>
              </w:rPr>
            </w:pPr>
            <w:r>
              <w:rPr>
                <w:rFonts w:hint="eastAsia" w:ascii="宋体" w:hAnsi="宋体"/>
                <w:b/>
                <w:bCs/>
              </w:rPr>
              <w:t>涉及事项</w:t>
            </w:r>
          </w:p>
        </w:tc>
        <w:tc>
          <w:tcPr>
            <w:tcW w:w="6743" w:type="dxa"/>
            <w:vAlign w:val="center"/>
          </w:tcPr>
          <w:p w14:paraId="35F0A475">
            <w:pPr>
              <w:jc w:val="center"/>
              <w:rPr>
                <w:rFonts w:ascii="宋体" w:hAnsi="宋体"/>
                <w:b/>
                <w:bCs/>
              </w:rPr>
            </w:pPr>
            <w:r>
              <w:rPr>
                <w:rFonts w:hint="eastAsia" w:ascii="宋体" w:hAnsi="宋体"/>
                <w:b/>
                <w:bCs/>
              </w:rPr>
              <w:t xml:space="preserve">具 </w:t>
            </w:r>
            <w:r>
              <w:rPr>
                <w:rFonts w:ascii="宋体" w:hAnsi="宋体"/>
                <w:b/>
                <w:bCs/>
              </w:rPr>
              <w:t xml:space="preserve"> </w:t>
            </w:r>
            <w:r>
              <w:rPr>
                <w:rFonts w:hint="eastAsia" w:ascii="宋体" w:hAnsi="宋体"/>
                <w:b/>
                <w:bCs/>
              </w:rPr>
              <w:t xml:space="preserve">体 </w:t>
            </w:r>
            <w:r>
              <w:rPr>
                <w:rFonts w:ascii="宋体" w:hAnsi="宋体"/>
                <w:b/>
                <w:bCs/>
              </w:rPr>
              <w:t xml:space="preserve"> </w:t>
            </w:r>
            <w:r>
              <w:rPr>
                <w:rFonts w:hint="eastAsia" w:ascii="宋体" w:hAnsi="宋体"/>
                <w:b/>
                <w:bCs/>
              </w:rPr>
              <w:t xml:space="preserve">补 </w:t>
            </w:r>
            <w:r>
              <w:rPr>
                <w:rFonts w:ascii="宋体" w:hAnsi="宋体"/>
                <w:b/>
                <w:bCs/>
              </w:rPr>
              <w:t xml:space="preserve"> </w:t>
            </w:r>
            <w:r>
              <w:rPr>
                <w:rFonts w:hint="eastAsia" w:ascii="宋体" w:hAnsi="宋体"/>
                <w:b/>
                <w:bCs/>
              </w:rPr>
              <w:t xml:space="preserve">充 </w:t>
            </w:r>
            <w:r>
              <w:rPr>
                <w:rFonts w:ascii="宋体" w:hAnsi="宋体"/>
                <w:b/>
                <w:bCs/>
              </w:rPr>
              <w:t xml:space="preserve"> </w:t>
            </w:r>
            <w:r>
              <w:rPr>
                <w:rFonts w:hint="eastAsia" w:ascii="宋体" w:hAnsi="宋体"/>
                <w:b/>
                <w:bCs/>
              </w:rPr>
              <w:t xml:space="preserve">内 </w:t>
            </w:r>
            <w:r>
              <w:rPr>
                <w:rFonts w:ascii="宋体" w:hAnsi="宋体"/>
                <w:b/>
                <w:bCs/>
              </w:rPr>
              <w:t xml:space="preserve"> </w:t>
            </w:r>
            <w:r>
              <w:rPr>
                <w:rFonts w:hint="eastAsia" w:ascii="宋体" w:hAnsi="宋体"/>
                <w:b/>
                <w:bCs/>
              </w:rPr>
              <w:t>容</w:t>
            </w:r>
          </w:p>
        </w:tc>
      </w:tr>
      <w:tr w14:paraId="7F810FB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0B153F85">
            <w:pPr>
              <w:jc w:val="center"/>
              <w:rPr>
                <w:rFonts w:ascii="宋体" w:hAnsi="宋体"/>
              </w:rPr>
            </w:pPr>
            <w:r>
              <w:rPr>
                <w:rFonts w:hint="eastAsia" w:ascii="宋体" w:hAnsi="宋体"/>
              </w:rPr>
              <w:t>3</w:t>
            </w:r>
            <w:r>
              <w:rPr>
                <w:rFonts w:ascii="宋体" w:hAnsi="宋体"/>
              </w:rPr>
              <w:t>.1</w:t>
            </w:r>
          </w:p>
        </w:tc>
        <w:tc>
          <w:tcPr>
            <w:tcW w:w="1807" w:type="dxa"/>
            <w:vAlign w:val="center"/>
          </w:tcPr>
          <w:p w14:paraId="0B6548C7">
            <w:pPr>
              <w:jc w:val="center"/>
            </w:pPr>
            <w:r>
              <w:rPr>
                <w:rFonts w:hint="eastAsia"/>
              </w:rPr>
              <w:t>采购人</w:t>
            </w:r>
          </w:p>
        </w:tc>
        <w:tc>
          <w:tcPr>
            <w:tcW w:w="6743" w:type="dxa"/>
            <w:vAlign w:val="center"/>
          </w:tcPr>
          <w:p w14:paraId="72478A3F">
            <w:pPr>
              <w:jc w:val="left"/>
              <w:rPr>
                <w:rFonts w:hint="eastAsia" w:ascii="宋体" w:hAnsi="宋体" w:eastAsiaTheme="minorEastAsia"/>
                <w:lang w:val="en-US" w:eastAsia="zh-CN"/>
              </w:rPr>
            </w:pPr>
            <w:r>
              <w:rPr>
                <w:rFonts w:hint="eastAsia" w:ascii="宋体" w:hAnsi="宋体"/>
                <w:lang w:eastAsia="zh-CN"/>
              </w:rPr>
              <w:t>华东师范大学附属深圳龙华学校教育集团</w:t>
            </w:r>
          </w:p>
        </w:tc>
      </w:tr>
      <w:tr w14:paraId="4625269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75277901">
            <w:pPr>
              <w:jc w:val="center"/>
              <w:rPr>
                <w:rFonts w:ascii="宋体" w:hAnsi="宋体"/>
              </w:rPr>
            </w:pPr>
            <w:r>
              <w:rPr>
                <w:rFonts w:hint="eastAsia" w:ascii="宋体" w:hAnsi="宋体"/>
              </w:rPr>
              <w:t>3</w:t>
            </w:r>
            <w:r>
              <w:rPr>
                <w:rFonts w:ascii="宋体" w:hAnsi="宋体"/>
              </w:rPr>
              <w:t>.2</w:t>
            </w:r>
          </w:p>
        </w:tc>
        <w:tc>
          <w:tcPr>
            <w:tcW w:w="1807" w:type="dxa"/>
            <w:vAlign w:val="center"/>
          </w:tcPr>
          <w:p w14:paraId="77D45745">
            <w:pPr>
              <w:jc w:val="center"/>
              <w:rPr>
                <w:rFonts w:ascii="宋体" w:hAnsi="宋体"/>
              </w:rPr>
            </w:pPr>
            <w:r>
              <w:rPr>
                <w:rFonts w:eastAsia="宋体"/>
                <w:kern w:val="2"/>
                <w:sz w:val="21"/>
                <w:szCs w:val="21"/>
                <w:lang w:eastAsia="zh-CN"/>
              </w:rPr>
              <w:t>招标（采购）代理机构</w:t>
            </w:r>
          </w:p>
        </w:tc>
        <w:tc>
          <w:tcPr>
            <w:tcW w:w="6743" w:type="dxa"/>
            <w:vAlign w:val="center"/>
          </w:tcPr>
          <w:p w14:paraId="72D07FB5">
            <w:pPr>
              <w:jc w:val="left"/>
              <w:rPr>
                <w:rFonts w:hint="eastAsia" w:ascii="宋体" w:hAnsi="宋体"/>
                <w:lang w:eastAsia="zh-CN"/>
              </w:rPr>
            </w:pPr>
            <w:r>
              <w:rPr>
                <w:rFonts w:hint="eastAsia" w:ascii="宋体" w:hAnsi="宋体"/>
                <w:lang w:val="en-US" w:eastAsia="zh-CN"/>
              </w:rPr>
              <w:t>深圳市东海国际招标有限公司</w:t>
            </w:r>
          </w:p>
        </w:tc>
      </w:tr>
      <w:tr w14:paraId="5BCF9B5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2579C5BD">
            <w:pPr>
              <w:jc w:val="center"/>
              <w:rPr>
                <w:rFonts w:ascii="宋体" w:hAnsi="宋体"/>
              </w:rPr>
            </w:pPr>
            <w:r>
              <w:rPr>
                <w:rFonts w:hint="eastAsia" w:ascii="宋体" w:hAnsi="宋体"/>
              </w:rPr>
              <w:t>5</w:t>
            </w:r>
            <w:r>
              <w:rPr>
                <w:rFonts w:ascii="宋体" w:hAnsi="宋体"/>
              </w:rPr>
              <w:t>.3</w:t>
            </w:r>
          </w:p>
        </w:tc>
        <w:tc>
          <w:tcPr>
            <w:tcW w:w="1807" w:type="dxa"/>
            <w:vAlign w:val="center"/>
          </w:tcPr>
          <w:p w14:paraId="64417261">
            <w:pPr>
              <w:jc w:val="center"/>
              <w:rPr>
                <w:rFonts w:ascii="宋体" w:hAnsi="宋体"/>
              </w:rPr>
            </w:pPr>
            <w:r>
              <w:rPr>
                <w:rFonts w:hint="eastAsia" w:ascii="宋体" w:hAnsi="宋体"/>
              </w:rPr>
              <w:t>联合体投标</w:t>
            </w:r>
          </w:p>
        </w:tc>
        <w:tc>
          <w:tcPr>
            <w:tcW w:w="6743" w:type="dxa"/>
            <w:vAlign w:val="center"/>
          </w:tcPr>
          <w:p w14:paraId="63F55CB8">
            <w:pPr>
              <w:jc w:val="left"/>
              <w:rPr>
                <w:rFonts w:ascii="Arial" w:hAnsi="Arial" w:eastAsia="宋体" w:cs="Times New Roman"/>
                <w:szCs w:val="24"/>
              </w:rPr>
            </w:pPr>
            <w:r>
              <w:rPr>
                <w:rFonts w:hint="eastAsia" w:ascii="Arial" w:hAnsi="Arial" w:eastAsia="宋体" w:cs="Times New Roman"/>
                <w:szCs w:val="24"/>
              </w:rPr>
              <w:t>不接受</w:t>
            </w:r>
          </w:p>
        </w:tc>
      </w:tr>
      <w:tr w14:paraId="3B32D9A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00A59A78">
            <w:pPr>
              <w:jc w:val="center"/>
              <w:rPr>
                <w:rFonts w:ascii="宋体" w:hAnsi="宋体"/>
              </w:rPr>
            </w:pPr>
            <w:r>
              <w:rPr>
                <w:rFonts w:hint="eastAsia" w:ascii="宋体" w:hAnsi="宋体"/>
              </w:rPr>
              <w:t>9</w:t>
            </w:r>
          </w:p>
        </w:tc>
        <w:tc>
          <w:tcPr>
            <w:tcW w:w="1807" w:type="dxa"/>
            <w:vAlign w:val="center"/>
          </w:tcPr>
          <w:p w14:paraId="741CF32D">
            <w:pPr>
              <w:jc w:val="center"/>
              <w:rPr>
                <w:rFonts w:ascii="宋体" w:hAnsi="宋体"/>
              </w:rPr>
            </w:pPr>
            <w:r>
              <w:rPr>
                <w:rFonts w:hint="eastAsia" w:ascii="宋体" w:hAnsi="宋体"/>
              </w:rPr>
              <w:t>踏勘现场</w:t>
            </w:r>
          </w:p>
        </w:tc>
        <w:tc>
          <w:tcPr>
            <w:tcW w:w="6743" w:type="dxa"/>
            <w:vAlign w:val="center"/>
          </w:tcPr>
          <w:p w14:paraId="44F3339B">
            <w:pPr>
              <w:jc w:val="left"/>
              <w:rPr>
                <w:rFonts w:ascii="Arial" w:hAnsi="Arial" w:eastAsia="宋体" w:cs="Times New Roman"/>
                <w:szCs w:val="24"/>
              </w:rPr>
            </w:pPr>
            <w:r>
              <w:rPr>
                <w:rFonts w:hint="eastAsia" w:ascii="宋体" w:hAnsi="宋体" w:eastAsia="宋体" w:cs="宋体"/>
                <w:b/>
                <w:bCs/>
                <w:highlight w:val="yellow"/>
                <w:lang w:val="en-US" w:eastAsia="zh-CN"/>
              </w:rPr>
              <w:t>不</w:t>
            </w:r>
            <w:r>
              <w:rPr>
                <w:rFonts w:hint="eastAsia" w:ascii="宋体" w:hAnsi="宋体" w:eastAsia="宋体" w:cs="宋体"/>
                <w:b/>
                <w:bCs/>
                <w:highlight w:val="yellow"/>
              </w:rPr>
              <w:t>组织</w:t>
            </w:r>
            <w:r>
              <w:rPr>
                <w:rFonts w:hint="eastAsia" w:ascii="宋体" w:hAnsi="宋体" w:cs="宋体"/>
                <w:b/>
                <w:bCs/>
                <w:highlight w:val="yellow"/>
              </w:rPr>
              <w:t>，</w:t>
            </w:r>
            <w:r>
              <w:rPr>
                <w:rFonts w:hint="eastAsia" w:ascii="宋体" w:hAnsi="宋体" w:eastAsia="宋体" w:cs="宋体"/>
                <w:b/>
                <w:bCs/>
                <w:highlight w:val="yellow"/>
              </w:rPr>
              <w:t>具体安排见</w:t>
            </w:r>
            <w:r>
              <w:rPr>
                <w:rFonts w:hint="eastAsia" w:ascii="宋体" w:hAnsi="宋体" w:cs="宋体"/>
                <w:b/>
                <w:bCs/>
                <w:highlight w:val="yellow"/>
              </w:rPr>
              <w:t>“</w:t>
            </w:r>
            <w:r>
              <w:rPr>
                <w:rFonts w:hint="eastAsia" w:ascii="宋体" w:hAnsi="宋体" w:eastAsia="宋体" w:cs="宋体"/>
                <w:b/>
                <w:bCs/>
                <w:highlight w:val="yellow"/>
              </w:rPr>
              <w:t>其他关键信息</w:t>
            </w:r>
            <w:r>
              <w:rPr>
                <w:rFonts w:hint="eastAsia" w:ascii="宋体" w:hAnsi="宋体" w:cs="宋体"/>
                <w:b/>
                <w:bCs/>
                <w:highlight w:val="yellow"/>
              </w:rPr>
              <w:t>”</w:t>
            </w:r>
            <w:r>
              <w:rPr>
                <w:rFonts w:hint="eastAsia" w:ascii="宋体" w:hAnsi="宋体" w:eastAsia="宋体" w:cs="宋体"/>
                <w:b/>
                <w:bCs/>
                <w:highlight w:val="yellow"/>
              </w:rPr>
              <w:t>章节</w:t>
            </w:r>
          </w:p>
        </w:tc>
      </w:tr>
      <w:tr w14:paraId="2FC2C07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220193C7">
            <w:pPr>
              <w:jc w:val="center"/>
              <w:rPr>
                <w:rFonts w:ascii="宋体" w:hAnsi="宋体"/>
              </w:rPr>
            </w:pPr>
            <w:r>
              <w:rPr>
                <w:rFonts w:hint="eastAsia" w:ascii="宋体" w:hAnsi="宋体"/>
              </w:rPr>
              <w:t>1</w:t>
            </w:r>
            <w:r>
              <w:rPr>
                <w:rFonts w:ascii="宋体" w:hAnsi="宋体"/>
              </w:rPr>
              <w:t>0</w:t>
            </w:r>
          </w:p>
        </w:tc>
        <w:tc>
          <w:tcPr>
            <w:tcW w:w="1807" w:type="dxa"/>
            <w:vAlign w:val="center"/>
          </w:tcPr>
          <w:p w14:paraId="7673BFCD">
            <w:pPr>
              <w:jc w:val="center"/>
              <w:rPr>
                <w:rFonts w:ascii="宋体" w:hAnsi="宋体"/>
              </w:rPr>
            </w:pPr>
            <w:r>
              <w:rPr>
                <w:rFonts w:hint="eastAsia" w:ascii="宋体" w:hAnsi="宋体"/>
              </w:rPr>
              <w:t>标前会议</w:t>
            </w:r>
          </w:p>
        </w:tc>
        <w:tc>
          <w:tcPr>
            <w:tcW w:w="6743" w:type="dxa"/>
            <w:vAlign w:val="center"/>
          </w:tcPr>
          <w:p w14:paraId="21B70160">
            <w:pPr>
              <w:jc w:val="left"/>
              <w:rPr>
                <w:rFonts w:ascii="Arial" w:hAnsi="Arial" w:eastAsia="宋体" w:cs="Times New Roman"/>
                <w:szCs w:val="24"/>
              </w:rPr>
            </w:pPr>
            <w:r>
              <w:rPr>
                <w:rFonts w:hint="eastAsia" w:ascii="Arial" w:hAnsi="Arial" w:eastAsia="宋体" w:cs="Times New Roman"/>
                <w:szCs w:val="24"/>
              </w:rPr>
              <w:t>不组织</w:t>
            </w:r>
          </w:p>
        </w:tc>
      </w:tr>
      <w:tr w14:paraId="3ED6982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6A8C4859">
            <w:pPr>
              <w:jc w:val="center"/>
              <w:rPr>
                <w:rFonts w:ascii="宋体" w:hAnsi="宋体"/>
              </w:rPr>
            </w:pPr>
            <w:r>
              <w:rPr>
                <w:rFonts w:hint="eastAsia" w:ascii="宋体" w:hAnsi="宋体"/>
              </w:rPr>
              <w:t>1</w:t>
            </w:r>
            <w:r>
              <w:rPr>
                <w:rFonts w:ascii="宋体" w:hAnsi="宋体"/>
              </w:rPr>
              <w:t>2</w:t>
            </w:r>
            <w:r>
              <w:rPr>
                <w:rFonts w:hint="eastAsia" w:ascii="宋体" w:hAnsi="宋体"/>
              </w:rPr>
              <w:t>/1</w:t>
            </w:r>
            <w:r>
              <w:rPr>
                <w:rFonts w:ascii="宋体" w:hAnsi="宋体"/>
              </w:rPr>
              <w:t>3</w:t>
            </w:r>
          </w:p>
        </w:tc>
        <w:tc>
          <w:tcPr>
            <w:tcW w:w="1807" w:type="dxa"/>
            <w:vAlign w:val="center"/>
          </w:tcPr>
          <w:p w14:paraId="447A24C0">
            <w:pPr>
              <w:jc w:val="center"/>
              <w:rPr>
                <w:rFonts w:ascii="宋体" w:hAnsi="宋体"/>
              </w:rPr>
            </w:pPr>
            <w:r>
              <w:rPr>
                <w:rFonts w:hint="eastAsia" w:ascii="宋体" w:hAnsi="宋体"/>
              </w:rPr>
              <w:t>招标文件的澄清和修改</w:t>
            </w:r>
          </w:p>
        </w:tc>
        <w:tc>
          <w:tcPr>
            <w:tcW w:w="6743" w:type="dxa"/>
            <w:vAlign w:val="center"/>
          </w:tcPr>
          <w:p w14:paraId="5CAD9D5D">
            <w:pPr>
              <w:jc w:val="left"/>
              <w:rPr>
                <w:rFonts w:ascii="宋体" w:hAnsi="宋体"/>
              </w:rPr>
            </w:pPr>
            <w:r>
              <w:rPr>
                <w:rFonts w:hint="eastAsia" w:ascii="宋体" w:hAnsi="宋体"/>
              </w:rPr>
              <w:t>不晚于投标截止日三日前，</w:t>
            </w:r>
            <w:r>
              <w:rPr>
                <w:rFonts w:eastAsia="宋体"/>
                <w:kern w:val="2"/>
                <w:sz w:val="21"/>
                <w:szCs w:val="22"/>
                <w:lang w:eastAsia="zh-CN"/>
              </w:rPr>
              <w:t>投标人有义务在招标期间在招标代理机构网站浏览与本项目有关的澄清和修改信息。</w:t>
            </w:r>
          </w:p>
        </w:tc>
      </w:tr>
      <w:tr w14:paraId="4E1B4F7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3DB34DB7">
            <w:pPr>
              <w:jc w:val="center"/>
              <w:rPr>
                <w:rFonts w:ascii="宋体" w:hAnsi="宋体"/>
              </w:rPr>
            </w:pPr>
            <w:r>
              <w:rPr>
                <w:rFonts w:hint="eastAsia" w:ascii="宋体" w:hAnsi="宋体"/>
              </w:rPr>
              <w:t>2</w:t>
            </w:r>
            <w:r>
              <w:rPr>
                <w:rFonts w:ascii="宋体" w:hAnsi="宋体"/>
              </w:rPr>
              <w:t>0</w:t>
            </w:r>
          </w:p>
        </w:tc>
        <w:tc>
          <w:tcPr>
            <w:tcW w:w="1807" w:type="dxa"/>
            <w:vAlign w:val="center"/>
          </w:tcPr>
          <w:p w14:paraId="0C073E6F">
            <w:pPr>
              <w:jc w:val="center"/>
              <w:rPr>
                <w:rFonts w:ascii="宋体" w:hAnsi="宋体"/>
              </w:rPr>
            </w:pPr>
            <w:r>
              <w:rPr>
                <w:rFonts w:hint="eastAsia" w:ascii="宋体" w:hAnsi="宋体"/>
              </w:rPr>
              <w:t>投标有效期</w:t>
            </w:r>
          </w:p>
        </w:tc>
        <w:tc>
          <w:tcPr>
            <w:tcW w:w="6743" w:type="dxa"/>
            <w:vAlign w:val="center"/>
          </w:tcPr>
          <w:p w14:paraId="7DD890E9">
            <w:pPr>
              <w:jc w:val="left"/>
              <w:rPr>
                <w:rFonts w:ascii="宋体" w:hAnsi="宋体"/>
              </w:rPr>
            </w:pPr>
            <w:r>
              <w:rPr>
                <w:rFonts w:hint="eastAsia" w:ascii="宋体" w:hAnsi="宋体"/>
              </w:rPr>
              <w:t>120日历天（从投标截止之日算起）</w:t>
            </w:r>
          </w:p>
        </w:tc>
      </w:tr>
      <w:tr w14:paraId="048DB57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6427B5E5">
            <w:pPr>
              <w:jc w:val="center"/>
              <w:rPr>
                <w:rFonts w:ascii="宋体" w:hAnsi="宋体"/>
              </w:rPr>
            </w:pPr>
            <w:r>
              <w:rPr>
                <w:rFonts w:hint="eastAsia" w:ascii="宋体" w:hAnsi="宋体"/>
              </w:rPr>
              <w:t>2</w:t>
            </w:r>
            <w:r>
              <w:rPr>
                <w:rFonts w:ascii="宋体" w:hAnsi="宋体"/>
              </w:rPr>
              <w:t>2</w:t>
            </w:r>
          </w:p>
        </w:tc>
        <w:tc>
          <w:tcPr>
            <w:tcW w:w="1807" w:type="dxa"/>
            <w:vAlign w:val="center"/>
          </w:tcPr>
          <w:p w14:paraId="1E5BD5FA">
            <w:pPr>
              <w:jc w:val="center"/>
              <w:rPr>
                <w:rFonts w:ascii="宋体" w:hAnsi="宋体"/>
              </w:rPr>
            </w:pPr>
            <w:r>
              <w:rPr>
                <w:rFonts w:hint="eastAsia" w:ascii="宋体" w:hAnsi="宋体"/>
              </w:rPr>
              <w:t>投标人的替代方案</w:t>
            </w:r>
          </w:p>
        </w:tc>
        <w:tc>
          <w:tcPr>
            <w:tcW w:w="6743" w:type="dxa"/>
            <w:vAlign w:val="center"/>
          </w:tcPr>
          <w:p w14:paraId="73DD725F">
            <w:pPr>
              <w:jc w:val="left"/>
              <w:rPr>
                <w:rFonts w:ascii="宋体" w:hAnsi="宋体"/>
              </w:rPr>
            </w:pPr>
            <w:r>
              <w:rPr>
                <w:rFonts w:hint="eastAsia" w:ascii="宋体" w:hAnsi="宋体"/>
              </w:rPr>
              <w:t>不接受</w:t>
            </w:r>
          </w:p>
        </w:tc>
      </w:tr>
      <w:tr w14:paraId="4DE8BDB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2A909B10">
            <w:pPr>
              <w:jc w:val="center"/>
              <w:rPr>
                <w:rFonts w:ascii="宋体" w:hAnsi="宋体"/>
              </w:rPr>
            </w:pPr>
            <w:r>
              <w:rPr>
                <w:rFonts w:hint="eastAsia" w:ascii="宋体" w:hAnsi="宋体"/>
              </w:rPr>
              <w:t>2</w:t>
            </w:r>
            <w:r>
              <w:rPr>
                <w:rFonts w:ascii="宋体" w:hAnsi="宋体"/>
              </w:rPr>
              <w:t>5</w:t>
            </w:r>
          </w:p>
        </w:tc>
        <w:tc>
          <w:tcPr>
            <w:tcW w:w="1807" w:type="dxa"/>
            <w:vAlign w:val="center"/>
          </w:tcPr>
          <w:p w14:paraId="7AF6EF9E">
            <w:pPr>
              <w:jc w:val="center"/>
              <w:rPr>
                <w:rFonts w:ascii="宋体" w:hAnsi="宋体"/>
              </w:rPr>
            </w:pPr>
            <w:r>
              <w:rPr>
                <w:rFonts w:hint="eastAsia" w:ascii="宋体" w:hAnsi="宋体"/>
              </w:rPr>
              <w:t>投标文件的大小</w:t>
            </w:r>
          </w:p>
        </w:tc>
        <w:tc>
          <w:tcPr>
            <w:tcW w:w="6743" w:type="dxa"/>
            <w:vAlign w:val="center"/>
          </w:tcPr>
          <w:p w14:paraId="2DEE26BD">
            <w:pPr>
              <w:jc w:val="left"/>
              <w:rPr>
                <w:rFonts w:ascii="宋体" w:hAnsi="宋体"/>
              </w:rPr>
            </w:pPr>
            <w:r>
              <w:rPr>
                <w:rFonts w:hint="eastAsia" w:ascii="宋体" w:hAnsi="宋体"/>
              </w:rPr>
              <w:t>投标文件大小不得超过100MB</w:t>
            </w:r>
          </w:p>
        </w:tc>
      </w:tr>
      <w:tr w14:paraId="34D74FF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5CECDB63">
            <w:pPr>
              <w:jc w:val="center"/>
              <w:rPr>
                <w:rFonts w:ascii="宋体" w:hAnsi="宋体"/>
              </w:rPr>
            </w:pPr>
            <w:r>
              <w:rPr>
                <w:rFonts w:hint="eastAsia" w:ascii="宋体" w:hAnsi="宋体"/>
              </w:rPr>
              <w:t>2</w:t>
            </w:r>
            <w:r>
              <w:rPr>
                <w:rFonts w:ascii="宋体" w:hAnsi="宋体"/>
              </w:rPr>
              <w:t>6</w:t>
            </w:r>
          </w:p>
        </w:tc>
        <w:tc>
          <w:tcPr>
            <w:tcW w:w="1807" w:type="dxa"/>
            <w:vAlign w:val="center"/>
          </w:tcPr>
          <w:p w14:paraId="7B1B61DE">
            <w:pPr>
              <w:jc w:val="center"/>
              <w:rPr>
                <w:rFonts w:ascii="宋体" w:hAnsi="宋体"/>
              </w:rPr>
            </w:pPr>
            <w:bookmarkStart w:id="11" w:name="_Hlk71664860"/>
            <w:r>
              <w:rPr>
                <w:rFonts w:hint="eastAsia" w:ascii="宋体" w:hAnsi="宋体"/>
              </w:rPr>
              <w:t>样品、现场演示、方案讲解</w:t>
            </w:r>
            <w:bookmarkEnd w:id="11"/>
          </w:p>
        </w:tc>
        <w:tc>
          <w:tcPr>
            <w:tcW w:w="6743" w:type="dxa"/>
            <w:vAlign w:val="center"/>
          </w:tcPr>
          <w:p w14:paraId="1A62B3FB">
            <w:pPr>
              <w:jc w:val="left"/>
              <w:rPr>
                <w:rFonts w:ascii="宋体" w:hAnsi="宋体"/>
              </w:rPr>
            </w:pPr>
            <w:r>
              <w:rPr>
                <w:rFonts w:hint="eastAsia" w:ascii="宋体" w:hAnsi="宋体"/>
              </w:rPr>
              <w:t>无</w:t>
            </w:r>
          </w:p>
        </w:tc>
      </w:tr>
      <w:tr w14:paraId="5B2C5DD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4A8B1706">
            <w:pPr>
              <w:jc w:val="center"/>
              <w:rPr>
                <w:rFonts w:ascii="宋体" w:hAnsi="宋体"/>
              </w:rPr>
            </w:pPr>
            <w:r>
              <w:rPr>
                <w:rFonts w:hint="eastAsia" w:ascii="宋体" w:hAnsi="宋体"/>
              </w:rPr>
              <w:t>3</w:t>
            </w:r>
            <w:r>
              <w:rPr>
                <w:rFonts w:ascii="宋体" w:hAnsi="宋体"/>
              </w:rPr>
              <w:t>7</w:t>
            </w:r>
          </w:p>
        </w:tc>
        <w:tc>
          <w:tcPr>
            <w:tcW w:w="1807" w:type="dxa"/>
            <w:vAlign w:val="center"/>
          </w:tcPr>
          <w:p w14:paraId="33EB1D2D">
            <w:pPr>
              <w:jc w:val="center"/>
              <w:rPr>
                <w:rFonts w:ascii="宋体" w:hAnsi="宋体"/>
              </w:rPr>
            </w:pPr>
            <w:r>
              <w:rPr>
                <w:rFonts w:hint="eastAsia" w:ascii="宋体" w:hAnsi="宋体"/>
              </w:rPr>
              <w:t>评审方法</w:t>
            </w:r>
          </w:p>
        </w:tc>
        <w:tc>
          <w:tcPr>
            <w:tcW w:w="6743" w:type="dxa"/>
            <w:vAlign w:val="center"/>
          </w:tcPr>
          <w:p w14:paraId="69D2AC4D">
            <w:pPr>
              <w:jc w:val="left"/>
              <w:rPr>
                <w:rFonts w:ascii="宋体" w:hAnsi="宋体"/>
              </w:rPr>
            </w:pPr>
            <w:r>
              <w:rPr>
                <w:rFonts w:ascii="宋体" w:hAnsi="宋体"/>
              </w:rPr>
              <w:t>综合评分法</w:t>
            </w:r>
          </w:p>
        </w:tc>
      </w:tr>
      <w:tr w14:paraId="098F7DB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7665A25B">
            <w:pPr>
              <w:jc w:val="center"/>
              <w:rPr>
                <w:rFonts w:ascii="宋体" w:hAnsi="宋体"/>
              </w:rPr>
            </w:pPr>
            <w:r>
              <w:rPr>
                <w:rFonts w:hint="eastAsia" w:ascii="宋体" w:hAnsi="宋体"/>
              </w:rPr>
              <w:t>3</w:t>
            </w:r>
            <w:r>
              <w:rPr>
                <w:rFonts w:ascii="宋体" w:hAnsi="宋体"/>
              </w:rPr>
              <w:t>8</w:t>
            </w:r>
          </w:p>
        </w:tc>
        <w:tc>
          <w:tcPr>
            <w:tcW w:w="1807" w:type="dxa"/>
            <w:vAlign w:val="center"/>
          </w:tcPr>
          <w:p w14:paraId="68DA5A56">
            <w:pPr>
              <w:jc w:val="center"/>
              <w:rPr>
                <w:rFonts w:ascii="宋体" w:hAnsi="宋体"/>
              </w:rPr>
            </w:pPr>
            <w:r>
              <w:rPr>
                <w:rFonts w:hint="eastAsia" w:ascii="宋体" w:hAnsi="宋体"/>
              </w:rPr>
              <w:t>定标方法</w:t>
            </w:r>
          </w:p>
        </w:tc>
        <w:tc>
          <w:tcPr>
            <w:tcW w:w="6743" w:type="dxa"/>
            <w:vAlign w:val="center"/>
          </w:tcPr>
          <w:p w14:paraId="74B25043">
            <w:pPr>
              <w:jc w:val="left"/>
              <w:rPr>
                <w:rFonts w:ascii="宋体" w:hAnsi="宋体"/>
              </w:rPr>
            </w:pPr>
            <w:r>
              <w:rPr>
                <w:rFonts w:hint="eastAsia" w:ascii="宋体" w:hAnsi="宋体" w:eastAsia="宋体" w:cs="Times New Roman"/>
                <w:szCs w:val="21"/>
              </w:rPr>
              <w:t>非评定分离</w:t>
            </w:r>
          </w:p>
        </w:tc>
      </w:tr>
      <w:tr w14:paraId="5721DCF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3B1F2733">
            <w:pPr>
              <w:jc w:val="center"/>
              <w:rPr>
                <w:rFonts w:ascii="宋体" w:hAnsi="宋体"/>
              </w:rPr>
            </w:pPr>
            <w:r>
              <w:rPr>
                <w:rFonts w:hint="eastAsia" w:ascii="宋体" w:hAnsi="宋体"/>
              </w:rPr>
              <w:t>4</w:t>
            </w:r>
            <w:r>
              <w:rPr>
                <w:rFonts w:ascii="宋体" w:hAnsi="宋体"/>
              </w:rPr>
              <w:t>6</w:t>
            </w:r>
          </w:p>
        </w:tc>
        <w:tc>
          <w:tcPr>
            <w:tcW w:w="1807" w:type="dxa"/>
            <w:vAlign w:val="center"/>
          </w:tcPr>
          <w:p w14:paraId="6BE409AD">
            <w:pPr>
              <w:jc w:val="center"/>
              <w:rPr>
                <w:rFonts w:ascii="宋体" w:hAnsi="宋体"/>
              </w:rPr>
            </w:pPr>
            <w:r>
              <w:rPr>
                <w:rFonts w:hint="eastAsia" w:ascii="宋体" w:hAnsi="宋体"/>
              </w:rPr>
              <w:t>履约担保</w:t>
            </w:r>
          </w:p>
        </w:tc>
        <w:tc>
          <w:tcPr>
            <w:tcW w:w="6743" w:type="dxa"/>
            <w:vAlign w:val="center"/>
          </w:tcPr>
          <w:p w14:paraId="3063B78D">
            <w:pPr>
              <w:jc w:val="left"/>
              <w:rPr>
                <w:rFonts w:ascii="宋体" w:hAnsi="宋体"/>
              </w:rPr>
            </w:pPr>
            <w:r>
              <w:rPr>
                <w:rFonts w:hint="eastAsia" w:ascii="宋体" w:hAnsi="宋体"/>
              </w:rPr>
              <w:t>不需要</w:t>
            </w:r>
          </w:p>
        </w:tc>
      </w:tr>
      <w:bookmarkEnd w:id="3"/>
      <w:bookmarkEnd w:id="4"/>
      <w:bookmarkEnd w:id="5"/>
      <w:bookmarkEnd w:id="6"/>
      <w:bookmarkEnd w:id="7"/>
      <w:bookmarkEnd w:id="8"/>
      <w:bookmarkEnd w:id="9"/>
      <w:bookmarkEnd w:id="10"/>
    </w:tbl>
    <w:p w14:paraId="310BC2EF">
      <w:pPr>
        <w:widowControl/>
        <w:jc w:val="center"/>
        <w:rPr>
          <w:szCs w:val="21"/>
        </w:rPr>
      </w:pPr>
      <w:r>
        <w:rPr>
          <w:rFonts w:hint="eastAsia"/>
          <w:szCs w:val="21"/>
        </w:rPr>
        <w:t>备注：本表是通用条款相关条款的补充和明确，如与通用条款内容相冲突的，以本表为准。</w:t>
      </w:r>
    </w:p>
    <w:p w14:paraId="2306A97A">
      <w:pPr>
        <w:keepNext/>
        <w:keepLines/>
        <w:adjustRightInd w:val="0"/>
        <w:spacing w:before="156" w:beforeLines="50" w:after="156" w:afterLines="50"/>
        <w:jc w:val="center"/>
        <w:textAlignment w:val="baseline"/>
        <w:outlineLvl w:val="2"/>
        <w:rPr>
          <w:rFonts w:ascii="宋体" w:hAnsi="宋体" w:eastAsia="宋体" w:cs="Times New Roman"/>
          <w:b/>
          <w:bCs/>
          <w:kern w:val="0"/>
          <w:sz w:val="24"/>
          <w:szCs w:val="24"/>
        </w:rPr>
      </w:pPr>
      <w:r>
        <w:rPr>
          <w:rFonts w:hint="eastAsia" w:ascii="宋体" w:hAnsi="宋体" w:eastAsia="宋体" w:cs="Times New Roman"/>
          <w:b/>
          <w:bCs/>
          <w:kern w:val="0"/>
          <w:sz w:val="24"/>
          <w:szCs w:val="24"/>
        </w:rPr>
        <w:t>二、其他关键信息</w:t>
      </w:r>
    </w:p>
    <w:p w14:paraId="663676AD">
      <w:pPr>
        <w:tabs>
          <w:tab w:val="left" w:pos="720"/>
        </w:tabs>
        <w:rPr>
          <w:rFonts w:ascii="黑体" w:hAnsi="宋体" w:eastAsia="黑体"/>
          <w:sz w:val="24"/>
        </w:rPr>
      </w:pPr>
      <w:r>
        <w:rPr>
          <w:rFonts w:hint="eastAsia" w:ascii="黑体" w:hAnsi="宋体" w:eastAsia="黑体"/>
          <w:sz w:val="24"/>
        </w:rPr>
        <w:t>（一）</w:t>
      </w:r>
      <w:r>
        <w:rPr>
          <w:rFonts w:hint="eastAsia" w:ascii="黑体" w:hAnsi="宋体" w:eastAsia="黑体"/>
          <w:bCs/>
          <w:sz w:val="24"/>
        </w:rPr>
        <w:t>与“对通用条款的补充内容”章节相关的事项</w:t>
      </w:r>
    </w:p>
    <w:p w14:paraId="658464A6">
      <w:pPr>
        <w:tabs>
          <w:tab w:val="left" w:pos="720"/>
        </w:tabs>
        <w:rPr>
          <w:rFonts w:ascii="黑体" w:hAnsi="宋体" w:eastAsia="黑体"/>
          <w:bCs/>
          <w:sz w:val="24"/>
        </w:rPr>
      </w:pPr>
      <w:r>
        <w:rPr>
          <w:rFonts w:hint="eastAsia" w:ascii="黑体" w:hAnsi="宋体" w:eastAsia="黑体"/>
          <w:bCs/>
          <w:sz w:val="24"/>
        </w:rPr>
        <w:t>1、评标定标信息</w:t>
      </w:r>
    </w:p>
    <w:p w14:paraId="31A54E65">
      <w:pPr>
        <w:jc w:val="center"/>
      </w:pPr>
      <w:r>
        <w:rPr>
          <w:rFonts w:hint="eastAsia"/>
          <w:b/>
        </w:rPr>
        <w:t>非评定分离项目</w:t>
      </w:r>
    </w:p>
    <w:tbl>
      <w:tblPr>
        <w:tblStyle w:val="17"/>
        <w:tblW w:w="60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4"/>
        <w:gridCol w:w="3235"/>
      </w:tblGrid>
      <w:tr w14:paraId="262A6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4" w:type="dxa"/>
          </w:tcPr>
          <w:p w14:paraId="6921B01C">
            <w:pPr>
              <w:jc w:val="center"/>
            </w:pPr>
            <w:r>
              <w:rPr>
                <w:rFonts w:hint="eastAsia"/>
              </w:rPr>
              <w:t>评标方法</w:t>
            </w:r>
          </w:p>
        </w:tc>
        <w:tc>
          <w:tcPr>
            <w:tcW w:w="3235" w:type="dxa"/>
          </w:tcPr>
          <w:p w14:paraId="04F18F9A">
            <w:pPr>
              <w:jc w:val="center"/>
              <w:rPr>
                <w:rFonts w:eastAsia="宋体"/>
              </w:rPr>
            </w:pPr>
            <w:r>
              <w:rPr>
                <w:rFonts w:hint="eastAsia"/>
              </w:rPr>
              <w:sym w:font="Wingdings" w:char="00FE"/>
            </w:r>
            <w:r>
              <w:rPr>
                <w:rFonts w:hint="eastAsia"/>
              </w:rPr>
              <w:t>综合评分法</w:t>
            </w:r>
          </w:p>
        </w:tc>
      </w:tr>
      <w:tr w14:paraId="35565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4" w:type="dxa"/>
          </w:tcPr>
          <w:p w14:paraId="11845B7C">
            <w:pPr>
              <w:jc w:val="center"/>
            </w:pPr>
            <w:r>
              <w:rPr>
                <w:rFonts w:hint="eastAsia"/>
              </w:rPr>
              <w:t>候选中标供应商家数</w:t>
            </w:r>
          </w:p>
        </w:tc>
        <w:tc>
          <w:tcPr>
            <w:tcW w:w="3235" w:type="dxa"/>
          </w:tcPr>
          <w:p w14:paraId="711AE883">
            <w:pPr>
              <w:jc w:val="center"/>
              <w:rPr>
                <w:rFonts w:eastAsia="宋体"/>
              </w:rPr>
            </w:pPr>
            <w:r>
              <w:rPr>
                <w:rFonts w:hint="eastAsia" w:eastAsia="宋体"/>
              </w:rPr>
              <w:t>3</w:t>
            </w:r>
          </w:p>
        </w:tc>
      </w:tr>
      <w:tr w14:paraId="2F939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4" w:type="dxa"/>
          </w:tcPr>
          <w:p w14:paraId="25DD76CA">
            <w:pPr>
              <w:jc w:val="center"/>
            </w:pPr>
            <w:r>
              <w:rPr>
                <w:rFonts w:hint="eastAsia"/>
              </w:rPr>
              <w:t>中标供应商家数</w:t>
            </w:r>
          </w:p>
        </w:tc>
        <w:tc>
          <w:tcPr>
            <w:tcW w:w="3235" w:type="dxa"/>
          </w:tcPr>
          <w:p w14:paraId="44A21BCC">
            <w:pPr>
              <w:jc w:val="center"/>
            </w:pPr>
            <w:r>
              <w:rPr>
                <w:rFonts w:hint="eastAsia"/>
              </w:rPr>
              <w:t>1</w:t>
            </w:r>
          </w:p>
        </w:tc>
      </w:tr>
    </w:tbl>
    <w:p w14:paraId="663E341F">
      <w:pPr>
        <w:tabs>
          <w:tab w:val="left" w:pos="720"/>
        </w:tabs>
        <w:spacing w:line="240" w:lineRule="atLeast"/>
        <w:rPr>
          <w:rFonts w:ascii="宋体" w:hAnsi="宋体" w:eastAsia="宋体" w:cs="宋体"/>
          <w:bCs/>
          <w:szCs w:val="21"/>
        </w:rPr>
      </w:pPr>
    </w:p>
    <w:p w14:paraId="20AA0158">
      <w:pPr>
        <w:spacing w:line="240" w:lineRule="atLeast"/>
        <w:rPr>
          <w:rFonts w:ascii="黑体" w:hAnsi="黑体" w:eastAsia="黑体" w:cs="黑体"/>
          <w:sz w:val="24"/>
          <w:szCs w:val="24"/>
        </w:rPr>
      </w:pPr>
      <w:r>
        <w:rPr>
          <w:rFonts w:hint="eastAsia" w:ascii="黑体" w:hAnsi="黑体" w:eastAsia="黑体" w:cs="黑体"/>
          <w:sz w:val="24"/>
          <w:szCs w:val="24"/>
        </w:rPr>
        <w:t>2、踏勘现场</w:t>
      </w:r>
    </w:p>
    <w:p w14:paraId="387BC0FF">
      <w:pPr>
        <w:tabs>
          <w:tab w:val="left" w:pos="720"/>
        </w:tabs>
        <w:rPr>
          <w:rFonts w:hint="eastAsia" w:ascii="Times New Roman" w:hAnsi="Times New Roman" w:eastAsia="宋体" w:cs="宋体"/>
          <w:szCs w:val="24"/>
          <w:lang w:val="en-US" w:eastAsia="zh-CN"/>
        </w:rPr>
      </w:pPr>
      <w:r>
        <w:rPr>
          <w:rFonts w:hint="eastAsia" w:ascii="Times New Roman" w:hAnsi="Times New Roman" w:eastAsia="宋体" w:cs="宋体"/>
          <w:szCs w:val="24"/>
        </w:rPr>
        <w:t>本项目</w:t>
      </w:r>
      <w:r>
        <w:rPr>
          <w:rFonts w:hint="eastAsia" w:ascii="Times New Roman" w:hAnsi="Times New Roman" w:eastAsia="宋体" w:cs="宋体"/>
          <w:szCs w:val="24"/>
          <w:lang w:val="en-US" w:eastAsia="zh-CN"/>
        </w:rPr>
        <w:t>不组织现场踏勘</w:t>
      </w:r>
    </w:p>
    <w:p w14:paraId="10B6497D">
      <w:pPr>
        <w:tabs>
          <w:tab w:val="left" w:pos="720"/>
        </w:tabs>
        <w:rPr>
          <w:rFonts w:ascii="黑体" w:hAnsi="宋体" w:eastAsia="黑体"/>
          <w:sz w:val="24"/>
        </w:rPr>
      </w:pPr>
      <w:r>
        <w:rPr>
          <w:rFonts w:hint="eastAsia" w:ascii="黑体" w:hAnsi="宋体" w:eastAsia="黑体"/>
          <w:sz w:val="24"/>
        </w:rPr>
        <w:t>（二）其他事项</w:t>
      </w:r>
    </w:p>
    <w:p w14:paraId="2CEF4971">
      <w:pPr>
        <w:tabs>
          <w:tab w:val="left" w:pos="720"/>
        </w:tabs>
        <w:rPr>
          <w:rFonts w:ascii="黑体" w:hAnsi="宋体" w:eastAsia="黑体"/>
          <w:sz w:val="24"/>
        </w:rPr>
      </w:pPr>
      <w:r>
        <w:rPr>
          <w:rFonts w:hint="eastAsia" w:ascii="黑体" w:hAnsi="宋体" w:eastAsia="黑体"/>
          <w:sz w:val="24"/>
        </w:rPr>
        <w:t>1、关于享受优惠政策的主体、价格扣除比例及采购标的所属行业</w:t>
      </w:r>
    </w:p>
    <w:p w14:paraId="085BEF88">
      <w:pPr>
        <w:ind w:firstLine="411" w:firstLineChars="196"/>
        <w:rPr>
          <w:rFonts w:ascii="Arial" w:hAnsi="Arial" w:eastAsia="宋体" w:cs="Times New Roman"/>
          <w:b/>
          <w:color w:val="0000FF"/>
          <w:szCs w:val="21"/>
        </w:rPr>
      </w:pPr>
      <w:r>
        <w:rPr>
          <w:rFonts w:hint="eastAsia" w:ascii="宋体" w:hAnsi="宋体" w:eastAsia="宋体" w:cs="宋体"/>
          <w:szCs w:val="21"/>
          <w:lang w:bidi="ar"/>
        </w:rPr>
        <w:t>（1）</w:t>
      </w:r>
      <w:r>
        <w:rPr>
          <w:rFonts w:hint="eastAsia" w:ascii="宋体" w:hAnsi="宋体" w:eastAsia="宋体" w:cs="宋体"/>
          <w:szCs w:val="21"/>
          <w:highlight w:val="yellow"/>
          <w:lang w:eastAsia="zh-CN" w:bidi="ar"/>
        </w:rPr>
        <w:t>本项目非</w:t>
      </w:r>
      <w:r>
        <w:rPr>
          <w:rFonts w:hint="eastAsia" w:ascii="宋体" w:hAnsi="宋体" w:eastAsia="宋体" w:cs="宋体"/>
          <w:szCs w:val="21"/>
          <w:highlight w:val="yellow"/>
          <w:lang w:bidi="ar"/>
        </w:rPr>
        <w:t>专门面向中小企业采购的项目，</w:t>
      </w:r>
      <w:r>
        <w:rPr>
          <w:rFonts w:hint="eastAsia" w:ascii="宋体" w:hAnsi="宋体" w:eastAsia="宋体" w:cs="宋体"/>
          <w:szCs w:val="21"/>
          <w:lang w:bidi="ar"/>
        </w:rPr>
        <w:t>应执行价格扣除比例：投标人提供的货物（以招标文件用户需求书“货物需求明细”的“货物名称”一栏为准）全部均由优惠主体制造的，对其投标总价</w:t>
      </w:r>
      <w:r>
        <w:rPr>
          <w:rFonts w:hint="eastAsia" w:ascii="宋体" w:hAnsi="宋体" w:eastAsia="宋体" w:cs="宋体"/>
          <w:szCs w:val="21"/>
          <w:highlight w:val="none"/>
          <w:lang w:bidi="ar"/>
        </w:rPr>
        <w:t>给予</w:t>
      </w:r>
      <w:r>
        <w:rPr>
          <w:rFonts w:hint="eastAsia" w:ascii="宋体" w:hAnsi="宋体" w:eastAsia="宋体" w:cs="宋体"/>
          <w:b/>
          <w:bCs/>
          <w:szCs w:val="21"/>
          <w:highlight w:val="none"/>
          <w:u w:val="single"/>
          <w:lang w:val="en-US" w:eastAsia="zh-CN" w:bidi="ar"/>
        </w:rPr>
        <w:t>1</w:t>
      </w:r>
      <w:r>
        <w:rPr>
          <w:rFonts w:hint="eastAsia" w:ascii="宋体" w:hAnsi="宋体" w:eastAsia="宋体" w:cs="宋体"/>
          <w:b/>
          <w:bCs/>
          <w:szCs w:val="21"/>
          <w:highlight w:val="none"/>
          <w:u w:val="single"/>
          <w:lang w:bidi="ar"/>
        </w:rPr>
        <w:t>0</w:t>
      </w:r>
      <w:r>
        <w:rPr>
          <w:rFonts w:hint="eastAsia" w:ascii="宋体" w:hAnsi="宋体" w:eastAsia="宋体" w:cs="宋体"/>
          <w:b/>
          <w:szCs w:val="21"/>
          <w:highlight w:val="none"/>
          <w:u w:val="single"/>
          <w:lang w:bidi="ar"/>
        </w:rPr>
        <w:t>%</w:t>
      </w:r>
      <w:r>
        <w:rPr>
          <w:rFonts w:hint="eastAsia" w:ascii="宋体" w:hAnsi="宋体" w:eastAsia="宋体" w:cs="宋体"/>
          <w:szCs w:val="21"/>
          <w:highlight w:val="none"/>
          <w:lang w:bidi="ar"/>
        </w:rPr>
        <w:t>的</w:t>
      </w:r>
      <w:r>
        <w:rPr>
          <w:rFonts w:hint="eastAsia" w:ascii="宋体" w:hAnsi="宋体" w:eastAsia="宋体" w:cs="宋体"/>
          <w:szCs w:val="21"/>
          <w:lang w:bidi="ar"/>
        </w:rPr>
        <w:t>扣除，用扣除后的价格参与评审。满足多项优惠政策的企业，不重复享受多项价格扣除政策。</w:t>
      </w:r>
      <w:r>
        <w:rPr>
          <w:rFonts w:hint="eastAsia" w:ascii="宋体" w:hAnsi="宋体" w:eastAsia="宋体" w:cs="宋体"/>
          <w:b/>
          <w:szCs w:val="21"/>
          <w:lang w:bidi="ar"/>
        </w:rPr>
        <w:t>政策调整后价格仅作为评审依据，不作为中标价格。</w:t>
      </w:r>
    </w:p>
    <w:p w14:paraId="2475341D">
      <w:pPr>
        <w:ind w:firstLine="420" w:firstLineChars="200"/>
        <w:rPr>
          <w:rFonts w:ascii="宋体" w:hAnsi="宋体" w:eastAsia="宋体" w:cs="宋体"/>
          <w:szCs w:val="21"/>
        </w:rPr>
      </w:pPr>
      <w:r>
        <w:rPr>
          <w:rFonts w:hint="eastAsia" w:ascii="宋体" w:hAnsi="宋体" w:eastAsia="宋体" w:cs="宋体"/>
          <w:szCs w:val="21"/>
          <w:lang w:bidi="ar"/>
        </w:rPr>
        <w:t>备注：</w:t>
      </w:r>
      <w:r>
        <w:rPr>
          <w:rFonts w:hint="eastAsia" w:ascii="宋体" w:hAnsi="宋体" w:eastAsia="宋体" w:cs="宋体"/>
          <w:b/>
          <w:bCs/>
          <w:szCs w:val="21"/>
          <w:lang w:bidi="ar"/>
        </w:rPr>
        <w:t>（a）</w:t>
      </w:r>
      <w:r>
        <w:rPr>
          <w:rFonts w:hint="eastAsia" w:ascii="宋体" w:hAnsi="宋体" w:eastAsia="宋体" w:cs="宋体"/>
          <w:szCs w:val="21"/>
          <w:lang w:bidi="ar"/>
        </w:rPr>
        <w:t>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政府采购活动中视同中小企业；根据《财政部</w:t>
      </w:r>
      <w:r>
        <w:rPr>
          <w:rFonts w:hint="eastAsia" w:ascii="宋体" w:hAnsi="宋体" w:eastAsia="宋体" w:cs="Times New Roman"/>
          <w:szCs w:val="21"/>
          <w:lang w:bidi="ar"/>
        </w:rPr>
        <w:t xml:space="preserve"> </w:t>
      </w:r>
      <w:r>
        <w:rPr>
          <w:rFonts w:hint="eastAsia" w:ascii="宋体" w:hAnsi="宋体" w:eastAsia="宋体" w:cs="宋体"/>
          <w:szCs w:val="21"/>
          <w:lang w:bidi="ar"/>
        </w:rPr>
        <w:t>司法部关于政府采购支持监狱企业发展有关问题的通知》(财库〔2014〕68号)，在政府采购活动中，监狱企业视同小型、微型企业；根据《关于促进残疾人就业政府采购政策的通知》(财库〔2017〕141号)，在政府采购活动中，残疾人福利性单位视同小型、微型企业；</w:t>
      </w:r>
      <w:r>
        <w:rPr>
          <w:rFonts w:hint="eastAsia" w:ascii="宋体" w:hAnsi="宋体" w:eastAsia="宋体" w:cs="宋体"/>
          <w:b/>
          <w:bCs/>
          <w:szCs w:val="21"/>
          <w:lang w:bidi="ar"/>
        </w:rPr>
        <w:t>(b)</w:t>
      </w:r>
      <w:r>
        <w:rPr>
          <w:rFonts w:hint="eastAsia" w:ascii="宋体" w:hAnsi="宋体" w:eastAsia="宋体" w:cs="宋体"/>
          <w:szCs w:val="21"/>
          <w:lang w:bidi="ar"/>
        </w:rPr>
        <w:t>优惠主体制造是指货物由优惠主体生产且使用该优惠主体商号或者注册商标；投标人提供的货物既有优惠主体制造货物，又有非优惠主体制造货物的，不给予价格扣除。</w:t>
      </w:r>
    </w:p>
    <w:p w14:paraId="4B4566C3">
      <w:pPr>
        <w:ind w:firstLine="420" w:firstLineChars="200"/>
        <w:rPr>
          <w:rFonts w:ascii="宋体" w:hAnsi="宋体" w:eastAsia="宋体" w:cs="宋体"/>
          <w:szCs w:val="21"/>
        </w:rPr>
      </w:pPr>
      <w:r>
        <w:rPr>
          <w:rFonts w:hint="eastAsia" w:ascii="宋体" w:hAnsi="宋体" w:eastAsia="宋体" w:cs="宋体"/>
          <w:szCs w:val="21"/>
          <w:lang w:bidi="ar"/>
        </w:rPr>
        <w:t>（2）中小企业参加政府采购活动，应当按照国务院批准的《中小企业划型标准规定》（工信部联企业〔2011〕300号）、《金融业企业划型标准规定》（银发〔2015〕309号）和《财政部 工业和信息化部关于印发〈政府采购促进中小企业发展管理办法〉的通知》（财库〔2020〕46号）的规定，出具《中小企业声明函》，</w:t>
      </w:r>
      <w:r>
        <w:rPr>
          <w:rFonts w:hint="eastAsia" w:ascii="宋体" w:hAnsi="宋体" w:eastAsia="宋体" w:cs="宋体"/>
          <w:b/>
          <w:bCs/>
          <w:color w:val="FF0000"/>
          <w:szCs w:val="21"/>
          <w:lang w:bidi="ar"/>
        </w:rPr>
        <w:t>《中小企业声明函》中相关企业所属行业应当与采购标的所属行业相一致。</w:t>
      </w:r>
      <w:r>
        <w:rPr>
          <w:rFonts w:hint="eastAsia" w:ascii="宋体" w:hAnsi="宋体" w:eastAsia="宋体" w:cs="宋体"/>
          <w:szCs w:val="21"/>
          <w:lang w:bidi="ar"/>
        </w:rPr>
        <w:t>本项目采购标的（货物）对应的中小企业划分标准所属行业为</w:t>
      </w:r>
      <w:r>
        <w:rPr>
          <w:rFonts w:hint="eastAsia" w:ascii="宋体" w:hAnsi="宋体" w:eastAsia="宋体" w:cs="宋体"/>
          <w:color w:val="FF0000"/>
          <w:szCs w:val="21"/>
          <w:u w:val="single"/>
          <w:lang w:bidi="ar"/>
        </w:rPr>
        <w:t xml:space="preserve"> </w:t>
      </w:r>
      <w:r>
        <w:rPr>
          <w:rFonts w:hint="eastAsia" w:ascii="Times New Roman" w:hAnsi="Times New Roman" w:eastAsia="宋体" w:cs="Times New Roman"/>
          <w:b/>
          <w:color w:val="FF0000"/>
          <w:kern w:val="0"/>
          <w:szCs w:val="21"/>
          <w:u w:val="single"/>
        </w:rPr>
        <w:t xml:space="preserve"> </w:t>
      </w:r>
      <w:r>
        <w:rPr>
          <w:rFonts w:hint="eastAsia" w:ascii="Times New Roman" w:hAnsi="Times New Roman" w:eastAsia="宋体" w:cs="Times New Roman"/>
          <w:b/>
          <w:color w:val="FF0000"/>
          <w:kern w:val="0"/>
          <w:szCs w:val="21"/>
          <w:highlight w:val="yellow"/>
          <w:u w:val="single"/>
        </w:rPr>
        <w:t xml:space="preserve"> </w:t>
      </w:r>
      <w:r>
        <w:rPr>
          <w:rFonts w:hint="eastAsia" w:ascii="Times New Roman" w:hAnsi="Times New Roman" w:eastAsia="宋体" w:cs="Times New Roman"/>
          <w:b/>
          <w:color w:val="FF0000"/>
          <w:kern w:val="0"/>
          <w:szCs w:val="21"/>
          <w:highlight w:val="yellow"/>
          <w:u w:val="single"/>
          <w:lang w:val="en-US" w:eastAsia="zh-CN"/>
        </w:rPr>
        <w:t xml:space="preserve"> 工业    </w:t>
      </w:r>
      <w:r>
        <w:rPr>
          <w:rFonts w:hint="eastAsia" w:ascii="宋体" w:hAnsi="宋体" w:eastAsia="宋体" w:cs="宋体"/>
          <w:szCs w:val="21"/>
          <w:lang w:bidi="ar"/>
        </w:rPr>
        <w:t>。</w:t>
      </w:r>
    </w:p>
    <w:p w14:paraId="4EE6A34B">
      <w:pPr>
        <w:ind w:firstLine="420" w:firstLineChars="200"/>
        <w:rPr>
          <w:rFonts w:ascii="宋体" w:hAnsi="宋体" w:eastAsia="宋体" w:cs="宋体"/>
          <w:szCs w:val="21"/>
        </w:rPr>
      </w:pPr>
      <w:r>
        <w:rPr>
          <w:rFonts w:hint="eastAsia" w:ascii="宋体" w:hAnsi="宋体" w:eastAsia="宋体" w:cs="宋体"/>
          <w:szCs w:val="21"/>
          <w:lang w:bidi="ar"/>
        </w:rPr>
        <w:t>（3）小型企业、微型企业、残疾人福利性单位作为优惠主体的认定资料为《中小企业声明函》、《残疾人福利性单位声明函》；监狱企业作为优惠主体的认定资料为省级以上监狱管理局、戒毒管理局出具的监狱企业证明文件。声明函样式见本招标文件第一册专用条款第四章“投标文件组成要求及格式”中“中小企业声明函、残疾人福利性单位声明函及监狱企业声明函”章节提供的格式）。</w:t>
      </w:r>
    </w:p>
    <w:p w14:paraId="5CF1A334">
      <w:pPr>
        <w:ind w:firstLine="420" w:firstLineChars="200"/>
        <w:rPr>
          <w:rFonts w:ascii="宋体" w:hAnsi="宋体" w:eastAsia="宋体" w:cs="宋体"/>
          <w:szCs w:val="21"/>
        </w:rPr>
      </w:pPr>
      <w:r>
        <w:rPr>
          <w:rFonts w:hint="eastAsia" w:ascii="宋体" w:hAnsi="宋体" w:eastAsia="宋体" w:cs="宋体"/>
          <w:szCs w:val="21"/>
          <w:lang w:bidi="ar"/>
        </w:rPr>
        <w:t>（4）享受价格扣除获得政府采购合同的，小微企业不得将合同分包给大中型企业。</w:t>
      </w:r>
    </w:p>
    <w:p w14:paraId="71B54B47">
      <w:pPr>
        <w:tabs>
          <w:tab w:val="left" w:pos="720"/>
        </w:tabs>
        <w:rPr>
          <w:rFonts w:ascii="黑体" w:hAnsi="宋体" w:eastAsia="黑体"/>
          <w:sz w:val="24"/>
        </w:rPr>
      </w:pPr>
    </w:p>
    <w:p w14:paraId="0E3981C6">
      <w:pPr>
        <w:tabs>
          <w:tab w:val="left" w:pos="720"/>
        </w:tabs>
        <w:rPr>
          <w:rFonts w:ascii="宋体" w:hAnsi="宋体"/>
          <w:b/>
          <w:bCs/>
          <w:color w:val="FF0000"/>
        </w:rPr>
      </w:pPr>
      <w:r>
        <w:rPr>
          <w:rFonts w:hint="eastAsia" w:ascii="宋体" w:hAnsi="宋体"/>
          <w:b/>
          <w:bCs/>
          <w:color w:val="FF0000"/>
        </w:rPr>
        <w:t>2、</w:t>
      </w:r>
      <w:r>
        <w:rPr>
          <w:rFonts w:ascii="宋体" w:hAnsi="宋体"/>
          <w:b/>
          <w:bCs/>
          <w:color w:val="FF0000"/>
        </w:rPr>
        <w:t>本项目为代理服务项目，将向中标</w:t>
      </w:r>
      <w:r>
        <w:rPr>
          <w:rFonts w:hint="eastAsia" w:ascii="宋体" w:hAnsi="宋体"/>
          <w:b/>
          <w:bCs/>
          <w:color w:val="FF0000"/>
        </w:rPr>
        <w:t>（成交）</w:t>
      </w:r>
      <w:r>
        <w:rPr>
          <w:rFonts w:ascii="宋体" w:hAnsi="宋体"/>
          <w:b/>
          <w:bCs/>
          <w:color w:val="FF0000"/>
        </w:rPr>
        <w:t>供应商收取代理服务费</w:t>
      </w:r>
      <w:r>
        <w:rPr>
          <w:rFonts w:hint="eastAsia" w:ascii="宋体" w:hAnsi="宋体"/>
          <w:b/>
          <w:bCs/>
          <w:color w:val="FF0000"/>
        </w:rPr>
        <w:t>。</w:t>
      </w:r>
    </w:p>
    <w:p w14:paraId="05C5272B">
      <w:pPr>
        <w:widowControl/>
        <w:ind w:firstLine="420"/>
        <w:jc w:val="left"/>
        <w:rPr>
          <w:rFonts w:ascii="宋体" w:hAnsi="宋体"/>
          <w:color w:val="FF0000"/>
          <w:szCs w:val="21"/>
        </w:rPr>
      </w:pPr>
      <w:r>
        <w:rPr>
          <w:rFonts w:hint="eastAsia" w:ascii="宋体" w:hAnsi="宋体"/>
          <w:color w:val="FF0000"/>
          <w:szCs w:val="21"/>
        </w:rPr>
        <w:t>中标（成交）供应商在领取《中标（成交）通知书》之前须向</w:t>
      </w:r>
      <w:r>
        <w:rPr>
          <w:rFonts w:hint="eastAsia" w:ascii="宋体" w:hAnsi="宋体"/>
          <w:color w:val="FF0000"/>
          <w:szCs w:val="21"/>
          <w:lang w:eastAsia="zh-CN"/>
        </w:rPr>
        <w:t>深圳市东海国际招标有限公司</w:t>
      </w:r>
      <w:r>
        <w:rPr>
          <w:rFonts w:hint="eastAsia" w:ascii="宋体" w:hAnsi="宋体"/>
          <w:color w:val="FF0000"/>
          <w:szCs w:val="21"/>
        </w:rPr>
        <w:t>交纳代理服务费。若因中标（成交）供应商交纳代理服务费所产生的时间影响到合同签订的，由中标（成交）供应商自行承担责任。代理服务费标准参照下列标准收取。本项目类型为</w:t>
      </w:r>
      <w:r>
        <w:rPr>
          <w:rFonts w:hint="eastAsia" w:ascii="宋体" w:hAnsi="宋体"/>
          <w:b/>
          <w:bCs/>
          <w:color w:val="FF0000"/>
          <w:szCs w:val="21"/>
          <w:u w:val="single"/>
        </w:rPr>
        <w:t>货物采购</w:t>
      </w:r>
      <w:r>
        <w:rPr>
          <w:rFonts w:hint="eastAsia" w:ascii="宋体" w:hAnsi="宋体"/>
          <w:color w:val="FF0000"/>
          <w:szCs w:val="21"/>
        </w:rPr>
        <w:t>：</w:t>
      </w:r>
    </w:p>
    <w:p w14:paraId="3A393826">
      <w:pPr>
        <w:widowControl/>
        <w:ind w:firstLine="420"/>
        <w:jc w:val="left"/>
        <w:rPr>
          <w:rFonts w:ascii="宋体" w:hAnsi="宋体"/>
          <w:color w:val="FF0000"/>
          <w:szCs w:val="21"/>
        </w:rPr>
      </w:pPr>
      <w:r>
        <w:rPr>
          <w:rFonts w:hint="eastAsia" w:ascii="宋体" w:hAnsi="宋体"/>
          <w:color w:val="FF0000"/>
          <w:szCs w:val="21"/>
        </w:rPr>
        <w:t>（1）代理服务费以《中标（成交）通知书》确定的中标（成交）金额作为计算基数，按差额定率累进法计算。</w:t>
      </w:r>
    </w:p>
    <w:p w14:paraId="526AE182">
      <w:pPr>
        <w:widowControl/>
        <w:ind w:firstLine="420"/>
        <w:jc w:val="left"/>
        <w:rPr>
          <w:rFonts w:ascii="宋体" w:hAnsi="宋体"/>
          <w:color w:val="FF0000"/>
          <w:szCs w:val="21"/>
        </w:rPr>
      </w:pPr>
      <w:r>
        <w:rPr>
          <w:rFonts w:hint="eastAsia" w:ascii="宋体" w:hAnsi="宋体"/>
          <w:color w:val="FF0000"/>
          <w:szCs w:val="21"/>
        </w:rPr>
        <w:t>（2）中标（成交）金额的各部分费率如下表：</w:t>
      </w:r>
    </w:p>
    <w:tbl>
      <w:tblPr>
        <w:tblStyle w:val="16"/>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25"/>
        <w:gridCol w:w="1799"/>
        <w:gridCol w:w="1799"/>
        <w:gridCol w:w="1799"/>
      </w:tblGrid>
      <w:tr w14:paraId="687A0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3125" w:type="dxa"/>
            <w:vAlign w:val="center"/>
          </w:tcPr>
          <w:p w14:paraId="664C0E2C">
            <w:pPr>
              <w:widowControl/>
              <w:ind w:firstLine="420"/>
              <w:jc w:val="left"/>
              <w:rPr>
                <w:rFonts w:ascii="宋体" w:hAnsi="宋体"/>
                <w:color w:val="FF0000"/>
                <w:szCs w:val="21"/>
              </w:rPr>
            </w:pPr>
            <w:r>
              <w:rPr>
                <w:rFonts w:hint="eastAsia" w:ascii="宋体" w:hAnsi="宋体"/>
                <w:color w:val="FF0000"/>
                <w:szCs w:val="21"/>
              </w:rPr>
              <w:t>中标（成交）金额</w:t>
            </w:r>
          </w:p>
        </w:tc>
        <w:tc>
          <w:tcPr>
            <w:tcW w:w="1799" w:type="dxa"/>
            <w:vAlign w:val="center"/>
          </w:tcPr>
          <w:p w14:paraId="288CD6A6">
            <w:pPr>
              <w:widowControl/>
              <w:ind w:firstLine="420"/>
              <w:jc w:val="left"/>
              <w:rPr>
                <w:rFonts w:ascii="宋体" w:hAnsi="宋体"/>
                <w:color w:val="FF0000"/>
                <w:szCs w:val="21"/>
              </w:rPr>
            </w:pPr>
            <w:r>
              <w:rPr>
                <w:rFonts w:hint="eastAsia" w:ascii="宋体" w:hAnsi="宋体"/>
                <w:color w:val="FF0000"/>
                <w:szCs w:val="21"/>
              </w:rPr>
              <w:t>货物采购</w:t>
            </w:r>
          </w:p>
        </w:tc>
        <w:tc>
          <w:tcPr>
            <w:tcW w:w="1799" w:type="dxa"/>
            <w:vAlign w:val="center"/>
          </w:tcPr>
          <w:p w14:paraId="04743769">
            <w:pPr>
              <w:widowControl/>
              <w:ind w:firstLine="420"/>
              <w:jc w:val="left"/>
              <w:rPr>
                <w:rFonts w:ascii="宋体" w:hAnsi="宋体"/>
                <w:color w:val="FF0000"/>
                <w:szCs w:val="21"/>
              </w:rPr>
            </w:pPr>
            <w:r>
              <w:rPr>
                <w:rFonts w:hint="eastAsia" w:ascii="宋体" w:hAnsi="宋体"/>
                <w:color w:val="FF0000"/>
                <w:szCs w:val="21"/>
              </w:rPr>
              <w:t>服务采购</w:t>
            </w:r>
          </w:p>
        </w:tc>
        <w:tc>
          <w:tcPr>
            <w:tcW w:w="1799" w:type="dxa"/>
            <w:vAlign w:val="center"/>
          </w:tcPr>
          <w:p w14:paraId="2EFF2216">
            <w:pPr>
              <w:widowControl/>
              <w:ind w:firstLine="420"/>
              <w:jc w:val="left"/>
              <w:rPr>
                <w:rFonts w:ascii="宋体" w:hAnsi="宋体"/>
                <w:color w:val="FF0000"/>
                <w:szCs w:val="21"/>
              </w:rPr>
            </w:pPr>
            <w:r>
              <w:rPr>
                <w:rFonts w:hint="eastAsia" w:ascii="宋体" w:hAnsi="宋体"/>
                <w:color w:val="FF0000"/>
                <w:szCs w:val="21"/>
              </w:rPr>
              <w:t>工程采购</w:t>
            </w:r>
          </w:p>
        </w:tc>
      </w:tr>
      <w:tr w14:paraId="7E279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319D9D9A">
            <w:pPr>
              <w:widowControl/>
              <w:ind w:firstLine="420"/>
              <w:jc w:val="left"/>
              <w:rPr>
                <w:rFonts w:ascii="宋体" w:hAnsi="宋体"/>
                <w:color w:val="FF0000"/>
                <w:szCs w:val="21"/>
              </w:rPr>
            </w:pPr>
            <w:r>
              <w:rPr>
                <w:rFonts w:hint="eastAsia" w:ascii="宋体" w:hAnsi="宋体"/>
                <w:color w:val="FF0000"/>
                <w:szCs w:val="21"/>
              </w:rPr>
              <w:t>100万元以下</w:t>
            </w:r>
          </w:p>
        </w:tc>
        <w:tc>
          <w:tcPr>
            <w:tcW w:w="1799" w:type="dxa"/>
            <w:vAlign w:val="center"/>
          </w:tcPr>
          <w:p w14:paraId="77C70DCD">
            <w:pPr>
              <w:widowControl/>
              <w:ind w:firstLine="420"/>
              <w:jc w:val="left"/>
              <w:rPr>
                <w:rFonts w:ascii="宋体" w:hAnsi="宋体"/>
                <w:color w:val="FF0000"/>
                <w:szCs w:val="21"/>
              </w:rPr>
            </w:pPr>
            <w:r>
              <w:rPr>
                <w:rFonts w:hint="eastAsia" w:ascii="宋体" w:hAnsi="宋体"/>
                <w:color w:val="FF0000"/>
                <w:szCs w:val="21"/>
              </w:rPr>
              <w:t>1.5%</w:t>
            </w:r>
          </w:p>
        </w:tc>
        <w:tc>
          <w:tcPr>
            <w:tcW w:w="1799" w:type="dxa"/>
            <w:vAlign w:val="center"/>
          </w:tcPr>
          <w:p w14:paraId="255E6238">
            <w:pPr>
              <w:widowControl/>
              <w:ind w:firstLine="420"/>
              <w:jc w:val="left"/>
              <w:rPr>
                <w:rFonts w:ascii="宋体" w:hAnsi="宋体"/>
                <w:color w:val="FF0000"/>
                <w:szCs w:val="21"/>
              </w:rPr>
            </w:pPr>
            <w:r>
              <w:rPr>
                <w:rFonts w:hint="eastAsia" w:ascii="宋体" w:hAnsi="宋体"/>
                <w:color w:val="FF0000"/>
                <w:szCs w:val="21"/>
              </w:rPr>
              <w:t>1.5%</w:t>
            </w:r>
          </w:p>
        </w:tc>
        <w:tc>
          <w:tcPr>
            <w:tcW w:w="1799" w:type="dxa"/>
            <w:vAlign w:val="center"/>
          </w:tcPr>
          <w:p w14:paraId="709AEBA0">
            <w:pPr>
              <w:widowControl/>
              <w:ind w:firstLine="420"/>
              <w:jc w:val="left"/>
              <w:rPr>
                <w:rFonts w:ascii="宋体" w:hAnsi="宋体"/>
                <w:color w:val="FF0000"/>
                <w:szCs w:val="21"/>
              </w:rPr>
            </w:pPr>
            <w:r>
              <w:rPr>
                <w:rFonts w:hint="eastAsia" w:ascii="宋体" w:hAnsi="宋体"/>
                <w:color w:val="FF0000"/>
                <w:szCs w:val="21"/>
              </w:rPr>
              <w:t>1.0%</w:t>
            </w:r>
          </w:p>
        </w:tc>
      </w:tr>
      <w:tr w14:paraId="5C983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3E8FDF68">
            <w:pPr>
              <w:widowControl/>
              <w:ind w:firstLine="420"/>
              <w:jc w:val="left"/>
              <w:rPr>
                <w:rFonts w:ascii="宋体" w:hAnsi="宋体"/>
                <w:color w:val="FF0000"/>
                <w:szCs w:val="21"/>
              </w:rPr>
            </w:pPr>
            <w:r>
              <w:rPr>
                <w:rFonts w:hint="eastAsia" w:ascii="宋体" w:hAnsi="宋体"/>
                <w:color w:val="FF0000"/>
                <w:szCs w:val="21"/>
              </w:rPr>
              <w:t>100万元（含）-500万元</w:t>
            </w:r>
          </w:p>
        </w:tc>
        <w:tc>
          <w:tcPr>
            <w:tcW w:w="1799" w:type="dxa"/>
            <w:vAlign w:val="center"/>
          </w:tcPr>
          <w:p w14:paraId="411EF856">
            <w:pPr>
              <w:widowControl/>
              <w:ind w:firstLine="420"/>
              <w:jc w:val="left"/>
              <w:rPr>
                <w:rFonts w:ascii="宋体" w:hAnsi="宋体"/>
                <w:color w:val="FF0000"/>
                <w:szCs w:val="21"/>
              </w:rPr>
            </w:pPr>
            <w:r>
              <w:rPr>
                <w:rFonts w:hint="eastAsia" w:ascii="宋体" w:hAnsi="宋体"/>
                <w:color w:val="FF0000"/>
                <w:szCs w:val="21"/>
              </w:rPr>
              <w:t>1.1%</w:t>
            </w:r>
          </w:p>
        </w:tc>
        <w:tc>
          <w:tcPr>
            <w:tcW w:w="1799" w:type="dxa"/>
            <w:vAlign w:val="center"/>
          </w:tcPr>
          <w:p w14:paraId="234CC1D0">
            <w:pPr>
              <w:widowControl/>
              <w:ind w:firstLine="420"/>
              <w:jc w:val="left"/>
              <w:rPr>
                <w:rFonts w:ascii="宋体" w:hAnsi="宋体"/>
                <w:color w:val="FF0000"/>
                <w:szCs w:val="21"/>
              </w:rPr>
            </w:pPr>
            <w:r>
              <w:rPr>
                <w:rFonts w:hint="eastAsia" w:ascii="宋体" w:hAnsi="宋体"/>
                <w:color w:val="FF0000"/>
                <w:szCs w:val="21"/>
              </w:rPr>
              <w:t>0.8%</w:t>
            </w:r>
          </w:p>
        </w:tc>
        <w:tc>
          <w:tcPr>
            <w:tcW w:w="1799" w:type="dxa"/>
            <w:vAlign w:val="center"/>
          </w:tcPr>
          <w:p w14:paraId="72D34821">
            <w:pPr>
              <w:widowControl/>
              <w:ind w:firstLine="420"/>
              <w:jc w:val="left"/>
              <w:rPr>
                <w:rFonts w:ascii="宋体" w:hAnsi="宋体"/>
                <w:color w:val="FF0000"/>
                <w:szCs w:val="21"/>
              </w:rPr>
            </w:pPr>
            <w:r>
              <w:rPr>
                <w:rFonts w:hint="eastAsia" w:ascii="宋体" w:hAnsi="宋体"/>
                <w:color w:val="FF0000"/>
                <w:szCs w:val="21"/>
              </w:rPr>
              <w:t>0.7%</w:t>
            </w:r>
          </w:p>
        </w:tc>
      </w:tr>
      <w:tr w14:paraId="679A5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6C0B0A08">
            <w:pPr>
              <w:widowControl/>
              <w:ind w:firstLine="420"/>
              <w:jc w:val="left"/>
              <w:rPr>
                <w:rFonts w:ascii="宋体" w:hAnsi="宋体"/>
                <w:color w:val="FF0000"/>
                <w:szCs w:val="21"/>
              </w:rPr>
            </w:pPr>
            <w:r>
              <w:rPr>
                <w:rFonts w:hint="eastAsia" w:ascii="宋体" w:hAnsi="宋体"/>
                <w:color w:val="FF0000"/>
                <w:szCs w:val="21"/>
              </w:rPr>
              <w:t>500万元（含）-1000万元</w:t>
            </w:r>
          </w:p>
        </w:tc>
        <w:tc>
          <w:tcPr>
            <w:tcW w:w="1799" w:type="dxa"/>
            <w:vAlign w:val="center"/>
          </w:tcPr>
          <w:p w14:paraId="7EC65BEB">
            <w:pPr>
              <w:widowControl/>
              <w:ind w:firstLine="420"/>
              <w:jc w:val="left"/>
              <w:rPr>
                <w:rFonts w:ascii="宋体" w:hAnsi="宋体"/>
                <w:color w:val="FF0000"/>
                <w:szCs w:val="21"/>
              </w:rPr>
            </w:pPr>
            <w:r>
              <w:rPr>
                <w:rFonts w:hint="eastAsia" w:ascii="宋体" w:hAnsi="宋体"/>
                <w:color w:val="FF0000"/>
                <w:szCs w:val="21"/>
              </w:rPr>
              <w:t>0.8%</w:t>
            </w:r>
          </w:p>
        </w:tc>
        <w:tc>
          <w:tcPr>
            <w:tcW w:w="1799" w:type="dxa"/>
            <w:vAlign w:val="center"/>
          </w:tcPr>
          <w:p w14:paraId="64DC9C95">
            <w:pPr>
              <w:widowControl/>
              <w:ind w:firstLine="420"/>
              <w:jc w:val="left"/>
              <w:rPr>
                <w:rFonts w:ascii="宋体" w:hAnsi="宋体"/>
                <w:color w:val="FF0000"/>
                <w:szCs w:val="21"/>
              </w:rPr>
            </w:pPr>
            <w:r>
              <w:rPr>
                <w:rFonts w:hint="eastAsia" w:ascii="宋体" w:hAnsi="宋体"/>
                <w:color w:val="FF0000"/>
                <w:szCs w:val="21"/>
              </w:rPr>
              <w:t>0.45%</w:t>
            </w:r>
          </w:p>
        </w:tc>
        <w:tc>
          <w:tcPr>
            <w:tcW w:w="1799" w:type="dxa"/>
            <w:vAlign w:val="center"/>
          </w:tcPr>
          <w:p w14:paraId="7B71002B">
            <w:pPr>
              <w:widowControl/>
              <w:ind w:firstLine="420"/>
              <w:jc w:val="left"/>
              <w:rPr>
                <w:rFonts w:ascii="宋体" w:hAnsi="宋体"/>
                <w:color w:val="FF0000"/>
                <w:szCs w:val="21"/>
              </w:rPr>
            </w:pPr>
            <w:r>
              <w:rPr>
                <w:rFonts w:hint="eastAsia" w:ascii="宋体" w:hAnsi="宋体"/>
                <w:color w:val="FF0000"/>
                <w:szCs w:val="21"/>
              </w:rPr>
              <w:t>0.55%</w:t>
            </w:r>
          </w:p>
        </w:tc>
      </w:tr>
      <w:tr w14:paraId="5FF56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78B400E6">
            <w:pPr>
              <w:widowControl/>
              <w:ind w:firstLine="420"/>
              <w:jc w:val="left"/>
              <w:rPr>
                <w:rFonts w:ascii="宋体" w:hAnsi="宋体"/>
                <w:color w:val="FF0000"/>
                <w:szCs w:val="21"/>
              </w:rPr>
            </w:pPr>
            <w:r>
              <w:rPr>
                <w:rFonts w:hint="eastAsia" w:ascii="宋体" w:hAnsi="宋体"/>
                <w:color w:val="FF0000"/>
                <w:szCs w:val="21"/>
              </w:rPr>
              <w:t>1000万元（含）-5000万元</w:t>
            </w:r>
          </w:p>
        </w:tc>
        <w:tc>
          <w:tcPr>
            <w:tcW w:w="1799" w:type="dxa"/>
            <w:vAlign w:val="center"/>
          </w:tcPr>
          <w:p w14:paraId="2B90BEED">
            <w:pPr>
              <w:widowControl/>
              <w:ind w:firstLine="420"/>
              <w:jc w:val="left"/>
              <w:rPr>
                <w:rFonts w:ascii="宋体" w:hAnsi="宋体"/>
                <w:color w:val="FF0000"/>
                <w:szCs w:val="21"/>
              </w:rPr>
            </w:pPr>
            <w:r>
              <w:rPr>
                <w:rFonts w:hint="eastAsia" w:ascii="宋体" w:hAnsi="宋体"/>
                <w:color w:val="FF0000"/>
                <w:szCs w:val="21"/>
              </w:rPr>
              <w:t>0.5%</w:t>
            </w:r>
          </w:p>
        </w:tc>
        <w:tc>
          <w:tcPr>
            <w:tcW w:w="1799" w:type="dxa"/>
            <w:vAlign w:val="center"/>
          </w:tcPr>
          <w:p w14:paraId="30719617">
            <w:pPr>
              <w:widowControl/>
              <w:ind w:firstLine="420"/>
              <w:jc w:val="left"/>
              <w:rPr>
                <w:rFonts w:ascii="宋体" w:hAnsi="宋体"/>
                <w:color w:val="FF0000"/>
                <w:szCs w:val="21"/>
              </w:rPr>
            </w:pPr>
            <w:r>
              <w:rPr>
                <w:rFonts w:hint="eastAsia" w:ascii="宋体" w:hAnsi="宋体"/>
                <w:color w:val="FF0000"/>
                <w:szCs w:val="21"/>
              </w:rPr>
              <w:t>0.25%</w:t>
            </w:r>
          </w:p>
        </w:tc>
        <w:tc>
          <w:tcPr>
            <w:tcW w:w="1799" w:type="dxa"/>
            <w:vAlign w:val="center"/>
          </w:tcPr>
          <w:p w14:paraId="3A0AFD57">
            <w:pPr>
              <w:widowControl/>
              <w:ind w:firstLine="420"/>
              <w:jc w:val="left"/>
              <w:rPr>
                <w:rFonts w:ascii="宋体" w:hAnsi="宋体"/>
                <w:color w:val="FF0000"/>
                <w:szCs w:val="21"/>
              </w:rPr>
            </w:pPr>
            <w:r>
              <w:rPr>
                <w:rFonts w:hint="eastAsia" w:ascii="宋体" w:hAnsi="宋体"/>
                <w:color w:val="FF0000"/>
                <w:szCs w:val="21"/>
              </w:rPr>
              <w:t>0.35%</w:t>
            </w:r>
          </w:p>
        </w:tc>
      </w:tr>
      <w:tr w14:paraId="7AB62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26FE01D8">
            <w:pPr>
              <w:widowControl/>
              <w:ind w:firstLine="420"/>
              <w:jc w:val="left"/>
              <w:rPr>
                <w:rFonts w:ascii="宋体" w:hAnsi="宋体"/>
                <w:color w:val="FF0000"/>
                <w:szCs w:val="21"/>
              </w:rPr>
            </w:pPr>
            <w:r>
              <w:rPr>
                <w:rFonts w:hint="eastAsia" w:ascii="宋体" w:hAnsi="宋体"/>
                <w:color w:val="FF0000"/>
                <w:szCs w:val="21"/>
              </w:rPr>
              <w:t>5000万元（含）-1亿元</w:t>
            </w:r>
          </w:p>
        </w:tc>
        <w:tc>
          <w:tcPr>
            <w:tcW w:w="1799" w:type="dxa"/>
            <w:vAlign w:val="center"/>
          </w:tcPr>
          <w:p w14:paraId="488065A2">
            <w:pPr>
              <w:widowControl/>
              <w:ind w:firstLine="420"/>
              <w:jc w:val="left"/>
              <w:rPr>
                <w:rFonts w:ascii="宋体" w:hAnsi="宋体"/>
                <w:color w:val="FF0000"/>
                <w:szCs w:val="21"/>
              </w:rPr>
            </w:pPr>
            <w:r>
              <w:rPr>
                <w:rFonts w:hint="eastAsia" w:ascii="宋体" w:hAnsi="宋体"/>
                <w:color w:val="FF0000"/>
                <w:szCs w:val="21"/>
              </w:rPr>
              <w:t>0.25%</w:t>
            </w:r>
          </w:p>
        </w:tc>
        <w:tc>
          <w:tcPr>
            <w:tcW w:w="1799" w:type="dxa"/>
            <w:vAlign w:val="center"/>
          </w:tcPr>
          <w:p w14:paraId="348E10A4">
            <w:pPr>
              <w:widowControl/>
              <w:ind w:firstLine="420"/>
              <w:jc w:val="left"/>
              <w:rPr>
                <w:rFonts w:ascii="宋体" w:hAnsi="宋体"/>
                <w:color w:val="FF0000"/>
                <w:szCs w:val="21"/>
              </w:rPr>
            </w:pPr>
            <w:r>
              <w:rPr>
                <w:rFonts w:hint="eastAsia" w:ascii="宋体" w:hAnsi="宋体"/>
                <w:color w:val="FF0000"/>
                <w:szCs w:val="21"/>
              </w:rPr>
              <w:t>0.1%</w:t>
            </w:r>
          </w:p>
        </w:tc>
        <w:tc>
          <w:tcPr>
            <w:tcW w:w="1799" w:type="dxa"/>
            <w:vAlign w:val="center"/>
          </w:tcPr>
          <w:p w14:paraId="0C18363C">
            <w:pPr>
              <w:widowControl/>
              <w:ind w:firstLine="420"/>
              <w:jc w:val="left"/>
              <w:rPr>
                <w:rFonts w:ascii="宋体" w:hAnsi="宋体"/>
                <w:color w:val="FF0000"/>
                <w:szCs w:val="21"/>
              </w:rPr>
            </w:pPr>
            <w:r>
              <w:rPr>
                <w:rFonts w:hint="eastAsia" w:ascii="宋体" w:hAnsi="宋体"/>
                <w:color w:val="FF0000"/>
                <w:szCs w:val="21"/>
              </w:rPr>
              <w:t>0.2%</w:t>
            </w:r>
          </w:p>
        </w:tc>
      </w:tr>
      <w:tr w14:paraId="7B4B8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445CB87A">
            <w:pPr>
              <w:widowControl/>
              <w:ind w:firstLine="420"/>
              <w:jc w:val="left"/>
              <w:rPr>
                <w:rFonts w:ascii="宋体" w:hAnsi="宋体"/>
                <w:color w:val="FF0000"/>
                <w:szCs w:val="21"/>
              </w:rPr>
            </w:pPr>
            <w:r>
              <w:rPr>
                <w:rFonts w:hint="eastAsia" w:ascii="宋体" w:hAnsi="宋体"/>
                <w:color w:val="FF0000"/>
                <w:szCs w:val="21"/>
              </w:rPr>
              <w:t>1亿元（含）-5亿元</w:t>
            </w:r>
          </w:p>
        </w:tc>
        <w:tc>
          <w:tcPr>
            <w:tcW w:w="1799" w:type="dxa"/>
            <w:vAlign w:val="center"/>
          </w:tcPr>
          <w:p w14:paraId="19375DD1">
            <w:pPr>
              <w:widowControl/>
              <w:ind w:firstLine="420"/>
              <w:jc w:val="left"/>
              <w:rPr>
                <w:rFonts w:ascii="宋体" w:hAnsi="宋体"/>
                <w:color w:val="FF0000"/>
                <w:szCs w:val="21"/>
              </w:rPr>
            </w:pPr>
            <w:r>
              <w:rPr>
                <w:rFonts w:hint="eastAsia" w:ascii="宋体" w:hAnsi="宋体"/>
                <w:color w:val="FF0000"/>
                <w:szCs w:val="21"/>
              </w:rPr>
              <w:t>0.05%</w:t>
            </w:r>
          </w:p>
        </w:tc>
        <w:tc>
          <w:tcPr>
            <w:tcW w:w="1799" w:type="dxa"/>
            <w:vAlign w:val="center"/>
          </w:tcPr>
          <w:p w14:paraId="53B4E4B2">
            <w:pPr>
              <w:widowControl/>
              <w:ind w:firstLine="420"/>
              <w:jc w:val="left"/>
              <w:rPr>
                <w:rFonts w:ascii="宋体" w:hAnsi="宋体"/>
                <w:color w:val="FF0000"/>
                <w:szCs w:val="21"/>
              </w:rPr>
            </w:pPr>
            <w:r>
              <w:rPr>
                <w:rFonts w:hint="eastAsia" w:ascii="宋体" w:hAnsi="宋体"/>
                <w:color w:val="FF0000"/>
                <w:szCs w:val="21"/>
              </w:rPr>
              <w:t>0.05%</w:t>
            </w:r>
          </w:p>
        </w:tc>
        <w:tc>
          <w:tcPr>
            <w:tcW w:w="1799" w:type="dxa"/>
            <w:vAlign w:val="center"/>
          </w:tcPr>
          <w:p w14:paraId="52FEF038">
            <w:pPr>
              <w:widowControl/>
              <w:ind w:firstLine="420"/>
              <w:jc w:val="left"/>
              <w:rPr>
                <w:rFonts w:ascii="宋体" w:hAnsi="宋体"/>
                <w:color w:val="FF0000"/>
                <w:szCs w:val="21"/>
              </w:rPr>
            </w:pPr>
            <w:r>
              <w:rPr>
                <w:rFonts w:hint="eastAsia" w:ascii="宋体" w:hAnsi="宋体"/>
                <w:color w:val="FF0000"/>
                <w:szCs w:val="21"/>
              </w:rPr>
              <w:t>0.05%</w:t>
            </w:r>
          </w:p>
        </w:tc>
      </w:tr>
      <w:tr w14:paraId="50F4C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2A5876F5">
            <w:pPr>
              <w:widowControl/>
              <w:ind w:firstLine="420"/>
              <w:jc w:val="left"/>
              <w:rPr>
                <w:rFonts w:ascii="宋体" w:hAnsi="宋体"/>
                <w:color w:val="FF0000"/>
                <w:szCs w:val="21"/>
              </w:rPr>
            </w:pPr>
            <w:r>
              <w:rPr>
                <w:rFonts w:hint="eastAsia" w:ascii="宋体" w:hAnsi="宋体"/>
                <w:color w:val="FF0000"/>
                <w:szCs w:val="21"/>
              </w:rPr>
              <w:t>5亿元（含）-10亿元</w:t>
            </w:r>
          </w:p>
        </w:tc>
        <w:tc>
          <w:tcPr>
            <w:tcW w:w="1799" w:type="dxa"/>
            <w:vAlign w:val="center"/>
          </w:tcPr>
          <w:p w14:paraId="4FC6A3B8">
            <w:pPr>
              <w:widowControl/>
              <w:ind w:firstLine="420"/>
              <w:jc w:val="left"/>
              <w:rPr>
                <w:rFonts w:ascii="宋体" w:hAnsi="宋体"/>
                <w:color w:val="FF0000"/>
                <w:szCs w:val="21"/>
              </w:rPr>
            </w:pPr>
            <w:r>
              <w:rPr>
                <w:rFonts w:hint="eastAsia" w:ascii="宋体" w:hAnsi="宋体"/>
                <w:color w:val="FF0000"/>
                <w:szCs w:val="21"/>
              </w:rPr>
              <w:t>0.035%</w:t>
            </w:r>
          </w:p>
        </w:tc>
        <w:tc>
          <w:tcPr>
            <w:tcW w:w="1799" w:type="dxa"/>
            <w:vAlign w:val="center"/>
          </w:tcPr>
          <w:p w14:paraId="7377999B">
            <w:pPr>
              <w:widowControl/>
              <w:ind w:firstLine="420"/>
              <w:jc w:val="left"/>
              <w:rPr>
                <w:rFonts w:ascii="宋体" w:hAnsi="宋体"/>
                <w:color w:val="FF0000"/>
                <w:szCs w:val="21"/>
              </w:rPr>
            </w:pPr>
            <w:r>
              <w:rPr>
                <w:rFonts w:hint="eastAsia" w:ascii="宋体" w:hAnsi="宋体"/>
                <w:color w:val="FF0000"/>
                <w:szCs w:val="21"/>
              </w:rPr>
              <w:t>0.035%</w:t>
            </w:r>
          </w:p>
        </w:tc>
        <w:tc>
          <w:tcPr>
            <w:tcW w:w="1799" w:type="dxa"/>
            <w:vAlign w:val="center"/>
          </w:tcPr>
          <w:p w14:paraId="67113066">
            <w:pPr>
              <w:widowControl/>
              <w:ind w:firstLine="420"/>
              <w:jc w:val="left"/>
              <w:rPr>
                <w:rFonts w:ascii="宋体" w:hAnsi="宋体"/>
                <w:color w:val="FF0000"/>
                <w:szCs w:val="21"/>
              </w:rPr>
            </w:pPr>
            <w:r>
              <w:rPr>
                <w:rFonts w:hint="eastAsia" w:ascii="宋体" w:hAnsi="宋体"/>
                <w:color w:val="FF0000"/>
                <w:szCs w:val="21"/>
              </w:rPr>
              <w:t>0.035%</w:t>
            </w:r>
          </w:p>
        </w:tc>
      </w:tr>
      <w:tr w14:paraId="3A524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6EDBCF06">
            <w:pPr>
              <w:widowControl/>
              <w:ind w:firstLine="420"/>
              <w:jc w:val="left"/>
              <w:rPr>
                <w:rFonts w:ascii="宋体" w:hAnsi="宋体"/>
                <w:color w:val="FF0000"/>
                <w:szCs w:val="21"/>
              </w:rPr>
            </w:pPr>
            <w:r>
              <w:rPr>
                <w:rFonts w:hint="eastAsia" w:ascii="宋体" w:hAnsi="宋体"/>
                <w:color w:val="FF0000"/>
                <w:szCs w:val="21"/>
              </w:rPr>
              <w:t>10亿元（含）-50亿元</w:t>
            </w:r>
          </w:p>
        </w:tc>
        <w:tc>
          <w:tcPr>
            <w:tcW w:w="1799" w:type="dxa"/>
            <w:vAlign w:val="center"/>
          </w:tcPr>
          <w:p w14:paraId="245C9519">
            <w:pPr>
              <w:widowControl/>
              <w:ind w:firstLine="420"/>
              <w:jc w:val="left"/>
              <w:rPr>
                <w:rFonts w:ascii="宋体" w:hAnsi="宋体"/>
                <w:color w:val="FF0000"/>
                <w:szCs w:val="21"/>
              </w:rPr>
            </w:pPr>
            <w:r>
              <w:rPr>
                <w:rFonts w:hint="eastAsia" w:ascii="宋体" w:hAnsi="宋体"/>
                <w:color w:val="FF0000"/>
                <w:szCs w:val="21"/>
              </w:rPr>
              <w:t>0.008%</w:t>
            </w:r>
          </w:p>
        </w:tc>
        <w:tc>
          <w:tcPr>
            <w:tcW w:w="1799" w:type="dxa"/>
            <w:vAlign w:val="center"/>
          </w:tcPr>
          <w:p w14:paraId="15D22A5B">
            <w:pPr>
              <w:widowControl/>
              <w:ind w:firstLine="420"/>
              <w:jc w:val="left"/>
              <w:rPr>
                <w:rFonts w:ascii="宋体" w:hAnsi="宋体"/>
                <w:color w:val="FF0000"/>
                <w:szCs w:val="21"/>
              </w:rPr>
            </w:pPr>
            <w:r>
              <w:rPr>
                <w:rFonts w:hint="eastAsia" w:ascii="宋体" w:hAnsi="宋体"/>
                <w:color w:val="FF0000"/>
                <w:szCs w:val="21"/>
              </w:rPr>
              <w:t>0.008%</w:t>
            </w:r>
          </w:p>
        </w:tc>
        <w:tc>
          <w:tcPr>
            <w:tcW w:w="1799" w:type="dxa"/>
            <w:vAlign w:val="center"/>
          </w:tcPr>
          <w:p w14:paraId="0BDA2998">
            <w:pPr>
              <w:widowControl/>
              <w:ind w:firstLine="420"/>
              <w:jc w:val="left"/>
              <w:rPr>
                <w:rFonts w:ascii="宋体" w:hAnsi="宋体"/>
                <w:color w:val="FF0000"/>
                <w:szCs w:val="21"/>
              </w:rPr>
            </w:pPr>
            <w:r>
              <w:rPr>
                <w:rFonts w:hint="eastAsia" w:ascii="宋体" w:hAnsi="宋体"/>
                <w:color w:val="FF0000"/>
                <w:szCs w:val="21"/>
              </w:rPr>
              <w:t>0.008%</w:t>
            </w:r>
          </w:p>
        </w:tc>
      </w:tr>
      <w:tr w14:paraId="6F4C9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0FA1F426">
            <w:pPr>
              <w:widowControl/>
              <w:ind w:firstLine="420"/>
              <w:jc w:val="left"/>
              <w:rPr>
                <w:rFonts w:ascii="宋体" w:hAnsi="宋体"/>
                <w:color w:val="FF0000"/>
                <w:szCs w:val="21"/>
              </w:rPr>
            </w:pPr>
            <w:r>
              <w:rPr>
                <w:rFonts w:hint="eastAsia" w:ascii="宋体" w:hAnsi="宋体"/>
                <w:color w:val="FF0000"/>
                <w:szCs w:val="21"/>
              </w:rPr>
              <w:t>50亿元（含）-100亿元</w:t>
            </w:r>
          </w:p>
        </w:tc>
        <w:tc>
          <w:tcPr>
            <w:tcW w:w="1799" w:type="dxa"/>
            <w:vAlign w:val="center"/>
          </w:tcPr>
          <w:p w14:paraId="0E3050DD">
            <w:pPr>
              <w:widowControl/>
              <w:ind w:firstLine="420"/>
              <w:jc w:val="left"/>
              <w:rPr>
                <w:rFonts w:ascii="宋体" w:hAnsi="宋体"/>
                <w:color w:val="FF0000"/>
                <w:szCs w:val="21"/>
              </w:rPr>
            </w:pPr>
            <w:r>
              <w:rPr>
                <w:rFonts w:hint="eastAsia" w:ascii="宋体" w:hAnsi="宋体"/>
                <w:color w:val="FF0000"/>
                <w:szCs w:val="21"/>
              </w:rPr>
              <w:t>0.006%</w:t>
            </w:r>
          </w:p>
        </w:tc>
        <w:tc>
          <w:tcPr>
            <w:tcW w:w="1799" w:type="dxa"/>
            <w:vAlign w:val="center"/>
          </w:tcPr>
          <w:p w14:paraId="665AB5F8">
            <w:pPr>
              <w:widowControl/>
              <w:ind w:firstLine="420"/>
              <w:jc w:val="left"/>
              <w:rPr>
                <w:rFonts w:ascii="宋体" w:hAnsi="宋体"/>
                <w:color w:val="FF0000"/>
                <w:szCs w:val="21"/>
              </w:rPr>
            </w:pPr>
            <w:r>
              <w:rPr>
                <w:rFonts w:hint="eastAsia" w:ascii="宋体" w:hAnsi="宋体"/>
                <w:color w:val="FF0000"/>
                <w:szCs w:val="21"/>
              </w:rPr>
              <w:t>0.006%</w:t>
            </w:r>
          </w:p>
        </w:tc>
        <w:tc>
          <w:tcPr>
            <w:tcW w:w="1799" w:type="dxa"/>
            <w:vAlign w:val="center"/>
          </w:tcPr>
          <w:p w14:paraId="7F10CB42">
            <w:pPr>
              <w:widowControl/>
              <w:ind w:firstLine="420"/>
              <w:jc w:val="left"/>
              <w:rPr>
                <w:rFonts w:ascii="宋体" w:hAnsi="宋体"/>
                <w:color w:val="FF0000"/>
                <w:szCs w:val="21"/>
              </w:rPr>
            </w:pPr>
            <w:r>
              <w:rPr>
                <w:rFonts w:hint="eastAsia" w:ascii="宋体" w:hAnsi="宋体"/>
                <w:color w:val="FF0000"/>
                <w:szCs w:val="21"/>
              </w:rPr>
              <w:t>0.006%</w:t>
            </w:r>
          </w:p>
        </w:tc>
      </w:tr>
      <w:tr w14:paraId="2A16B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4DDD900F">
            <w:pPr>
              <w:widowControl/>
              <w:ind w:firstLine="420"/>
              <w:jc w:val="left"/>
              <w:rPr>
                <w:rFonts w:ascii="宋体" w:hAnsi="宋体"/>
                <w:color w:val="FF0000"/>
                <w:szCs w:val="21"/>
              </w:rPr>
            </w:pPr>
            <w:r>
              <w:rPr>
                <w:rFonts w:hint="eastAsia" w:ascii="宋体" w:hAnsi="宋体"/>
                <w:color w:val="FF0000"/>
                <w:szCs w:val="21"/>
              </w:rPr>
              <w:t>100亿元（含）以上</w:t>
            </w:r>
          </w:p>
        </w:tc>
        <w:tc>
          <w:tcPr>
            <w:tcW w:w="1799" w:type="dxa"/>
            <w:vAlign w:val="center"/>
          </w:tcPr>
          <w:p w14:paraId="150A9E5C">
            <w:pPr>
              <w:widowControl/>
              <w:ind w:firstLine="420"/>
              <w:jc w:val="left"/>
              <w:rPr>
                <w:rFonts w:ascii="宋体" w:hAnsi="宋体"/>
                <w:color w:val="FF0000"/>
                <w:szCs w:val="21"/>
              </w:rPr>
            </w:pPr>
            <w:r>
              <w:rPr>
                <w:rFonts w:hint="eastAsia" w:ascii="宋体" w:hAnsi="宋体"/>
                <w:color w:val="FF0000"/>
                <w:szCs w:val="21"/>
              </w:rPr>
              <w:t>0.004%</w:t>
            </w:r>
          </w:p>
        </w:tc>
        <w:tc>
          <w:tcPr>
            <w:tcW w:w="1799" w:type="dxa"/>
            <w:vAlign w:val="center"/>
          </w:tcPr>
          <w:p w14:paraId="466CE286">
            <w:pPr>
              <w:widowControl/>
              <w:ind w:firstLine="420"/>
              <w:jc w:val="left"/>
              <w:rPr>
                <w:rFonts w:ascii="宋体" w:hAnsi="宋体"/>
                <w:color w:val="FF0000"/>
                <w:szCs w:val="21"/>
              </w:rPr>
            </w:pPr>
            <w:r>
              <w:rPr>
                <w:rFonts w:hint="eastAsia" w:ascii="宋体" w:hAnsi="宋体"/>
                <w:color w:val="FF0000"/>
                <w:szCs w:val="21"/>
              </w:rPr>
              <w:t>0.004%</w:t>
            </w:r>
          </w:p>
        </w:tc>
        <w:tc>
          <w:tcPr>
            <w:tcW w:w="1799" w:type="dxa"/>
            <w:vAlign w:val="center"/>
          </w:tcPr>
          <w:p w14:paraId="0BFB1DCC">
            <w:pPr>
              <w:widowControl/>
              <w:ind w:firstLine="420"/>
              <w:jc w:val="left"/>
              <w:rPr>
                <w:rFonts w:ascii="宋体" w:hAnsi="宋体"/>
                <w:color w:val="FF0000"/>
                <w:szCs w:val="21"/>
              </w:rPr>
            </w:pPr>
            <w:r>
              <w:rPr>
                <w:rFonts w:hint="eastAsia" w:ascii="宋体" w:hAnsi="宋体"/>
                <w:color w:val="FF0000"/>
                <w:szCs w:val="21"/>
              </w:rPr>
              <w:t>0.004%</w:t>
            </w:r>
          </w:p>
        </w:tc>
      </w:tr>
    </w:tbl>
    <w:p w14:paraId="3F047AA8">
      <w:pPr>
        <w:widowControl/>
        <w:ind w:firstLine="420"/>
        <w:jc w:val="left"/>
        <w:rPr>
          <w:rFonts w:ascii="宋体" w:hAnsi="宋体"/>
          <w:color w:val="FF0000"/>
          <w:szCs w:val="21"/>
        </w:rPr>
      </w:pPr>
      <w:r>
        <w:rPr>
          <w:rFonts w:hint="eastAsia" w:ascii="宋体" w:hAnsi="宋体"/>
          <w:color w:val="FF0000"/>
          <w:szCs w:val="21"/>
        </w:rPr>
        <w:t xml:space="preserve">备注：1.每宗交易代理服务费不低于 </w:t>
      </w:r>
      <w:r>
        <w:rPr>
          <w:rFonts w:hint="eastAsia" w:ascii="宋体" w:hAnsi="宋体"/>
          <w:color w:val="FF0000"/>
          <w:szCs w:val="21"/>
          <w:lang w:val="en-US" w:eastAsia="zh-CN"/>
        </w:rPr>
        <w:t>75</w:t>
      </w:r>
      <w:r>
        <w:rPr>
          <w:rFonts w:hint="eastAsia" w:ascii="宋体" w:hAnsi="宋体"/>
          <w:color w:val="FF0000"/>
          <w:szCs w:val="21"/>
        </w:rPr>
        <w:t>00 元；</w:t>
      </w:r>
    </w:p>
    <w:p w14:paraId="321FA07B">
      <w:pPr>
        <w:widowControl/>
        <w:ind w:firstLine="420"/>
        <w:jc w:val="left"/>
        <w:rPr>
          <w:rFonts w:ascii="宋体" w:hAnsi="宋体"/>
          <w:color w:val="FF0000"/>
          <w:szCs w:val="21"/>
        </w:rPr>
      </w:pPr>
      <w:r>
        <w:rPr>
          <w:rFonts w:hint="eastAsia" w:ascii="宋体" w:hAnsi="宋体"/>
          <w:color w:val="FF0000"/>
          <w:szCs w:val="21"/>
        </w:rPr>
        <w:t>2.对于报总价的采购类项目，中标（成交）价为中标（成交）金额；对于报单价或折扣或费率的采购类项目，中标（成交）价为预算上限金额或经委托方与代理方确定的支付上限金额。</w:t>
      </w:r>
    </w:p>
    <w:p w14:paraId="6DA6F1F2">
      <w:pPr>
        <w:widowControl/>
        <w:ind w:firstLine="420"/>
        <w:jc w:val="left"/>
        <w:rPr>
          <w:rFonts w:ascii="宋体" w:hAnsi="宋体"/>
          <w:color w:val="FF0000"/>
          <w:szCs w:val="21"/>
        </w:rPr>
      </w:pPr>
      <w:r>
        <w:rPr>
          <w:rFonts w:hint="eastAsia" w:ascii="宋体" w:hAnsi="宋体"/>
          <w:color w:val="FF0000"/>
          <w:szCs w:val="21"/>
        </w:rPr>
        <w:t>如某货物采购项目，中标（成交）金额为600万元，总共交纳的代理服务费的具体计算过程如下：</w:t>
      </w:r>
    </w:p>
    <w:p w14:paraId="1850ADD6">
      <w:pPr>
        <w:widowControl/>
        <w:ind w:firstLine="420"/>
        <w:jc w:val="left"/>
        <w:rPr>
          <w:rFonts w:ascii="宋体" w:hAnsi="宋体"/>
          <w:color w:val="FF0000"/>
          <w:szCs w:val="21"/>
        </w:rPr>
      </w:pPr>
      <w:r>
        <w:rPr>
          <w:rFonts w:hint="eastAsia" w:ascii="宋体" w:hAnsi="宋体"/>
          <w:color w:val="FF0000"/>
          <w:szCs w:val="21"/>
        </w:rPr>
        <w:t>标准代理服务费＝（100万以下部分的代理服务费）+（100万～500万部分的代理服务费）+（500万～600万部分的代理服务费）＝100万元×1.5%+（500-100）万元×1.1%+（600-500）万元×0.8%=1.5万元+4.4万元+0.8万元＝6.7万元</w:t>
      </w:r>
    </w:p>
    <w:p w14:paraId="250A6CDE">
      <w:pPr>
        <w:widowControl/>
        <w:ind w:firstLine="420"/>
        <w:jc w:val="left"/>
        <w:rPr>
          <w:rFonts w:ascii="宋体" w:hAnsi="宋体" w:eastAsia="黑体" w:cs="Times New Roman"/>
          <w:bCs/>
          <w:kern w:val="44"/>
          <w:szCs w:val="21"/>
        </w:rPr>
      </w:pPr>
      <w:r>
        <w:rPr>
          <w:rFonts w:hint="eastAsia" w:ascii="宋体" w:hAnsi="宋体"/>
          <w:color w:val="FF0000"/>
          <w:szCs w:val="21"/>
        </w:rPr>
        <w:t>（3）中标（成交）供应商成交后，必须按规定采用银行对公转账方式向</w:t>
      </w:r>
      <w:r>
        <w:rPr>
          <w:rFonts w:hint="eastAsia" w:ascii="宋体" w:hAnsi="宋体"/>
          <w:color w:val="FF0000"/>
          <w:szCs w:val="21"/>
          <w:lang w:eastAsia="zh-CN"/>
        </w:rPr>
        <w:t>深圳市东海国际招标有限公司</w:t>
      </w:r>
      <w:r>
        <w:rPr>
          <w:rFonts w:hint="eastAsia" w:ascii="宋体" w:hAnsi="宋体"/>
          <w:color w:val="FF0000"/>
          <w:szCs w:val="21"/>
        </w:rPr>
        <w:t>直接交纳代理服务费，交纳信息及要求按照缴款（付款）通知书执行。</w:t>
      </w:r>
    </w:p>
    <w:p w14:paraId="4E6C0EE4">
      <w:pPr>
        <w:widowControl/>
        <w:ind w:firstLine="420"/>
        <w:jc w:val="left"/>
        <w:rPr>
          <w:rFonts w:ascii="宋体" w:hAnsi="宋体"/>
          <w:color w:val="FF0000"/>
          <w:szCs w:val="21"/>
        </w:rPr>
      </w:pPr>
    </w:p>
    <w:p w14:paraId="6D9F77F7">
      <w:pPr>
        <w:widowControl/>
        <w:ind w:firstLine="420"/>
        <w:jc w:val="left"/>
        <w:rPr>
          <w:rFonts w:ascii="宋体" w:hAnsi="宋体" w:eastAsia="黑体" w:cs="Times New Roman"/>
          <w:bCs/>
          <w:kern w:val="44"/>
          <w:szCs w:val="21"/>
        </w:rPr>
      </w:pPr>
    </w:p>
    <w:p w14:paraId="40F855B2">
      <w:pPr>
        <w:widowControl/>
        <w:jc w:val="left"/>
        <w:rPr>
          <w:rFonts w:ascii="宋体" w:hAnsi="宋体" w:eastAsia="黑体" w:cs="Times New Roman"/>
          <w:bCs/>
          <w:kern w:val="44"/>
          <w:sz w:val="28"/>
          <w:szCs w:val="44"/>
        </w:rPr>
      </w:pPr>
      <w:r>
        <w:rPr>
          <w:rFonts w:ascii="宋体" w:hAnsi="宋体" w:eastAsia="黑体" w:cs="Times New Roman"/>
          <w:bCs/>
          <w:kern w:val="44"/>
          <w:sz w:val="28"/>
          <w:szCs w:val="44"/>
        </w:rPr>
        <w:br w:type="page"/>
      </w:r>
    </w:p>
    <w:p w14:paraId="36D4437A">
      <w:pPr>
        <w:keepNext/>
        <w:keepLines/>
        <w:adjustRightInd w:val="0"/>
        <w:spacing w:before="260" w:after="260"/>
        <w:jc w:val="center"/>
        <w:textAlignment w:val="baseline"/>
        <w:outlineLvl w:val="1"/>
        <w:rPr>
          <w:rFonts w:ascii="宋体" w:hAnsi="宋体" w:eastAsia="宋体" w:cs="Times New Roman"/>
          <w:b/>
          <w:bCs/>
          <w:kern w:val="0"/>
          <w:sz w:val="28"/>
          <w:szCs w:val="28"/>
        </w:rPr>
      </w:pPr>
      <w:r>
        <w:rPr>
          <w:rFonts w:hint="eastAsia" w:ascii="宋体" w:hAnsi="宋体" w:eastAsia="宋体" w:cs="Times New Roman"/>
          <w:b/>
          <w:bCs/>
          <w:kern w:val="0"/>
          <w:sz w:val="28"/>
          <w:szCs w:val="28"/>
        </w:rPr>
        <w:t>第三章 用户需求书</w:t>
      </w:r>
    </w:p>
    <w:p w14:paraId="2A5C2E4F">
      <w:pPr>
        <w:keepNext/>
        <w:keepLines/>
        <w:tabs>
          <w:tab w:val="left" w:pos="1680"/>
        </w:tabs>
        <w:spacing w:before="260" w:after="78" w:afterLines="25"/>
        <w:jc w:val="center"/>
        <w:outlineLvl w:val="2"/>
        <w:rPr>
          <w:rFonts w:ascii="Arial" w:hAnsi="Arial" w:eastAsia="宋体" w:cs="Times New Roman"/>
          <w:b/>
          <w:sz w:val="32"/>
          <w:szCs w:val="32"/>
        </w:rPr>
      </w:pPr>
      <w:r>
        <w:rPr>
          <w:rFonts w:hint="eastAsia" w:ascii="Arial" w:hAnsi="Arial" w:eastAsia="宋体" w:cs="Times New Roman"/>
          <w:b/>
          <w:sz w:val="32"/>
          <w:szCs w:val="32"/>
        </w:rPr>
        <w:t>一、项目基本信息</w:t>
      </w:r>
    </w:p>
    <w:tbl>
      <w:tblPr>
        <w:tblStyle w:val="16"/>
        <w:tblW w:w="8931" w:type="dxa"/>
        <w:jc w:val="center"/>
        <w:tblLayout w:type="fixed"/>
        <w:tblCellMar>
          <w:top w:w="15" w:type="dxa"/>
          <w:left w:w="15" w:type="dxa"/>
          <w:bottom w:w="15" w:type="dxa"/>
          <w:right w:w="15" w:type="dxa"/>
        </w:tblCellMar>
      </w:tblPr>
      <w:tblGrid>
        <w:gridCol w:w="710"/>
        <w:gridCol w:w="2693"/>
        <w:gridCol w:w="2906"/>
        <w:gridCol w:w="2622"/>
      </w:tblGrid>
      <w:tr w14:paraId="2FDB8E1B">
        <w:tblPrEx>
          <w:tblCellMar>
            <w:top w:w="15" w:type="dxa"/>
            <w:left w:w="15" w:type="dxa"/>
            <w:bottom w:w="15" w:type="dxa"/>
            <w:right w:w="15" w:type="dxa"/>
          </w:tblCellMar>
        </w:tblPrEx>
        <w:trPr>
          <w:trHeight w:val="552" w:hRule="atLeast"/>
          <w:jc w:val="center"/>
        </w:trPr>
        <w:tc>
          <w:tcPr>
            <w:tcW w:w="710" w:type="dxa"/>
            <w:tcBorders>
              <w:top w:val="single" w:color="000000" w:sz="4" w:space="0"/>
              <w:left w:val="single" w:color="000000" w:sz="4" w:space="0"/>
              <w:bottom w:val="single" w:color="000000" w:sz="4" w:space="0"/>
              <w:right w:val="single" w:color="auto" w:sz="4" w:space="0"/>
            </w:tcBorders>
            <w:shd w:val="clear" w:color="auto" w:fill="C6D9F0" w:themeFill="text2" w:themeFillTint="33"/>
            <w:vAlign w:val="center"/>
          </w:tcPr>
          <w:p w14:paraId="7CB13CA8">
            <w:pPr>
              <w:jc w:val="center"/>
            </w:pPr>
            <w:r>
              <w:rPr>
                <w:rFonts w:hint="eastAsia"/>
              </w:rPr>
              <w:t>序号</w:t>
            </w:r>
          </w:p>
        </w:tc>
        <w:tc>
          <w:tcPr>
            <w:tcW w:w="2693" w:type="dxa"/>
            <w:tcBorders>
              <w:top w:val="single" w:color="000000" w:sz="4" w:space="0"/>
              <w:left w:val="single" w:color="auto" w:sz="4" w:space="0"/>
              <w:bottom w:val="single" w:color="000000" w:sz="4" w:space="0"/>
              <w:right w:val="single" w:color="000000" w:sz="4" w:space="0"/>
            </w:tcBorders>
            <w:shd w:val="clear" w:color="auto" w:fill="C6D9F0" w:themeFill="text2" w:themeFillTint="33"/>
            <w:vAlign w:val="center"/>
          </w:tcPr>
          <w:p w14:paraId="15797308">
            <w:pPr>
              <w:jc w:val="center"/>
            </w:pPr>
            <w:r>
              <w:rPr>
                <w:rFonts w:hint="eastAsia"/>
              </w:rPr>
              <w:t>采购计划编号</w:t>
            </w:r>
          </w:p>
        </w:tc>
        <w:tc>
          <w:tcPr>
            <w:tcW w:w="2906" w:type="dxa"/>
            <w:tcBorders>
              <w:top w:val="single" w:color="000000" w:sz="4" w:space="0"/>
              <w:left w:val="single" w:color="000000" w:sz="4" w:space="0"/>
              <w:bottom w:val="single" w:color="000000" w:sz="4" w:space="0"/>
              <w:right w:val="single" w:color="000000" w:sz="4" w:space="0"/>
            </w:tcBorders>
            <w:shd w:val="clear" w:color="auto" w:fill="C6D9F0" w:themeFill="text2" w:themeFillTint="33"/>
            <w:vAlign w:val="center"/>
          </w:tcPr>
          <w:p w14:paraId="35D05B2C">
            <w:pPr>
              <w:jc w:val="center"/>
            </w:pPr>
            <w:r>
              <w:rPr>
                <w:rFonts w:hint="eastAsia"/>
              </w:rPr>
              <w:t>采购项目名称</w:t>
            </w:r>
          </w:p>
        </w:tc>
        <w:tc>
          <w:tcPr>
            <w:tcW w:w="2622" w:type="dxa"/>
            <w:tcBorders>
              <w:top w:val="single" w:color="000000" w:sz="4" w:space="0"/>
              <w:left w:val="single" w:color="000000" w:sz="4" w:space="0"/>
              <w:bottom w:val="single" w:color="000000" w:sz="4" w:space="0"/>
              <w:right w:val="single" w:color="000000" w:sz="4" w:space="0"/>
            </w:tcBorders>
            <w:shd w:val="clear" w:color="auto" w:fill="C6D9F0" w:themeFill="text2" w:themeFillTint="33"/>
            <w:vAlign w:val="center"/>
          </w:tcPr>
          <w:p w14:paraId="7BCA6C03">
            <w:pPr>
              <w:jc w:val="center"/>
            </w:pPr>
            <w:r>
              <w:rPr>
                <w:rFonts w:hint="eastAsia" w:asciiTheme="minorEastAsia" w:hAnsiTheme="minorEastAsia"/>
                <w:sz w:val="22"/>
              </w:rPr>
              <w:t>财政预算限额（元）</w:t>
            </w:r>
          </w:p>
        </w:tc>
      </w:tr>
      <w:tr w14:paraId="724F17B3">
        <w:tblPrEx>
          <w:tblCellMar>
            <w:top w:w="15" w:type="dxa"/>
            <w:left w:w="15" w:type="dxa"/>
            <w:bottom w:w="15" w:type="dxa"/>
            <w:right w:w="15" w:type="dxa"/>
          </w:tblCellMar>
        </w:tblPrEx>
        <w:trPr>
          <w:trHeight w:val="286" w:hRule="atLeast"/>
          <w:jc w:val="center"/>
        </w:trPr>
        <w:tc>
          <w:tcPr>
            <w:tcW w:w="710" w:type="dxa"/>
            <w:tcBorders>
              <w:top w:val="single" w:color="000000" w:sz="4" w:space="0"/>
              <w:left w:val="single" w:color="000000" w:sz="4" w:space="0"/>
              <w:bottom w:val="single" w:color="000000" w:sz="4" w:space="0"/>
              <w:right w:val="single" w:color="auto" w:sz="4" w:space="0"/>
            </w:tcBorders>
            <w:vAlign w:val="center"/>
          </w:tcPr>
          <w:p w14:paraId="6278812E">
            <w:pPr>
              <w:jc w:val="center"/>
              <w:rPr>
                <w:rFonts w:asciiTheme="minorEastAsia" w:hAnsiTheme="minorEastAsia"/>
                <w:sz w:val="24"/>
                <w:szCs w:val="24"/>
              </w:rPr>
            </w:pPr>
            <w:r>
              <w:rPr>
                <w:rFonts w:hint="eastAsia" w:asciiTheme="minorEastAsia" w:hAnsiTheme="minorEastAsia"/>
                <w:sz w:val="24"/>
                <w:szCs w:val="24"/>
              </w:rPr>
              <w:t>1</w:t>
            </w:r>
          </w:p>
        </w:tc>
        <w:tc>
          <w:tcPr>
            <w:tcW w:w="2693" w:type="dxa"/>
            <w:tcBorders>
              <w:top w:val="single" w:color="000000" w:sz="4" w:space="0"/>
              <w:left w:val="single" w:color="auto" w:sz="4" w:space="0"/>
              <w:bottom w:val="single" w:color="000000" w:sz="4" w:space="0"/>
              <w:right w:val="single" w:color="000000" w:sz="4" w:space="0"/>
            </w:tcBorders>
            <w:vAlign w:val="center"/>
          </w:tcPr>
          <w:p w14:paraId="1B064311">
            <w:pPr>
              <w:jc w:val="center"/>
              <w:rPr>
                <w:rFonts w:hint="eastAsia" w:asciiTheme="minorEastAsia" w:hAnsiTheme="minorEastAsia" w:eastAsiaTheme="minorEastAsia"/>
                <w:sz w:val="24"/>
                <w:szCs w:val="24"/>
                <w:lang w:eastAsia="zh-CN"/>
              </w:rPr>
            </w:pPr>
            <w:r>
              <w:rPr>
                <w:rFonts w:hint="eastAsia" w:asciiTheme="minorEastAsia" w:hAnsiTheme="minorEastAsia"/>
                <w:sz w:val="24"/>
                <w:szCs w:val="24"/>
                <w:lang w:eastAsia="zh-CN"/>
              </w:rPr>
              <w:t>LHAZXDL-2024-00076（3324-DH2432H3234）</w:t>
            </w:r>
          </w:p>
        </w:tc>
        <w:tc>
          <w:tcPr>
            <w:tcW w:w="2906" w:type="dxa"/>
            <w:tcBorders>
              <w:top w:val="single" w:color="000000" w:sz="4" w:space="0"/>
              <w:left w:val="single" w:color="000000" w:sz="4" w:space="0"/>
              <w:right w:val="single" w:color="000000" w:sz="4" w:space="0"/>
            </w:tcBorders>
            <w:vAlign w:val="center"/>
          </w:tcPr>
          <w:p w14:paraId="66D31FCC">
            <w:pPr>
              <w:jc w:val="center"/>
              <w:rPr>
                <w:rFonts w:hint="eastAsia" w:eastAsiaTheme="minorEastAsia"/>
                <w:lang w:eastAsia="zh-CN"/>
              </w:rPr>
            </w:pPr>
            <w:r>
              <w:rPr>
                <w:rFonts w:hint="eastAsia"/>
                <w:lang w:eastAsia="zh-CN"/>
              </w:rPr>
              <w:t>计算机教室家具及设施设备采购</w:t>
            </w:r>
          </w:p>
        </w:tc>
        <w:tc>
          <w:tcPr>
            <w:tcW w:w="2622" w:type="dxa"/>
            <w:tcBorders>
              <w:top w:val="single" w:color="000000" w:sz="4" w:space="0"/>
              <w:left w:val="single" w:color="000000" w:sz="4" w:space="0"/>
              <w:bottom w:val="single" w:color="000000" w:sz="4" w:space="0"/>
              <w:right w:val="single" w:color="000000" w:sz="4" w:space="0"/>
            </w:tcBorders>
            <w:vAlign w:val="center"/>
          </w:tcPr>
          <w:p w14:paraId="2E9F30D3">
            <w:pPr>
              <w:jc w:val="center"/>
              <w:rPr>
                <w:rFonts w:asciiTheme="minorEastAsia" w:hAnsiTheme="minorEastAsia"/>
                <w:sz w:val="24"/>
                <w:szCs w:val="24"/>
              </w:rPr>
            </w:pPr>
            <w:r>
              <w:rPr>
                <w:rFonts w:hint="eastAsia" w:asciiTheme="minorEastAsia" w:hAnsiTheme="minorEastAsia"/>
                <w:sz w:val="24"/>
                <w:szCs w:val="24"/>
                <w:lang w:val="en-US" w:eastAsia="zh-CN"/>
              </w:rPr>
              <w:t xml:space="preserve"> 327,776.00</w:t>
            </w:r>
          </w:p>
        </w:tc>
      </w:tr>
      <w:tr w14:paraId="67CEC70C">
        <w:tblPrEx>
          <w:tblCellMar>
            <w:top w:w="15" w:type="dxa"/>
            <w:left w:w="15" w:type="dxa"/>
            <w:bottom w:w="15" w:type="dxa"/>
            <w:right w:w="15" w:type="dxa"/>
          </w:tblCellMar>
        </w:tblPrEx>
        <w:trPr>
          <w:trHeight w:val="172" w:hRule="atLeast"/>
          <w:jc w:val="center"/>
        </w:trPr>
        <w:tc>
          <w:tcPr>
            <w:tcW w:w="6309" w:type="dxa"/>
            <w:gridSpan w:val="3"/>
            <w:tcBorders>
              <w:top w:val="single" w:color="000000" w:sz="4" w:space="0"/>
              <w:left w:val="single" w:color="000000" w:sz="4" w:space="0"/>
              <w:bottom w:val="single" w:color="auto" w:sz="4" w:space="0"/>
              <w:right w:val="single" w:color="000000" w:sz="4" w:space="0"/>
            </w:tcBorders>
            <w:vAlign w:val="center"/>
          </w:tcPr>
          <w:p w14:paraId="5F246AF9">
            <w:pPr>
              <w:jc w:val="center"/>
            </w:pPr>
            <w:r>
              <w:rPr>
                <w:rFonts w:hint="eastAsia"/>
              </w:rPr>
              <w:t>合计（元）</w:t>
            </w:r>
          </w:p>
        </w:tc>
        <w:tc>
          <w:tcPr>
            <w:tcW w:w="2622" w:type="dxa"/>
            <w:tcBorders>
              <w:top w:val="single" w:color="000000" w:sz="4" w:space="0"/>
              <w:left w:val="single" w:color="000000" w:sz="4" w:space="0"/>
              <w:bottom w:val="single" w:color="auto" w:sz="4" w:space="0"/>
              <w:right w:val="single" w:color="000000" w:sz="4" w:space="0"/>
            </w:tcBorders>
            <w:vAlign w:val="center"/>
          </w:tcPr>
          <w:p w14:paraId="2564FF4C">
            <w:pPr>
              <w:jc w:val="center"/>
              <w:rPr>
                <w:rFonts w:asciiTheme="minorEastAsia" w:hAnsiTheme="minorEastAsia"/>
                <w:sz w:val="24"/>
                <w:szCs w:val="24"/>
              </w:rPr>
            </w:pPr>
            <w:r>
              <w:rPr>
                <w:rFonts w:hint="eastAsia" w:asciiTheme="minorEastAsia" w:hAnsiTheme="minorEastAsia"/>
                <w:sz w:val="24"/>
                <w:szCs w:val="24"/>
                <w:lang w:val="en-US" w:eastAsia="zh-CN"/>
              </w:rPr>
              <w:t xml:space="preserve"> 327,776.00</w:t>
            </w:r>
          </w:p>
        </w:tc>
      </w:tr>
    </w:tbl>
    <w:p w14:paraId="79F0332D">
      <w:pPr>
        <w:rPr>
          <w:sz w:val="24"/>
          <w:szCs w:val="24"/>
        </w:rPr>
      </w:pPr>
      <w:r>
        <w:rPr>
          <w:rFonts w:hint="eastAsia" w:ascii="Arial" w:hAnsi="Arial" w:eastAsia="宋体" w:cs="Times New Roman"/>
          <w:b/>
          <w:color w:val="FF0000"/>
          <w:sz w:val="24"/>
          <w:szCs w:val="24"/>
        </w:rPr>
        <w:t>本项目控制金额为人民币</w:t>
      </w:r>
      <w:r>
        <w:rPr>
          <w:rFonts w:hint="eastAsia" w:ascii="Arial" w:hAnsi="Arial" w:eastAsia="宋体" w:cs="Times New Roman"/>
          <w:b/>
          <w:color w:val="0000FF"/>
          <w:sz w:val="24"/>
          <w:szCs w:val="24"/>
          <w:lang w:eastAsia="zh-CN"/>
        </w:rPr>
        <w:t xml:space="preserve"> 327,776.00</w:t>
      </w:r>
      <w:r>
        <w:rPr>
          <w:rFonts w:hint="eastAsia" w:ascii="Arial" w:hAnsi="Arial" w:eastAsia="宋体" w:cs="Times New Roman"/>
          <w:b/>
          <w:color w:val="0000FF"/>
          <w:sz w:val="24"/>
          <w:szCs w:val="24"/>
        </w:rPr>
        <w:t>元</w:t>
      </w:r>
      <w:r>
        <w:rPr>
          <w:rFonts w:hint="eastAsia" w:ascii="Arial" w:hAnsi="Arial" w:eastAsia="宋体" w:cs="Times New Roman"/>
          <w:b/>
          <w:color w:val="FF0000"/>
          <w:sz w:val="24"/>
          <w:szCs w:val="24"/>
        </w:rPr>
        <w:t>，投标报价超出控制金额将作投标无效处理。</w:t>
      </w:r>
    </w:p>
    <w:p w14:paraId="2AB36BC4">
      <w:pPr>
        <w:keepNext/>
        <w:keepLines/>
        <w:tabs>
          <w:tab w:val="left" w:pos="1680"/>
        </w:tabs>
        <w:spacing w:before="260" w:after="78" w:afterLines="25"/>
        <w:jc w:val="center"/>
        <w:outlineLvl w:val="2"/>
        <w:rPr>
          <w:rFonts w:ascii="Arial" w:hAnsi="Arial" w:eastAsia="宋体" w:cs="Times New Roman"/>
          <w:b/>
          <w:sz w:val="32"/>
          <w:szCs w:val="32"/>
        </w:rPr>
      </w:pPr>
      <w:r>
        <w:rPr>
          <w:rFonts w:hint="eastAsia" w:ascii="Arial" w:hAnsi="Arial" w:eastAsia="宋体" w:cs="Times New Roman"/>
          <w:b/>
          <w:sz w:val="32"/>
          <w:szCs w:val="32"/>
        </w:rPr>
        <w:t>二、</w:t>
      </w:r>
      <w:r>
        <w:rPr>
          <w:rFonts w:hint="eastAsia" w:ascii="Arial" w:hAnsi="Arial" w:eastAsia="宋体" w:cs="Times New Roman"/>
          <w:b/>
          <w:color w:val="FF0000"/>
          <w:sz w:val="32"/>
          <w:szCs w:val="32"/>
        </w:rPr>
        <w:t>★</w:t>
      </w:r>
      <w:r>
        <w:rPr>
          <w:rFonts w:hint="eastAsia" w:ascii="Arial" w:hAnsi="Arial" w:eastAsia="宋体" w:cs="Times New Roman"/>
          <w:b/>
          <w:sz w:val="32"/>
          <w:szCs w:val="32"/>
        </w:rPr>
        <w:t>货物需求明细</w:t>
      </w:r>
    </w:p>
    <w:p w14:paraId="26F912E3">
      <w:r>
        <w:rPr>
          <w:rFonts w:hint="eastAsia" w:ascii="宋体" w:hAnsi="宋体"/>
          <w:b/>
          <w:color w:val="FF0000"/>
          <w:sz w:val="32"/>
          <w:szCs w:val="32"/>
        </w:rPr>
        <w:t>本项目核心产品为：</w:t>
      </w:r>
      <w:r>
        <w:rPr>
          <w:rFonts w:hint="eastAsia" w:ascii="宋体" w:hAnsi="宋体"/>
          <w:b/>
          <w:color w:val="FF0000"/>
          <w:sz w:val="32"/>
          <w:szCs w:val="32"/>
          <w:u w:val="single"/>
        </w:rPr>
        <w:t xml:space="preserve">   智能控制柜</w:t>
      </w:r>
      <w:r>
        <w:rPr>
          <w:rFonts w:hint="eastAsia" w:ascii="宋体" w:hAnsi="宋体"/>
          <w:b/>
          <w:color w:val="FF0000"/>
          <w:sz w:val="32"/>
          <w:szCs w:val="32"/>
          <w:u w:val="single"/>
          <w:lang w:eastAsia="zh-CN"/>
        </w:rPr>
        <w:t>（序号</w:t>
      </w:r>
      <w:r>
        <w:rPr>
          <w:rFonts w:hint="eastAsia" w:ascii="宋体" w:hAnsi="宋体"/>
          <w:b/>
          <w:color w:val="FF0000"/>
          <w:sz w:val="32"/>
          <w:szCs w:val="32"/>
          <w:u w:val="single"/>
          <w:lang w:val="en-US" w:eastAsia="zh-CN"/>
        </w:rPr>
        <w:t>19</w:t>
      </w:r>
      <w:r>
        <w:rPr>
          <w:rFonts w:hint="eastAsia" w:ascii="宋体" w:hAnsi="宋体"/>
          <w:b/>
          <w:color w:val="FF0000"/>
          <w:sz w:val="32"/>
          <w:szCs w:val="32"/>
          <w:u w:val="single"/>
          <w:lang w:eastAsia="zh-CN"/>
        </w:rPr>
        <w:t>）</w:t>
      </w:r>
      <w:r>
        <w:rPr>
          <w:rFonts w:hint="eastAsia" w:ascii="宋体" w:hAnsi="宋体"/>
          <w:b/>
          <w:color w:val="FF0000"/>
          <w:sz w:val="32"/>
          <w:szCs w:val="32"/>
          <w:u w:val="single"/>
        </w:rPr>
        <w:t xml:space="preserve">    </w:t>
      </w:r>
    </w:p>
    <w:tbl>
      <w:tblPr>
        <w:tblStyle w:val="16"/>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2"/>
        <w:gridCol w:w="3854"/>
        <w:gridCol w:w="988"/>
        <w:gridCol w:w="1764"/>
        <w:gridCol w:w="1584"/>
      </w:tblGrid>
      <w:tr w14:paraId="07488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88" w:type="pct"/>
            <w:vMerge w:val="restart"/>
            <w:vAlign w:val="center"/>
          </w:tcPr>
          <w:p w14:paraId="0F5C8368">
            <w:pPr>
              <w:jc w:val="center"/>
              <w:rPr>
                <w:rFonts w:ascii="宋体" w:hAnsi="宋体"/>
                <w:b/>
                <w:sz w:val="24"/>
                <w:szCs w:val="24"/>
              </w:rPr>
            </w:pPr>
            <w:r>
              <w:rPr>
                <w:rFonts w:hint="eastAsia" w:ascii="宋体" w:hAnsi="宋体"/>
                <w:b/>
                <w:sz w:val="24"/>
                <w:szCs w:val="24"/>
              </w:rPr>
              <w:t>序号</w:t>
            </w:r>
          </w:p>
        </w:tc>
        <w:tc>
          <w:tcPr>
            <w:tcW w:w="2075" w:type="pct"/>
            <w:vMerge w:val="restart"/>
            <w:vAlign w:val="center"/>
          </w:tcPr>
          <w:p w14:paraId="2C64FBA0">
            <w:pPr>
              <w:jc w:val="center"/>
              <w:rPr>
                <w:rFonts w:ascii="宋体" w:hAnsi="宋体" w:eastAsia="宋体"/>
                <w:b/>
                <w:sz w:val="24"/>
                <w:szCs w:val="24"/>
              </w:rPr>
            </w:pPr>
            <w:r>
              <w:rPr>
                <w:rFonts w:hint="eastAsia" w:ascii="宋体" w:hAnsi="宋体"/>
                <w:b/>
                <w:sz w:val="24"/>
                <w:szCs w:val="24"/>
              </w:rPr>
              <w:t>货物名称（标的名称）</w:t>
            </w:r>
          </w:p>
        </w:tc>
        <w:tc>
          <w:tcPr>
            <w:tcW w:w="532" w:type="pct"/>
            <w:vMerge w:val="restart"/>
            <w:vAlign w:val="center"/>
          </w:tcPr>
          <w:p w14:paraId="3BFFAB7D">
            <w:pPr>
              <w:jc w:val="center"/>
              <w:rPr>
                <w:rFonts w:ascii="宋体" w:hAnsi="宋体"/>
                <w:b/>
                <w:sz w:val="24"/>
                <w:szCs w:val="24"/>
              </w:rPr>
            </w:pPr>
            <w:r>
              <w:rPr>
                <w:rFonts w:hint="eastAsia" w:ascii="宋体" w:hAnsi="宋体"/>
                <w:b/>
                <w:sz w:val="24"/>
                <w:szCs w:val="24"/>
              </w:rPr>
              <w:t>数量</w:t>
            </w:r>
          </w:p>
        </w:tc>
        <w:tc>
          <w:tcPr>
            <w:tcW w:w="950" w:type="pct"/>
            <w:vMerge w:val="restart"/>
            <w:vAlign w:val="center"/>
          </w:tcPr>
          <w:p w14:paraId="6100B1B3">
            <w:pPr>
              <w:jc w:val="center"/>
              <w:rPr>
                <w:rFonts w:ascii="宋体" w:hAnsi="宋体"/>
                <w:b/>
                <w:sz w:val="24"/>
                <w:szCs w:val="24"/>
              </w:rPr>
            </w:pPr>
            <w:r>
              <w:rPr>
                <w:rFonts w:hint="eastAsia" w:ascii="宋体" w:hAnsi="宋体"/>
                <w:b/>
                <w:sz w:val="24"/>
                <w:szCs w:val="24"/>
              </w:rPr>
              <w:t>单位</w:t>
            </w:r>
          </w:p>
        </w:tc>
        <w:tc>
          <w:tcPr>
            <w:tcW w:w="853" w:type="pct"/>
            <w:vMerge w:val="restart"/>
            <w:vAlign w:val="center"/>
          </w:tcPr>
          <w:p w14:paraId="1A50CA13">
            <w:pPr>
              <w:jc w:val="center"/>
              <w:rPr>
                <w:rFonts w:ascii="宋体" w:hAnsi="宋体"/>
                <w:b/>
                <w:color w:val="FF0000"/>
                <w:sz w:val="24"/>
                <w:szCs w:val="24"/>
              </w:rPr>
            </w:pPr>
            <w:r>
              <w:rPr>
                <w:rFonts w:hint="eastAsia" w:ascii="宋体" w:hAnsi="宋体"/>
                <w:b/>
                <w:sz w:val="24"/>
                <w:szCs w:val="24"/>
              </w:rPr>
              <w:t>备注</w:t>
            </w:r>
          </w:p>
        </w:tc>
      </w:tr>
      <w:tr w14:paraId="7404D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88" w:type="pct"/>
            <w:vMerge w:val="continue"/>
            <w:vAlign w:val="center"/>
          </w:tcPr>
          <w:p w14:paraId="68025BFF">
            <w:pPr>
              <w:jc w:val="center"/>
              <w:rPr>
                <w:rFonts w:ascii="宋体" w:hAnsi="宋体"/>
                <w:sz w:val="24"/>
                <w:szCs w:val="24"/>
              </w:rPr>
            </w:pPr>
          </w:p>
        </w:tc>
        <w:tc>
          <w:tcPr>
            <w:tcW w:w="2075" w:type="pct"/>
            <w:vMerge w:val="continue"/>
            <w:vAlign w:val="center"/>
          </w:tcPr>
          <w:p w14:paraId="580C9728">
            <w:pPr>
              <w:jc w:val="center"/>
              <w:rPr>
                <w:rFonts w:ascii="宋体" w:hAnsi="宋体"/>
                <w:sz w:val="24"/>
                <w:szCs w:val="24"/>
              </w:rPr>
            </w:pPr>
          </w:p>
        </w:tc>
        <w:tc>
          <w:tcPr>
            <w:tcW w:w="532" w:type="pct"/>
            <w:vMerge w:val="continue"/>
            <w:vAlign w:val="center"/>
          </w:tcPr>
          <w:p w14:paraId="446ABF9D">
            <w:pPr>
              <w:jc w:val="center"/>
              <w:rPr>
                <w:rFonts w:ascii="宋体" w:hAnsi="宋体"/>
                <w:sz w:val="24"/>
                <w:szCs w:val="24"/>
              </w:rPr>
            </w:pPr>
          </w:p>
        </w:tc>
        <w:tc>
          <w:tcPr>
            <w:tcW w:w="950" w:type="pct"/>
            <w:vMerge w:val="continue"/>
            <w:vAlign w:val="center"/>
          </w:tcPr>
          <w:p w14:paraId="41C00D0D">
            <w:pPr>
              <w:jc w:val="center"/>
              <w:rPr>
                <w:rFonts w:ascii="宋体" w:hAnsi="宋体"/>
                <w:sz w:val="24"/>
                <w:szCs w:val="24"/>
              </w:rPr>
            </w:pPr>
          </w:p>
        </w:tc>
        <w:tc>
          <w:tcPr>
            <w:tcW w:w="853" w:type="pct"/>
            <w:vMerge w:val="continue"/>
            <w:vAlign w:val="center"/>
          </w:tcPr>
          <w:p w14:paraId="45018484">
            <w:pPr>
              <w:jc w:val="center"/>
              <w:rPr>
                <w:rFonts w:ascii="宋体" w:hAnsi="宋体"/>
                <w:sz w:val="24"/>
                <w:szCs w:val="24"/>
              </w:rPr>
            </w:pPr>
          </w:p>
        </w:tc>
      </w:tr>
      <w:tr w14:paraId="74219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8" w:type="pct"/>
            <w:vAlign w:val="top"/>
          </w:tcPr>
          <w:p w14:paraId="0CF1D1B2">
            <w:pPr>
              <w:numPr>
                <w:ilvl w:val="0"/>
                <w:numId w:val="2"/>
              </w:numPr>
              <w:ind w:left="425" w:leftChars="0" w:hanging="425" w:firstLineChars="0"/>
              <w:jc w:val="center"/>
              <w:rPr>
                <w:rFonts w:hint="eastAsia" w:asciiTheme="minorEastAsia" w:hAnsiTheme="minorEastAsia" w:eastAsiaTheme="minorEastAsia" w:cstheme="minorEastAsia"/>
                <w:bCs/>
                <w:color w:val="000000"/>
                <w:sz w:val="24"/>
                <w:szCs w:val="24"/>
                <w:lang w:val="en-US" w:eastAsia="zh-CN"/>
              </w:rPr>
            </w:pPr>
          </w:p>
        </w:tc>
        <w:tc>
          <w:tcPr>
            <w:tcW w:w="2075" w:type="pct"/>
            <w:shd w:val="clear" w:color="auto" w:fill="auto"/>
            <w:vAlign w:val="center"/>
          </w:tcPr>
          <w:p w14:paraId="028EF8A0">
            <w:pPr>
              <w:jc w:val="center"/>
              <w:rPr>
                <w:rFonts w:hint="eastAsia" w:asciiTheme="minorEastAsia" w:hAnsiTheme="minorEastAsia" w:eastAsiaTheme="minorEastAsia" w:cstheme="minorEastAsia"/>
                <w:bCs/>
                <w:color w:val="000000"/>
                <w:sz w:val="24"/>
                <w:szCs w:val="24"/>
                <w:lang w:val="en-US" w:eastAsia="zh-CN"/>
              </w:rPr>
            </w:pPr>
            <w:r>
              <w:rPr>
                <w:rFonts w:hint="eastAsia" w:asciiTheme="minorEastAsia" w:hAnsiTheme="minorEastAsia" w:eastAsiaTheme="minorEastAsia" w:cstheme="minorEastAsia"/>
                <w:bCs/>
                <w:color w:val="000000"/>
                <w:sz w:val="24"/>
                <w:szCs w:val="24"/>
                <w:lang w:val="en-US" w:eastAsia="zh-CN"/>
              </w:rPr>
              <w:t>定制款单人沙发座</w:t>
            </w:r>
          </w:p>
        </w:tc>
        <w:tc>
          <w:tcPr>
            <w:tcW w:w="532" w:type="pct"/>
            <w:shd w:val="clear" w:color="auto" w:fill="auto"/>
            <w:vAlign w:val="center"/>
          </w:tcPr>
          <w:p w14:paraId="537235FA">
            <w:pPr>
              <w:jc w:val="center"/>
              <w:rPr>
                <w:rFonts w:hint="eastAsia" w:asciiTheme="minorEastAsia" w:hAnsiTheme="minorEastAsia" w:eastAsiaTheme="minorEastAsia" w:cstheme="minorEastAsia"/>
                <w:bCs/>
                <w:color w:val="000000"/>
                <w:sz w:val="24"/>
                <w:szCs w:val="24"/>
                <w:lang w:val="en-US" w:eastAsia="zh-CN"/>
              </w:rPr>
            </w:pPr>
            <w:r>
              <w:rPr>
                <w:rFonts w:hint="eastAsia" w:asciiTheme="minorEastAsia" w:hAnsiTheme="minorEastAsia" w:eastAsiaTheme="minorEastAsia" w:cstheme="minorEastAsia"/>
                <w:bCs/>
                <w:color w:val="000000"/>
                <w:sz w:val="24"/>
                <w:szCs w:val="24"/>
                <w:lang w:val="en-US" w:eastAsia="zh-CN"/>
              </w:rPr>
              <w:t>10</w:t>
            </w:r>
          </w:p>
        </w:tc>
        <w:tc>
          <w:tcPr>
            <w:tcW w:w="950" w:type="pct"/>
            <w:shd w:val="clear" w:color="auto" w:fill="auto"/>
            <w:vAlign w:val="center"/>
          </w:tcPr>
          <w:p w14:paraId="3AF7A64B">
            <w:pPr>
              <w:jc w:val="center"/>
              <w:rPr>
                <w:rFonts w:hint="eastAsia" w:asciiTheme="minorEastAsia" w:hAnsiTheme="minorEastAsia" w:eastAsiaTheme="minorEastAsia" w:cstheme="minorEastAsia"/>
                <w:bCs/>
                <w:color w:val="000000"/>
                <w:sz w:val="24"/>
                <w:szCs w:val="24"/>
                <w:lang w:val="en-US" w:eastAsia="zh-CN"/>
              </w:rPr>
            </w:pPr>
            <w:r>
              <w:rPr>
                <w:rFonts w:hint="eastAsia" w:asciiTheme="minorEastAsia" w:hAnsiTheme="minorEastAsia" w:eastAsiaTheme="minorEastAsia" w:cstheme="minorEastAsia"/>
                <w:bCs/>
                <w:color w:val="000000"/>
                <w:sz w:val="24"/>
                <w:szCs w:val="24"/>
                <w:lang w:val="en-US" w:eastAsia="zh-CN"/>
              </w:rPr>
              <w:t>张</w:t>
            </w:r>
          </w:p>
        </w:tc>
        <w:tc>
          <w:tcPr>
            <w:tcW w:w="853" w:type="pct"/>
            <w:vAlign w:val="center"/>
          </w:tcPr>
          <w:p w14:paraId="5E630FC6">
            <w:pPr>
              <w:jc w:val="center"/>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拒绝进口</w:t>
            </w:r>
          </w:p>
        </w:tc>
      </w:tr>
      <w:tr w14:paraId="3B901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8" w:type="pct"/>
            <w:vAlign w:val="top"/>
          </w:tcPr>
          <w:p w14:paraId="6709D76B">
            <w:pPr>
              <w:numPr>
                <w:ilvl w:val="0"/>
                <w:numId w:val="2"/>
              </w:numPr>
              <w:ind w:left="425" w:leftChars="0" w:hanging="425" w:firstLineChars="0"/>
              <w:jc w:val="center"/>
              <w:rPr>
                <w:rFonts w:hint="eastAsia" w:asciiTheme="minorEastAsia" w:hAnsiTheme="minorEastAsia" w:eastAsiaTheme="minorEastAsia" w:cstheme="minorEastAsia"/>
                <w:bCs/>
                <w:color w:val="000000"/>
                <w:sz w:val="24"/>
                <w:szCs w:val="24"/>
                <w:lang w:val="en-US" w:eastAsia="zh-CN"/>
              </w:rPr>
            </w:pPr>
          </w:p>
        </w:tc>
        <w:tc>
          <w:tcPr>
            <w:tcW w:w="2075" w:type="pct"/>
            <w:shd w:val="clear" w:color="auto" w:fill="auto"/>
            <w:vAlign w:val="center"/>
          </w:tcPr>
          <w:p w14:paraId="4AB69708">
            <w:pPr>
              <w:jc w:val="center"/>
              <w:rPr>
                <w:rFonts w:hint="eastAsia" w:asciiTheme="minorEastAsia" w:hAnsiTheme="minorEastAsia" w:eastAsiaTheme="minorEastAsia" w:cstheme="minorEastAsia"/>
                <w:bCs/>
                <w:color w:val="000000"/>
                <w:sz w:val="24"/>
                <w:szCs w:val="24"/>
                <w:lang w:val="en-US" w:eastAsia="zh-CN"/>
              </w:rPr>
            </w:pPr>
            <w:r>
              <w:rPr>
                <w:rFonts w:hint="eastAsia" w:asciiTheme="minorEastAsia" w:hAnsiTheme="minorEastAsia" w:eastAsiaTheme="minorEastAsia" w:cstheme="minorEastAsia"/>
                <w:bCs/>
                <w:color w:val="000000"/>
                <w:sz w:val="24"/>
                <w:szCs w:val="24"/>
                <w:lang w:val="en-US" w:eastAsia="zh-CN"/>
              </w:rPr>
              <w:t>定制款双人沙发座</w:t>
            </w:r>
          </w:p>
        </w:tc>
        <w:tc>
          <w:tcPr>
            <w:tcW w:w="532" w:type="pct"/>
            <w:shd w:val="clear" w:color="auto" w:fill="auto"/>
            <w:vAlign w:val="center"/>
          </w:tcPr>
          <w:p w14:paraId="69DD94AD">
            <w:pPr>
              <w:jc w:val="center"/>
              <w:rPr>
                <w:rFonts w:hint="eastAsia" w:asciiTheme="minorEastAsia" w:hAnsiTheme="minorEastAsia" w:eastAsiaTheme="minorEastAsia" w:cstheme="minorEastAsia"/>
                <w:bCs/>
                <w:color w:val="000000"/>
                <w:sz w:val="24"/>
                <w:szCs w:val="24"/>
                <w:lang w:val="en-US" w:eastAsia="zh-CN"/>
              </w:rPr>
            </w:pPr>
            <w:r>
              <w:rPr>
                <w:rFonts w:hint="eastAsia" w:asciiTheme="minorEastAsia" w:hAnsiTheme="minorEastAsia" w:eastAsiaTheme="minorEastAsia" w:cstheme="minorEastAsia"/>
                <w:bCs/>
                <w:color w:val="000000"/>
                <w:sz w:val="24"/>
                <w:szCs w:val="24"/>
                <w:lang w:val="en-US" w:eastAsia="zh-CN"/>
              </w:rPr>
              <w:t>7</w:t>
            </w:r>
          </w:p>
        </w:tc>
        <w:tc>
          <w:tcPr>
            <w:tcW w:w="950" w:type="pct"/>
            <w:shd w:val="clear" w:color="auto" w:fill="auto"/>
            <w:vAlign w:val="center"/>
          </w:tcPr>
          <w:p w14:paraId="2E46E791">
            <w:pPr>
              <w:jc w:val="center"/>
              <w:rPr>
                <w:rFonts w:hint="eastAsia" w:asciiTheme="minorEastAsia" w:hAnsiTheme="minorEastAsia" w:eastAsiaTheme="minorEastAsia" w:cstheme="minorEastAsia"/>
                <w:bCs/>
                <w:color w:val="000000"/>
                <w:sz w:val="24"/>
                <w:szCs w:val="24"/>
                <w:lang w:val="en-US" w:eastAsia="zh-CN"/>
              </w:rPr>
            </w:pPr>
            <w:r>
              <w:rPr>
                <w:rFonts w:hint="eastAsia" w:asciiTheme="minorEastAsia" w:hAnsiTheme="minorEastAsia" w:eastAsiaTheme="minorEastAsia" w:cstheme="minorEastAsia"/>
                <w:bCs/>
                <w:color w:val="000000"/>
                <w:sz w:val="24"/>
                <w:szCs w:val="24"/>
                <w:lang w:val="en-US" w:eastAsia="zh-CN"/>
              </w:rPr>
              <w:t>张</w:t>
            </w:r>
          </w:p>
        </w:tc>
        <w:tc>
          <w:tcPr>
            <w:tcW w:w="853" w:type="pct"/>
            <w:vAlign w:val="center"/>
          </w:tcPr>
          <w:p w14:paraId="01657A41">
            <w:pPr>
              <w:jc w:val="center"/>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拒绝进口</w:t>
            </w:r>
          </w:p>
        </w:tc>
      </w:tr>
      <w:tr w14:paraId="5B85E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8" w:type="pct"/>
            <w:vAlign w:val="top"/>
          </w:tcPr>
          <w:p w14:paraId="4CF41A6A">
            <w:pPr>
              <w:numPr>
                <w:ilvl w:val="0"/>
                <w:numId w:val="2"/>
              </w:numPr>
              <w:ind w:left="425" w:leftChars="0" w:hanging="425" w:firstLineChars="0"/>
              <w:jc w:val="center"/>
              <w:rPr>
                <w:rFonts w:hint="eastAsia" w:asciiTheme="minorEastAsia" w:hAnsiTheme="minorEastAsia" w:eastAsiaTheme="minorEastAsia" w:cstheme="minorEastAsia"/>
                <w:bCs/>
                <w:color w:val="000000"/>
                <w:sz w:val="24"/>
                <w:szCs w:val="24"/>
                <w:lang w:val="en-US" w:eastAsia="zh-CN"/>
              </w:rPr>
            </w:pPr>
          </w:p>
        </w:tc>
        <w:tc>
          <w:tcPr>
            <w:tcW w:w="2075" w:type="pct"/>
            <w:shd w:val="clear" w:color="auto" w:fill="auto"/>
            <w:vAlign w:val="center"/>
          </w:tcPr>
          <w:p w14:paraId="27FF7A71">
            <w:pPr>
              <w:jc w:val="center"/>
              <w:rPr>
                <w:rFonts w:hint="eastAsia" w:asciiTheme="minorEastAsia" w:hAnsiTheme="minorEastAsia" w:eastAsiaTheme="minorEastAsia" w:cstheme="minorEastAsia"/>
                <w:bCs/>
                <w:color w:val="000000"/>
                <w:sz w:val="24"/>
                <w:szCs w:val="24"/>
                <w:lang w:val="en-US" w:eastAsia="zh-CN"/>
              </w:rPr>
            </w:pPr>
            <w:r>
              <w:rPr>
                <w:rFonts w:hint="eastAsia" w:asciiTheme="minorEastAsia" w:hAnsiTheme="minorEastAsia" w:eastAsiaTheme="minorEastAsia" w:cstheme="minorEastAsia"/>
                <w:bCs/>
                <w:color w:val="000000"/>
                <w:sz w:val="24"/>
                <w:szCs w:val="24"/>
                <w:lang w:val="en-US" w:eastAsia="zh-CN"/>
              </w:rPr>
              <w:t>定制款弧形沙发</w:t>
            </w:r>
          </w:p>
        </w:tc>
        <w:tc>
          <w:tcPr>
            <w:tcW w:w="532" w:type="pct"/>
            <w:shd w:val="clear" w:color="auto" w:fill="auto"/>
            <w:vAlign w:val="center"/>
          </w:tcPr>
          <w:p w14:paraId="0FE28056">
            <w:pPr>
              <w:jc w:val="center"/>
              <w:rPr>
                <w:rFonts w:hint="eastAsia" w:asciiTheme="minorEastAsia" w:hAnsiTheme="minorEastAsia" w:eastAsiaTheme="minorEastAsia" w:cstheme="minorEastAsia"/>
                <w:bCs/>
                <w:color w:val="000000"/>
                <w:sz w:val="24"/>
                <w:szCs w:val="24"/>
                <w:lang w:val="en-US" w:eastAsia="zh-CN"/>
              </w:rPr>
            </w:pPr>
            <w:r>
              <w:rPr>
                <w:rFonts w:hint="eastAsia" w:asciiTheme="minorEastAsia" w:hAnsiTheme="minorEastAsia" w:eastAsiaTheme="minorEastAsia" w:cstheme="minorEastAsia"/>
                <w:bCs/>
                <w:color w:val="000000"/>
                <w:sz w:val="24"/>
                <w:szCs w:val="24"/>
                <w:lang w:val="en-US" w:eastAsia="zh-CN"/>
              </w:rPr>
              <w:t>2</w:t>
            </w:r>
          </w:p>
        </w:tc>
        <w:tc>
          <w:tcPr>
            <w:tcW w:w="950" w:type="pct"/>
            <w:shd w:val="clear" w:color="auto" w:fill="auto"/>
            <w:vAlign w:val="center"/>
          </w:tcPr>
          <w:p w14:paraId="014E004A">
            <w:pPr>
              <w:jc w:val="center"/>
              <w:rPr>
                <w:rFonts w:hint="eastAsia" w:asciiTheme="minorEastAsia" w:hAnsiTheme="minorEastAsia" w:eastAsiaTheme="minorEastAsia" w:cstheme="minorEastAsia"/>
                <w:bCs/>
                <w:color w:val="000000"/>
                <w:sz w:val="24"/>
                <w:szCs w:val="24"/>
                <w:lang w:val="en-US" w:eastAsia="zh-CN"/>
              </w:rPr>
            </w:pPr>
            <w:r>
              <w:rPr>
                <w:rFonts w:hint="eastAsia" w:asciiTheme="minorEastAsia" w:hAnsiTheme="minorEastAsia" w:eastAsiaTheme="minorEastAsia" w:cstheme="minorEastAsia"/>
                <w:bCs/>
                <w:color w:val="000000"/>
                <w:sz w:val="24"/>
                <w:szCs w:val="24"/>
                <w:lang w:val="en-US" w:eastAsia="zh-CN"/>
              </w:rPr>
              <w:t>张</w:t>
            </w:r>
          </w:p>
        </w:tc>
        <w:tc>
          <w:tcPr>
            <w:tcW w:w="853" w:type="pct"/>
            <w:vAlign w:val="center"/>
          </w:tcPr>
          <w:p w14:paraId="00A72F69">
            <w:pPr>
              <w:jc w:val="center"/>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拒绝进口</w:t>
            </w:r>
          </w:p>
        </w:tc>
      </w:tr>
      <w:tr w14:paraId="7D627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8" w:type="pct"/>
            <w:vAlign w:val="top"/>
          </w:tcPr>
          <w:p w14:paraId="4B6F3711">
            <w:pPr>
              <w:numPr>
                <w:ilvl w:val="0"/>
                <w:numId w:val="2"/>
              </w:numPr>
              <w:ind w:left="425" w:leftChars="0" w:hanging="425" w:firstLineChars="0"/>
              <w:jc w:val="center"/>
              <w:rPr>
                <w:rFonts w:hint="eastAsia" w:asciiTheme="minorEastAsia" w:hAnsiTheme="minorEastAsia" w:eastAsiaTheme="minorEastAsia" w:cstheme="minorEastAsia"/>
                <w:bCs/>
                <w:color w:val="000000"/>
                <w:sz w:val="24"/>
                <w:szCs w:val="24"/>
                <w:lang w:val="en-US" w:eastAsia="zh-CN"/>
              </w:rPr>
            </w:pPr>
          </w:p>
        </w:tc>
        <w:tc>
          <w:tcPr>
            <w:tcW w:w="2075" w:type="pct"/>
            <w:shd w:val="clear" w:color="auto" w:fill="auto"/>
            <w:vAlign w:val="center"/>
          </w:tcPr>
          <w:p w14:paraId="58A0384E">
            <w:pPr>
              <w:jc w:val="center"/>
              <w:rPr>
                <w:rFonts w:hint="eastAsia" w:asciiTheme="minorEastAsia" w:hAnsiTheme="minorEastAsia" w:eastAsiaTheme="minorEastAsia" w:cstheme="minorEastAsia"/>
                <w:bCs/>
                <w:color w:val="000000"/>
                <w:sz w:val="24"/>
                <w:szCs w:val="24"/>
                <w:lang w:val="en-US" w:eastAsia="zh-CN"/>
              </w:rPr>
            </w:pPr>
            <w:r>
              <w:rPr>
                <w:rFonts w:hint="eastAsia" w:asciiTheme="minorEastAsia" w:hAnsiTheme="minorEastAsia" w:eastAsiaTheme="minorEastAsia" w:cstheme="minorEastAsia"/>
                <w:bCs/>
                <w:color w:val="000000"/>
                <w:sz w:val="24"/>
                <w:szCs w:val="24"/>
                <w:lang w:val="en-US" w:eastAsia="zh-CN"/>
              </w:rPr>
              <w:t>四角高凳</w:t>
            </w:r>
          </w:p>
        </w:tc>
        <w:tc>
          <w:tcPr>
            <w:tcW w:w="532" w:type="pct"/>
            <w:shd w:val="clear" w:color="auto" w:fill="auto"/>
            <w:vAlign w:val="center"/>
          </w:tcPr>
          <w:p w14:paraId="4E611AA8">
            <w:pPr>
              <w:jc w:val="center"/>
              <w:rPr>
                <w:rFonts w:hint="eastAsia" w:asciiTheme="minorEastAsia" w:hAnsiTheme="minorEastAsia" w:eastAsiaTheme="minorEastAsia" w:cstheme="minorEastAsia"/>
                <w:bCs/>
                <w:color w:val="000000"/>
                <w:sz w:val="24"/>
                <w:szCs w:val="24"/>
                <w:lang w:val="en-US" w:eastAsia="zh-CN"/>
              </w:rPr>
            </w:pPr>
            <w:r>
              <w:rPr>
                <w:rFonts w:hint="eastAsia" w:asciiTheme="minorEastAsia" w:hAnsiTheme="minorEastAsia" w:eastAsiaTheme="minorEastAsia" w:cstheme="minorEastAsia"/>
                <w:bCs/>
                <w:color w:val="000000"/>
                <w:sz w:val="24"/>
                <w:szCs w:val="24"/>
                <w:lang w:val="en-US" w:eastAsia="zh-CN"/>
              </w:rPr>
              <w:t>18</w:t>
            </w:r>
          </w:p>
        </w:tc>
        <w:tc>
          <w:tcPr>
            <w:tcW w:w="950" w:type="pct"/>
            <w:shd w:val="clear" w:color="auto" w:fill="auto"/>
            <w:vAlign w:val="center"/>
          </w:tcPr>
          <w:p w14:paraId="238E824F">
            <w:pPr>
              <w:jc w:val="center"/>
              <w:rPr>
                <w:rFonts w:hint="eastAsia" w:asciiTheme="minorEastAsia" w:hAnsiTheme="minorEastAsia" w:eastAsiaTheme="minorEastAsia" w:cstheme="minorEastAsia"/>
                <w:bCs/>
                <w:color w:val="000000"/>
                <w:sz w:val="24"/>
                <w:szCs w:val="24"/>
                <w:lang w:val="en-US" w:eastAsia="zh-CN"/>
              </w:rPr>
            </w:pPr>
            <w:r>
              <w:rPr>
                <w:rFonts w:hint="eastAsia" w:asciiTheme="minorEastAsia" w:hAnsiTheme="minorEastAsia" w:eastAsiaTheme="minorEastAsia" w:cstheme="minorEastAsia"/>
                <w:bCs/>
                <w:color w:val="000000"/>
                <w:sz w:val="24"/>
                <w:szCs w:val="24"/>
                <w:lang w:val="en-US" w:eastAsia="zh-CN"/>
              </w:rPr>
              <w:t>张</w:t>
            </w:r>
          </w:p>
        </w:tc>
        <w:tc>
          <w:tcPr>
            <w:tcW w:w="853" w:type="pct"/>
            <w:vAlign w:val="center"/>
          </w:tcPr>
          <w:p w14:paraId="1530C4DD">
            <w:pPr>
              <w:jc w:val="center"/>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拒绝进口</w:t>
            </w:r>
          </w:p>
        </w:tc>
      </w:tr>
      <w:tr w14:paraId="5FCB7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8" w:type="pct"/>
            <w:vAlign w:val="top"/>
          </w:tcPr>
          <w:p w14:paraId="606741B3">
            <w:pPr>
              <w:numPr>
                <w:ilvl w:val="0"/>
                <w:numId w:val="2"/>
              </w:numPr>
              <w:ind w:left="425" w:leftChars="0" w:hanging="425" w:firstLineChars="0"/>
              <w:jc w:val="center"/>
              <w:rPr>
                <w:rFonts w:hint="eastAsia" w:asciiTheme="minorEastAsia" w:hAnsiTheme="minorEastAsia" w:eastAsiaTheme="minorEastAsia" w:cstheme="minorEastAsia"/>
                <w:bCs/>
                <w:color w:val="000000"/>
                <w:sz w:val="24"/>
                <w:szCs w:val="24"/>
                <w:lang w:val="en-US" w:eastAsia="zh-CN"/>
              </w:rPr>
            </w:pPr>
          </w:p>
        </w:tc>
        <w:tc>
          <w:tcPr>
            <w:tcW w:w="2075" w:type="pct"/>
            <w:shd w:val="clear" w:color="auto" w:fill="auto"/>
            <w:vAlign w:val="center"/>
          </w:tcPr>
          <w:p w14:paraId="177ABACF">
            <w:pPr>
              <w:jc w:val="center"/>
              <w:rPr>
                <w:rFonts w:hint="eastAsia" w:asciiTheme="minorEastAsia" w:hAnsiTheme="minorEastAsia" w:eastAsiaTheme="minorEastAsia" w:cstheme="minorEastAsia"/>
                <w:bCs/>
                <w:color w:val="000000"/>
                <w:sz w:val="24"/>
                <w:szCs w:val="24"/>
                <w:lang w:val="en-US" w:eastAsia="zh-CN"/>
              </w:rPr>
            </w:pPr>
            <w:r>
              <w:rPr>
                <w:rFonts w:hint="eastAsia" w:asciiTheme="minorEastAsia" w:hAnsiTheme="minorEastAsia" w:eastAsiaTheme="minorEastAsia" w:cstheme="minorEastAsia"/>
                <w:bCs/>
                <w:color w:val="000000"/>
                <w:sz w:val="24"/>
                <w:szCs w:val="24"/>
                <w:lang w:val="en-US" w:eastAsia="zh-CN"/>
              </w:rPr>
              <w:t>靠背椅</w:t>
            </w:r>
          </w:p>
        </w:tc>
        <w:tc>
          <w:tcPr>
            <w:tcW w:w="532" w:type="pct"/>
            <w:shd w:val="clear" w:color="auto" w:fill="auto"/>
            <w:vAlign w:val="center"/>
          </w:tcPr>
          <w:p w14:paraId="73F22896">
            <w:pPr>
              <w:jc w:val="center"/>
              <w:rPr>
                <w:rFonts w:hint="eastAsia" w:asciiTheme="minorEastAsia" w:hAnsiTheme="minorEastAsia" w:eastAsiaTheme="minorEastAsia" w:cstheme="minorEastAsia"/>
                <w:bCs/>
                <w:color w:val="000000"/>
                <w:sz w:val="24"/>
                <w:szCs w:val="24"/>
                <w:lang w:val="en-US" w:eastAsia="zh-CN"/>
              </w:rPr>
            </w:pPr>
            <w:r>
              <w:rPr>
                <w:rFonts w:hint="eastAsia" w:asciiTheme="minorEastAsia" w:hAnsiTheme="minorEastAsia" w:eastAsiaTheme="minorEastAsia" w:cstheme="minorEastAsia"/>
                <w:bCs/>
                <w:color w:val="000000"/>
                <w:sz w:val="24"/>
                <w:szCs w:val="24"/>
                <w:lang w:val="en-US" w:eastAsia="zh-CN"/>
              </w:rPr>
              <w:t>5</w:t>
            </w:r>
          </w:p>
        </w:tc>
        <w:tc>
          <w:tcPr>
            <w:tcW w:w="950" w:type="pct"/>
            <w:shd w:val="clear" w:color="auto" w:fill="auto"/>
            <w:vAlign w:val="center"/>
          </w:tcPr>
          <w:p w14:paraId="50A52F68">
            <w:pPr>
              <w:jc w:val="center"/>
              <w:rPr>
                <w:rFonts w:hint="eastAsia" w:asciiTheme="minorEastAsia" w:hAnsiTheme="minorEastAsia" w:eastAsiaTheme="minorEastAsia" w:cstheme="minorEastAsia"/>
                <w:bCs/>
                <w:color w:val="000000"/>
                <w:sz w:val="24"/>
                <w:szCs w:val="24"/>
                <w:lang w:val="en-US" w:eastAsia="zh-CN"/>
              </w:rPr>
            </w:pPr>
            <w:r>
              <w:rPr>
                <w:rFonts w:hint="eastAsia" w:asciiTheme="minorEastAsia" w:hAnsiTheme="minorEastAsia" w:eastAsiaTheme="minorEastAsia" w:cstheme="minorEastAsia"/>
                <w:bCs/>
                <w:color w:val="000000"/>
                <w:sz w:val="24"/>
                <w:szCs w:val="24"/>
                <w:lang w:val="en-US" w:eastAsia="zh-CN"/>
              </w:rPr>
              <w:t>张</w:t>
            </w:r>
          </w:p>
        </w:tc>
        <w:tc>
          <w:tcPr>
            <w:tcW w:w="853" w:type="pct"/>
            <w:vAlign w:val="center"/>
          </w:tcPr>
          <w:p w14:paraId="25AD0B6B">
            <w:pPr>
              <w:jc w:val="center"/>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拒绝进口</w:t>
            </w:r>
          </w:p>
        </w:tc>
      </w:tr>
      <w:tr w14:paraId="4E046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8" w:type="pct"/>
            <w:vAlign w:val="top"/>
          </w:tcPr>
          <w:p w14:paraId="6ED72448">
            <w:pPr>
              <w:numPr>
                <w:ilvl w:val="0"/>
                <w:numId w:val="2"/>
              </w:numPr>
              <w:ind w:left="425" w:leftChars="0" w:hanging="425" w:firstLineChars="0"/>
              <w:jc w:val="center"/>
              <w:rPr>
                <w:rFonts w:hint="eastAsia" w:asciiTheme="minorEastAsia" w:hAnsiTheme="minorEastAsia" w:eastAsiaTheme="minorEastAsia" w:cstheme="minorEastAsia"/>
                <w:bCs/>
                <w:color w:val="000000"/>
                <w:sz w:val="24"/>
                <w:szCs w:val="24"/>
                <w:lang w:val="en-US" w:eastAsia="zh-CN"/>
              </w:rPr>
            </w:pPr>
          </w:p>
        </w:tc>
        <w:tc>
          <w:tcPr>
            <w:tcW w:w="2075" w:type="pct"/>
            <w:shd w:val="clear" w:color="auto" w:fill="auto"/>
            <w:vAlign w:val="center"/>
          </w:tcPr>
          <w:p w14:paraId="3D6DCCA6">
            <w:pPr>
              <w:jc w:val="center"/>
              <w:rPr>
                <w:rFonts w:hint="eastAsia" w:asciiTheme="minorEastAsia" w:hAnsiTheme="minorEastAsia" w:eastAsiaTheme="minorEastAsia" w:cstheme="minorEastAsia"/>
                <w:bCs/>
                <w:color w:val="000000"/>
                <w:sz w:val="24"/>
                <w:szCs w:val="24"/>
                <w:lang w:val="en-US" w:eastAsia="zh-CN"/>
              </w:rPr>
            </w:pPr>
            <w:r>
              <w:rPr>
                <w:rFonts w:hint="eastAsia" w:asciiTheme="minorEastAsia" w:hAnsiTheme="minorEastAsia" w:eastAsiaTheme="minorEastAsia" w:cstheme="minorEastAsia"/>
                <w:bCs/>
                <w:color w:val="000000"/>
                <w:sz w:val="24"/>
                <w:szCs w:val="24"/>
                <w:lang w:val="en-US" w:eastAsia="zh-CN"/>
              </w:rPr>
              <w:t>讲台</w:t>
            </w:r>
          </w:p>
        </w:tc>
        <w:tc>
          <w:tcPr>
            <w:tcW w:w="532" w:type="pct"/>
            <w:shd w:val="clear" w:color="auto" w:fill="auto"/>
            <w:vAlign w:val="center"/>
          </w:tcPr>
          <w:p w14:paraId="65FB76EC">
            <w:pPr>
              <w:jc w:val="center"/>
              <w:rPr>
                <w:rFonts w:hint="eastAsia" w:asciiTheme="minorEastAsia" w:hAnsiTheme="minorEastAsia" w:eastAsiaTheme="minorEastAsia" w:cstheme="minorEastAsia"/>
                <w:bCs/>
                <w:color w:val="000000"/>
                <w:sz w:val="24"/>
                <w:szCs w:val="24"/>
                <w:lang w:val="en-US" w:eastAsia="zh-CN"/>
              </w:rPr>
            </w:pPr>
            <w:r>
              <w:rPr>
                <w:rFonts w:hint="eastAsia" w:asciiTheme="minorEastAsia" w:hAnsiTheme="minorEastAsia" w:eastAsiaTheme="minorEastAsia" w:cstheme="minorEastAsia"/>
                <w:bCs/>
                <w:color w:val="000000"/>
                <w:sz w:val="24"/>
                <w:szCs w:val="24"/>
                <w:lang w:val="en-US" w:eastAsia="zh-CN"/>
              </w:rPr>
              <w:t>1</w:t>
            </w:r>
          </w:p>
        </w:tc>
        <w:tc>
          <w:tcPr>
            <w:tcW w:w="950" w:type="pct"/>
            <w:shd w:val="clear" w:color="auto" w:fill="auto"/>
            <w:vAlign w:val="center"/>
          </w:tcPr>
          <w:p w14:paraId="177B2B79">
            <w:pPr>
              <w:jc w:val="center"/>
              <w:rPr>
                <w:rFonts w:hint="eastAsia" w:asciiTheme="minorEastAsia" w:hAnsiTheme="minorEastAsia" w:eastAsiaTheme="minorEastAsia" w:cstheme="minorEastAsia"/>
                <w:bCs/>
                <w:color w:val="000000"/>
                <w:sz w:val="24"/>
                <w:szCs w:val="24"/>
                <w:lang w:val="en-US" w:eastAsia="zh-CN"/>
              </w:rPr>
            </w:pPr>
            <w:r>
              <w:rPr>
                <w:rFonts w:hint="eastAsia" w:asciiTheme="minorEastAsia" w:hAnsiTheme="minorEastAsia" w:eastAsiaTheme="minorEastAsia" w:cstheme="minorEastAsia"/>
                <w:bCs/>
                <w:color w:val="000000"/>
                <w:sz w:val="24"/>
                <w:szCs w:val="24"/>
                <w:lang w:val="en-US" w:eastAsia="zh-CN"/>
              </w:rPr>
              <w:t>张</w:t>
            </w:r>
          </w:p>
        </w:tc>
        <w:tc>
          <w:tcPr>
            <w:tcW w:w="853" w:type="pct"/>
            <w:vAlign w:val="center"/>
          </w:tcPr>
          <w:p w14:paraId="0A08B0B6">
            <w:pPr>
              <w:jc w:val="center"/>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拒绝进口</w:t>
            </w:r>
          </w:p>
        </w:tc>
      </w:tr>
      <w:tr w14:paraId="74F94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8" w:type="pct"/>
            <w:vAlign w:val="top"/>
          </w:tcPr>
          <w:p w14:paraId="6B16A365">
            <w:pPr>
              <w:numPr>
                <w:ilvl w:val="0"/>
                <w:numId w:val="2"/>
              </w:numPr>
              <w:ind w:left="425" w:leftChars="0" w:hanging="425" w:firstLineChars="0"/>
              <w:jc w:val="center"/>
              <w:rPr>
                <w:rFonts w:hint="eastAsia" w:asciiTheme="minorEastAsia" w:hAnsiTheme="minorEastAsia" w:eastAsiaTheme="minorEastAsia" w:cstheme="minorEastAsia"/>
                <w:bCs/>
                <w:color w:val="000000"/>
                <w:sz w:val="24"/>
                <w:szCs w:val="24"/>
                <w:lang w:val="en-US" w:eastAsia="zh-CN"/>
              </w:rPr>
            </w:pPr>
          </w:p>
        </w:tc>
        <w:tc>
          <w:tcPr>
            <w:tcW w:w="2075" w:type="pct"/>
            <w:shd w:val="clear" w:color="auto" w:fill="auto"/>
            <w:vAlign w:val="center"/>
          </w:tcPr>
          <w:p w14:paraId="1D07F3D3">
            <w:pPr>
              <w:jc w:val="center"/>
              <w:rPr>
                <w:rFonts w:hint="eastAsia" w:asciiTheme="minorEastAsia" w:hAnsiTheme="minorEastAsia" w:eastAsiaTheme="minorEastAsia" w:cstheme="minorEastAsia"/>
                <w:bCs/>
                <w:color w:val="000000"/>
                <w:sz w:val="24"/>
                <w:szCs w:val="24"/>
                <w:lang w:val="en-US" w:eastAsia="zh-CN"/>
              </w:rPr>
            </w:pPr>
            <w:r>
              <w:rPr>
                <w:rFonts w:hint="eastAsia" w:asciiTheme="minorEastAsia" w:hAnsiTheme="minorEastAsia" w:eastAsiaTheme="minorEastAsia" w:cstheme="minorEastAsia"/>
                <w:bCs/>
                <w:color w:val="000000"/>
                <w:sz w:val="24"/>
                <w:szCs w:val="24"/>
                <w:lang w:val="en-US" w:eastAsia="zh-CN"/>
              </w:rPr>
              <w:t>定制款单人桌</w:t>
            </w:r>
          </w:p>
        </w:tc>
        <w:tc>
          <w:tcPr>
            <w:tcW w:w="532" w:type="pct"/>
            <w:shd w:val="clear" w:color="auto" w:fill="auto"/>
            <w:vAlign w:val="center"/>
          </w:tcPr>
          <w:p w14:paraId="6779D9B1">
            <w:pPr>
              <w:jc w:val="center"/>
              <w:rPr>
                <w:rFonts w:hint="eastAsia" w:asciiTheme="minorEastAsia" w:hAnsiTheme="minorEastAsia" w:eastAsiaTheme="minorEastAsia" w:cstheme="minorEastAsia"/>
                <w:bCs/>
                <w:color w:val="000000"/>
                <w:sz w:val="24"/>
                <w:szCs w:val="24"/>
                <w:lang w:val="en-US" w:eastAsia="zh-CN"/>
              </w:rPr>
            </w:pPr>
            <w:r>
              <w:rPr>
                <w:rFonts w:hint="eastAsia" w:asciiTheme="minorEastAsia" w:hAnsiTheme="minorEastAsia" w:eastAsiaTheme="minorEastAsia" w:cstheme="minorEastAsia"/>
                <w:bCs/>
                <w:color w:val="000000"/>
                <w:sz w:val="24"/>
                <w:szCs w:val="24"/>
                <w:lang w:val="en-US" w:eastAsia="zh-CN"/>
              </w:rPr>
              <w:t>16</w:t>
            </w:r>
          </w:p>
        </w:tc>
        <w:tc>
          <w:tcPr>
            <w:tcW w:w="950" w:type="pct"/>
            <w:shd w:val="clear" w:color="auto" w:fill="auto"/>
            <w:vAlign w:val="center"/>
          </w:tcPr>
          <w:p w14:paraId="253E72A5">
            <w:pPr>
              <w:jc w:val="center"/>
              <w:rPr>
                <w:rFonts w:hint="eastAsia" w:asciiTheme="minorEastAsia" w:hAnsiTheme="minorEastAsia" w:eastAsiaTheme="minorEastAsia" w:cstheme="minorEastAsia"/>
                <w:bCs/>
                <w:color w:val="000000"/>
                <w:sz w:val="24"/>
                <w:szCs w:val="24"/>
                <w:lang w:val="en-US" w:eastAsia="zh-CN"/>
              </w:rPr>
            </w:pPr>
            <w:r>
              <w:rPr>
                <w:rFonts w:hint="eastAsia" w:asciiTheme="minorEastAsia" w:hAnsiTheme="minorEastAsia" w:eastAsiaTheme="minorEastAsia" w:cstheme="minorEastAsia"/>
                <w:bCs/>
                <w:color w:val="000000"/>
                <w:sz w:val="24"/>
                <w:szCs w:val="24"/>
                <w:lang w:val="en-US" w:eastAsia="zh-CN"/>
              </w:rPr>
              <w:t>张</w:t>
            </w:r>
          </w:p>
        </w:tc>
        <w:tc>
          <w:tcPr>
            <w:tcW w:w="853" w:type="pct"/>
            <w:vAlign w:val="center"/>
          </w:tcPr>
          <w:p w14:paraId="5C3F85F5">
            <w:pPr>
              <w:jc w:val="center"/>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拒绝进口</w:t>
            </w:r>
          </w:p>
        </w:tc>
      </w:tr>
      <w:tr w14:paraId="079D0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8" w:type="pct"/>
            <w:vAlign w:val="top"/>
          </w:tcPr>
          <w:p w14:paraId="46CB2AD9">
            <w:pPr>
              <w:numPr>
                <w:ilvl w:val="0"/>
                <w:numId w:val="2"/>
              </w:numPr>
              <w:ind w:left="425" w:leftChars="0" w:hanging="425" w:firstLineChars="0"/>
              <w:jc w:val="center"/>
              <w:rPr>
                <w:rFonts w:hint="eastAsia" w:asciiTheme="minorEastAsia" w:hAnsiTheme="minorEastAsia" w:eastAsiaTheme="minorEastAsia" w:cstheme="minorEastAsia"/>
                <w:bCs/>
                <w:color w:val="000000"/>
                <w:sz w:val="24"/>
                <w:szCs w:val="24"/>
                <w:lang w:val="en-US" w:eastAsia="zh-CN"/>
              </w:rPr>
            </w:pPr>
          </w:p>
        </w:tc>
        <w:tc>
          <w:tcPr>
            <w:tcW w:w="2075" w:type="pct"/>
            <w:shd w:val="clear" w:color="auto" w:fill="auto"/>
            <w:vAlign w:val="center"/>
          </w:tcPr>
          <w:p w14:paraId="40263692">
            <w:pPr>
              <w:jc w:val="center"/>
              <w:rPr>
                <w:rFonts w:hint="eastAsia" w:asciiTheme="minorEastAsia" w:hAnsiTheme="minorEastAsia" w:eastAsiaTheme="minorEastAsia" w:cstheme="minorEastAsia"/>
                <w:bCs/>
                <w:color w:val="000000"/>
                <w:sz w:val="24"/>
                <w:szCs w:val="24"/>
                <w:lang w:val="en-US" w:eastAsia="zh-CN"/>
              </w:rPr>
            </w:pPr>
            <w:r>
              <w:rPr>
                <w:rFonts w:hint="eastAsia" w:asciiTheme="minorEastAsia" w:hAnsiTheme="minorEastAsia" w:eastAsiaTheme="minorEastAsia" w:cstheme="minorEastAsia"/>
                <w:bCs/>
                <w:color w:val="000000"/>
                <w:sz w:val="24"/>
                <w:szCs w:val="24"/>
                <w:lang w:val="en-US" w:eastAsia="zh-CN"/>
              </w:rPr>
              <w:t>定制款双人桌</w:t>
            </w:r>
          </w:p>
        </w:tc>
        <w:tc>
          <w:tcPr>
            <w:tcW w:w="532" w:type="pct"/>
            <w:shd w:val="clear" w:color="auto" w:fill="auto"/>
            <w:vAlign w:val="center"/>
          </w:tcPr>
          <w:p w14:paraId="5F95CC8A">
            <w:pPr>
              <w:jc w:val="center"/>
              <w:rPr>
                <w:rFonts w:hint="eastAsia" w:asciiTheme="minorEastAsia" w:hAnsiTheme="minorEastAsia" w:eastAsiaTheme="minorEastAsia" w:cstheme="minorEastAsia"/>
                <w:bCs/>
                <w:color w:val="000000"/>
                <w:sz w:val="24"/>
                <w:szCs w:val="24"/>
                <w:lang w:val="en-US" w:eastAsia="zh-CN"/>
              </w:rPr>
            </w:pPr>
            <w:r>
              <w:rPr>
                <w:rFonts w:hint="eastAsia" w:asciiTheme="minorEastAsia" w:hAnsiTheme="minorEastAsia" w:eastAsiaTheme="minorEastAsia" w:cstheme="minorEastAsia"/>
                <w:bCs/>
                <w:color w:val="000000"/>
                <w:sz w:val="24"/>
                <w:szCs w:val="24"/>
                <w:lang w:val="en-US" w:eastAsia="zh-CN"/>
              </w:rPr>
              <w:t>6</w:t>
            </w:r>
          </w:p>
        </w:tc>
        <w:tc>
          <w:tcPr>
            <w:tcW w:w="950" w:type="pct"/>
            <w:shd w:val="clear" w:color="auto" w:fill="auto"/>
            <w:vAlign w:val="center"/>
          </w:tcPr>
          <w:p w14:paraId="05F46B01">
            <w:pPr>
              <w:jc w:val="center"/>
              <w:rPr>
                <w:rFonts w:hint="eastAsia" w:asciiTheme="minorEastAsia" w:hAnsiTheme="minorEastAsia" w:eastAsiaTheme="minorEastAsia" w:cstheme="minorEastAsia"/>
                <w:bCs/>
                <w:color w:val="000000"/>
                <w:sz w:val="24"/>
                <w:szCs w:val="24"/>
                <w:lang w:val="en-US" w:eastAsia="zh-CN"/>
              </w:rPr>
            </w:pPr>
            <w:r>
              <w:rPr>
                <w:rFonts w:hint="eastAsia" w:asciiTheme="minorEastAsia" w:hAnsiTheme="minorEastAsia" w:eastAsiaTheme="minorEastAsia" w:cstheme="minorEastAsia"/>
                <w:bCs/>
                <w:color w:val="000000"/>
                <w:sz w:val="24"/>
                <w:szCs w:val="24"/>
                <w:lang w:val="en-US" w:eastAsia="zh-CN"/>
              </w:rPr>
              <w:t>张</w:t>
            </w:r>
          </w:p>
        </w:tc>
        <w:tc>
          <w:tcPr>
            <w:tcW w:w="853" w:type="pct"/>
            <w:vAlign w:val="center"/>
          </w:tcPr>
          <w:p w14:paraId="6722231B">
            <w:pPr>
              <w:jc w:val="center"/>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拒绝进口</w:t>
            </w:r>
          </w:p>
        </w:tc>
      </w:tr>
      <w:tr w14:paraId="7E5E6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8" w:type="pct"/>
            <w:vAlign w:val="top"/>
          </w:tcPr>
          <w:p w14:paraId="1166B377">
            <w:pPr>
              <w:numPr>
                <w:ilvl w:val="0"/>
                <w:numId w:val="2"/>
              </w:numPr>
              <w:ind w:left="425" w:leftChars="0" w:hanging="425" w:firstLineChars="0"/>
              <w:jc w:val="center"/>
              <w:rPr>
                <w:rFonts w:hint="eastAsia" w:asciiTheme="minorEastAsia" w:hAnsiTheme="minorEastAsia" w:eastAsiaTheme="minorEastAsia" w:cstheme="minorEastAsia"/>
                <w:bCs/>
                <w:color w:val="000000"/>
                <w:sz w:val="24"/>
                <w:szCs w:val="24"/>
                <w:lang w:val="en-US" w:eastAsia="zh-CN"/>
              </w:rPr>
            </w:pPr>
          </w:p>
        </w:tc>
        <w:tc>
          <w:tcPr>
            <w:tcW w:w="2075" w:type="pct"/>
            <w:shd w:val="clear" w:color="auto" w:fill="auto"/>
            <w:vAlign w:val="center"/>
          </w:tcPr>
          <w:p w14:paraId="675D8201">
            <w:pPr>
              <w:jc w:val="center"/>
              <w:rPr>
                <w:rFonts w:hint="eastAsia" w:asciiTheme="minorEastAsia" w:hAnsiTheme="minorEastAsia" w:eastAsiaTheme="minorEastAsia" w:cstheme="minorEastAsia"/>
                <w:bCs/>
                <w:color w:val="000000"/>
                <w:sz w:val="24"/>
                <w:szCs w:val="24"/>
                <w:lang w:val="en-US" w:eastAsia="zh-CN"/>
              </w:rPr>
            </w:pPr>
            <w:r>
              <w:rPr>
                <w:rFonts w:hint="eastAsia" w:asciiTheme="minorEastAsia" w:hAnsiTheme="minorEastAsia" w:eastAsiaTheme="minorEastAsia" w:cstheme="minorEastAsia"/>
                <w:bCs/>
                <w:color w:val="000000"/>
                <w:sz w:val="24"/>
                <w:szCs w:val="24"/>
                <w:lang w:val="en-US" w:eastAsia="zh-CN"/>
              </w:rPr>
              <w:t>定制款6人桌</w:t>
            </w:r>
          </w:p>
        </w:tc>
        <w:tc>
          <w:tcPr>
            <w:tcW w:w="532" w:type="pct"/>
            <w:shd w:val="clear" w:color="auto" w:fill="auto"/>
            <w:vAlign w:val="center"/>
          </w:tcPr>
          <w:p w14:paraId="4E8A20C8">
            <w:pPr>
              <w:jc w:val="center"/>
              <w:rPr>
                <w:rFonts w:hint="eastAsia" w:asciiTheme="minorEastAsia" w:hAnsiTheme="minorEastAsia" w:eastAsiaTheme="minorEastAsia" w:cstheme="minorEastAsia"/>
                <w:bCs/>
                <w:color w:val="000000"/>
                <w:sz w:val="24"/>
                <w:szCs w:val="24"/>
                <w:lang w:val="en-US" w:eastAsia="zh-CN"/>
              </w:rPr>
            </w:pPr>
            <w:r>
              <w:rPr>
                <w:rFonts w:hint="eastAsia" w:asciiTheme="minorEastAsia" w:hAnsiTheme="minorEastAsia" w:eastAsiaTheme="minorEastAsia" w:cstheme="minorEastAsia"/>
                <w:bCs/>
                <w:color w:val="000000"/>
                <w:sz w:val="24"/>
                <w:szCs w:val="24"/>
                <w:lang w:val="en-US" w:eastAsia="zh-CN"/>
              </w:rPr>
              <w:t>3</w:t>
            </w:r>
          </w:p>
        </w:tc>
        <w:tc>
          <w:tcPr>
            <w:tcW w:w="950" w:type="pct"/>
            <w:shd w:val="clear" w:color="auto" w:fill="auto"/>
            <w:vAlign w:val="center"/>
          </w:tcPr>
          <w:p w14:paraId="6CC7E19B">
            <w:pPr>
              <w:jc w:val="center"/>
              <w:rPr>
                <w:rFonts w:hint="eastAsia" w:asciiTheme="minorEastAsia" w:hAnsiTheme="minorEastAsia" w:eastAsiaTheme="minorEastAsia" w:cstheme="minorEastAsia"/>
                <w:bCs/>
                <w:color w:val="000000"/>
                <w:sz w:val="24"/>
                <w:szCs w:val="24"/>
                <w:lang w:val="en-US" w:eastAsia="zh-CN"/>
              </w:rPr>
            </w:pPr>
            <w:r>
              <w:rPr>
                <w:rFonts w:hint="eastAsia" w:asciiTheme="minorEastAsia" w:hAnsiTheme="minorEastAsia" w:eastAsiaTheme="minorEastAsia" w:cstheme="minorEastAsia"/>
                <w:bCs/>
                <w:color w:val="000000"/>
                <w:sz w:val="24"/>
                <w:szCs w:val="24"/>
                <w:lang w:val="en-US" w:eastAsia="zh-CN"/>
              </w:rPr>
              <w:t>张</w:t>
            </w:r>
          </w:p>
        </w:tc>
        <w:tc>
          <w:tcPr>
            <w:tcW w:w="853" w:type="pct"/>
            <w:vAlign w:val="center"/>
          </w:tcPr>
          <w:p w14:paraId="0EE69F34">
            <w:pPr>
              <w:jc w:val="center"/>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拒绝进口</w:t>
            </w:r>
          </w:p>
        </w:tc>
      </w:tr>
      <w:tr w14:paraId="71E0A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8" w:type="pct"/>
            <w:vAlign w:val="top"/>
          </w:tcPr>
          <w:p w14:paraId="5F06E626">
            <w:pPr>
              <w:numPr>
                <w:ilvl w:val="0"/>
                <w:numId w:val="2"/>
              </w:numPr>
              <w:ind w:left="425" w:leftChars="0" w:hanging="425" w:firstLineChars="0"/>
              <w:jc w:val="center"/>
              <w:rPr>
                <w:rFonts w:hint="eastAsia" w:asciiTheme="minorEastAsia" w:hAnsiTheme="minorEastAsia" w:eastAsiaTheme="minorEastAsia" w:cstheme="minorEastAsia"/>
                <w:bCs/>
                <w:color w:val="000000"/>
                <w:sz w:val="24"/>
                <w:szCs w:val="24"/>
                <w:lang w:val="en-US" w:eastAsia="zh-CN"/>
              </w:rPr>
            </w:pPr>
          </w:p>
        </w:tc>
        <w:tc>
          <w:tcPr>
            <w:tcW w:w="2075" w:type="pct"/>
            <w:shd w:val="clear" w:color="auto" w:fill="auto"/>
            <w:vAlign w:val="center"/>
          </w:tcPr>
          <w:p w14:paraId="4D9FFBA6">
            <w:pPr>
              <w:jc w:val="center"/>
              <w:rPr>
                <w:rFonts w:hint="eastAsia" w:asciiTheme="minorEastAsia" w:hAnsiTheme="minorEastAsia" w:eastAsiaTheme="minorEastAsia" w:cstheme="minorEastAsia"/>
                <w:bCs/>
                <w:color w:val="000000"/>
                <w:sz w:val="24"/>
                <w:szCs w:val="24"/>
                <w:lang w:val="en-US" w:eastAsia="zh-CN"/>
              </w:rPr>
            </w:pPr>
            <w:r>
              <w:rPr>
                <w:rFonts w:hint="eastAsia" w:asciiTheme="minorEastAsia" w:hAnsiTheme="minorEastAsia" w:eastAsiaTheme="minorEastAsia" w:cstheme="minorEastAsia"/>
                <w:bCs/>
                <w:color w:val="000000"/>
                <w:sz w:val="24"/>
                <w:szCs w:val="24"/>
                <w:lang w:val="en-US" w:eastAsia="zh-CN"/>
              </w:rPr>
              <w:t>边台</w:t>
            </w:r>
          </w:p>
        </w:tc>
        <w:tc>
          <w:tcPr>
            <w:tcW w:w="532" w:type="pct"/>
            <w:shd w:val="clear" w:color="auto" w:fill="auto"/>
            <w:vAlign w:val="center"/>
          </w:tcPr>
          <w:p w14:paraId="72A352D9">
            <w:pPr>
              <w:jc w:val="center"/>
              <w:rPr>
                <w:rFonts w:hint="eastAsia" w:asciiTheme="minorEastAsia" w:hAnsiTheme="minorEastAsia" w:eastAsiaTheme="minorEastAsia" w:cstheme="minorEastAsia"/>
                <w:bCs/>
                <w:color w:val="000000"/>
                <w:sz w:val="24"/>
                <w:szCs w:val="24"/>
                <w:lang w:val="en-US" w:eastAsia="zh-CN"/>
              </w:rPr>
            </w:pPr>
            <w:r>
              <w:rPr>
                <w:rFonts w:hint="eastAsia" w:asciiTheme="minorEastAsia" w:hAnsiTheme="minorEastAsia" w:eastAsiaTheme="minorEastAsia" w:cstheme="minorEastAsia"/>
                <w:bCs/>
                <w:color w:val="000000"/>
                <w:sz w:val="24"/>
                <w:szCs w:val="24"/>
                <w:lang w:val="en-US" w:eastAsia="zh-CN"/>
              </w:rPr>
              <w:t>6.7</w:t>
            </w:r>
          </w:p>
        </w:tc>
        <w:tc>
          <w:tcPr>
            <w:tcW w:w="950" w:type="pct"/>
            <w:shd w:val="clear" w:color="auto" w:fill="auto"/>
            <w:vAlign w:val="center"/>
          </w:tcPr>
          <w:p w14:paraId="5D4CAD05">
            <w:pPr>
              <w:jc w:val="center"/>
              <w:rPr>
                <w:rFonts w:hint="eastAsia" w:asciiTheme="minorEastAsia" w:hAnsiTheme="minorEastAsia" w:eastAsiaTheme="minorEastAsia" w:cstheme="minorEastAsia"/>
                <w:bCs/>
                <w:color w:val="000000"/>
                <w:sz w:val="24"/>
                <w:szCs w:val="24"/>
                <w:lang w:val="en-US" w:eastAsia="zh-CN"/>
              </w:rPr>
            </w:pPr>
            <w:r>
              <w:rPr>
                <w:rFonts w:hint="eastAsia" w:asciiTheme="minorEastAsia" w:hAnsiTheme="minorEastAsia" w:eastAsiaTheme="minorEastAsia" w:cstheme="minorEastAsia"/>
                <w:bCs/>
                <w:color w:val="000000"/>
                <w:sz w:val="24"/>
                <w:szCs w:val="24"/>
                <w:lang w:val="en-US" w:eastAsia="zh-CN"/>
              </w:rPr>
              <w:t>米</w:t>
            </w:r>
          </w:p>
        </w:tc>
        <w:tc>
          <w:tcPr>
            <w:tcW w:w="853" w:type="pct"/>
            <w:vAlign w:val="center"/>
          </w:tcPr>
          <w:p w14:paraId="319678BB">
            <w:pPr>
              <w:jc w:val="center"/>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拒绝进口</w:t>
            </w:r>
          </w:p>
        </w:tc>
      </w:tr>
      <w:tr w14:paraId="60AA2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8" w:type="pct"/>
            <w:vAlign w:val="top"/>
          </w:tcPr>
          <w:p w14:paraId="5926576B">
            <w:pPr>
              <w:numPr>
                <w:ilvl w:val="0"/>
                <w:numId w:val="2"/>
              </w:numPr>
              <w:ind w:left="425" w:leftChars="0" w:hanging="425" w:firstLineChars="0"/>
              <w:jc w:val="center"/>
              <w:rPr>
                <w:rFonts w:hint="eastAsia" w:asciiTheme="minorEastAsia" w:hAnsiTheme="minorEastAsia" w:eastAsiaTheme="minorEastAsia" w:cstheme="minorEastAsia"/>
                <w:bCs/>
                <w:color w:val="000000"/>
                <w:sz w:val="24"/>
                <w:szCs w:val="24"/>
                <w:lang w:val="en-US" w:eastAsia="zh-CN"/>
              </w:rPr>
            </w:pPr>
          </w:p>
        </w:tc>
        <w:tc>
          <w:tcPr>
            <w:tcW w:w="2075" w:type="pct"/>
            <w:shd w:val="clear" w:color="auto" w:fill="auto"/>
            <w:vAlign w:val="center"/>
          </w:tcPr>
          <w:p w14:paraId="05D6FB3F">
            <w:pPr>
              <w:jc w:val="center"/>
              <w:rPr>
                <w:rFonts w:hint="eastAsia" w:asciiTheme="minorEastAsia" w:hAnsiTheme="minorEastAsia" w:eastAsiaTheme="minorEastAsia" w:cstheme="minorEastAsia"/>
                <w:bCs/>
                <w:color w:val="000000"/>
                <w:sz w:val="24"/>
                <w:szCs w:val="24"/>
                <w:lang w:val="en-US" w:eastAsia="zh-CN"/>
              </w:rPr>
            </w:pPr>
            <w:r>
              <w:rPr>
                <w:rFonts w:hint="eastAsia" w:asciiTheme="minorEastAsia" w:hAnsiTheme="minorEastAsia" w:eastAsiaTheme="minorEastAsia" w:cstheme="minorEastAsia"/>
                <w:bCs/>
                <w:color w:val="000000"/>
                <w:sz w:val="24"/>
                <w:szCs w:val="24"/>
                <w:lang w:val="en-US" w:eastAsia="zh-CN"/>
              </w:rPr>
              <w:t>底柜</w:t>
            </w:r>
          </w:p>
        </w:tc>
        <w:tc>
          <w:tcPr>
            <w:tcW w:w="532" w:type="pct"/>
            <w:shd w:val="clear" w:color="auto" w:fill="auto"/>
            <w:vAlign w:val="center"/>
          </w:tcPr>
          <w:p w14:paraId="636FD94F">
            <w:pPr>
              <w:jc w:val="center"/>
              <w:rPr>
                <w:rFonts w:hint="eastAsia" w:asciiTheme="minorEastAsia" w:hAnsiTheme="minorEastAsia" w:eastAsiaTheme="minorEastAsia" w:cstheme="minorEastAsia"/>
                <w:bCs/>
                <w:color w:val="000000"/>
                <w:sz w:val="24"/>
                <w:szCs w:val="24"/>
                <w:lang w:val="en-US" w:eastAsia="zh-CN"/>
              </w:rPr>
            </w:pPr>
            <w:r>
              <w:rPr>
                <w:rFonts w:hint="eastAsia" w:asciiTheme="minorEastAsia" w:hAnsiTheme="minorEastAsia" w:eastAsiaTheme="minorEastAsia" w:cstheme="minorEastAsia"/>
                <w:bCs/>
                <w:color w:val="000000"/>
                <w:sz w:val="24"/>
                <w:szCs w:val="24"/>
                <w:lang w:val="en-US" w:eastAsia="zh-CN"/>
              </w:rPr>
              <w:t>4</w:t>
            </w:r>
          </w:p>
        </w:tc>
        <w:tc>
          <w:tcPr>
            <w:tcW w:w="950" w:type="pct"/>
            <w:shd w:val="clear" w:color="auto" w:fill="auto"/>
            <w:vAlign w:val="center"/>
          </w:tcPr>
          <w:p w14:paraId="0A245822">
            <w:pPr>
              <w:jc w:val="center"/>
              <w:rPr>
                <w:rFonts w:hint="eastAsia" w:asciiTheme="minorEastAsia" w:hAnsiTheme="minorEastAsia" w:eastAsiaTheme="minorEastAsia" w:cstheme="minorEastAsia"/>
                <w:bCs/>
                <w:color w:val="000000"/>
                <w:sz w:val="24"/>
                <w:szCs w:val="24"/>
                <w:lang w:val="en-US" w:eastAsia="zh-CN"/>
              </w:rPr>
            </w:pPr>
            <w:r>
              <w:rPr>
                <w:rFonts w:hint="eastAsia" w:asciiTheme="minorEastAsia" w:hAnsiTheme="minorEastAsia" w:eastAsiaTheme="minorEastAsia" w:cstheme="minorEastAsia"/>
                <w:bCs/>
                <w:color w:val="000000"/>
                <w:sz w:val="24"/>
                <w:szCs w:val="24"/>
                <w:lang w:val="en-US" w:eastAsia="zh-CN"/>
              </w:rPr>
              <w:t>个</w:t>
            </w:r>
          </w:p>
        </w:tc>
        <w:tc>
          <w:tcPr>
            <w:tcW w:w="853" w:type="pct"/>
            <w:vAlign w:val="center"/>
          </w:tcPr>
          <w:p w14:paraId="74448A33">
            <w:pPr>
              <w:jc w:val="center"/>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拒绝进口</w:t>
            </w:r>
          </w:p>
        </w:tc>
      </w:tr>
      <w:tr w14:paraId="3B79B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8" w:type="pct"/>
            <w:vAlign w:val="top"/>
          </w:tcPr>
          <w:p w14:paraId="4B630863">
            <w:pPr>
              <w:numPr>
                <w:ilvl w:val="0"/>
                <w:numId w:val="2"/>
              </w:numPr>
              <w:ind w:left="425" w:leftChars="0" w:hanging="425" w:firstLineChars="0"/>
              <w:jc w:val="center"/>
              <w:rPr>
                <w:rFonts w:hint="eastAsia" w:asciiTheme="minorEastAsia" w:hAnsiTheme="minorEastAsia" w:eastAsiaTheme="minorEastAsia" w:cstheme="minorEastAsia"/>
                <w:bCs/>
                <w:color w:val="000000"/>
                <w:sz w:val="24"/>
                <w:szCs w:val="24"/>
                <w:lang w:val="en-US" w:eastAsia="zh-CN"/>
              </w:rPr>
            </w:pPr>
          </w:p>
        </w:tc>
        <w:tc>
          <w:tcPr>
            <w:tcW w:w="2075" w:type="pct"/>
            <w:shd w:val="clear" w:color="auto" w:fill="auto"/>
            <w:vAlign w:val="center"/>
          </w:tcPr>
          <w:p w14:paraId="0D05EF89">
            <w:pPr>
              <w:jc w:val="center"/>
              <w:rPr>
                <w:rFonts w:hint="eastAsia" w:asciiTheme="minorEastAsia" w:hAnsiTheme="minorEastAsia" w:eastAsiaTheme="minorEastAsia" w:cstheme="minorEastAsia"/>
                <w:bCs/>
                <w:color w:val="000000"/>
                <w:sz w:val="24"/>
                <w:szCs w:val="24"/>
                <w:lang w:val="en-US" w:eastAsia="zh-CN"/>
              </w:rPr>
            </w:pPr>
            <w:r>
              <w:rPr>
                <w:rFonts w:hint="eastAsia" w:asciiTheme="minorEastAsia" w:hAnsiTheme="minorEastAsia" w:eastAsiaTheme="minorEastAsia" w:cstheme="minorEastAsia"/>
                <w:bCs/>
                <w:color w:val="000000"/>
                <w:sz w:val="24"/>
                <w:szCs w:val="24"/>
                <w:lang w:val="en-US" w:eastAsia="zh-CN"/>
              </w:rPr>
              <w:t>洞洞板</w:t>
            </w:r>
          </w:p>
        </w:tc>
        <w:tc>
          <w:tcPr>
            <w:tcW w:w="532" w:type="pct"/>
            <w:shd w:val="clear" w:color="auto" w:fill="auto"/>
            <w:vAlign w:val="center"/>
          </w:tcPr>
          <w:p w14:paraId="0ADD7296">
            <w:pPr>
              <w:jc w:val="center"/>
              <w:rPr>
                <w:rFonts w:hint="eastAsia" w:asciiTheme="minorEastAsia" w:hAnsiTheme="minorEastAsia" w:eastAsiaTheme="minorEastAsia" w:cstheme="minorEastAsia"/>
                <w:bCs/>
                <w:color w:val="000000"/>
                <w:sz w:val="24"/>
                <w:szCs w:val="24"/>
                <w:lang w:val="en-US" w:eastAsia="zh-CN"/>
              </w:rPr>
            </w:pPr>
            <w:r>
              <w:rPr>
                <w:rFonts w:hint="eastAsia" w:asciiTheme="minorEastAsia" w:hAnsiTheme="minorEastAsia" w:eastAsiaTheme="minorEastAsia" w:cstheme="minorEastAsia"/>
                <w:bCs/>
                <w:color w:val="000000"/>
                <w:sz w:val="24"/>
                <w:szCs w:val="24"/>
                <w:lang w:val="en-US" w:eastAsia="zh-CN"/>
              </w:rPr>
              <w:t>7.8</w:t>
            </w:r>
          </w:p>
        </w:tc>
        <w:tc>
          <w:tcPr>
            <w:tcW w:w="950" w:type="pct"/>
            <w:shd w:val="clear" w:color="auto" w:fill="auto"/>
            <w:vAlign w:val="center"/>
          </w:tcPr>
          <w:p w14:paraId="51F28042">
            <w:pPr>
              <w:jc w:val="center"/>
              <w:rPr>
                <w:rFonts w:hint="eastAsia" w:asciiTheme="minorEastAsia" w:hAnsiTheme="minorEastAsia" w:eastAsiaTheme="minorEastAsia" w:cstheme="minorEastAsia"/>
                <w:bCs/>
                <w:color w:val="000000"/>
                <w:sz w:val="24"/>
                <w:szCs w:val="24"/>
                <w:lang w:val="en-US" w:eastAsia="zh-CN"/>
              </w:rPr>
            </w:pPr>
            <w:r>
              <w:rPr>
                <w:rFonts w:hint="eastAsia" w:asciiTheme="minorEastAsia" w:hAnsiTheme="minorEastAsia" w:eastAsiaTheme="minorEastAsia" w:cstheme="minorEastAsia"/>
                <w:bCs/>
                <w:color w:val="000000"/>
                <w:sz w:val="24"/>
                <w:szCs w:val="24"/>
                <w:lang w:val="en-US" w:eastAsia="zh-CN"/>
              </w:rPr>
              <w:t>㎡</w:t>
            </w:r>
          </w:p>
        </w:tc>
        <w:tc>
          <w:tcPr>
            <w:tcW w:w="853" w:type="pct"/>
            <w:vAlign w:val="center"/>
          </w:tcPr>
          <w:p w14:paraId="6491DD25">
            <w:pPr>
              <w:jc w:val="center"/>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拒绝进口</w:t>
            </w:r>
          </w:p>
        </w:tc>
      </w:tr>
      <w:tr w14:paraId="02CE9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8" w:type="pct"/>
            <w:vAlign w:val="top"/>
          </w:tcPr>
          <w:p w14:paraId="26333557">
            <w:pPr>
              <w:numPr>
                <w:ilvl w:val="0"/>
                <w:numId w:val="2"/>
              </w:numPr>
              <w:ind w:left="425" w:leftChars="0" w:hanging="425" w:firstLineChars="0"/>
              <w:jc w:val="center"/>
              <w:rPr>
                <w:rFonts w:hint="eastAsia" w:asciiTheme="minorEastAsia" w:hAnsiTheme="minorEastAsia" w:eastAsiaTheme="minorEastAsia" w:cstheme="minorEastAsia"/>
                <w:bCs/>
                <w:color w:val="000000"/>
                <w:sz w:val="24"/>
                <w:szCs w:val="24"/>
                <w:lang w:val="en-US" w:eastAsia="zh-CN"/>
              </w:rPr>
            </w:pPr>
          </w:p>
        </w:tc>
        <w:tc>
          <w:tcPr>
            <w:tcW w:w="2075" w:type="pct"/>
            <w:shd w:val="clear" w:color="auto" w:fill="auto"/>
            <w:vAlign w:val="center"/>
          </w:tcPr>
          <w:p w14:paraId="364F24CE">
            <w:pPr>
              <w:jc w:val="center"/>
              <w:rPr>
                <w:rFonts w:hint="eastAsia" w:asciiTheme="minorEastAsia" w:hAnsiTheme="minorEastAsia" w:eastAsiaTheme="minorEastAsia" w:cstheme="minorEastAsia"/>
                <w:bCs/>
                <w:color w:val="000000"/>
                <w:sz w:val="24"/>
                <w:szCs w:val="24"/>
                <w:lang w:val="en-US" w:eastAsia="zh-CN"/>
              </w:rPr>
            </w:pPr>
            <w:r>
              <w:rPr>
                <w:rFonts w:hint="eastAsia" w:asciiTheme="minorEastAsia" w:hAnsiTheme="minorEastAsia" w:eastAsiaTheme="minorEastAsia" w:cstheme="minorEastAsia"/>
                <w:bCs/>
                <w:color w:val="000000"/>
                <w:sz w:val="24"/>
                <w:szCs w:val="24"/>
                <w:lang w:val="en-US" w:eastAsia="zh-CN"/>
              </w:rPr>
              <w:t>墙面滑动电源</w:t>
            </w:r>
          </w:p>
        </w:tc>
        <w:tc>
          <w:tcPr>
            <w:tcW w:w="532" w:type="pct"/>
            <w:shd w:val="clear" w:color="auto" w:fill="auto"/>
            <w:vAlign w:val="center"/>
          </w:tcPr>
          <w:p w14:paraId="60504CC9">
            <w:pPr>
              <w:jc w:val="center"/>
              <w:rPr>
                <w:rFonts w:hint="eastAsia" w:asciiTheme="minorEastAsia" w:hAnsiTheme="minorEastAsia" w:eastAsiaTheme="minorEastAsia" w:cstheme="minorEastAsia"/>
                <w:bCs/>
                <w:color w:val="000000"/>
                <w:sz w:val="24"/>
                <w:szCs w:val="24"/>
                <w:lang w:val="en-US" w:eastAsia="zh-CN"/>
              </w:rPr>
            </w:pPr>
            <w:r>
              <w:rPr>
                <w:rFonts w:hint="eastAsia" w:asciiTheme="minorEastAsia" w:hAnsiTheme="minorEastAsia" w:eastAsiaTheme="minorEastAsia" w:cstheme="minorEastAsia"/>
                <w:bCs/>
                <w:color w:val="000000"/>
                <w:sz w:val="24"/>
                <w:szCs w:val="24"/>
                <w:lang w:val="en-US" w:eastAsia="zh-CN"/>
              </w:rPr>
              <w:t>4</w:t>
            </w:r>
          </w:p>
        </w:tc>
        <w:tc>
          <w:tcPr>
            <w:tcW w:w="950" w:type="pct"/>
            <w:shd w:val="clear" w:color="auto" w:fill="auto"/>
            <w:vAlign w:val="center"/>
          </w:tcPr>
          <w:p w14:paraId="1BFC93BD">
            <w:pPr>
              <w:jc w:val="center"/>
              <w:rPr>
                <w:rFonts w:hint="eastAsia" w:asciiTheme="minorEastAsia" w:hAnsiTheme="minorEastAsia" w:eastAsiaTheme="minorEastAsia" w:cstheme="minorEastAsia"/>
                <w:bCs/>
                <w:color w:val="000000"/>
                <w:sz w:val="24"/>
                <w:szCs w:val="24"/>
                <w:lang w:val="en-US" w:eastAsia="zh-CN"/>
              </w:rPr>
            </w:pPr>
            <w:r>
              <w:rPr>
                <w:rFonts w:hint="eastAsia" w:asciiTheme="minorEastAsia" w:hAnsiTheme="minorEastAsia" w:eastAsiaTheme="minorEastAsia" w:cstheme="minorEastAsia"/>
                <w:bCs/>
                <w:color w:val="000000"/>
                <w:sz w:val="24"/>
                <w:szCs w:val="24"/>
                <w:lang w:val="en-US" w:eastAsia="zh-CN"/>
              </w:rPr>
              <w:t>个</w:t>
            </w:r>
          </w:p>
        </w:tc>
        <w:tc>
          <w:tcPr>
            <w:tcW w:w="853" w:type="pct"/>
            <w:vAlign w:val="center"/>
          </w:tcPr>
          <w:p w14:paraId="0F611C87">
            <w:pPr>
              <w:jc w:val="center"/>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拒绝进口</w:t>
            </w:r>
          </w:p>
        </w:tc>
      </w:tr>
      <w:tr w14:paraId="0A914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8" w:type="pct"/>
            <w:vAlign w:val="top"/>
          </w:tcPr>
          <w:p w14:paraId="6A7C5168">
            <w:pPr>
              <w:numPr>
                <w:ilvl w:val="0"/>
                <w:numId w:val="2"/>
              </w:numPr>
              <w:ind w:left="425" w:leftChars="0" w:hanging="425" w:firstLineChars="0"/>
              <w:jc w:val="center"/>
              <w:rPr>
                <w:rFonts w:hint="eastAsia" w:asciiTheme="minorEastAsia" w:hAnsiTheme="minorEastAsia" w:eastAsiaTheme="minorEastAsia" w:cstheme="minorEastAsia"/>
                <w:bCs/>
                <w:color w:val="000000"/>
                <w:sz w:val="24"/>
                <w:szCs w:val="24"/>
                <w:lang w:val="en-US" w:eastAsia="zh-CN"/>
              </w:rPr>
            </w:pPr>
          </w:p>
        </w:tc>
        <w:tc>
          <w:tcPr>
            <w:tcW w:w="2075" w:type="pct"/>
            <w:shd w:val="clear" w:color="auto" w:fill="auto"/>
            <w:vAlign w:val="center"/>
          </w:tcPr>
          <w:p w14:paraId="2268BA74">
            <w:pPr>
              <w:jc w:val="center"/>
              <w:rPr>
                <w:rFonts w:hint="eastAsia" w:asciiTheme="minorEastAsia" w:hAnsiTheme="minorEastAsia" w:eastAsiaTheme="minorEastAsia" w:cstheme="minorEastAsia"/>
                <w:bCs/>
                <w:color w:val="000000"/>
                <w:sz w:val="24"/>
                <w:szCs w:val="24"/>
                <w:lang w:val="en-US" w:eastAsia="zh-CN"/>
              </w:rPr>
            </w:pPr>
            <w:r>
              <w:rPr>
                <w:rFonts w:hint="eastAsia" w:asciiTheme="minorEastAsia" w:hAnsiTheme="minorEastAsia" w:eastAsiaTheme="minorEastAsia" w:cstheme="minorEastAsia"/>
                <w:bCs/>
                <w:color w:val="000000"/>
                <w:sz w:val="24"/>
                <w:szCs w:val="24"/>
                <w:lang w:val="en-US" w:eastAsia="zh-CN"/>
              </w:rPr>
              <w:t>高柜</w:t>
            </w:r>
          </w:p>
        </w:tc>
        <w:tc>
          <w:tcPr>
            <w:tcW w:w="532" w:type="pct"/>
            <w:shd w:val="clear" w:color="auto" w:fill="auto"/>
            <w:vAlign w:val="center"/>
          </w:tcPr>
          <w:p w14:paraId="132F634C">
            <w:pPr>
              <w:jc w:val="center"/>
              <w:rPr>
                <w:rFonts w:hint="eastAsia" w:asciiTheme="minorEastAsia" w:hAnsiTheme="minorEastAsia" w:eastAsiaTheme="minorEastAsia" w:cstheme="minorEastAsia"/>
                <w:bCs/>
                <w:color w:val="000000"/>
                <w:sz w:val="24"/>
                <w:szCs w:val="24"/>
                <w:lang w:val="en-US" w:eastAsia="zh-CN"/>
              </w:rPr>
            </w:pPr>
            <w:r>
              <w:rPr>
                <w:rFonts w:hint="eastAsia" w:asciiTheme="minorEastAsia" w:hAnsiTheme="minorEastAsia" w:eastAsiaTheme="minorEastAsia" w:cstheme="minorEastAsia"/>
                <w:bCs/>
                <w:color w:val="000000"/>
                <w:sz w:val="24"/>
                <w:szCs w:val="24"/>
                <w:lang w:val="en-US" w:eastAsia="zh-CN"/>
              </w:rPr>
              <w:t>1</w:t>
            </w:r>
          </w:p>
        </w:tc>
        <w:tc>
          <w:tcPr>
            <w:tcW w:w="950" w:type="pct"/>
            <w:shd w:val="clear" w:color="auto" w:fill="auto"/>
            <w:vAlign w:val="center"/>
          </w:tcPr>
          <w:p w14:paraId="6F29949C">
            <w:pPr>
              <w:jc w:val="center"/>
              <w:rPr>
                <w:rFonts w:hint="eastAsia" w:asciiTheme="minorEastAsia" w:hAnsiTheme="minorEastAsia" w:eastAsiaTheme="minorEastAsia" w:cstheme="minorEastAsia"/>
                <w:bCs/>
                <w:color w:val="000000"/>
                <w:sz w:val="24"/>
                <w:szCs w:val="24"/>
                <w:lang w:val="en-US" w:eastAsia="zh-CN"/>
              </w:rPr>
            </w:pPr>
            <w:r>
              <w:rPr>
                <w:rFonts w:hint="eastAsia" w:asciiTheme="minorEastAsia" w:hAnsiTheme="minorEastAsia" w:eastAsiaTheme="minorEastAsia" w:cstheme="minorEastAsia"/>
                <w:bCs/>
                <w:color w:val="000000"/>
                <w:sz w:val="24"/>
                <w:szCs w:val="24"/>
                <w:lang w:val="en-US" w:eastAsia="zh-CN"/>
              </w:rPr>
              <w:t>项</w:t>
            </w:r>
          </w:p>
        </w:tc>
        <w:tc>
          <w:tcPr>
            <w:tcW w:w="853" w:type="pct"/>
            <w:vAlign w:val="center"/>
          </w:tcPr>
          <w:p w14:paraId="5F765CC9">
            <w:pPr>
              <w:jc w:val="center"/>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拒绝进口</w:t>
            </w:r>
          </w:p>
        </w:tc>
      </w:tr>
      <w:tr w14:paraId="691B0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8" w:type="pct"/>
            <w:vAlign w:val="top"/>
          </w:tcPr>
          <w:p w14:paraId="257576C5">
            <w:pPr>
              <w:numPr>
                <w:ilvl w:val="0"/>
                <w:numId w:val="2"/>
              </w:numPr>
              <w:ind w:left="425" w:leftChars="0" w:hanging="425" w:firstLineChars="0"/>
              <w:jc w:val="center"/>
              <w:rPr>
                <w:rFonts w:hint="eastAsia" w:asciiTheme="minorEastAsia" w:hAnsiTheme="minorEastAsia" w:eastAsiaTheme="minorEastAsia" w:cstheme="minorEastAsia"/>
                <w:bCs/>
                <w:color w:val="000000"/>
                <w:sz w:val="24"/>
                <w:szCs w:val="24"/>
                <w:lang w:val="en-US" w:eastAsia="zh-CN"/>
              </w:rPr>
            </w:pPr>
          </w:p>
        </w:tc>
        <w:tc>
          <w:tcPr>
            <w:tcW w:w="2075" w:type="pct"/>
            <w:shd w:val="clear" w:color="auto" w:fill="auto"/>
            <w:vAlign w:val="center"/>
          </w:tcPr>
          <w:p w14:paraId="28F56630">
            <w:pPr>
              <w:jc w:val="center"/>
              <w:rPr>
                <w:rFonts w:hint="eastAsia" w:asciiTheme="minorEastAsia" w:hAnsiTheme="minorEastAsia" w:eastAsiaTheme="minorEastAsia" w:cstheme="minorEastAsia"/>
                <w:bCs/>
                <w:color w:val="000000"/>
                <w:sz w:val="24"/>
                <w:szCs w:val="24"/>
                <w:lang w:val="en-US" w:eastAsia="zh-CN"/>
              </w:rPr>
            </w:pPr>
            <w:r>
              <w:rPr>
                <w:rFonts w:hint="eastAsia" w:asciiTheme="minorEastAsia" w:hAnsiTheme="minorEastAsia" w:eastAsiaTheme="minorEastAsia" w:cstheme="minorEastAsia"/>
                <w:bCs/>
                <w:color w:val="000000"/>
                <w:sz w:val="24"/>
                <w:szCs w:val="24"/>
                <w:lang w:val="en-US" w:eastAsia="zh-CN"/>
              </w:rPr>
              <w:t>定制款墙面造型柜</w:t>
            </w:r>
          </w:p>
        </w:tc>
        <w:tc>
          <w:tcPr>
            <w:tcW w:w="532" w:type="pct"/>
            <w:shd w:val="clear" w:color="auto" w:fill="auto"/>
            <w:vAlign w:val="center"/>
          </w:tcPr>
          <w:p w14:paraId="7DA8DD35">
            <w:pPr>
              <w:jc w:val="center"/>
              <w:rPr>
                <w:rFonts w:hint="eastAsia" w:asciiTheme="minorEastAsia" w:hAnsiTheme="minorEastAsia" w:eastAsiaTheme="minorEastAsia" w:cstheme="minorEastAsia"/>
                <w:bCs/>
                <w:color w:val="000000"/>
                <w:sz w:val="24"/>
                <w:szCs w:val="24"/>
                <w:lang w:val="en-US" w:eastAsia="zh-CN"/>
              </w:rPr>
            </w:pPr>
            <w:r>
              <w:rPr>
                <w:rFonts w:hint="eastAsia" w:asciiTheme="minorEastAsia" w:hAnsiTheme="minorEastAsia" w:eastAsiaTheme="minorEastAsia" w:cstheme="minorEastAsia"/>
                <w:bCs/>
                <w:color w:val="000000"/>
                <w:sz w:val="24"/>
                <w:szCs w:val="24"/>
                <w:lang w:val="en-US" w:eastAsia="zh-CN"/>
              </w:rPr>
              <w:t>1</w:t>
            </w:r>
          </w:p>
        </w:tc>
        <w:tc>
          <w:tcPr>
            <w:tcW w:w="950" w:type="pct"/>
            <w:shd w:val="clear" w:color="auto" w:fill="auto"/>
            <w:vAlign w:val="center"/>
          </w:tcPr>
          <w:p w14:paraId="3975AA8C">
            <w:pPr>
              <w:jc w:val="center"/>
              <w:rPr>
                <w:rFonts w:hint="eastAsia" w:asciiTheme="minorEastAsia" w:hAnsiTheme="minorEastAsia" w:eastAsiaTheme="minorEastAsia" w:cstheme="minorEastAsia"/>
                <w:bCs/>
                <w:color w:val="000000"/>
                <w:sz w:val="24"/>
                <w:szCs w:val="24"/>
                <w:lang w:val="en-US" w:eastAsia="zh-CN"/>
              </w:rPr>
            </w:pPr>
            <w:r>
              <w:rPr>
                <w:rFonts w:hint="eastAsia" w:asciiTheme="minorEastAsia" w:hAnsiTheme="minorEastAsia" w:eastAsiaTheme="minorEastAsia" w:cstheme="minorEastAsia"/>
                <w:bCs/>
                <w:color w:val="000000"/>
                <w:sz w:val="24"/>
                <w:szCs w:val="24"/>
                <w:lang w:val="en-US" w:eastAsia="zh-CN"/>
              </w:rPr>
              <w:t>项</w:t>
            </w:r>
          </w:p>
        </w:tc>
        <w:tc>
          <w:tcPr>
            <w:tcW w:w="853" w:type="pct"/>
            <w:vAlign w:val="center"/>
          </w:tcPr>
          <w:p w14:paraId="74058EC3">
            <w:pPr>
              <w:jc w:val="center"/>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拒绝进口</w:t>
            </w:r>
          </w:p>
        </w:tc>
      </w:tr>
      <w:tr w14:paraId="73BD6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8" w:type="pct"/>
            <w:vAlign w:val="top"/>
          </w:tcPr>
          <w:p w14:paraId="70CE566C">
            <w:pPr>
              <w:numPr>
                <w:ilvl w:val="0"/>
                <w:numId w:val="2"/>
              </w:numPr>
              <w:ind w:left="425" w:leftChars="0" w:hanging="425" w:firstLineChars="0"/>
              <w:jc w:val="center"/>
              <w:rPr>
                <w:rFonts w:hint="eastAsia" w:asciiTheme="minorEastAsia" w:hAnsiTheme="minorEastAsia" w:eastAsiaTheme="minorEastAsia" w:cstheme="minorEastAsia"/>
                <w:bCs/>
                <w:color w:val="000000"/>
                <w:sz w:val="24"/>
                <w:szCs w:val="24"/>
                <w:lang w:val="en-US" w:eastAsia="zh-CN"/>
              </w:rPr>
            </w:pPr>
          </w:p>
        </w:tc>
        <w:tc>
          <w:tcPr>
            <w:tcW w:w="2075" w:type="pct"/>
            <w:shd w:val="clear" w:color="auto" w:fill="auto"/>
            <w:vAlign w:val="center"/>
          </w:tcPr>
          <w:p w14:paraId="77D1F2CB">
            <w:pPr>
              <w:jc w:val="center"/>
              <w:rPr>
                <w:rFonts w:hint="eastAsia" w:asciiTheme="minorEastAsia" w:hAnsiTheme="minorEastAsia" w:eastAsiaTheme="minorEastAsia" w:cstheme="minorEastAsia"/>
                <w:bCs/>
                <w:color w:val="000000"/>
                <w:sz w:val="24"/>
                <w:szCs w:val="24"/>
                <w:lang w:val="en-US" w:eastAsia="zh-CN"/>
              </w:rPr>
            </w:pPr>
            <w:r>
              <w:rPr>
                <w:rFonts w:hint="eastAsia" w:asciiTheme="minorEastAsia" w:hAnsiTheme="minorEastAsia" w:eastAsiaTheme="minorEastAsia" w:cstheme="minorEastAsia"/>
                <w:bCs/>
                <w:color w:val="000000"/>
                <w:sz w:val="24"/>
                <w:szCs w:val="24"/>
                <w:lang w:val="en-US" w:eastAsia="zh-CN"/>
              </w:rPr>
              <w:t>电源自动升降机构</w:t>
            </w:r>
          </w:p>
        </w:tc>
        <w:tc>
          <w:tcPr>
            <w:tcW w:w="532" w:type="pct"/>
            <w:shd w:val="clear" w:color="auto" w:fill="auto"/>
            <w:vAlign w:val="center"/>
          </w:tcPr>
          <w:p w14:paraId="071DD761">
            <w:pPr>
              <w:jc w:val="center"/>
              <w:rPr>
                <w:rFonts w:hint="eastAsia" w:asciiTheme="minorEastAsia" w:hAnsiTheme="minorEastAsia" w:eastAsiaTheme="minorEastAsia" w:cstheme="minorEastAsia"/>
                <w:bCs/>
                <w:color w:val="000000"/>
                <w:sz w:val="24"/>
                <w:szCs w:val="24"/>
                <w:lang w:val="en-US" w:eastAsia="zh-CN"/>
              </w:rPr>
            </w:pPr>
            <w:r>
              <w:rPr>
                <w:rFonts w:hint="eastAsia" w:asciiTheme="minorEastAsia" w:hAnsiTheme="minorEastAsia" w:eastAsiaTheme="minorEastAsia" w:cstheme="minorEastAsia"/>
                <w:bCs/>
                <w:color w:val="000000"/>
                <w:sz w:val="24"/>
                <w:szCs w:val="24"/>
                <w:lang w:val="en-US" w:eastAsia="zh-CN"/>
              </w:rPr>
              <w:t>11</w:t>
            </w:r>
          </w:p>
        </w:tc>
        <w:tc>
          <w:tcPr>
            <w:tcW w:w="950" w:type="pct"/>
            <w:shd w:val="clear" w:color="auto" w:fill="auto"/>
            <w:vAlign w:val="center"/>
          </w:tcPr>
          <w:p w14:paraId="549192EB">
            <w:pPr>
              <w:jc w:val="center"/>
              <w:rPr>
                <w:rFonts w:hint="eastAsia" w:asciiTheme="minorEastAsia" w:hAnsiTheme="minorEastAsia" w:eastAsiaTheme="minorEastAsia" w:cstheme="minorEastAsia"/>
                <w:bCs/>
                <w:color w:val="000000"/>
                <w:sz w:val="24"/>
                <w:szCs w:val="24"/>
                <w:lang w:val="en-US" w:eastAsia="zh-CN"/>
              </w:rPr>
            </w:pPr>
            <w:r>
              <w:rPr>
                <w:rFonts w:hint="eastAsia" w:asciiTheme="minorEastAsia" w:hAnsiTheme="minorEastAsia" w:eastAsiaTheme="minorEastAsia" w:cstheme="minorEastAsia"/>
                <w:bCs/>
                <w:color w:val="000000"/>
                <w:sz w:val="24"/>
                <w:szCs w:val="24"/>
                <w:lang w:val="en-US" w:eastAsia="zh-CN"/>
              </w:rPr>
              <w:t>套</w:t>
            </w:r>
          </w:p>
        </w:tc>
        <w:tc>
          <w:tcPr>
            <w:tcW w:w="853" w:type="pct"/>
            <w:vAlign w:val="center"/>
          </w:tcPr>
          <w:p w14:paraId="113230AC">
            <w:pPr>
              <w:jc w:val="center"/>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拒绝进口</w:t>
            </w:r>
          </w:p>
        </w:tc>
      </w:tr>
      <w:tr w14:paraId="2CC4E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8" w:type="pct"/>
            <w:vAlign w:val="top"/>
          </w:tcPr>
          <w:p w14:paraId="7AAE4652">
            <w:pPr>
              <w:numPr>
                <w:ilvl w:val="0"/>
                <w:numId w:val="2"/>
              </w:numPr>
              <w:ind w:left="425" w:leftChars="0" w:hanging="425" w:firstLineChars="0"/>
              <w:jc w:val="center"/>
              <w:rPr>
                <w:rFonts w:hint="eastAsia" w:asciiTheme="minorEastAsia" w:hAnsiTheme="minorEastAsia" w:eastAsiaTheme="minorEastAsia" w:cstheme="minorEastAsia"/>
                <w:bCs/>
                <w:color w:val="000000"/>
                <w:sz w:val="24"/>
                <w:szCs w:val="24"/>
                <w:lang w:val="en-US" w:eastAsia="zh-CN"/>
              </w:rPr>
            </w:pPr>
          </w:p>
        </w:tc>
        <w:tc>
          <w:tcPr>
            <w:tcW w:w="2075" w:type="pct"/>
            <w:shd w:val="clear" w:color="auto" w:fill="auto"/>
            <w:vAlign w:val="center"/>
          </w:tcPr>
          <w:p w14:paraId="657D355A">
            <w:pPr>
              <w:jc w:val="center"/>
              <w:rPr>
                <w:rFonts w:hint="eastAsia" w:asciiTheme="minorEastAsia" w:hAnsiTheme="minorEastAsia" w:eastAsiaTheme="minorEastAsia" w:cstheme="minorEastAsia"/>
                <w:bCs/>
                <w:color w:val="000000"/>
                <w:sz w:val="24"/>
                <w:szCs w:val="24"/>
                <w:lang w:val="en-US" w:eastAsia="zh-CN"/>
              </w:rPr>
            </w:pPr>
            <w:r>
              <w:rPr>
                <w:rFonts w:hint="eastAsia" w:asciiTheme="minorEastAsia" w:hAnsiTheme="minorEastAsia" w:eastAsiaTheme="minorEastAsia" w:cstheme="minorEastAsia"/>
                <w:bCs/>
                <w:color w:val="000000"/>
                <w:sz w:val="24"/>
                <w:szCs w:val="24"/>
                <w:lang w:val="en-US" w:eastAsia="zh-CN"/>
              </w:rPr>
              <w:t>智能电源</w:t>
            </w:r>
          </w:p>
        </w:tc>
        <w:tc>
          <w:tcPr>
            <w:tcW w:w="532" w:type="pct"/>
            <w:shd w:val="clear" w:color="auto" w:fill="auto"/>
            <w:vAlign w:val="center"/>
          </w:tcPr>
          <w:p w14:paraId="543FC0EC">
            <w:pPr>
              <w:jc w:val="center"/>
              <w:rPr>
                <w:rFonts w:hint="eastAsia" w:asciiTheme="minorEastAsia" w:hAnsiTheme="minorEastAsia" w:eastAsiaTheme="minorEastAsia" w:cstheme="minorEastAsia"/>
                <w:bCs/>
                <w:color w:val="000000"/>
                <w:sz w:val="24"/>
                <w:szCs w:val="24"/>
                <w:lang w:val="en-US" w:eastAsia="zh-CN"/>
              </w:rPr>
            </w:pPr>
            <w:r>
              <w:rPr>
                <w:rFonts w:hint="eastAsia" w:asciiTheme="minorEastAsia" w:hAnsiTheme="minorEastAsia" w:eastAsiaTheme="minorEastAsia" w:cstheme="minorEastAsia"/>
                <w:bCs/>
                <w:color w:val="000000"/>
                <w:sz w:val="24"/>
                <w:szCs w:val="24"/>
                <w:lang w:val="en-US" w:eastAsia="zh-CN"/>
              </w:rPr>
              <w:t>11</w:t>
            </w:r>
          </w:p>
        </w:tc>
        <w:tc>
          <w:tcPr>
            <w:tcW w:w="950" w:type="pct"/>
            <w:shd w:val="clear" w:color="auto" w:fill="auto"/>
            <w:vAlign w:val="center"/>
          </w:tcPr>
          <w:p w14:paraId="1C19C23E">
            <w:pPr>
              <w:jc w:val="center"/>
              <w:rPr>
                <w:rFonts w:hint="eastAsia" w:asciiTheme="minorEastAsia" w:hAnsiTheme="minorEastAsia" w:eastAsiaTheme="minorEastAsia" w:cstheme="minorEastAsia"/>
                <w:bCs/>
                <w:color w:val="000000"/>
                <w:sz w:val="24"/>
                <w:szCs w:val="24"/>
                <w:lang w:val="en-US" w:eastAsia="zh-CN"/>
              </w:rPr>
            </w:pPr>
            <w:r>
              <w:rPr>
                <w:rFonts w:hint="eastAsia" w:asciiTheme="minorEastAsia" w:hAnsiTheme="minorEastAsia" w:eastAsiaTheme="minorEastAsia" w:cstheme="minorEastAsia"/>
                <w:bCs/>
                <w:color w:val="000000"/>
                <w:sz w:val="24"/>
                <w:szCs w:val="24"/>
                <w:lang w:val="en-US" w:eastAsia="zh-CN"/>
              </w:rPr>
              <w:t>套</w:t>
            </w:r>
          </w:p>
        </w:tc>
        <w:tc>
          <w:tcPr>
            <w:tcW w:w="853" w:type="pct"/>
            <w:vAlign w:val="center"/>
          </w:tcPr>
          <w:p w14:paraId="793E6DCF">
            <w:pPr>
              <w:jc w:val="center"/>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拒绝进口</w:t>
            </w:r>
          </w:p>
        </w:tc>
      </w:tr>
      <w:tr w14:paraId="44ECD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8" w:type="pct"/>
            <w:vAlign w:val="top"/>
          </w:tcPr>
          <w:p w14:paraId="1138185E">
            <w:pPr>
              <w:numPr>
                <w:ilvl w:val="0"/>
                <w:numId w:val="2"/>
              </w:numPr>
              <w:ind w:left="425" w:leftChars="0" w:hanging="425" w:firstLineChars="0"/>
              <w:jc w:val="center"/>
              <w:rPr>
                <w:rFonts w:hint="eastAsia" w:asciiTheme="minorEastAsia" w:hAnsiTheme="minorEastAsia" w:eastAsiaTheme="minorEastAsia" w:cstheme="minorEastAsia"/>
                <w:bCs/>
                <w:color w:val="000000"/>
                <w:sz w:val="24"/>
                <w:szCs w:val="24"/>
                <w:lang w:val="en-US" w:eastAsia="zh-CN"/>
              </w:rPr>
            </w:pPr>
          </w:p>
        </w:tc>
        <w:tc>
          <w:tcPr>
            <w:tcW w:w="2075" w:type="pct"/>
            <w:shd w:val="clear" w:color="auto" w:fill="auto"/>
            <w:vAlign w:val="center"/>
          </w:tcPr>
          <w:p w14:paraId="3A605E84">
            <w:pPr>
              <w:jc w:val="center"/>
              <w:rPr>
                <w:rFonts w:hint="eastAsia" w:asciiTheme="minorEastAsia" w:hAnsiTheme="minorEastAsia" w:eastAsiaTheme="minorEastAsia" w:cstheme="minorEastAsia"/>
                <w:bCs/>
                <w:color w:val="000000"/>
                <w:sz w:val="24"/>
                <w:szCs w:val="24"/>
                <w:lang w:val="en-US" w:eastAsia="zh-CN"/>
              </w:rPr>
            </w:pPr>
            <w:r>
              <w:rPr>
                <w:rFonts w:hint="eastAsia" w:asciiTheme="minorEastAsia" w:hAnsiTheme="minorEastAsia" w:eastAsiaTheme="minorEastAsia" w:cstheme="minorEastAsia"/>
                <w:bCs/>
                <w:color w:val="000000"/>
                <w:sz w:val="24"/>
                <w:szCs w:val="24"/>
                <w:lang w:val="en-US" w:eastAsia="zh-CN"/>
              </w:rPr>
              <w:t>智能照明</w:t>
            </w:r>
          </w:p>
        </w:tc>
        <w:tc>
          <w:tcPr>
            <w:tcW w:w="532" w:type="pct"/>
            <w:shd w:val="clear" w:color="auto" w:fill="auto"/>
            <w:vAlign w:val="center"/>
          </w:tcPr>
          <w:p w14:paraId="79ACDC31">
            <w:pPr>
              <w:jc w:val="center"/>
              <w:rPr>
                <w:rFonts w:hint="eastAsia" w:asciiTheme="minorEastAsia" w:hAnsiTheme="minorEastAsia" w:eastAsiaTheme="minorEastAsia" w:cstheme="minorEastAsia"/>
                <w:bCs/>
                <w:color w:val="000000"/>
                <w:sz w:val="24"/>
                <w:szCs w:val="24"/>
                <w:lang w:val="en-US" w:eastAsia="zh-CN"/>
              </w:rPr>
            </w:pPr>
            <w:r>
              <w:rPr>
                <w:rFonts w:hint="eastAsia" w:asciiTheme="minorEastAsia" w:hAnsiTheme="minorEastAsia" w:eastAsiaTheme="minorEastAsia" w:cstheme="minorEastAsia"/>
                <w:bCs/>
                <w:color w:val="000000"/>
                <w:sz w:val="24"/>
                <w:szCs w:val="24"/>
                <w:lang w:val="en-US" w:eastAsia="zh-CN"/>
              </w:rPr>
              <w:t>11</w:t>
            </w:r>
          </w:p>
        </w:tc>
        <w:tc>
          <w:tcPr>
            <w:tcW w:w="950" w:type="pct"/>
            <w:shd w:val="clear" w:color="auto" w:fill="auto"/>
            <w:vAlign w:val="center"/>
          </w:tcPr>
          <w:p w14:paraId="77439E4C">
            <w:pPr>
              <w:jc w:val="center"/>
              <w:rPr>
                <w:rFonts w:hint="eastAsia" w:asciiTheme="minorEastAsia" w:hAnsiTheme="minorEastAsia" w:eastAsiaTheme="minorEastAsia" w:cstheme="minorEastAsia"/>
                <w:bCs/>
                <w:color w:val="000000"/>
                <w:sz w:val="24"/>
                <w:szCs w:val="24"/>
                <w:lang w:val="en-US" w:eastAsia="zh-CN"/>
              </w:rPr>
            </w:pPr>
            <w:r>
              <w:rPr>
                <w:rFonts w:hint="eastAsia" w:asciiTheme="minorEastAsia" w:hAnsiTheme="minorEastAsia" w:eastAsiaTheme="minorEastAsia" w:cstheme="minorEastAsia"/>
                <w:bCs/>
                <w:color w:val="000000"/>
                <w:sz w:val="24"/>
                <w:szCs w:val="24"/>
                <w:lang w:val="en-US" w:eastAsia="zh-CN"/>
              </w:rPr>
              <w:t>套</w:t>
            </w:r>
          </w:p>
        </w:tc>
        <w:tc>
          <w:tcPr>
            <w:tcW w:w="853" w:type="pct"/>
            <w:vAlign w:val="center"/>
          </w:tcPr>
          <w:p w14:paraId="5A2598F7">
            <w:pPr>
              <w:jc w:val="center"/>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拒绝进口</w:t>
            </w:r>
          </w:p>
        </w:tc>
      </w:tr>
      <w:tr w14:paraId="66B97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8" w:type="pct"/>
            <w:vAlign w:val="top"/>
          </w:tcPr>
          <w:p w14:paraId="03579A56">
            <w:pPr>
              <w:numPr>
                <w:ilvl w:val="0"/>
                <w:numId w:val="2"/>
              </w:numPr>
              <w:ind w:left="425" w:leftChars="0" w:hanging="425" w:firstLineChars="0"/>
              <w:jc w:val="center"/>
              <w:rPr>
                <w:rFonts w:hint="eastAsia" w:asciiTheme="minorEastAsia" w:hAnsiTheme="minorEastAsia" w:eastAsiaTheme="minorEastAsia" w:cstheme="minorEastAsia"/>
                <w:bCs/>
                <w:color w:val="000000"/>
                <w:sz w:val="24"/>
                <w:szCs w:val="24"/>
                <w:lang w:val="en-US" w:eastAsia="zh-CN"/>
              </w:rPr>
            </w:pPr>
          </w:p>
        </w:tc>
        <w:tc>
          <w:tcPr>
            <w:tcW w:w="2075" w:type="pct"/>
            <w:shd w:val="clear" w:color="auto" w:fill="auto"/>
            <w:vAlign w:val="center"/>
          </w:tcPr>
          <w:p w14:paraId="18E048A8">
            <w:pPr>
              <w:jc w:val="center"/>
              <w:rPr>
                <w:rFonts w:hint="eastAsia" w:asciiTheme="minorEastAsia" w:hAnsiTheme="minorEastAsia" w:eastAsiaTheme="minorEastAsia" w:cstheme="minorEastAsia"/>
                <w:bCs/>
                <w:color w:val="000000"/>
                <w:sz w:val="24"/>
                <w:szCs w:val="24"/>
                <w:lang w:val="en-US" w:eastAsia="zh-CN"/>
              </w:rPr>
            </w:pPr>
            <w:r>
              <w:rPr>
                <w:rFonts w:hint="eastAsia" w:asciiTheme="minorEastAsia" w:hAnsiTheme="minorEastAsia" w:eastAsiaTheme="minorEastAsia" w:cstheme="minorEastAsia"/>
                <w:bCs/>
                <w:color w:val="000000"/>
                <w:sz w:val="24"/>
                <w:szCs w:val="24"/>
                <w:lang w:val="en-US" w:eastAsia="zh-CN"/>
              </w:rPr>
              <w:t>智能控制柜</w:t>
            </w:r>
          </w:p>
        </w:tc>
        <w:tc>
          <w:tcPr>
            <w:tcW w:w="532" w:type="pct"/>
            <w:shd w:val="clear" w:color="auto" w:fill="auto"/>
            <w:vAlign w:val="center"/>
          </w:tcPr>
          <w:p w14:paraId="6A2563C8">
            <w:pPr>
              <w:jc w:val="center"/>
              <w:rPr>
                <w:rFonts w:hint="eastAsia" w:asciiTheme="minorEastAsia" w:hAnsiTheme="minorEastAsia" w:eastAsiaTheme="minorEastAsia" w:cstheme="minorEastAsia"/>
                <w:bCs/>
                <w:color w:val="000000"/>
                <w:sz w:val="24"/>
                <w:szCs w:val="24"/>
                <w:lang w:val="en-US" w:eastAsia="zh-CN"/>
              </w:rPr>
            </w:pPr>
            <w:r>
              <w:rPr>
                <w:rFonts w:hint="eastAsia" w:asciiTheme="minorEastAsia" w:hAnsiTheme="minorEastAsia" w:eastAsiaTheme="minorEastAsia" w:cstheme="minorEastAsia"/>
                <w:bCs/>
                <w:color w:val="000000"/>
                <w:sz w:val="24"/>
                <w:szCs w:val="24"/>
                <w:lang w:val="en-US" w:eastAsia="zh-CN"/>
              </w:rPr>
              <w:t>1</w:t>
            </w:r>
          </w:p>
        </w:tc>
        <w:tc>
          <w:tcPr>
            <w:tcW w:w="950" w:type="pct"/>
            <w:shd w:val="clear" w:color="auto" w:fill="auto"/>
            <w:vAlign w:val="center"/>
          </w:tcPr>
          <w:p w14:paraId="52D828A8">
            <w:pPr>
              <w:jc w:val="center"/>
              <w:rPr>
                <w:rFonts w:hint="eastAsia" w:asciiTheme="minorEastAsia" w:hAnsiTheme="minorEastAsia" w:eastAsiaTheme="minorEastAsia" w:cstheme="minorEastAsia"/>
                <w:bCs/>
                <w:color w:val="000000"/>
                <w:sz w:val="24"/>
                <w:szCs w:val="24"/>
                <w:lang w:val="en-US" w:eastAsia="zh-CN"/>
              </w:rPr>
            </w:pPr>
            <w:r>
              <w:rPr>
                <w:rFonts w:hint="eastAsia" w:asciiTheme="minorEastAsia" w:hAnsiTheme="minorEastAsia" w:eastAsiaTheme="minorEastAsia" w:cstheme="minorEastAsia"/>
                <w:bCs/>
                <w:color w:val="000000"/>
                <w:sz w:val="24"/>
                <w:szCs w:val="24"/>
                <w:lang w:val="en-US" w:eastAsia="zh-CN"/>
              </w:rPr>
              <w:t>台</w:t>
            </w:r>
          </w:p>
        </w:tc>
        <w:tc>
          <w:tcPr>
            <w:tcW w:w="853" w:type="pct"/>
            <w:vAlign w:val="center"/>
          </w:tcPr>
          <w:p w14:paraId="5DF9C050">
            <w:pPr>
              <w:jc w:val="center"/>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拒绝进口</w:t>
            </w:r>
          </w:p>
        </w:tc>
      </w:tr>
      <w:tr w14:paraId="468FC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8" w:type="pct"/>
            <w:vAlign w:val="top"/>
          </w:tcPr>
          <w:p w14:paraId="49610165">
            <w:pPr>
              <w:numPr>
                <w:ilvl w:val="0"/>
                <w:numId w:val="2"/>
              </w:numPr>
              <w:ind w:left="425" w:leftChars="0" w:hanging="425" w:firstLineChars="0"/>
              <w:jc w:val="center"/>
              <w:rPr>
                <w:rFonts w:hint="eastAsia" w:asciiTheme="minorEastAsia" w:hAnsiTheme="minorEastAsia" w:eastAsiaTheme="minorEastAsia" w:cstheme="minorEastAsia"/>
                <w:bCs/>
                <w:color w:val="000000"/>
                <w:sz w:val="24"/>
                <w:szCs w:val="24"/>
                <w:lang w:val="en-US" w:eastAsia="zh-CN"/>
              </w:rPr>
            </w:pPr>
          </w:p>
        </w:tc>
        <w:tc>
          <w:tcPr>
            <w:tcW w:w="2075" w:type="pct"/>
            <w:shd w:val="clear" w:color="auto" w:fill="auto"/>
            <w:vAlign w:val="center"/>
          </w:tcPr>
          <w:p w14:paraId="58E4819C">
            <w:pPr>
              <w:jc w:val="center"/>
              <w:rPr>
                <w:rFonts w:hint="eastAsia" w:asciiTheme="minorEastAsia" w:hAnsiTheme="minorEastAsia" w:eastAsiaTheme="minorEastAsia" w:cstheme="minorEastAsia"/>
                <w:bCs/>
                <w:color w:val="000000"/>
                <w:sz w:val="24"/>
                <w:szCs w:val="24"/>
                <w:lang w:val="en-US" w:eastAsia="zh-CN"/>
              </w:rPr>
            </w:pPr>
            <w:r>
              <w:rPr>
                <w:rFonts w:hint="eastAsia" w:asciiTheme="minorEastAsia" w:hAnsiTheme="minorEastAsia" w:eastAsiaTheme="minorEastAsia" w:cstheme="minorEastAsia"/>
                <w:bCs/>
                <w:color w:val="000000"/>
                <w:sz w:val="24"/>
                <w:szCs w:val="24"/>
                <w:lang w:val="en-US" w:eastAsia="zh-CN"/>
              </w:rPr>
              <w:t>LED卡扣灯具</w:t>
            </w:r>
          </w:p>
        </w:tc>
        <w:tc>
          <w:tcPr>
            <w:tcW w:w="532" w:type="pct"/>
            <w:shd w:val="clear" w:color="auto" w:fill="auto"/>
            <w:vAlign w:val="center"/>
          </w:tcPr>
          <w:p w14:paraId="2BA95FCE">
            <w:pPr>
              <w:jc w:val="center"/>
              <w:rPr>
                <w:rFonts w:hint="eastAsia" w:asciiTheme="minorEastAsia" w:hAnsiTheme="minorEastAsia" w:eastAsiaTheme="minorEastAsia" w:cstheme="minorEastAsia"/>
                <w:bCs/>
                <w:color w:val="000000"/>
                <w:sz w:val="24"/>
                <w:szCs w:val="24"/>
                <w:lang w:val="en-US" w:eastAsia="zh-CN"/>
              </w:rPr>
            </w:pPr>
            <w:r>
              <w:rPr>
                <w:rFonts w:hint="eastAsia" w:asciiTheme="minorEastAsia" w:hAnsiTheme="minorEastAsia" w:eastAsiaTheme="minorEastAsia" w:cstheme="minorEastAsia"/>
                <w:bCs/>
                <w:color w:val="000000"/>
                <w:sz w:val="24"/>
                <w:szCs w:val="24"/>
                <w:lang w:val="en-US" w:eastAsia="zh-CN"/>
              </w:rPr>
              <w:t>12</w:t>
            </w:r>
          </w:p>
        </w:tc>
        <w:tc>
          <w:tcPr>
            <w:tcW w:w="950" w:type="pct"/>
            <w:shd w:val="clear" w:color="auto" w:fill="auto"/>
            <w:vAlign w:val="center"/>
          </w:tcPr>
          <w:p w14:paraId="551055B5">
            <w:pPr>
              <w:jc w:val="center"/>
              <w:rPr>
                <w:rFonts w:hint="eastAsia" w:asciiTheme="minorEastAsia" w:hAnsiTheme="minorEastAsia" w:eastAsiaTheme="minorEastAsia" w:cstheme="minorEastAsia"/>
                <w:bCs/>
                <w:color w:val="000000"/>
                <w:sz w:val="24"/>
                <w:szCs w:val="24"/>
                <w:lang w:val="en-US" w:eastAsia="zh-CN"/>
              </w:rPr>
            </w:pPr>
            <w:r>
              <w:rPr>
                <w:rFonts w:hint="eastAsia" w:asciiTheme="minorEastAsia" w:hAnsiTheme="minorEastAsia" w:eastAsiaTheme="minorEastAsia" w:cstheme="minorEastAsia"/>
                <w:bCs/>
                <w:color w:val="000000"/>
                <w:sz w:val="24"/>
                <w:szCs w:val="24"/>
                <w:lang w:val="en-US" w:eastAsia="zh-CN"/>
              </w:rPr>
              <w:t>套</w:t>
            </w:r>
          </w:p>
        </w:tc>
        <w:tc>
          <w:tcPr>
            <w:tcW w:w="853" w:type="pct"/>
            <w:vAlign w:val="center"/>
          </w:tcPr>
          <w:p w14:paraId="255E15B1">
            <w:pPr>
              <w:jc w:val="center"/>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拒绝进口</w:t>
            </w:r>
          </w:p>
        </w:tc>
      </w:tr>
      <w:tr w14:paraId="4440F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8" w:type="pct"/>
            <w:vAlign w:val="top"/>
          </w:tcPr>
          <w:p w14:paraId="1EE48F8E">
            <w:pPr>
              <w:numPr>
                <w:ilvl w:val="0"/>
                <w:numId w:val="2"/>
              </w:numPr>
              <w:ind w:left="425" w:leftChars="0" w:hanging="425" w:firstLineChars="0"/>
              <w:jc w:val="center"/>
              <w:rPr>
                <w:rFonts w:hint="eastAsia" w:asciiTheme="minorEastAsia" w:hAnsiTheme="minorEastAsia" w:eastAsiaTheme="minorEastAsia" w:cstheme="minorEastAsia"/>
                <w:bCs/>
                <w:color w:val="000000"/>
                <w:sz w:val="24"/>
                <w:szCs w:val="24"/>
                <w:lang w:val="en-US" w:eastAsia="zh-CN"/>
              </w:rPr>
            </w:pPr>
          </w:p>
        </w:tc>
        <w:tc>
          <w:tcPr>
            <w:tcW w:w="2075" w:type="pct"/>
            <w:shd w:val="clear" w:color="auto" w:fill="auto"/>
            <w:vAlign w:val="center"/>
          </w:tcPr>
          <w:p w14:paraId="2FB7DABA">
            <w:pPr>
              <w:jc w:val="center"/>
              <w:rPr>
                <w:rFonts w:hint="eastAsia" w:asciiTheme="minorEastAsia" w:hAnsiTheme="minorEastAsia" w:eastAsiaTheme="minorEastAsia" w:cstheme="minorEastAsia"/>
                <w:bCs/>
                <w:color w:val="000000"/>
                <w:sz w:val="24"/>
                <w:szCs w:val="24"/>
                <w:lang w:val="en-US" w:eastAsia="zh-CN"/>
              </w:rPr>
            </w:pPr>
            <w:r>
              <w:rPr>
                <w:rFonts w:hint="eastAsia" w:asciiTheme="minorEastAsia" w:hAnsiTheme="minorEastAsia" w:eastAsiaTheme="minorEastAsia" w:cstheme="minorEastAsia"/>
                <w:bCs/>
                <w:color w:val="000000"/>
                <w:sz w:val="24"/>
                <w:szCs w:val="24"/>
                <w:lang w:val="en-US" w:eastAsia="zh-CN"/>
              </w:rPr>
              <w:t>开关及插座面板</w:t>
            </w:r>
          </w:p>
        </w:tc>
        <w:tc>
          <w:tcPr>
            <w:tcW w:w="532" w:type="pct"/>
            <w:shd w:val="clear" w:color="auto" w:fill="auto"/>
            <w:vAlign w:val="center"/>
          </w:tcPr>
          <w:p w14:paraId="2CC37D2C">
            <w:pPr>
              <w:jc w:val="center"/>
              <w:rPr>
                <w:rFonts w:hint="eastAsia" w:asciiTheme="minorEastAsia" w:hAnsiTheme="minorEastAsia" w:eastAsiaTheme="minorEastAsia" w:cstheme="minorEastAsia"/>
                <w:bCs/>
                <w:color w:val="000000"/>
                <w:sz w:val="24"/>
                <w:szCs w:val="24"/>
                <w:lang w:val="en-US" w:eastAsia="zh-CN"/>
              </w:rPr>
            </w:pPr>
            <w:r>
              <w:rPr>
                <w:rFonts w:hint="eastAsia" w:asciiTheme="minorEastAsia" w:hAnsiTheme="minorEastAsia" w:eastAsiaTheme="minorEastAsia" w:cstheme="minorEastAsia"/>
                <w:bCs/>
                <w:color w:val="000000"/>
                <w:sz w:val="24"/>
                <w:szCs w:val="24"/>
                <w:lang w:val="en-US" w:eastAsia="zh-CN"/>
              </w:rPr>
              <w:t>1</w:t>
            </w:r>
          </w:p>
        </w:tc>
        <w:tc>
          <w:tcPr>
            <w:tcW w:w="950" w:type="pct"/>
            <w:shd w:val="clear" w:color="auto" w:fill="auto"/>
            <w:vAlign w:val="center"/>
          </w:tcPr>
          <w:p w14:paraId="64A4FDB6">
            <w:pPr>
              <w:jc w:val="center"/>
              <w:rPr>
                <w:rFonts w:hint="eastAsia" w:asciiTheme="minorEastAsia" w:hAnsiTheme="minorEastAsia" w:eastAsiaTheme="minorEastAsia" w:cstheme="minorEastAsia"/>
                <w:bCs/>
                <w:color w:val="000000"/>
                <w:sz w:val="24"/>
                <w:szCs w:val="24"/>
                <w:lang w:val="en-US" w:eastAsia="zh-CN"/>
              </w:rPr>
            </w:pPr>
            <w:r>
              <w:rPr>
                <w:rFonts w:hint="eastAsia" w:asciiTheme="minorEastAsia" w:hAnsiTheme="minorEastAsia" w:eastAsiaTheme="minorEastAsia" w:cstheme="minorEastAsia"/>
                <w:bCs/>
                <w:color w:val="000000"/>
                <w:sz w:val="24"/>
                <w:szCs w:val="24"/>
                <w:lang w:val="en-US" w:eastAsia="zh-CN"/>
              </w:rPr>
              <w:t>项</w:t>
            </w:r>
          </w:p>
        </w:tc>
        <w:tc>
          <w:tcPr>
            <w:tcW w:w="853" w:type="pct"/>
            <w:vAlign w:val="center"/>
          </w:tcPr>
          <w:p w14:paraId="0DF8DA12">
            <w:pPr>
              <w:jc w:val="center"/>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拒绝进口</w:t>
            </w:r>
          </w:p>
        </w:tc>
      </w:tr>
      <w:tr w14:paraId="5155A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8" w:type="pct"/>
            <w:vAlign w:val="top"/>
          </w:tcPr>
          <w:p w14:paraId="3E613B4D">
            <w:pPr>
              <w:numPr>
                <w:ilvl w:val="0"/>
                <w:numId w:val="2"/>
              </w:numPr>
              <w:ind w:left="425" w:leftChars="0" w:hanging="425" w:firstLineChars="0"/>
              <w:jc w:val="center"/>
              <w:rPr>
                <w:rFonts w:hint="eastAsia" w:asciiTheme="minorEastAsia" w:hAnsiTheme="minorEastAsia" w:eastAsiaTheme="minorEastAsia" w:cstheme="minorEastAsia"/>
                <w:bCs/>
                <w:color w:val="000000"/>
                <w:sz w:val="24"/>
                <w:szCs w:val="24"/>
                <w:lang w:val="en-US" w:eastAsia="zh-CN"/>
              </w:rPr>
            </w:pPr>
          </w:p>
        </w:tc>
        <w:tc>
          <w:tcPr>
            <w:tcW w:w="2075" w:type="pct"/>
            <w:shd w:val="clear" w:color="auto" w:fill="auto"/>
            <w:vAlign w:val="center"/>
          </w:tcPr>
          <w:p w14:paraId="323DEDC0">
            <w:pPr>
              <w:jc w:val="center"/>
              <w:rPr>
                <w:rFonts w:hint="eastAsia" w:asciiTheme="minorEastAsia" w:hAnsiTheme="minorEastAsia" w:eastAsiaTheme="minorEastAsia" w:cstheme="minorEastAsia"/>
                <w:bCs/>
                <w:color w:val="000000"/>
                <w:sz w:val="24"/>
                <w:szCs w:val="24"/>
                <w:lang w:val="en-US" w:eastAsia="zh-CN"/>
              </w:rPr>
            </w:pPr>
            <w:r>
              <w:rPr>
                <w:rFonts w:hint="eastAsia" w:asciiTheme="minorEastAsia" w:hAnsiTheme="minorEastAsia" w:eastAsiaTheme="minorEastAsia" w:cstheme="minorEastAsia"/>
                <w:bCs/>
                <w:color w:val="000000"/>
                <w:sz w:val="24"/>
                <w:szCs w:val="24"/>
                <w:lang w:val="en-US" w:eastAsia="zh-CN"/>
              </w:rPr>
              <w:t>环境提升</w:t>
            </w:r>
          </w:p>
        </w:tc>
        <w:tc>
          <w:tcPr>
            <w:tcW w:w="532" w:type="pct"/>
            <w:shd w:val="clear" w:color="auto" w:fill="auto"/>
            <w:vAlign w:val="center"/>
          </w:tcPr>
          <w:p w14:paraId="7AB0AB75">
            <w:pPr>
              <w:jc w:val="center"/>
              <w:rPr>
                <w:rFonts w:hint="eastAsia" w:asciiTheme="minorEastAsia" w:hAnsiTheme="minorEastAsia" w:eastAsiaTheme="minorEastAsia" w:cstheme="minorEastAsia"/>
                <w:bCs/>
                <w:color w:val="000000"/>
                <w:sz w:val="24"/>
                <w:szCs w:val="24"/>
                <w:lang w:val="en-US" w:eastAsia="zh-CN"/>
              </w:rPr>
            </w:pPr>
            <w:r>
              <w:rPr>
                <w:rFonts w:hint="eastAsia" w:asciiTheme="minorEastAsia" w:hAnsiTheme="minorEastAsia" w:eastAsiaTheme="minorEastAsia" w:cstheme="minorEastAsia"/>
                <w:bCs/>
                <w:color w:val="000000"/>
                <w:sz w:val="24"/>
                <w:szCs w:val="24"/>
                <w:lang w:val="en-US" w:eastAsia="zh-CN"/>
              </w:rPr>
              <w:t>1</w:t>
            </w:r>
          </w:p>
        </w:tc>
        <w:tc>
          <w:tcPr>
            <w:tcW w:w="950" w:type="pct"/>
            <w:shd w:val="clear" w:color="auto" w:fill="auto"/>
            <w:vAlign w:val="center"/>
          </w:tcPr>
          <w:p w14:paraId="2240B62C">
            <w:pPr>
              <w:jc w:val="center"/>
              <w:rPr>
                <w:rFonts w:hint="eastAsia" w:asciiTheme="minorEastAsia" w:hAnsiTheme="minorEastAsia" w:eastAsiaTheme="minorEastAsia" w:cstheme="minorEastAsia"/>
                <w:bCs/>
                <w:color w:val="000000"/>
                <w:sz w:val="24"/>
                <w:szCs w:val="24"/>
                <w:lang w:val="en-US" w:eastAsia="zh-CN"/>
              </w:rPr>
            </w:pPr>
            <w:r>
              <w:rPr>
                <w:rFonts w:hint="eastAsia" w:asciiTheme="minorEastAsia" w:hAnsiTheme="minorEastAsia" w:eastAsiaTheme="minorEastAsia" w:cstheme="minorEastAsia"/>
                <w:bCs/>
                <w:color w:val="000000"/>
                <w:sz w:val="24"/>
                <w:szCs w:val="24"/>
                <w:lang w:val="en-US" w:eastAsia="zh-CN"/>
              </w:rPr>
              <w:t>项</w:t>
            </w:r>
          </w:p>
        </w:tc>
        <w:tc>
          <w:tcPr>
            <w:tcW w:w="853" w:type="pct"/>
            <w:vAlign w:val="center"/>
          </w:tcPr>
          <w:p w14:paraId="7D26D63A">
            <w:pPr>
              <w:jc w:val="center"/>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拒绝进口</w:t>
            </w:r>
          </w:p>
        </w:tc>
      </w:tr>
    </w:tbl>
    <w:p w14:paraId="7ADFA00E">
      <w:pPr>
        <w:rPr>
          <w:color w:val="FF0000"/>
        </w:rPr>
      </w:pPr>
    </w:p>
    <w:p w14:paraId="7E1B38B7">
      <w:pPr>
        <w:rPr>
          <w:color w:val="FF0000"/>
        </w:rPr>
      </w:pPr>
      <w:r>
        <w:rPr>
          <w:rFonts w:hint="eastAsia"/>
          <w:color w:val="FF0000"/>
        </w:rPr>
        <w:t>备注：</w:t>
      </w:r>
    </w:p>
    <w:p w14:paraId="5A28E48D">
      <w:pPr>
        <w:ind w:firstLine="420" w:firstLineChars="200"/>
        <w:rPr>
          <w:color w:val="FF0000"/>
        </w:rPr>
      </w:pPr>
      <w:r>
        <w:rPr>
          <w:rFonts w:hint="eastAsia"/>
          <w:color w:val="FF0000"/>
        </w:rPr>
        <w:t>1、“备注”栏注明有“接受进口”或“允许进口”的产品允许投标人选用进口产品参与投标，但不排斥国内产品投标；未注明“接受进口”或“允许进口”的产品均不接受进口产品投标。</w:t>
      </w:r>
    </w:p>
    <w:p w14:paraId="47F6E149">
      <w:pPr>
        <w:ind w:firstLine="420" w:firstLineChars="200"/>
        <w:rPr>
          <w:color w:val="FF0000"/>
        </w:rPr>
      </w:pPr>
      <w:r>
        <w:rPr>
          <w:rFonts w:hint="eastAsia"/>
          <w:color w:val="FF0000"/>
        </w:rPr>
        <w:t>2、进口产品是指通过海关验放进入中国境内且产自关境外的产品。即所谓进口产品是指制造过程均在国外，如果产品在国内组装，其中的零部件（包括核心部件）是进口产品，则应当视为非进口产品。采用“接受进口”的产品优先采购向我国企业转让技术、与我国企业签订消化吸收再创新方案的供应商的进口产品，相关内容以财库〔2007〕119 号文和财办库〔2008〕248 号文的相关规定为准。</w:t>
      </w:r>
    </w:p>
    <w:p w14:paraId="52ED402A">
      <w:pPr>
        <w:ind w:firstLine="420" w:firstLineChars="200"/>
        <w:rPr>
          <w:color w:val="FF0000"/>
        </w:rPr>
      </w:pPr>
      <w:r>
        <w:rPr>
          <w:rFonts w:hint="eastAsia"/>
          <w:color w:val="FF0000"/>
        </w:rPr>
        <w:t>3、如注明有单价控制金额的产品，投标人对该产品的报价不得超过控制金额，否则将作投标无效处理。</w:t>
      </w:r>
    </w:p>
    <w:p w14:paraId="77D30125">
      <w:pPr>
        <w:ind w:firstLine="420" w:firstLineChars="200"/>
        <w:rPr>
          <w:color w:val="FF0000"/>
        </w:rPr>
      </w:pPr>
      <w:r>
        <w:rPr>
          <w:rFonts w:hint="eastAsia"/>
          <w:color w:val="FF0000"/>
        </w:rPr>
        <w:t>4、参照《政府采购货物和服务招标投标管理办法》（财政部令第87号）第三十一条规定，单一产品项目或非单一产品项目中的核心产品均应明确品牌，投标人未填报品牌的将作投标无效处理。</w:t>
      </w:r>
    </w:p>
    <w:p w14:paraId="4629C44B">
      <w:pPr>
        <w:ind w:firstLine="420" w:firstLineChars="200"/>
        <w:rPr>
          <w:color w:val="FF0000"/>
        </w:rPr>
      </w:pPr>
    </w:p>
    <w:p w14:paraId="3662E963">
      <w:pPr>
        <w:pStyle w:val="4"/>
        <w:jc w:val="center"/>
      </w:pPr>
      <w:bookmarkStart w:id="12" w:name="_Toc128884461"/>
      <w:r>
        <w:rPr>
          <w:rFonts w:hint="eastAsia"/>
          <w:b/>
          <w:bCs/>
        </w:rPr>
        <w:t>三、实质性条款</w:t>
      </w:r>
    </w:p>
    <w:tbl>
      <w:tblPr>
        <w:tblStyle w:val="16"/>
        <w:tblW w:w="81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5"/>
        <w:gridCol w:w="7483"/>
      </w:tblGrid>
      <w:tr w14:paraId="1FE37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705" w:type="dxa"/>
            <w:vAlign w:val="center"/>
          </w:tcPr>
          <w:p w14:paraId="4E3F943A">
            <w:r>
              <w:rPr>
                <w:rFonts w:hint="eastAsia"/>
              </w:rPr>
              <w:t>序号</w:t>
            </w:r>
          </w:p>
        </w:tc>
        <w:tc>
          <w:tcPr>
            <w:tcW w:w="7483" w:type="dxa"/>
            <w:vAlign w:val="center"/>
          </w:tcPr>
          <w:p w14:paraId="0939738E">
            <w:pPr>
              <w:jc w:val="center"/>
            </w:pPr>
            <w:r>
              <w:rPr>
                <w:rFonts w:hint="eastAsia"/>
              </w:rPr>
              <w:t>实质性条款具体内容</w:t>
            </w:r>
          </w:p>
        </w:tc>
      </w:tr>
      <w:tr w14:paraId="0BFDF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tcPr>
          <w:p w14:paraId="16C4A46F">
            <w:pPr>
              <w:jc w:val="center"/>
            </w:pPr>
            <w:r>
              <w:rPr>
                <w:rFonts w:hint="eastAsia"/>
              </w:rPr>
              <w:t>1</w:t>
            </w:r>
          </w:p>
        </w:tc>
        <w:tc>
          <w:tcPr>
            <w:tcW w:w="7483" w:type="dxa"/>
          </w:tcPr>
          <w:p w14:paraId="5836341C">
            <w:pPr>
              <w:jc w:val="center"/>
            </w:pPr>
            <w:r>
              <w:rPr>
                <w:rFonts w:hint="eastAsia"/>
              </w:rPr>
              <w:t>本项目招标文件中所有带★号条款内容</w:t>
            </w:r>
          </w:p>
        </w:tc>
      </w:tr>
      <w:bookmarkEnd w:id="12"/>
    </w:tbl>
    <w:p w14:paraId="37CAFEA9">
      <w:r>
        <w:rPr>
          <w:rFonts w:hint="eastAsia"/>
          <w:b/>
          <w:color w:val="FF0000"/>
        </w:rPr>
        <w:t>注</w:t>
      </w:r>
      <w:r>
        <w:rPr>
          <w:rFonts w:hint="eastAsia"/>
        </w:rPr>
        <w:t>：</w:t>
      </w:r>
      <w:r>
        <w:rPr>
          <w:rFonts w:hint="eastAsia"/>
          <w:b/>
          <w:color w:val="FF0000"/>
        </w:rPr>
        <w:t>上表所列内容为不可负偏离条款，负偏离将视为未实质性满足招标文件要求，作投标无效处理。投标人是否满足以上实质性条款要求，以《实质性条款响应情况表》响应为准。如投标人中标后被发现不能满足以上实质性条款要求的，采购单位有权拒绝签订合同，一切后果由投标人承担。</w:t>
      </w:r>
    </w:p>
    <w:p w14:paraId="15EACF80">
      <w:pPr>
        <w:rPr>
          <w:b/>
          <w:color w:val="FF0000"/>
        </w:rPr>
      </w:pPr>
    </w:p>
    <w:p w14:paraId="216349D0">
      <w:pPr>
        <w:keepNext/>
        <w:keepLines/>
        <w:tabs>
          <w:tab w:val="left" w:pos="1680"/>
        </w:tabs>
        <w:spacing w:before="260" w:after="78" w:afterLines="25"/>
        <w:jc w:val="center"/>
        <w:outlineLvl w:val="2"/>
        <w:rPr>
          <w:rFonts w:ascii="Arial" w:hAnsi="Arial" w:eastAsia="宋体" w:cs="Times New Roman"/>
          <w:b/>
          <w:bCs/>
          <w:color w:val="000000" w:themeColor="text1"/>
          <w:sz w:val="32"/>
          <w:szCs w:val="32"/>
          <w14:textFill>
            <w14:solidFill>
              <w14:schemeClr w14:val="tx1"/>
            </w14:solidFill>
          </w14:textFill>
        </w:rPr>
      </w:pPr>
      <w:r>
        <w:rPr>
          <w:rFonts w:hint="eastAsia"/>
          <w:b/>
          <w:color w:val="000000" w:themeColor="text1"/>
          <w:sz w:val="32"/>
          <w:szCs w:val="32"/>
          <w14:textFill>
            <w14:solidFill>
              <w14:schemeClr w14:val="tx1"/>
            </w14:solidFill>
          </w14:textFill>
        </w:rPr>
        <w:t>四</w:t>
      </w:r>
      <w:r>
        <w:rPr>
          <w:rFonts w:hint="eastAsia" w:ascii="Arial" w:hAnsi="Arial" w:eastAsia="宋体" w:cs="Times New Roman"/>
          <w:b/>
          <w:bCs/>
          <w:color w:val="000000" w:themeColor="text1"/>
          <w:sz w:val="32"/>
          <w:szCs w:val="32"/>
          <w14:textFill>
            <w14:solidFill>
              <w14:schemeClr w14:val="tx1"/>
            </w14:solidFill>
          </w14:textFill>
        </w:rPr>
        <w:t>、商务和服务条款要求</w:t>
      </w:r>
    </w:p>
    <w:p w14:paraId="355B624F">
      <w:pPr>
        <w:ind w:firstLine="422" w:firstLineChars="200"/>
        <w:rPr>
          <w:b/>
        </w:rPr>
      </w:pPr>
      <w:r>
        <w:rPr>
          <w:rFonts w:hint="eastAsia"/>
          <w:b/>
          <w:szCs w:val="21"/>
        </w:rPr>
        <w:t>说明：</w:t>
      </w:r>
      <w:r>
        <w:rPr>
          <w:b/>
        </w:rPr>
        <w:t>1</w:t>
      </w:r>
      <w:r>
        <w:rPr>
          <w:rFonts w:hint="eastAsia"/>
          <w:b/>
        </w:rPr>
        <w:t>、评分时，如对一项招标商务要求（以划分框为准）中的内容存在两处（或以上）负偏离的，在评分时只作一项负偏离扣分。</w:t>
      </w:r>
    </w:p>
    <w:p w14:paraId="7F9D10E8">
      <w:pPr>
        <w:ind w:firstLine="422" w:firstLineChars="200"/>
        <w:rPr>
          <w:b/>
          <w:szCs w:val="21"/>
        </w:rPr>
      </w:pPr>
      <w:r>
        <w:rPr>
          <w:b/>
          <w:szCs w:val="21"/>
        </w:rPr>
        <w:t>2</w:t>
      </w:r>
      <w:r>
        <w:rPr>
          <w:rFonts w:hint="eastAsia"/>
          <w:b/>
          <w:szCs w:val="21"/>
        </w:rPr>
        <w:t>、带★号条款为不可偏离条款，不作为评分准则中的评分内容，如未响应或出现负偏离的，将作投标无效处理；带“</w:t>
      </w:r>
      <w:r>
        <w:t>▲</w:t>
      </w:r>
      <w:r>
        <w:rPr>
          <w:rFonts w:hint="eastAsia"/>
          <w:b/>
          <w:szCs w:val="21"/>
        </w:rPr>
        <w:t>”指标项为重要参数，负偏离时依相关评分准则内容作重点扣分处理。</w:t>
      </w:r>
    </w:p>
    <w:tbl>
      <w:tblPr>
        <w:tblStyle w:val="1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0"/>
        <w:gridCol w:w="1773"/>
        <w:gridCol w:w="6131"/>
      </w:tblGrid>
      <w:tr w14:paraId="4249E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43" w:type="pct"/>
            <w:noWrap w:val="0"/>
            <w:vAlign w:val="center"/>
          </w:tcPr>
          <w:p w14:paraId="494A8B55">
            <w:pPr>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序号</w:t>
            </w:r>
          </w:p>
        </w:tc>
        <w:tc>
          <w:tcPr>
            <w:tcW w:w="955" w:type="pct"/>
            <w:noWrap w:val="0"/>
            <w:vAlign w:val="center"/>
          </w:tcPr>
          <w:p w14:paraId="607B0A64">
            <w:pPr>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目录</w:t>
            </w:r>
          </w:p>
        </w:tc>
        <w:tc>
          <w:tcPr>
            <w:tcW w:w="3301" w:type="pct"/>
            <w:noWrap w:val="0"/>
            <w:vAlign w:val="center"/>
          </w:tcPr>
          <w:p w14:paraId="3BD37F85">
            <w:pPr>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采购商务需求</w:t>
            </w:r>
          </w:p>
        </w:tc>
      </w:tr>
      <w:tr w14:paraId="409C8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000" w:type="pct"/>
            <w:gridSpan w:val="3"/>
            <w:noWrap w:val="0"/>
            <w:vAlign w:val="top"/>
          </w:tcPr>
          <w:p w14:paraId="338B9874">
            <w:pPr>
              <w:jc w:val="left"/>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（一）免费保修期内售后服务要求</w:t>
            </w:r>
          </w:p>
        </w:tc>
      </w:tr>
      <w:tr w14:paraId="6811D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trPr>
        <w:tc>
          <w:tcPr>
            <w:tcW w:w="743" w:type="pct"/>
            <w:noWrap w:val="0"/>
            <w:vAlign w:val="center"/>
          </w:tcPr>
          <w:p w14:paraId="42CA7124">
            <w:pPr>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1</w:t>
            </w:r>
          </w:p>
        </w:tc>
        <w:tc>
          <w:tcPr>
            <w:tcW w:w="955" w:type="pct"/>
            <w:noWrap w:val="0"/>
            <w:vAlign w:val="center"/>
          </w:tcPr>
          <w:p w14:paraId="2782523D">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免费保修期</w:t>
            </w:r>
          </w:p>
        </w:tc>
        <w:tc>
          <w:tcPr>
            <w:tcW w:w="3301" w:type="pct"/>
            <w:noWrap w:val="0"/>
            <w:vAlign w:val="top"/>
          </w:tcPr>
          <w:p w14:paraId="20532DF3">
            <w:pPr>
              <w:jc w:val="left"/>
              <w:rPr>
                <w:rFonts w:hint="eastAsia" w:ascii="宋体" w:hAnsi="宋体" w:eastAsia="宋体" w:cs="宋体"/>
                <w:b/>
                <w:color w:val="auto"/>
                <w:sz w:val="22"/>
                <w:szCs w:val="22"/>
                <w:highlight w:val="none"/>
              </w:rPr>
            </w:pPr>
            <w:r>
              <w:rPr>
                <w:rFonts w:hint="eastAsia" w:ascii="宋体" w:hAnsi="宋体" w:eastAsia="宋体" w:cs="宋体"/>
                <w:color w:val="auto"/>
                <w:sz w:val="22"/>
                <w:szCs w:val="22"/>
                <w:highlight w:val="none"/>
              </w:rPr>
              <w:t>★</w:t>
            </w:r>
            <w:r>
              <w:rPr>
                <w:rFonts w:hint="eastAsia" w:ascii="宋体" w:hAnsi="宋体" w:eastAsia="宋体" w:cs="宋体"/>
                <w:bCs/>
                <w:color w:val="auto"/>
                <w:sz w:val="22"/>
                <w:szCs w:val="22"/>
                <w:highlight w:val="none"/>
              </w:rPr>
              <w:t>货物免费保修期至少</w:t>
            </w:r>
            <w:r>
              <w:rPr>
                <w:rFonts w:hint="eastAsia" w:ascii="宋体" w:hAnsi="宋体" w:eastAsia="宋体" w:cs="宋体"/>
                <w:bCs/>
                <w:color w:val="auto"/>
                <w:sz w:val="22"/>
                <w:szCs w:val="22"/>
                <w:highlight w:val="none"/>
                <w:u w:val="single"/>
                <w:lang w:val="en-US" w:eastAsia="zh-CN"/>
              </w:rPr>
              <w:t>2</w:t>
            </w:r>
            <w:r>
              <w:rPr>
                <w:rFonts w:hint="eastAsia" w:ascii="宋体" w:hAnsi="宋体" w:eastAsia="宋体" w:cs="宋体"/>
                <w:bCs/>
                <w:color w:val="auto"/>
                <w:sz w:val="22"/>
                <w:szCs w:val="22"/>
                <w:highlight w:val="none"/>
              </w:rPr>
              <w:t>年，时间自最终验收合格并交付使用之日起计算。</w:t>
            </w:r>
          </w:p>
        </w:tc>
      </w:tr>
      <w:tr w14:paraId="69A9B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743" w:type="pct"/>
            <w:noWrap w:val="0"/>
            <w:vAlign w:val="center"/>
          </w:tcPr>
          <w:p w14:paraId="7D7FB44A">
            <w:pPr>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2</w:t>
            </w:r>
          </w:p>
        </w:tc>
        <w:tc>
          <w:tcPr>
            <w:tcW w:w="955" w:type="pct"/>
            <w:noWrap w:val="0"/>
            <w:vAlign w:val="top"/>
          </w:tcPr>
          <w:p w14:paraId="6FB3A60B">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维修响应及故障解决时间</w:t>
            </w:r>
          </w:p>
        </w:tc>
        <w:tc>
          <w:tcPr>
            <w:tcW w:w="3301" w:type="pct"/>
            <w:noWrap w:val="0"/>
            <w:vAlign w:val="top"/>
          </w:tcPr>
          <w:p w14:paraId="13D76B43">
            <w:pPr>
              <w:jc w:val="left"/>
              <w:rPr>
                <w:rFonts w:hint="eastAsia" w:ascii="宋体" w:hAnsi="宋体" w:eastAsia="宋体" w:cs="宋体"/>
                <w:b/>
                <w:color w:val="auto"/>
                <w:sz w:val="22"/>
                <w:szCs w:val="22"/>
                <w:highlight w:val="none"/>
              </w:rPr>
            </w:pPr>
            <w:r>
              <w:rPr>
                <w:rFonts w:hint="eastAsia" w:ascii="宋体" w:hAnsi="宋体" w:eastAsia="宋体" w:cs="宋体"/>
                <w:bCs/>
                <w:color w:val="auto"/>
                <w:sz w:val="22"/>
                <w:szCs w:val="22"/>
                <w:highlight w:val="none"/>
                <w:lang w:eastAsia="zh-CN"/>
              </w:rPr>
              <w:t>投标人承诺中标后，</w:t>
            </w:r>
            <w:r>
              <w:rPr>
                <w:rFonts w:hint="eastAsia" w:ascii="宋体" w:hAnsi="宋体" w:eastAsia="宋体" w:cs="宋体"/>
                <w:bCs/>
                <w:color w:val="auto"/>
                <w:sz w:val="22"/>
                <w:szCs w:val="22"/>
                <w:highlight w:val="none"/>
              </w:rPr>
              <w:t>在保修期内，一旦发生质量问题，</w:t>
            </w:r>
            <w:r>
              <w:rPr>
                <w:rFonts w:hint="eastAsia" w:ascii="宋体" w:hAnsi="宋体" w:eastAsia="宋体" w:cs="宋体"/>
                <w:bCs/>
                <w:color w:val="auto"/>
                <w:sz w:val="22"/>
                <w:szCs w:val="22"/>
                <w:highlight w:val="none"/>
                <w:lang w:eastAsia="zh-CN"/>
              </w:rPr>
              <w:t>投标人</w:t>
            </w:r>
            <w:r>
              <w:rPr>
                <w:rFonts w:hint="eastAsia" w:ascii="宋体" w:hAnsi="宋体" w:eastAsia="宋体" w:cs="宋体"/>
                <w:bCs/>
                <w:color w:val="auto"/>
                <w:sz w:val="22"/>
                <w:szCs w:val="22"/>
                <w:highlight w:val="none"/>
              </w:rPr>
              <w:t>保证在接到通知24小时内赶到现场进行修理或更换。</w:t>
            </w:r>
          </w:p>
        </w:tc>
      </w:tr>
      <w:tr w14:paraId="29FFB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743" w:type="pct"/>
            <w:noWrap w:val="0"/>
            <w:vAlign w:val="center"/>
          </w:tcPr>
          <w:p w14:paraId="2863D99E">
            <w:pPr>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lang w:val="en-US" w:eastAsia="zh-CN"/>
              </w:rPr>
              <w:t>3</w:t>
            </w:r>
          </w:p>
        </w:tc>
        <w:tc>
          <w:tcPr>
            <w:tcW w:w="955" w:type="pct"/>
            <w:noWrap w:val="0"/>
            <w:vAlign w:val="center"/>
          </w:tcPr>
          <w:p w14:paraId="2F02B284">
            <w:pPr>
              <w:jc w:val="center"/>
              <w:rPr>
                <w:rFonts w:hint="eastAsia" w:ascii="宋体" w:hAnsi="宋体" w:eastAsia="宋体" w:cs="宋体"/>
                <w:b/>
                <w:color w:val="auto"/>
                <w:sz w:val="22"/>
                <w:szCs w:val="22"/>
                <w:highlight w:val="none"/>
              </w:rPr>
            </w:pPr>
            <w:r>
              <w:rPr>
                <w:rFonts w:hint="eastAsia" w:ascii="宋体" w:hAnsi="宋体" w:eastAsia="宋体" w:cs="宋体"/>
                <w:color w:val="auto"/>
                <w:sz w:val="22"/>
                <w:szCs w:val="22"/>
                <w:highlight w:val="none"/>
              </w:rPr>
              <w:t>其他</w:t>
            </w:r>
          </w:p>
        </w:tc>
        <w:tc>
          <w:tcPr>
            <w:tcW w:w="3301" w:type="pct"/>
            <w:noWrap w:val="0"/>
            <w:vAlign w:val="center"/>
          </w:tcPr>
          <w:p w14:paraId="6C29031E">
            <w:pPr>
              <w:jc w:val="left"/>
              <w:rPr>
                <w:rFonts w:hint="eastAsia" w:ascii="宋体" w:hAnsi="宋体" w:eastAsia="宋体" w:cs="宋体"/>
                <w:b/>
                <w:color w:val="auto"/>
                <w:sz w:val="22"/>
                <w:szCs w:val="22"/>
                <w:highlight w:val="none"/>
              </w:rPr>
            </w:pPr>
            <w:r>
              <w:rPr>
                <w:rFonts w:hint="eastAsia" w:ascii="宋体" w:hAnsi="宋体" w:eastAsia="宋体" w:cs="宋体"/>
                <w:bCs/>
                <w:color w:val="auto"/>
                <w:sz w:val="22"/>
                <w:szCs w:val="22"/>
                <w:highlight w:val="none"/>
                <w:lang w:eastAsia="zh-CN"/>
              </w:rPr>
              <w:t>投标人中标后，</w:t>
            </w:r>
            <w:r>
              <w:rPr>
                <w:rFonts w:hint="eastAsia" w:ascii="宋体" w:hAnsi="宋体" w:eastAsia="宋体" w:cs="宋体"/>
                <w:bCs/>
                <w:color w:val="auto"/>
                <w:sz w:val="22"/>
                <w:szCs w:val="22"/>
                <w:highlight w:val="none"/>
              </w:rPr>
              <w:t>应按其投标文件中的承诺，进行其他售后服务工作。</w:t>
            </w:r>
          </w:p>
        </w:tc>
      </w:tr>
      <w:tr w14:paraId="549ED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5000" w:type="pct"/>
            <w:gridSpan w:val="3"/>
            <w:noWrap w:val="0"/>
            <w:vAlign w:val="top"/>
          </w:tcPr>
          <w:p w14:paraId="70A31723">
            <w:pPr>
              <w:jc w:val="left"/>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w:t>
            </w:r>
            <w:r>
              <w:rPr>
                <w:rFonts w:hint="eastAsia" w:ascii="宋体" w:hAnsi="宋体" w:eastAsia="宋体" w:cs="宋体"/>
                <w:b/>
                <w:color w:val="auto"/>
                <w:sz w:val="22"/>
                <w:szCs w:val="22"/>
                <w:highlight w:val="none"/>
                <w:lang w:eastAsia="zh-CN"/>
              </w:rPr>
              <w:t>二</w:t>
            </w:r>
            <w:r>
              <w:rPr>
                <w:rFonts w:hint="eastAsia" w:ascii="宋体" w:hAnsi="宋体" w:eastAsia="宋体" w:cs="宋体"/>
                <w:b/>
                <w:color w:val="auto"/>
                <w:sz w:val="22"/>
                <w:szCs w:val="22"/>
                <w:highlight w:val="none"/>
              </w:rPr>
              <w:t>）其他商务要求</w:t>
            </w:r>
          </w:p>
        </w:tc>
      </w:tr>
      <w:tr w14:paraId="47F89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743" w:type="pct"/>
            <w:vMerge w:val="restart"/>
            <w:noWrap w:val="0"/>
            <w:vAlign w:val="center"/>
          </w:tcPr>
          <w:p w14:paraId="094414B8">
            <w:pPr>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1</w:t>
            </w:r>
          </w:p>
        </w:tc>
        <w:tc>
          <w:tcPr>
            <w:tcW w:w="955" w:type="pct"/>
            <w:vMerge w:val="restart"/>
            <w:noWrap w:val="0"/>
            <w:vAlign w:val="center"/>
          </w:tcPr>
          <w:p w14:paraId="006FC1A6">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关于交货</w:t>
            </w:r>
          </w:p>
        </w:tc>
        <w:tc>
          <w:tcPr>
            <w:tcW w:w="3301" w:type="pct"/>
            <w:noWrap w:val="0"/>
            <w:vAlign w:val="top"/>
          </w:tcPr>
          <w:p w14:paraId="25D86D98">
            <w:pPr>
              <w:jc w:val="left"/>
              <w:rPr>
                <w:rFonts w:hint="eastAsia" w:ascii="宋体" w:hAnsi="宋体" w:eastAsia="宋体" w:cs="宋体"/>
                <w:b/>
                <w:color w:val="auto"/>
                <w:sz w:val="22"/>
                <w:szCs w:val="22"/>
                <w:highlight w:val="none"/>
              </w:rPr>
            </w:pPr>
            <w:r>
              <w:rPr>
                <w:rFonts w:hint="eastAsia" w:ascii="宋体" w:hAnsi="宋体" w:eastAsia="宋体" w:cs="宋体"/>
                <w:bCs/>
                <w:color w:val="auto"/>
                <w:sz w:val="22"/>
                <w:szCs w:val="22"/>
                <w:highlight w:val="none"/>
              </w:rPr>
              <w:t>1.1</w:t>
            </w:r>
            <w:r>
              <w:rPr>
                <w:rFonts w:hint="eastAsia" w:ascii="宋体" w:hAnsi="宋体" w:eastAsia="宋体" w:cs="宋体"/>
                <w:color w:val="auto"/>
                <w:sz w:val="22"/>
                <w:szCs w:val="22"/>
                <w:highlight w:val="none"/>
              </w:rPr>
              <w:t>★</w:t>
            </w:r>
            <w:r>
              <w:rPr>
                <w:rFonts w:hint="eastAsia" w:ascii="宋体" w:hAnsi="宋体" w:eastAsia="宋体" w:cs="宋体"/>
                <w:bCs/>
                <w:color w:val="auto"/>
                <w:sz w:val="22"/>
                <w:szCs w:val="22"/>
                <w:highlight w:val="none"/>
              </w:rPr>
              <w:t>签订合同后</w:t>
            </w:r>
            <w:r>
              <w:rPr>
                <w:rFonts w:hint="eastAsia" w:ascii="宋体" w:hAnsi="宋体" w:eastAsia="宋体" w:cs="宋体"/>
                <w:bCs/>
                <w:color w:val="auto"/>
                <w:sz w:val="22"/>
                <w:szCs w:val="22"/>
                <w:highlight w:val="none"/>
                <w:u w:val="single"/>
                <w:lang w:val="en-US" w:eastAsia="zh-CN"/>
              </w:rPr>
              <w:t>30</w:t>
            </w:r>
            <w:r>
              <w:rPr>
                <w:rFonts w:hint="eastAsia" w:ascii="宋体" w:hAnsi="宋体" w:eastAsia="宋体" w:cs="宋体"/>
                <w:bCs/>
                <w:color w:val="auto"/>
                <w:sz w:val="22"/>
                <w:szCs w:val="22"/>
                <w:highlight w:val="none"/>
              </w:rPr>
              <w:t>天（日历日）内。</w:t>
            </w:r>
          </w:p>
        </w:tc>
      </w:tr>
      <w:tr w14:paraId="43D5A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743" w:type="pct"/>
            <w:vMerge w:val="continue"/>
            <w:noWrap w:val="0"/>
            <w:vAlign w:val="center"/>
          </w:tcPr>
          <w:p w14:paraId="176F97D7">
            <w:pPr>
              <w:jc w:val="center"/>
              <w:rPr>
                <w:rFonts w:hint="eastAsia" w:ascii="宋体" w:hAnsi="宋体" w:eastAsia="宋体" w:cs="宋体"/>
                <w:b/>
                <w:color w:val="auto"/>
                <w:sz w:val="22"/>
                <w:szCs w:val="22"/>
                <w:highlight w:val="none"/>
              </w:rPr>
            </w:pPr>
          </w:p>
        </w:tc>
        <w:tc>
          <w:tcPr>
            <w:tcW w:w="955" w:type="pct"/>
            <w:vMerge w:val="continue"/>
            <w:noWrap w:val="0"/>
            <w:vAlign w:val="center"/>
          </w:tcPr>
          <w:p w14:paraId="5C2D278A">
            <w:pPr>
              <w:jc w:val="center"/>
              <w:rPr>
                <w:rFonts w:hint="eastAsia" w:ascii="宋体" w:hAnsi="宋体" w:eastAsia="宋体" w:cs="宋体"/>
                <w:color w:val="auto"/>
                <w:sz w:val="22"/>
                <w:szCs w:val="22"/>
                <w:highlight w:val="none"/>
              </w:rPr>
            </w:pPr>
          </w:p>
        </w:tc>
        <w:tc>
          <w:tcPr>
            <w:tcW w:w="3301" w:type="pct"/>
            <w:noWrap w:val="0"/>
            <w:vAlign w:val="top"/>
          </w:tcPr>
          <w:p w14:paraId="0C87EC7F">
            <w:pPr>
              <w:jc w:val="left"/>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1.2</w:t>
            </w:r>
            <w:r>
              <w:rPr>
                <w:rFonts w:hint="eastAsia" w:ascii="宋体" w:hAnsi="宋体" w:eastAsia="宋体" w:cs="宋体"/>
                <w:bCs/>
                <w:color w:val="auto"/>
                <w:sz w:val="22"/>
                <w:szCs w:val="22"/>
                <w:highlight w:val="none"/>
                <w:lang w:eastAsia="zh-CN"/>
              </w:rPr>
              <w:t>投标人中标后，</w:t>
            </w:r>
            <w:r>
              <w:rPr>
                <w:rFonts w:hint="eastAsia" w:ascii="宋体" w:hAnsi="宋体" w:eastAsia="宋体" w:cs="宋体"/>
                <w:bCs/>
                <w:color w:val="auto"/>
                <w:sz w:val="22"/>
                <w:szCs w:val="22"/>
                <w:highlight w:val="none"/>
              </w:rPr>
              <w:t>必须承担设备运输、安装调试、验收检测和提供设备操作说明书、图纸等其他类似的义务。</w:t>
            </w:r>
          </w:p>
        </w:tc>
      </w:tr>
      <w:tr w14:paraId="1777F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743" w:type="pct"/>
            <w:vMerge w:val="restart"/>
            <w:noWrap w:val="0"/>
            <w:vAlign w:val="center"/>
          </w:tcPr>
          <w:p w14:paraId="37C4F7C1">
            <w:pPr>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2</w:t>
            </w:r>
          </w:p>
        </w:tc>
        <w:tc>
          <w:tcPr>
            <w:tcW w:w="955" w:type="pct"/>
            <w:vMerge w:val="restart"/>
            <w:noWrap w:val="0"/>
            <w:vAlign w:val="center"/>
          </w:tcPr>
          <w:p w14:paraId="4F195780">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关于验收</w:t>
            </w:r>
          </w:p>
        </w:tc>
        <w:tc>
          <w:tcPr>
            <w:tcW w:w="3301" w:type="pct"/>
            <w:noWrap w:val="0"/>
            <w:vAlign w:val="top"/>
          </w:tcPr>
          <w:p w14:paraId="335E3E3D">
            <w:pPr>
              <w:spacing w:line="340" w:lineRule="exact"/>
              <w:jc w:val="left"/>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2.1</w:t>
            </w:r>
            <w:r>
              <w:rPr>
                <w:rFonts w:hint="eastAsia" w:ascii="宋体" w:hAnsi="宋体" w:eastAsia="宋体" w:cs="宋体"/>
                <w:bCs/>
                <w:color w:val="auto"/>
                <w:sz w:val="22"/>
                <w:szCs w:val="22"/>
                <w:highlight w:val="none"/>
                <w:lang w:eastAsia="zh-CN"/>
              </w:rPr>
              <w:t>投标人中标后，其</w:t>
            </w:r>
            <w:r>
              <w:rPr>
                <w:rFonts w:hint="eastAsia" w:ascii="宋体" w:hAnsi="宋体" w:eastAsia="宋体" w:cs="宋体"/>
                <w:bCs/>
                <w:color w:val="auto"/>
                <w:sz w:val="22"/>
                <w:szCs w:val="22"/>
                <w:highlight w:val="none"/>
              </w:rPr>
              <w:t>货物经过双方检验认可后，签署验收报告，产品保修期自验收合格之日起算，由</w:t>
            </w:r>
            <w:r>
              <w:rPr>
                <w:rFonts w:hint="eastAsia" w:ascii="宋体" w:hAnsi="宋体" w:eastAsia="宋体" w:cs="宋体"/>
                <w:bCs/>
                <w:color w:val="auto"/>
                <w:sz w:val="22"/>
                <w:szCs w:val="22"/>
                <w:highlight w:val="none"/>
                <w:lang w:eastAsia="zh-CN"/>
              </w:rPr>
              <w:t>投标人</w:t>
            </w:r>
            <w:r>
              <w:rPr>
                <w:rFonts w:hint="eastAsia" w:ascii="宋体" w:hAnsi="宋体" w:eastAsia="宋体" w:cs="宋体"/>
                <w:bCs/>
                <w:color w:val="auto"/>
                <w:sz w:val="22"/>
                <w:szCs w:val="22"/>
                <w:highlight w:val="none"/>
              </w:rPr>
              <w:t>提供产品保修文件。</w:t>
            </w:r>
          </w:p>
        </w:tc>
      </w:tr>
      <w:tr w14:paraId="6DCAE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743" w:type="pct"/>
            <w:vMerge w:val="continue"/>
            <w:noWrap w:val="0"/>
            <w:vAlign w:val="center"/>
          </w:tcPr>
          <w:p w14:paraId="65366EFB">
            <w:pPr>
              <w:jc w:val="center"/>
              <w:rPr>
                <w:rFonts w:hint="eastAsia" w:ascii="宋体" w:hAnsi="宋体" w:eastAsia="宋体" w:cs="宋体"/>
                <w:b/>
                <w:color w:val="auto"/>
                <w:sz w:val="22"/>
                <w:szCs w:val="22"/>
                <w:highlight w:val="none"/>
              </w:rPr>
            </w:pPr>
          </w:p>
        </w:tc>
        <w:tc>
          <w:tcPr>
            <w:tcW w:w="955" w:type="pct"/>
            <w:vMerge w:val="continue"/>
            <w:noWrap w:val="0"/>
            <w:vAlign w:val="top"/>
          </w:tcPr>
          <w:p w14:paraId="47127EFB">
            <w:pPr>
              <w:jc w:val="center"/>
              <w:rPr>
                <w:rFonts w:hint="eastAsia" w:ascii="宋体" w:hAnsi="宋体" w:eastAsia="宋体" w:cs="宋体"/>
                <w:b/>
                <w:color w:val="auto"/>
                <w:sz w:val="22"/>
                <w:szCs w:val="22"/>
                <w:highlight w:val="none"/>
              </w:rPr>
            </w:pPr>
          </w:p>
        </w:tc>
        <w:tc>
          <w:tcPr>
            <w:tcW w:w="3301" w:type="pct"/>
            <w:noWrap w:val="0"/>
            <w:vAlign w:val="top"/>
          </w:tcPr>
          <w:p w14:paraId="3B442DB1">
            <w:pPr>
              <w:spacing w:line="340" w:lineRule="exact"/>
              <w:jc w:val="left"/>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2.2</w:t>
            </w:r>
            <w:r>
              <w:rPr>
                <w:rFonts w:hint="eastAsia" w:ascii="宋体" w:hAnsi="宋体" w:eastAsia="宋体" w:cs="宋体"/>
                <w:bCs/>
                <w:color w:val="auto"/>
                <w:sz w:val="22"/>
                <w:szCs w:val="22"/>
                <w:highlight w:val="none"/>
                <w:lang w:eastAsia="zh-CN"/>
              </w:rPr>
              <w:t>投标人中标后，</w:t>
            </w:r>
            <w:r>
              <w:rPr>
                <w:rFonts w:hint="eastAsia" w:ascii="宋体" w:hAnsi="宋体" w:eastAsia="宋体" w:cs="宋体"/>
                <w:bCs/>
                <w:color w:val="auto"/>
                <w:sz w:val="22"/>
                <w:szCs w:val="22"/>
                <w:highlight w:val="none"/>
              </w:rPr>
              <w:t>当满足以下条件时，采购人才向</w:t>
            </w:r>
            <w:r>
              <w:rPr>
                <w:rFonts w:hint="eastAsia" w:ascii="宋体" w:hAnsi="宋体" w:eastAsia="宋体" w:cs="宋体"/>
                <w:bCs/>
                <w:color w:val="auto"/>
                <w:sz w:val="22"/>
                <w:szCs w:val="22"/>
                <w:highlight w:val="none"/>
                <w:lang w:eastAsia="zh-CN"/>
              </w:rPr>
              <w:t>投标人</w:t>
            </w:r>
            <w:r>
              <w:rPr>
                <w:rFonts w:hint="eastAsia" w:ascii="宋体" w:hAnsi="宋体" w:eastAsia="宋体" w:cs="宋体"/>
                <w:bCs/>
                <w:color w:val="auto"/>
                <w:sz w:val="22"/>
                <w:szCs w:val="22"/>
                <w:highlight w:val="none"/>
              </w:rPr>
              <w:t>签发货物验收报告：</w:t>
            </w:r>
          </w:p>
          <w:p w14:paraId="28BBB555">
            <w:pPr>
              <w:tabs>
                <w:tab w:val="left" w:pos="1260"/>
              </w:tabs>
              <w:spacing w:line="340" w:lineRule="exact"/>
              <w:jc w:val="left"/>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a、</w:t>
            </w:r>
            <w:r>
              <w:rPr>
                <w:rFonts w:hint="eastAsia" w:ascii="宋体" w:hAnsi="宋体" w:eastAsia="宋体" w:cs="宋体"/>
                <w:bCs/>
                <w:color w:val="auto"/>
                <w:sz w:val="22"/>
                <w:szCs w:val="22"/>
                <w:highlight w:val="none"/>
                <w:lang w:eastAsia="zh-CN"/>
              </w:rPr>
              <w:t>投标人</w:t>
            </w:r>
            <w:r>
              <w:rPr>
                <w:rFonts w:hint="eastAsia" w:ascii="宋体" w:hAnsi="宋体" w:eastAsia="宋体" w:cs="宋体"/>
                <w:bCs/>
                <w:color w:val="auto"/>
                <w:sz w:val="22"/>
                <w:szCs w:val="22"/>
                <w:highlight w:val="none"/>
              </w:rPr>
              <w:t>已按照合同规定提供了全部产品及完整的技术资料。</w:t>
            </w:r>
          </w:p>
          <w:p w14:paraId="2D98DE33">
            <w:pPr>
              <w:tabs>
                <w:tab w:val="left" w:pos="1260"/>
              </w:tabs>
              <w:spacing w:line="340" w:lineRule="exact"/>
              <w:jc w:val="left"/>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b、货物符合采购文件技术规格书的要求，性能满足要求。</w:t>
            </w:r>
          </w:p>
          <w:p w14:paraId="0B743666">
            <w:pPr>
              <w:tabs>
                <w:tab w:val="left" w:pos="1260"/>
              </w:tabs>
              <w:spacing w:line="340" w:lineRule="exact"/>
              <w:jc w:val="left"/>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c、货物具备产品合格证。</w:t>
            </w:r>
          </w:p>
        </w:tc>
      </w:tr>
      <w:tr w14:paraId="69DC7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743" w:type="pct"/>
            <w:vMerge w:val="restart"/>
            <w:noWrap w:val="0"/>
            <w:vAlign w:val="center"/>
          </w:tcPr>
          <w:p w14:paraId="21E8AFA4">
            <w:pPr>
              <w:jc w:val="center"/>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3</w:t>
            </w:r>
          </w:p>
        </w:tc>
        <w:tc>
          <w:tcPr>
            <w:tcW w:w="955" w:type="pct"/>
            <w:vMerge w:val="restart"/>
            <w:noWrap w:val="0"/>
            <w:vAlign w:val="center"/>
          </w:tcPr>
          <w:p w14:paraId="58CF6052">
            <w:pPr>
              <w:jc w:val="center"/>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违约责任</w:t>
            </w:r>
          </w:p>
        </w:tc>
        <w:tc>
          <w:tcPr>
            <w:tcW w:w="3301" w:type="pct"/>
            <w:noWrap w:val="0"/>
            <w:vAlign w:val="top"/>
          </w:tcPr>
          <w:p w14:paraId="7257959E">
            <w:pPr>
              <w:spacing w:line="340" w:lineRule="exact"/>
              <w:jc w:val="left"/>
              <w:rPr>
                <w:rFonts w:hint="eastAsia" w:ascii="宋体" w:hAnsi="宋体" w:eastAsia="宋体" w:cs="宋体"/>
                <w:bCs/>
                <w:color w:val="auto"/>
                <w:sz w:val="22"/>
                <w:szCs w:val="22"/>
                <w:highlight w:val="none"/>
              </w:rPr>
            </w:pPr>
            <w:r>
              <w:rPr>
                <w:rFonts w:hint="eastAsia" w:ascii="宋体" w:hAnsi="宋体" w:eastAsia="宋体" w:cs="宋体"/>
                <w:color w:val="auto"/>
                <w:sz w:val="22"/>
                <w:szCs w:val="22"/>
                <w:highlight w:val="none"/>
              </w:rPr>
              <w:t>3.1如</w:t>
            </w:r>
            <w:r>
              <w:rPr>
                <w:rFonts w:hint="eastAsia" w:ascii="宋体" w:hAnsi="宋体" w:eastAsia="宋体" w:cs="宋体"/>
                <w:bCs/>
                <w:color w:val="auto"/>
                <w:sz w:val="22"/>
                <w:szCs w:val="22"/>
                <w:highlight w:val="none"/>
                <w:lang w:eastAsia="zh-CN"/>
              </w:rPr>
              <w:t>投标人中标后</w:t>
            </w:r>
            <w:r>
              <w:rPr>
                <w:rFonts w:hint="eastAsia" w:ascii="宋体" w:hAnsi="宋体" w:eastAsia="宋体" w:cs="宋体"/>
                <w:color w:val="auto"/>
                <w:sz w:val="22"/>
                <w:szCs w:val="22"/>
                <w:highlight w:val="none"/>
              </w:rPr>
              <w:t>未按照投标文件中承诺的时间交货或提供服务，</w:t>
            </w:r>
            <w:r>
              <w:rPr>
                <w:rFonts w:hint="eastAsia" w:ascii="宋体" w:hAnsi="宋体" w:eastAsia="宋体" w:cs="宋体"/>
                <w:bCs/>
                <w:color w:val="auto"/>
                <w:sz w:val="22"/>
                <w:szCs w:val="22"/>
                <w:highlight w:val="none"/>
                <w:lang w:eastAsia="zh-CN"/>
              </w:rPr>
              <w:t>投标人</w:t>
            </w:r>
            <w:r>
              <w:rPr>
                <w:rFonts w:hint="eastAsia" w:ascii="宋体" w:hAnsi="宋体" w:eastAsia="宋体" w:cs="宋体"/>
                <w:color w:val="auto"/>
                <w:sz w:val="22"/>
                <w:szCs w:val="22"/>
                <w:highlight w:val="none"/>
              </w:rPr>
              <w:t>应承担延期交货和延期服务的违约责任，并赔偿采购人因此造成的实际经济损失，采购人有权终止合同。</w:t>
            </w:r>
          </w:p>
        </w:tc>
      </w:tr>
      <w:tr w14:paraId="2B642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743" w:type="pct"/>
            <w:vMerge w:val="continue"/>
            <w:noWrap w:val="0"/>
            <w:vAlign w:val="center"/>
          </w:tcPr>
          <w:p w14:paraId="3ACCF8AA">
            <w:pPr>
              <w:jc w:val="center"/>
              <w:rPr>
                <w:rFonts w:hint="eastAsia" w:ascii="宋体" w:hAnsi="宋体" w:eastAsia="宋体" w:cs="宋体"/>
                <w:bCs/>
                <w:color w:val="auto"/>
                <w:sz w:val="22"/>
                <w:szCs w:val="22"/>
                <w:highlight w:val="none"/>
              </w:rPr>
            </w:pPr>
          </w:p>
        </w:tc>
        <w:tc>
          <w:tcPr>
            <w:tcW w:w="955" w:type="pct"/>
            <w:vMerge w:val="continue"/>
            <w:noWrap w:val="0"/>
            <w:vAlign w:val="center"/>
          </w:tcPr>
          <w:p w14:paraId="21861596">
            <w:pPr>
              <w:jc w:val="center"/>
              <w:rPr>
                <w:rFonts w:hint="eastAsia" w:ascii="宋体" w:hAnsi="宋体" w:eastAsia="宋体" w:cs="宋体"/>
                <w:bCs/>
                <w:color w:val="auto"/>
                <w:sz w:val="22"/>
                <w:szCs w:val="22"/>
                <w:highlight w:val="none"/>
              </w:rPr>
            </w:pPr>
          </w:p>
        </w:tc>
        <w:tc>
          <w:tcPr>
            <w:tcW w:w="3301" w:type="pct"/>
            <w:noWrap w:val="0"/>
            <w:vAlign w:val="top"/>
          </w:tcPr>
          <w:p w14:paraId="7E90F884">
            <w:pPr>
              <w:spacing w:line="340" w:lineRule="exact"/>
              <w:jc w:val="left"/>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3.2</w:t>
            </w:r>
            <w:r>
              <w:rPr>
                <w:rFonts w:hint="eastAsia" w:ascii="宋体" w:hAnsi="宋体" w:eastAsia="宋体" w:cs="宋体"/>
                <w:bCs/>
                <w:color w:val="auto"/>
                <w:sz w:val="22"/>
                <w:szCs w:val="22"/>
                <w:highlight w:val="none"/>
                <w:lang w:eastAsia="zh-CN"/>
              </w:rPr>
              <w:t>投标人中标后</w:t>
            </w:r>
            <w:r>
              <w:rPr>
                <w:rFonts w:hint="eastAsia" w:ascii="宋体" w:hAnsi="宋体" w:eastAsia="宋体" w:cs="宋体"/>
                <w:bCs/>
                <w:color w:val="auto"/>
                <w:sz w:val="22"/>
                <w:szCs w:val="22"/>
                <w:highlight w:val="none"/>
              </w:rPr>
              <w:t>所交设备的品种、型号、规格、质量、功能、技术参数等方面不能实质性满足采购文件要求的，采购人有权拒绝收货，</w:t>
            </w:r>
            <w:r>
              <w:rPr>
                <w:rFonts w:hint="eastAsia" w:ascii="宋体" w:hAnsi="宋体" w:eastAsia="宋体" w:cs="宋体"/>
                <w:bCs/>
                <w:color w:val="auto"/>
                <w:sz w:val="22"/>
                <w:szCs w:val="22"/>
                <w:highlight w:val="none"/>
                <w:lang w:eastAsia="zh-CN"/>
              </w:rPr>
              <w:t>投标人</w:t>
            </w:r>
            <w:r>
              <w:rPr>
                <w:rFonts w:hint="eastAsia" w:ascii="宋体" w:hAnsi="宋体" w:eastAsia="宋体" w:cs="宋体"/>
                <w:bCs/>
                <w:color w:val="auto"/>
                <w:sz w:val="22"/>
                <w:szCs w:val="22"/>
                <w:highlight w:val="none"/>
              </w:rPr>
              <w:t>向采购人偿付项目采购金额【</w:t>
            </w:r>
            <w:r>
              <w:rPr>
                <w:rFonts w:hint="eastAsia" w:ascii="宋体" w:hAnsi="宋体" w:eastAsia="宋体" w:cs="宋体"/>
                <w:bCs/>
                <w:color w:val="auto"/>
                <w:sz w:val="22"/>
                <w:szCs w:val="22"/>
                <w:highlight w:val="none"/>
                <w:lang w:val="en-US" w:eastAsia="zh-CN"/>
              </w:rPr>
              <w:t>10</w:t>
            </w:r>
            <w:r>
              <w:rPr>
                <w:rFonts w:hint="eastAsia" w:ascii="宋体" w:hAnsi="宋体" w:eastAsia="宋体" w:cs="宋体"/>
                <w:bCs/>
                <w:color w:val="auto"/>
                <w:sz w:val="22"/>
                <w:szCs w:val="22"/>
                <w:highlight w:val="none"/>
              </w:rPr>
              <w:t>】% （10%以上20%以下）的违约金</w:t>
            </w:r>
            <w:r>
              <w:rPr>
                <w:rFonts w:hint="eastAsia" w:ascii="宋体" w:hAnsi="宋体" w:eastAsia="宋体" w:cs="宋体"/>
                <w:bCs/>
                <w:color w:val="auto"/>
                <w:sz w:val="22"/>
                <w:szCs w:val="22"/>
                <w:highlight w:val="none"/>
                <w:lang w:val="en-US" w:eastAsia="zh-CN"/>
              </w:rPr>
              <w:t>并采取更换、补足等补救措施，致使逾期交付的，还应承担逾期交付的违约责任</w:t>
            </w:r>
            <w:r>
              <w:rPr>
                <w:rFonts w:hint="eastAsia" w:ascii="宋体" w:hAnsi="宋体" w:eastAsia="宋体" w:cs="宋体"/>
                <w:bCs/>
                <w:color w:val="auto"/>
                <w:sz w:val="22"/>
                <w:szCs w:val="22"/>
                <w:highlight w:val="none"/>
              </w:rPr>
              <w:t xml:space="preserve">。 </w:t>
            </w:r>
          </w:p>
        </w:tc>
      </w:tr>
      <w:tr w14:paraId="77E2F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743" w:type="pct"/>
            <w:vMerge w:val="continue"/>
            <w:noWrap w:val="0"/>
            <w:vAlign w:val="center"/>
          </w:tcPr>
          <w:p w14:paraId="25266FFD">
            <w:pPr>
              <w:jc w:val="center"/>
              <w:rPr>
                <w:rFonts w:hint="eastAsia" w:ascii="宋体" w:hAnsi="宋体" w:eastAsia="宋体" w:cs="宋体"/>
                <w:bCs/>
                <w:color w:val="auto"/>
                <w:sz w:val="22"/>
                <w:szCs w:val="22"/>
                <w:highlight w:val="none"/>
              </w:rPr>
            </w:pPr>
          </w:p>
        </w:tc>
        <w:tc>
          <w:tcPr>
            <w:tcW w:w="955" w:type="pct"/>
            <w:vMerge w:val="continue"/>
            <w:noWrap w:val="0"/>
            <w:vAlign w:val="center"/>
          </w:tcPr>
          <w:p w14:paraId="268E7174">
            <w:pPr>
              <w:jc w:val="center"/>
              <w:rPr>
                <w:rFonts w:hint="eastAsia" w:ascii="宋体" w:hAnsi="宋体" w:eastAsia="宋体" w:cs="宋体"/>
                <w:bCs/>
                <w:color w:val="auto"/>
                <w:sz w:val="22"/>
                <w:szCs w:val="22"/>
                <w:highlight w:val="none"/>
              </w:rPr>
            </w:pPr>
          </w:p>
        </w:tc>
        <w:tc>
          <w:tcPr>
            <w:tcW w:w="3301" w:type="pct"/>
            <w:noWrap w:val="0"/>
            <w:vAlign w:val="top"/>
          </w:tcPr>
          <w:p w14:paraId="2B787D87">
            <w:pPr>
              <w:spacing w:line="340" w:lineRule="exact"/>
              <w:jc w:val="left"/>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3.3</w:t>
            </w:r>
            <w:r>
              <w:rPr>
                <w:rFonts w:hint="eastAsia" w:ascii="宋体" w:hAnsi="宋体" w:eastAsia="宋体" w:cs="宋体"/>
                <w:bCs/>
                <w:color w:val="auto"/>
                <w:sz w:val="22"/>
                <w:szCs w:val="22"/>
                <w:highlight w:val="none"/>
                <w:lang w:eastAsia="zh-CN"/>
              </w:rPr>
              <w:t>投标人中标后</w:t>
            </w:r>
            <w:r>
              <w:rPr>
                <w:rFonts w:hint="eastAsia" w:ascii="宋体" w:hAnsi="宋体" w:eastAsia="宋体" w:cs="宋体"/>
                <w:bCs/>
                <w:color w:val="auto"/>
                <w:sz w:val="22"/>
                <w:szCs w:val="22"/>
                <w:highlight w:val="none"/>
              </w:rPr>
              <w:t>不能交付设备的，</w:t>
            </w:r>
            <w:r>
              <w:rPr>
                <w:rFonts w:hint="eastAsia" w:ascii="宋体" w:hAnsi="宋体" w:eastAsia="宋体" w:cs="宋体"/>
                <w:bCs/>
                <w:color w:val="auto"/>
                <w:sz w:val="22"/>
                <w:szCs w:val="22"/>
                <w:highlight w:val="none"/>
                <w:lang w:eastAsia="zh-CN"/>
              </w:rPr>
              <w:t>投标人</w:t>
            </w:r>
            <w:r>
              <w:rPr>
                <w:rFonts w:hint="eastAsia" w:ascii="宋体" w:hAnsi="宋体" w:eastAsia="宋体" w:cs="宋体"/>
                <w:bCs/>
                <w:color w:val="auto"/>
                <w:sz w:val="22"/>
                <w:szCs w:val="22"/>
                <w:highlight w:val="none"/>
              </w:rPr>
              <w:t>向采购人偿付项目采购金额【</w:t>
            </w:r>
            <w:r>
              <w:rPr>
                <w:rFonts w:hint="eastAsia" w:ascii="宋体" w:hAnsi="宋体" w:eastAsia="宋体" w:cs="宋体"/>
                <w:bCs/>
                <w:color w:val="auto"/>
                <w:sz w:val="22"/>
                <w:szCs w:val="22"/>
                <w:highlight w:val="none"/>
                <w:lang w:val="en-US" w:eastAsia="zh-CN"/>
              </w:rPr>
              <w:t>10</w:t>
            </w:r>
            <w:r>
              <w:rPr>
                <w:rFonts w:hint="eastAsia" w:ascii="宋体" w:hAnsi="宋体" w:eastAsia="宋体" w:cs="宋体"/>
                <w:bCs/>
                <w:color w:val="auto"/>
                <w:sz w:val="22"/>
                <w:szCs w:val="22"/>
                <w:highlight w:val="none"/>
              </w:rPr>
              <w:t>】%（10%以上20%以下）的违约金。</w:t>
            </w:r>
          </w:p>
        </w:tc>
      </w:tr>
      <w:tr w14:paraId="54DAD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743" w:type="pct"/>
            <w:vMerge w:val="continue"/>
            <w:noWrap w:val="0"/>
            <w:vAlign w:val="center"/>
          </w:tcPr>
          <w:p w14:paraId="7EC9C438">
            <w:pPr>
              <w:jc w:val="center"/>
              <w:rPr>
                <w:rFonts w:hint="eastAsia" w:ascii="宋体" w:hAnsi="宋体" w:eastAsia="宋体" w:cs="宋体"/>
                <w:bCs/>
                <w:color w:val="auto"/>
                <w:sz w:val="22"/>
                <w:szCs w:val="22"/>
                <w:highlight w:val="none"/>
              </w:rPr>
            </w:pPr>
          </w:p>
        </w:tc>
        <w:tc>
          <w:tcPr>
            <w:tcW w:w="955" w:type="pct"/>
            <w:vMerge w:val="continue"/>
            <w:noWrap w:val="0"/>
            <w:vAlign w:val="top"/>
          </w:tcPr>
          <w:p w14:paraId="50AE3253">
            <w:pPr>
              <w:jc w:val="center"/>
              <w:rPr>
                <w:rFonts w:hint="eastAsia" w:ascii="宋体" w:hAnsi="宋体" w:eastAsia="宋体" w:cs="宋体"/>
                <w:bCs/>
                <w:color w:val="auto"/>
                <w:sz w:val="22"/>
                <w:szCs w:val="22"/>
                <w:highlight w:val="none"/>
              </w:rPr>
            </w:pPr>
          </w:p>
        </w:tc>
        <w:tc>
          <w:tcPr>
            <w:tcW w:w="3301" w:type="pct"/>
            <w:noWrap w:val="0"/>
            <w:vAlign w:val="top"/>
          </w:tcPr>
          <w:p w14:paraId="7883E1D1">
            <w:pPr>
              <w:spacing w:line="340" w:lineRule="exact"/>
              <w:jc w:val="left"/>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3.4</w:t>
            </w:r>
            <w:r>
              <w:rPr>
                <w:rFonts w:hint="eastAsia" w:ascii="宋体" w:hAnsi="宋体" w:eastAsia="宋体" w:cs="宋体"/>
                <w:bCs/>
                <w:color w:val="auto"/>
                <w:sz w:val="22"/>
                <w:szCs w:val="22"/>
                <w:highlight w:val="none"/>
                <w:lang w:eastAsia="zh-CN"/>
              </w:rPr>
              <w:t>投标人中标后</w:t>
            </w:r>
            <w:r>
              <w:rPr>
                <w:rFonts w:hint="eastAsia" w:ascii="宋体" w:hAnsi="宋体" w:eastAsia="宋体" w:cs="宋体"/>
                <w:bCs/>
                <w:color w:val="auto"/>
                <w:sz w:val="22"/>
                <w:szCs w:val="22"/>
                <w:highlight w:val="none"/>
              </w:rPr>
              <w:t>逾期交付货物的，每逾期1天，</w:t>
            </w:r>
            <w:r>
              <w:rPr>
                <w:rFonts w:hint="eastAsia" w:ascii="宋体" w:hAnsi="宋体" w:eastAsia="宋体" w:cs="宋体"/>
                <w:bCs/>
                <w:color w:val="auto"/>
                <w:sz w:val="22"/>
                <w:szCs w:val="22"/>
                <w:highlight w:val="none"/>
                <w:lang w:eastAsia="zh-CN"/>
              </w:rPr>
              <w:t>投标人</w:t>
            </w:r>
            <w:r>
              <w:rPr>
                <w:rFonts w:hint="eastAsia" w:ascii="宋体" w:hAnsi="宋体" w:eastAsia="宋体" w:cs="宋体"/>
                <w:bCs/>
                <w:color w:val="auto"/>
                <w:sz w:val="22"/>
                <w:szCs w:val="22"/>
                <w:highlight w:val="none"/>
              </w:rPr>
              <w:t>向采购人偿付</w:t>
            </w:r>
            <w:r>
              <w:rPr>
                <w:rFonts w:hint="eastAsia" w:ascii="宋体" w:hAnsi="宋体" w:eastAsia="宋体" w:cs="宋体"/>
                <w:bCs/>
                <w:color w:val="auto"/>
                <w:sz w:val="22"/>
                <w:szCs w:val="22"/>
                <w:highlight w:val="none"/>
                <w:lang w:eastAsia="zh-CN"/>
              </w:rPr>
              <w:t>项目采购金</w:t>
            </w:r>
            <w:r>
              <w:rPr>
                <w:rFonts w:hint="eastAsia" w:ascii="宋体" w:hAnsi="宋体" w:eastAsia="宋体" w:cs="宋体"/>
                <w:bCs/>
                <w:color w:val="auto"/>
                <w:sz w:val="22"/>
                <w:szCs w:val="22"/>
                <w:highlight w:val="none"/>
              </w:rPr>
              <w:t>额的【</w:t>
            </w:r>
            <w:r>
              <w:rPr>
                <w:rFonts w:hint="eastAsia" w:ascii="宋体" w:hAnsi="宋体" w:eastAsia="宋体" w:cs="宋体"/>
                <w:bCs/>
                <w:color w:val="auto"/>
                <w:sz w:val="22"/>
                <w:szCs w:val="22"/>
                <w:highlight w:val="none"/>
                <w:lang w:val="en-US" w:eastAsia="zh-CN"/>
              </w:rPr>
              <w:t>1</w:t>
            </w:r>
            <w:r>
              <w:rPr>
                <w:rFonts w:hint="eastAsia" w:ascii="宋体" w:hAnsi="宋体" w:eastAsia="宋体" w:cs="宋体"/>
                <w:bCs/>
                <w:color w:val="auto"/>
                <w:sz w:val="22"/>
                <w:szCs w:val="22"/>
                <w:highlight w:val="none"/>
              </w:rPr>
              <w:t>】‰（1‰以上5‰以下）的</w:t>
            </w:r>
            <w:r>
              <w:rPr>
                <w:rFonts w:hint="eastAsia" w:ascii="宋体" w:hAnsi="宋体" w:eastAsia="宋体" w:cs="宋体"/>
                <w:bCs/>
                <w:color w:val="auto"/>
                <w:sz w:val="22"/>
                <w:szCs w:val="22"/>
                <w:highlight w:val="none"/>
                <w:lang w:val="en-US" w:eastAsia="zh-CN"/>
              </w:rPr>
              <w:t>违约</w:t>
            </w:r>
            <w:r>
              <w:rPr>
                <w:rFonts w:hint="eastAsia" w:ascii="宋体" w:hAnsi="宋体" w:eastAsia="宋体" w:cs="宋体"/>
                <w:bCs/>
                <w:color w:val="auto"/>
                <w:sz w:val="22"/>
                <w:szCs w:val="22"/>
                <w:highlight w:val="none"/>
              </w:rPr>
              <w:t>金。如</w:t>
            </w:r>
            <w:r>
              <w:rPr>
                <w:rFonts w:hint="eastAsia" w:ascii="宋体" w:hAnsi="宋体" w:eastAsia="宋体" w:cs="宋体"/>
                <w:bCs/>
                <w:color w:val="auto"/>
                <w:sz w:val="22"/>
                <w:szCs w:val="22"/>
                <w:highlight w:val="none"/>
                <w:lang w:eastAsia="zh-CN"/>
              </w:rPr>
              <w:t>投标人</w:t>
            </w:r>
            <w:r>
              <w:rPr>
                <w:rFonts w:hint="eastAsia" w:ascii="宋体" w:hAnsi="宋体" w:eastAsia="宋体" w:cs="宋体"/>
                <w:bCs/>
                <w:color w:val="auto"/>
                <w:sz w:val="22"/>
                <w:szCs w:val="22"/>
                <w:highlight w:val="none"/>
              </w:rPr>
              <w:t>逾期交货达</w:t>
            </w:r>
            <w:r>
              <w:rPr>
                <w:rFonts w:hint="eastAsia" w:ascii="宋体" w:hAnsi="宋体" w:eastAsia="宋体" w:cs="宋体"/>
                <w:bCs/>
                <w:color w:val="auto"/>
                <w:sz w:val="22"/>
                <w:szCs w:val="22"/>
                <w:highlight w:val="none"/>
                <w:u w:val="single"/>
                <w:lang w:val="en-US" w:eastAsia="zh-CN"/>
              </w:rPr>
              <w:t>20</w:t>
            </w:r>
            <w:r>
              <w:rPr>
                <w:rFonts w:hint="eastAsia" w:ascii="宋体" w:hAnsi="宋体" w:eastAsia="宋体" w:cs="宋体"/>
                <w:bCs/>
                <w:color w:val="auto"/>
                <w:sz w:val="22"/>
                <w:szCs w:val="22"/>
                <w:highlight w:val="none"/>
              </w:rPr>
              <w:t>天，采购人有权解除合同。</w:t>
            </w:r>
          </w:p>
        </w:tc>
      </w:tr>
      <w:tr w14:paraId="4093A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743" w:type="pct"/>
            <w:vMerge w:val="continue"/>
            <w:noWrap w:val="0"/>
            <w:vAlign w:val="center"/>
          </w:tcPr>
          <w:p w14:paraId="7C0041FA">
            <w:pPr>
              <w:jc w:val="center"/>
              <w:rPr>
                <w:rFonts w:hint="eastAsia" w:ascii="宋体" w:hAnsi="宋体" w:eastAsia="宋体" w:cs="宋体"/>
                <w:bCs/>
                <w:color w:val="auto"/>
                <w:sz w:val="22"/>
                <w:szCs w:val="22"/>
                <w:highlight w:val="none"/>
              </w:rPr>
            </w:pPr>
          </w:p>
        </w:tc>
        <w:tc>
          <w:tcPr>
            <w:tcW w:w="955" w:type="pct"/>
            <w:vMerge w:val="continue"/>
            <w:noWrap w:val="0"/>
            <w:vAlign w:val="top"/>
          </w:tcPr>
          <w:p w14:paraId="58DE58E9">
            <w:pPr>
              <w:jc w:val="center"/>
              <w:rPr>
                <w:rFonts w:hint="eastAsia" w:ascii="宋体" w:hAnsi="宋体" w:eastAsia="宋体" w:cs="宋体"/>
                <w:bCs/>
                <w:color w:val="auto"/>
                <w:sz w:val="22"/>
                <w:szCs w:val="22"/>
                <w:highlight w:val="none"/>
              </w:rPr>
            </w:pPr>
          </w:p>
        </w:tc>
        <w:tc>
          <w:tcPr>
            <w:tcW w:w="3301" w:type="pct"/>
            <w:noWrap w:val="0"/>
            <w:vAlign w:val="top"/>
          </w:tcPr>
          <w:p w14:paraId="41DF1FE2">
            <w:pPr>
              <w:jc w:val="left"/>
              <w:rPr>
                <w:rFonts w:hint="eastAsia" w:ascii="宋体" w:hAnsi="宋体" w:eastAsia="宋体" w:cs="宋体"/>
                <w:b/>
                <w:color w:val="auto"/>
                <w:sz w:val="22"/>
                <w:szCs w:val="22"/>
                <w:highlight w:val="none"/>
              </w:rPr>
            </w:pPr>
            <w:r>
              <w:rPr>
                <w:rFonts w:hint="eastAsia" w:ascii="宋体" w:hAnsi="宋体" w:eastAsia="宋体" w:cs="宋体"/>
                <w:bCs/>
                <w:color w:val="auto"/>
                <w:sz w:val="22"/>
                <w:szCs w:val="22"/>
                <w:highlight w:val="none"/>
              </w:rPr>
              <w:t>3.5</w:t>
            </w:r>
            <w:r>
              <w:rPr>
                <w:rFonts w:hint="eastAsia" w:ascii="宋体" w:hAnsi="宋体" w:eastAsia="宋体" w:cs="宋体"/>
                <w:bCs/>
                <w:color w:val="auto"/>
                <w:sz w:val="22"/>
                <w:szCs w:val="22"/>
                <w:highlight w:val="none"/>
                <w:lang w:eastAsia="zh-CN"/>
              </w:rPr>
              <w:t>投标人中标后，在其</w:t>
            </w:r>
            <w:r>
              <w:rPr>
                <w:rFonts w:hint="eastAsia" w:ascii="宋体" w:hAnsi="宋体" w:eastAsia="宋体" w:cs="宋体"/>
                <w:bCs/>
                <w:color w:val="auto"/>
                <w:sz w:val="22"/>
                <w:szCs w:val="22"/>
                <w:highlight w:val="none"/>
              </w:rPr>
              <w:t>承诺的或国家规定的质量保证期内（取两者中最长的期限），如经</w:t>
            </w:r>
            <w:r>
              <w:rPr>
                <w:rFonts w:hint="eastAsia" w:ascii="宋体" w:hAnsi="宋体" w:eastAsia="宋体" w:cs="宋体"/>
                <w:bCs/>
                <w:color w:val="auto"/>
                <w:sz w:val="22"/>
                <w:szCs w:val="22"/>
                <w:highlight w:val="none"/>
                <w:lang w:eastAsia="zh-CN"/>
              </w:rPr>
              <w:t>投标人</w:t>
            </w:r>
            <w:r>
              <w:rPr>
                <w:rFonts w:hint="eastAsia" w:ascii="宋体" w:hAnsi="宋体" w:eastAsia="宋体" w:cs="宋体"/>
                <w:bCs/>
                <w:color w:val="auto"/>
                <w:sz w:val="22"/>
                <w:szCs w:val="22"/>
                <w:highlight w:val="none"/>
              </w:rPr>
              <w:t>两次维修或更换，货物仍不能达到采购文件要求及投标文件承诺的质量标准，采购人有权退货，</w:t>
            </w:r>
            <w:r>
              <w:rPr>
                <w:rFonts w:hint="eastAsia" w:ascii="宋体" w:hAnsi="宋体" w:eastAsia="宋体" w:cs="宋体"/>
                <w:bCs/>
                <w:color w:val="auto"/>
                <w:sz w:val="22"/>
                <w:szCs w:val="22"/>
                <w:highlight w:val="none"/>
                <w:lang w:eastAsia="zh-CN"/>
              </w:rPr>
              <w:t>投标人</w:t>
            </w:r>
            <w:r>
              <w:rPr>
                <w:rFonts w:hint="eastAsia" w:ascii="宋体" w:hAnsi="宋体" w:eastAsia="宋体" w:cs="宋体"/>
                <w:bCs/>
                <w:color w:val="auto"/>
                <w:sz w:val="22"/>
                <w:szCs w:val="22"/>
                <w:highlight w:val="none"/>
              </w:rPr>
              <w:t>应退回全部货款并赔偿采购人因此遭受的损失。</w:t>
            </w:r>
          </w:p>
        </w:tc>
      </w:tr>
      <w:tr w14:paraId="0B391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743" w:type="pct"/>
            <w:vMerge w:val="continue"/>
            <w:noWrap w:val="0"/>
            <w:vAlign w:val="center"/>
          </w:tcPr>
          <w:p w14:paraId="1E2FE284">
            <w:pPr>
              <w:jc w:val="center"/>
              <w:rPr>
                <w:rFonts w:hint="eastAsia" w:ascii="宋体" w:hAnsi="宋体" w:eastAsia="宋体" w:cs="宋体"/>
                <w:bCs/>
                <w:color w:val="auto"/>
                <w:sz w:val="22"/>
                <w:szCs w:val="22"/>
                <w:highlight w:val="none"/>
              </w:rPr>
            </w:pPr>
          </w:p>
        </w:tc>
        <w:tc>
          <w:tcPr>
            <w:tcW w:w="955" w:type="pct"/>
            <w:vMerge w:val="continue"/>
            <w:noWrap w:val="0"/>
            <w:vAlign w:val="top"/>
          </w:tcPr>
          <w:p w14:paraId="1777A362">
            <w:pPr>
              <w:jc w:val="center"/>
              <w:rPr>
                <w:rFonts w:hint="eastAsia" w:ascii="宋体" w:hAnsi="宋体" w:eastAsia="宋体" w:cs="宋体"/>
                <w:bCs/>
                <w:color w:val="auto"/>
                <w:sz w:val="22"/>
                <w:szCs w:val="22"/>
                <w:highlight w:val="none"/>
              </w:rPr>
            </w:pPr>
          </w:p>
        </w:tc>
        <w:tc>
          <w:tcPr>
            <w:tcW w:w="3301" w:type="pct"/>
            <w:noWrap w:val="0"/>
            <w:vAlign w:val="top"/>
          </w:tcPr>
          <w:p w14:paraId="3072DBDF">
            <w:pPr>
              <w:jc w:val="left"/>
              <w:rPr>
                <w:rFonts w:hint="eastAsia" w:ascii="宋体" w:hAnsi="宋体" w:eastAsia="宋体" w:cs="宋体"/>
                <w:b/>
                <w:color w:val="auto"/>
                <w:sz w:val="22"/>
                <w:szCs w:val="22"/>
                <w:highlight w:val="none"/>
              </w:rPr>
            </w:pPr>
            <w:r>
              <w:rPr>
                <w:rFonts w:hint="eastAsia" w:ascii="宋体" w:hAnsi="宋体" w:eastAsia="宋体" w:cs="宋体"/>
                <w:bCs/>
                <w:color w:val="auto"/>
                <w:sz w:val="22"/>
                <w:szCs w:val="22"/>
                <w:highlight w:val="none"/>
              </w:rPr>
              <w:t>3.6</w:t>
            </w:r>
            <w:r>
              <w:rPr>
                <w:rFonts w:hint="eastAsia" w:ascii="宋体" w:hAnsi="宋体" w:eastAsia="宋体" w:cs="宋体"/>
                <w:bCs/>
                <w:color w:val="auto"/>
                <w:sz w:val="22"/>
                <w:szCs w:val="22"/>
                <w:highlight w:val="none"/>
                <w:lang w:eastAsia="zh-CN"/>
              </w:rPr>
              <w:t>投标人中标后</w:t>
            </w:r>
            <w:r>
              <w:rPr>
                <w:rFonts w:hint="eastAsia" w:ascii="宋体" w:hAnsi="宋体" w:eastAsia="宋体" w:cs="宋体"/>
                <w:bCs/>
                <w:color w:val="auto"/>
                <w:sz w:val="22"/>
                <w:szCs w:val="22"/>
                <w:highlight w:val="none"/>
              </w:rPr>
              <w:t>在承担上述一项或多项违约责任后，仍应继续履行合同规定的义务（采购人解除合同的除外）。采购人未能及时追究</w:t>
            </w:r>
            <w:r>
              <w:rPr>
                <w:rFonts w:hint="eastAsia" w:ascii="宋体" w:hAnsi="宋体" w:eastAsia="宋体" w:cs="宋体"/>
                <w:bCs/>
                <w:color w:val="auto"/>
                <w:sz w:val="22"/>
                <w:szCs w:val="22"/>
                <w:highlight w:val="none"/>
                <w:lang w:eastAsia="zh-CN"/>
              </w:rPr>
              <w:t>投标人</w:t>
            </w:r>
            <w:r>
              <w:rPr>
                <w:rFonts w:hint="eastAsia" w:ascii="宋体" w:hAnsi="宋体" w:eastAsia="宋体" w:cs="宋体"/>
                <w:bCs/>
                <w:color w:val="auto"/>
                <w:sz w:val="22"/>
                <w:szCs w:val="22"/>
                <w:highlight w:val="none"/>
              </w:rPr>
              <w:t>的任何一项违约责任并不表明采购人放弃追究</w:t>
            </w:r>
            <w:r>
              <w:rPr>
                <w:rFonts w:hint="eastAsia" w:ascii="宋体" w:hAnsi="宋体" w:eastAsia="宋体" w:cs="宋体"/>
                <w:bCs/>
                <w:color w:val="auto"/>
                <w:sz w:val="22"/>
                <w:szCs w:val="22"/>
                <w:highlight w:val="none"/>
                <w:lang w:eastAsia="zh-CN"/>
              </w:rPr>
              <w:t>投标人</w:t>
            </w:r>
            <w:r>
              <w:rPr>
                <w:rFonts w:hint="eastAsia" w:ascii="宋体" w:hAnsi="宋体" w:eastAsia="宋体" w:cs="宋体"/>
                <w:bCs/>
                <w:color w:val="auto"/>
                <w:sz w:val="22"/>
                <w:szCs w:val="22"/>
                <w:highlight w:val="none"/>
              </w:rPr>
              <w:t>该项或其他违约责任。</w:t>
            </w:r>
          </w:p>
        </w:tc>
      </w:tr>
      <w:tr w14:paraId="53190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743" w:type="pct"/>
            <w:noWrap w:val="0"/>
            <w:vAlign w:val="center"/>
          </w:tcPr>
          <w:p w14:paraId="52807B54">
            <w:pPr>
              <w:jc w:val="center"/>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4</w:t>
            </w:r>
          </w:p>
        </w:tc>
        <w:tc>
          <w:tcPr>
            <w:tcW w:w="955" w:type="pct"/>
            <w:noWrap w:val="0"/>
            <w:vAlign w:val="center"/>
          </w:tcPr>
          <w:p w14:paraId="12C0E5C2">
            <w:pPr>
              <w:jc w:val="center"/>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其他</w:t>
            </w:r>
          </w:p>
        </w:tc>
        <w:tc>
          <w:tcPr>
            <w:tcW w:w="3301" w:type="pct"/>
            <w:noWrap w:val="0"/>
            <w:vAlign w:val="top"/>
          </w:tcPr>
          <w:p w14:paraId="51AB318A">
            <w:pPr>
              <w:jc w:val="left"/>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lang w:eastAsia="zh-CN"/>
              </w:rPr>
              <w:t>投标人中标后</w:t>
            </w:r>
            <w:r>
              <w:rPr>
                <w:rFonts w:hint="eastAsia" w:ascii="宋体" w:hAnsi="宋体" w:eastAsia="宋体" w:cs="宋体"/>
                <w:bCs/>
                <w:color w:val="auto"/>
                <w:sz w:val="22"/>
                <w:szCs w:val="22"/>
                <w:highlight w:val="none"/>
              </w:rPr>
              <w:t>应按其投标文件中的承诺，进行其他售后服务工作。</w:t>
            </w:r>
          </w:p>
        </w:tc>
      </w:tr>
      <w:tr w14:paraId="7AE99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743" w:type="pct"/>
            <w:noWrap w:val="0"/>
            <w:vAlign w:val="center"/>
          </w:tcPr>
          <w:p w14:paraId="489BD692">
            <w:pPr>
              <w:jc w:val="center"/>
              <w:rPr>
                <w:rFonts w:hint="eastAsia" w:ascii="宋体" w:hAnsi="宋体" w:cs="宋体" w:eastAsiaTheme="minorEastAsia"/>
                <w:bCs/>
                <w:color w:val="auto"/>
                <w:sz w:val="22"/>
                <w:szCs w:val="22"/>
                <w:highlight w:val="none"/>
                <w:lang w:val="en-US" w:eastAsia="zh-CN"/>
              </w:rPr>
            </w:pPr>
            <w:r>
              <w:rPr>
                <w:rFonts w:hint="eastAsia"/>
                <w:color w:val="auto"/>
                <w:highlight w:val="none"/>
                <w:lang w:val="en-US" w:eastAsia="zh-CN"/>
              </w:rPr>
              <w:t>5</w:t>
            </w:r>
          </w:p>
        </w:tc>
        <w:tc>
          <w:tcPr>
            <w:tcW w:w="955" w:type="pct"/>
            <w:noWrap w:val="0"/>
            <w:vAlign w:val="center"/>
          </w:tcPr>
          <w:p w14:paraId="3181A72F">
            <w:pPr>
              <w:jc w:val="center"/>
              <w:rPr>
                <w:rFonts w:hint="eastAsia" w:ascii="宋体" w:hAnsi="宋体" w:eastAsia="宋体" w:cs="宋体"/>
                <w:bCs/>
                <w:color w:val="auto"/>
                <w:sz w:val="22"/>
                <w:szCs w:val="22"/>
                <w:highlight w:val="none"/>
              </w:rPr>
            </w:pPr>
            <w:r>
              <w:rPr>
                <w:rFonts w:hint="eastAsia" w:ascii="宋体" w:hAnsi="宋体" w:eastAsia="宋体" w:cs="Times New Roman"/>
                <w:b/>
                <w:bCs/>
                <w:color w:val="auto"/>
                <w:szCs w:val="21"/>
                <w:highlight w:val="none"/>
              </w:rPr>
              <w:t>★</w:t>
            </w:r>
            <w:r>
              <w:rPr>
                <w:rFonts w:hint="eastAsia" w:ascii="宋体" w:hAnsi="宋体" w:eastAsia="宋体" w:cs="宋体"/>
                <w:bCs/>
                <w:color w:val="auto"/>
                <w:sz w:val="22"/>
                <w:szCs w:val="22"/>
                <w:highlight w:val="none"/>
              </w:rPr>
              <w:t>付款方式</w:t>
            </w:r>
          </w:p>
        </w:tc>
        <w:tc>
          <w:tcPr>
            <w:tcW w:w="3301" w:type="pct"/>
            <w:noWrap w:val="0"/>
            <w:vAlign w:val="top"/>
          </w:tcPr>
          <w:p w14:paraId="691321BA">
            <w:pPr>
              <w:jc w:val="left"/>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1、合同签订后</w:t>
            </w:r>
            <w:r>
              <w:rPr>
                <w:rFonts w:hint="eastAsia" w:ascii="宋体" w:hAnsi="宋体" w:eastAsia="宋体" w:cs="宋体"/>
                <w:bCs/>
                <w:color w:val="auto"/>
                <w:sz w:val="22"/>
                <w:szCs w:val="22"/>
                <w:highlight w:val="none"/>
                <w:lang w:val="en-US" w:eastAsia="zh-CN"/>
              </w:rPr>
              <w:t>30</w:t>
            </w:r>
            <w:r>
              <w:rPr>
                <w:rFonts w:hint="eastAsia" w:ascii="宋体" w:hAnsi="宋体" w:eastAsia="宋体" w:cs="宋体"/>
                <w:bCs/>
                <w:color w:val="auto"/>
                <w:sz w:val="22"/>
                <w:szCs w:val="22"/>
                <w:highlight w:val="none"/>
              </w:rPr>
              <w:t>个工作日内，采购人向中标供应商支付合同总价【</w:t>
            </w:r>
            <w:r>
              <w:rPr>
                <w:rFonts w:hint="eastAsia" w:ascii="宋体" w:hAnsi="宋体" w:eastAsia="宋体" w:cs="宋体"/>
                <w:bCs/>
                <w:color w:val="auto"/>
                <w:sz w:val="22"/>
                <w:szCs w:val="22"/>
                <w:highlight w:val="none"/>
                <w:lang w:val="en-US" w:eastAsia="zh-CN"/>
              </w:rPr>
              <w:t>50</w:t>
            </w:r>
            <w:r>
              <w:rPr>
                <w:rFonts w:hint="eastAsia" w:ascii="宋体" w:hAnsi="宋体" w:eastAsia="宋体" w:cs="宋体"/>
                <w:bCs/>
                <w:color w:val="auto"/>
                <w:sz w:val="22"/>
                <w:szCs w:val="22"/>
                <w:highlight w:val="none"/>
              </w:rPr>
              <w:t>】%的款项；</w:t>
            </w:r>
          </w:p>
          <w:p w14:paraId="39643F64">
            <w:pPr>
              <w:jc w:val="left"/>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2、全部货物送到采购人指定地点、完成安装并验收合格后</w:t>
            </w:r>
            <w:r>
              <w:rPr>
                <w:rFonts w:hint="eastAsia" w:ascii="宋体" w:hAnsi="宋体" w:eastAsia="宋体" w:cs="宋体"/>
                <w:bCs/>
                <w:color w:val="auto"/>
                <w:sz w:val="22"/>
                <w:szCs w:val="22"/>
                <w:highlight w:val="none"/>
                <w:lang w:val="en-US" w:eastAsia="zh-CN"/>
              </w:rPr>
              <w:t>30</w:t>
            </w:r>
            <w:r>
              <w:rPr>
                <w:rFonts w:hint="eastAsia" w:ascii="宋体" w:hAnsi="宋体" w:eastAsia="宋体" w:cs="宋体"/>
                <w:bCs/>
                <w:color w:val="auto"/>
                <w:sz w:val="22"/>
                <w:szCs w:val="22"/>
                <w:highlight w:val="none"/>
              </w:rPr>
              <w:t>个工作日内，采购人向中标供应商支付合同总价【</w:t>
            </w:r>
            <w:r>
              <w:rPr>
                <w:rFonts w:hint="eastAsia" w:ascii="宋体" w:hAnsi="宋体" w:eastAsia="宋体" w:cs="宋体"/>
                <w:bCs/>
                <w:color w:val="auto"/>
                <w:sz w:val="22"/>
                <w:szCs w:val="22"/>
                <w:highlight w:val="none"/>
                <w:lang w:val="en-US" w:eastAsia="zh-CN"/>
              </w:rPr>
              <w:t>50</w:t>
            </w:r>
            <w:r>
              <w:rPr>
                <w:rFonts w:hint="eastAsia" w:ascii="宋体" w:hAnsi="宋体" w:eastAsia="宋体" w:cs="宋体"/>
                <w:bCs/>
                <w:color w:val="auto"/>
                <w:sz w:val="22"/>
                <w:szCs w:val="22"/>
                <w:highlight w:val="none"/>
              </w:rPr>
              <w:t>】%的款项；</w:t>
            </w:r>
          </w:p>
          <w:p w14:paraId="60F4BF5D">
            <w:pPr>
              <w:jc w:val="left"/>
              <w:rPr>
                <w:rFonts w:hint="eastAsia" w:ascii="宋体" w:hAnsi="宋体" w:eastAsia="宋体" w:cs="宋体"/>
                <w:bCs/>
                <w:color w:val="auto"/>
                <w:sz w:val="22"/>
                <w:szCs w:val="22"/>
                <w:highlight w:val="none"/>
                <w:lang w:eastAsia="zh-CN"/>
              </w:rPr>
            </w:pPr>
            <w:r>
              <w:rPr>
                <w:rFonts w:hint="eastAsia" w:ascii="宋体" w:hAnsi="宋体" w:eastAsia="宋体" w:cs="宋体"/>
                <w:bCs/>
                <w:color w:val="auto"/>
                <w:sz w:val="22"/>
                <w:szCs w:val="22"/>
                <w:highlight w:val="none"/>
              </w:rPr>
              <w:t>3、因财政资金拨款未到位而导致甲方未在约定期限内支付合同费用的，中标供应商不得要求采购人承担逾期付款的违约责任。每次付款前，中标供应商应需先提供相应额度的正规发票给采购人，以便办理支付手续。</w:t>
            </w:r>
          </w:p>
        </w:tc>
      </w:tr>
    </w:tbl>
    <w:p w14:paraId="14A68E79">
      <w:pPr>
        <w:keepNext/>
        <w:keepLines/>
        <w:tabs>
          <w:tab w:val="left" w:pos="1680"/>
        </w:tabs>
        <w:spacing w:before="260" w:after="78" w:afterLines="25"/>
        <w:jc w:val="center"/>
        <w:outlineLvl w:val="2"/>
        <w:rPr>
          <w:rFonts w:ascii="Arial" w:hAnsi="Arial" w:eastAsia="宋体" w:cs="Times New Roman"/>
          <w:b/>
          <w:bCs/>
          <w:sz w:val="32"/>
          <w:szCs w:val="32"/>
        </w:rPr>
      </w:pPr>
      <w:r>
        <w:rPr>
          <w:rFonts w:hint="eastAsia" w:ascii="Arial" w:hAnsi="Arial" w:eastAsia="宋体" w:cs="Times New Roman"/>
          <w:b/>
          <w:bCs/>
          <w:sz w:val="32"/>
          <w:szCs w:val="32"/>
        </w:rPr>
        <w:t>五、技术要求部分</w:t>
      </w:r>
    </w:p>
    <w:p w14:paraId="2CE00C75">
      <w:pPr>
        <w:rPr>
          <w:rFonts w:ascii="宋体" w:hAnsi="宋体" w:eastAsia="宋体" w:cs="Times New Roman"/>
          <w:b/>
          <w:color w:val="FF0000"/>
          <w:szCs w:val="21"/>
          <w:highlight w:val="yellow"/>
        </w:rPr>
      </w:pPr>
      <w:r>
        <w:rPr>
          <w:rFonts w:hint="eastAsia" w:ascii="宋体" w:hAnsi="宋体" w:eastAsia="宋体" w:cs="Times New Roman"/>
          <w:b/>
          <w:color w:val="FF0000"/>
          <w:szCs w:val="21"/>
        </w:rPr>
        <w:t>1、带</w:t>
      </w:r>
      <w:r>
        <w:rPr>
          <w:rFonts w:hint="eastAsia" w:ascii="宋体" w:hAnsi="宋体" w:eastAsia="宋体" w:cs="Times New Roman"/>
          <w:b/>
          <w:bCs/>
          <w:color w:val="FF0000"/>
          <w:szCs w:val="21"/>
        </w:rPr>
        <w:t>★</w:t>
      </w:r>
      <w:r>
        <w:rPr>
          <w:rFonts w:hint="eastAsia" w:ascii="宋体" w:hAnsi="宋体" w:eastAsia="宋体" w:cs="Times New Roman"/>
          <w:b/>
          <w:color w:val="FF0000"/>
          <w:szCs w:val="21"/>
        </w:rPr>
        <w:t>号要求为不可偏离要求，如出现负偏离，将导致投标无效。带▲号参数为重要参数，其他参数（非▲号参数）为普通参数，如出现负偏离，将按照评分准则做扣分处理。</w:t>
      </w:r>
      <w:r>
        <w:rPr>
          <w:rFonts w:hint="eastAsia" w:ascii="宋体" w:hAnsi="宋体" w:eastAsia="宋体" w:cs="Times New Roman"/>
          <w:b/>
          <w:color w:val="FF0000"/>
          <w:szCs w:val="21"/>
          <w:highlight w:val="yellow"/>
        </w:rPr>
        <w:t>如注明要求提供相关佐证材料的，需以佐证材料作为是否偏离的依据。</w:t>
      </w:r>
    </w:p>
    <w:p w14:paraId="58A16B4D">
      <w:pPr>
        <w:spacing w:after="78"/>
        <w:jc w:val="left"/>
        <w:rPr>
          <w:rFonts w:ascii="Calibri" w:hAnsi="Calibri" w:eastAsia="宋体" w:cs="Times New Roman"/>
          <w:color w:val="FF0000"/>
          <w:szCs w:val="21"/>
        </w:rPr>
      </w:pPr>
      <w:r>
        <w:rPr>
          <w:rFonts w:hint="eastAsia" w:ascii="Calibri" w:hAnsi="Calibri" w:eastAsia="宋体" w:cs="Times New Roman"/>
          <w:color w:val="FF0000"/>
          <w:szCs w:val="21"/>
        </w:rPr>
        <w:t>2、所列的技术</w:t>
      </w:r>
      <w:r>
        <w:rPr>
          <w:rFonts w:ascii="Calibri" w:hAnsi="Calibri" w:eastAsia="宋体" w:cs="Times New Roman"/>
          <w:color w:val="FF0000"/>
          <w:szCs w:val="21"/>
        </w:rPr>
        <w:t>参数</w:t>
      </w:r>
      <w:r>
        <w:rPr>
          <w:rFonts w:hint="eastAsia" w:ascii="Calibri" w:hAnsi="Calibri" w:eastAsia="宋体" w:cs="Times New Roman"/>
          <w:color w:val="FF0000"/>
          <w:szCs w:val="21"/>
        </w:rPr>
        <w:t>需求中如出现品牌信息仅供参考，不作为参数要求，目的只为投标人更清楚地了解采购需求，投标人可提供其他品牌设备投标。</w:t>
      </w:r>
    </w:p>
    <w:p w14:paraId="0204B27B">
      <w:pPr>
        <w:spacing w:after="78"/>
        <w:jc w:val="left"/>
        <w:rPr>
          <w:rFonts w:ascii="Calibri" w:hAnsi="Calibri" w:eastAsia="宋体" w:cs="Times New Roman"/>
          <w:color w:val="FF0000"/>
          <w:szCs w:val="21"/>
        </w:rPr>
      </w:pPr>
      <w:r>
        <w:rPr>
          <w:rFonts w:hint="eastAsia" w:ascii="Calibri" w:hAnsi="Calibri" w:eastAsia="宋体" w:cs="Times New Roman"/>
          <w:color w:val="FF0000"/>
          <w:szCs w:val="21"/>
        </w:rPr>
        <w:t>3、如有</w:t>
      </w:r>
      <w:r>
        <w:rPr>
          <w:rFonts w:ascii="Calibri" w:hAnsi="Calibri" w:eastAsia="宋体" w:cs="Times New Roman"/>
          <w:color w:val="FF0000"/>
          <w:szCs w:val="21"/>
        </w:rPr>
        <w:t>方案表述中有出现类似可实现、</w:t>
      </w:r>
      <w:r>
        <w:rPr>
          <w:rFonts w:hint="eastAsia" w:ascii="Calibri" w:hAnsi="Calibri" w:eastAsia="宋体" w:cs="Times New Roman"/>
          <w:color w:val="FF0000"/>
          <w:szCs w:val="21"/>
        </w:rPr>
        <w:t>实现</w:t>
      </w:r>
      <w:r>
        <w:rPr>
          <w:rFonts w:ascii="Calibri" w:hAnsi="Calibri" w:eastAsia="宋体" w:cs="Times New Roman"/>
          <w:color w:val="FF0000"/>
          <w:szCs w:val="21"/>
        </w:rPr>
        <w:t>、</w:t>
      </w:r>
      <w:r>
        <w:rPr>
          <w:rFonts w:hint="eastAsia" w:ascii="Calibri" w:hAnsi="Calibri" w:eastAsia="宋体" w:cs="Times New Roman"/>
          <w:color w:val="FF0000"/>
          <w:szCs w:val="21"/>
        </w:rPr>
        <w:t>可</w:t>
      </w:r>
      <w:r>
        <w:rPr>
          <w:rFonts w:ascii="Calibri" w:hAnsi="Calibri" w:eastAsia="宋体" w:cs="Times New Roman"/>
          <w:color w:val="FF0000"/>
          <w:szCs w:val="21"/>
        </w:rPr>
        <w:t>支持、支持</w:t>
      </w:r>
      <w:r>
        <w:rPr>
          <w:rFonts w:hint="eastAsia" w:ascii="Calibri" w:hAnsi="Calibri" w:eastAsia="宋体" w:cs="Times New Roman"/>
          <w:color w:val="FF0000"/>
          <w:szCs w:val="21"/>
        </w:rPr>
        <w:t>等</w:t>
      </w:r>
      <w:r>
        <w:rPr>
          <w:rFonts w:ascii="Calibri" w:hAnsi="Calibri" w:eastAsia="宋体" w:cs="Times New Roman"/>
          <w:color w:val="FF0000"/>
          <w:szCs w:val="21"/>
        </w:rPr>
        <w:t>描述的，均表示方案需要实现的功能或</w:t>
      </w:r>
      <w:r>
        <w:rPr>
          <w:rFonts w:hint="eastAsia" w:ascii="Calibri" w:hAnsi="Calibri" w:eastAsia="宋体" w:cs="Times New Roman"/>
          <w:color w:val="FF0000"/>
          <w:szCs w:val="21"/>
        </w:rPr>
        <w:t>应满足的</w:t>
      </w:r>
      <w:r>
        <w:rPr>
          <w:rFonts w:ascii="Calibri" w:hAnsi="Calibri" w:eastAsia="宋体" w:cs="Times New Roman"/>
          <w:color w:val="FF0000"/>
          <w:szCs w:val="21"/>
        </w:rPr>
        <w:t>要求，即项目在验收时无须增加其他</w:t>
      </w:r>
      <w:r>
        <w:rPr>
          <w:rFonts w:hint="eastAsia" w:ascii="Calibri" w:hAnsi="Calibri" w:eastAsia="宋体" w:cs="Times New Roman"/>
          <w:color w:val="FF0000"/>
          <w:szCs w:val="21"/>
        </w:rPr>
        <w:t>额外</w:t>
      </w:r>
      <w:r>
        <w:rPr>
          <w:rFonts w:ascii="Calibri" w:hAnsi="Calibri" w:eastAsia="宋体" w:cs="Times New Roman"/>
          <w:color w:val="FF0000"/>
          <w:szCs w:val="21"/>
        </w:rPr>
        <w:t>设备</w:t>
      </w:r>
      <w:r>
        <w:rPr>
          <w:rFonts w:hint="eastAsia" w:ascii="Calibri" w:hAnsi="Calibri" w:eastAsia="宋体" w:cs="Times New Roman"/>
          <w:color w:val="FF0000"/>
          <w:szCs w:val="21"/>
        </w:rPr>
        <w:t>或</w:t>
      </w:r>
      <w:r>
        <w:rPr>
          <w:rFonts w:ascii="Calibri" w:hAnsi="Calibri" w:eastAsia="宋体" w:cs="Times New Roman"/>
          <w:color w:val="FF0000"/>
          <w:szCs w:val="21"/>
        </w:rPr>
        <w:t>系统</w:t>
      </w:r>
      <w:r>
        <w:rPr>
          <w:rFonts w:hint="eastAsia" w:ascii="Calibri" w:hAnsi="Calibri" w:eastAsia="宋体" w:cs="Times New Roman"/>
          <w:color w:val="FF0000"/>
          <w:szCs w:val="21"/>
        </w:rPr>
        <w:t>，</w:t>
      </w:r>
      <w:r>
        <w:rPr>
          <w:rFonts w:ascii="Calibri" w:hAnsi="Calibri" w:eastAsia="宋体" w:cs="Times New Roman"/>
          <w:color w:val="FF0000"/>
          <w:szCs w:val="21"/>
        </w:rPr>
        <w:t>使用本项目中的设备或</w:t>
      </w:r>
      <w:r>
        <w:rPr>
          <w:rFonts w:hint="eastAsia" w:ascii="Calibri" w:hAnsi="Calibri" w:eastAsia="宋体" w:cs="Times New Roman"/>
          <w:color w:val="FF0000"/>
          <w:szCs w:val="21"/>
        </w:rPr>
        <w:t>系统</w:t>
      </w:r>
      <w:r>
        <w:rPr>
          <w:rFonts w:ascii="Calibri" w:hAnsi="Calibri" w:eastAsia="宋体" w:cs="Times New Roman"/>
          <w:color w:val="FF0000"/>
          <w:szCs w:val="21"/>
        </w:rPr>
        <w:t>即能实现</w:t>
      </w:r>
      <w:r>
        <w:rPr>
          <w:rFonts w:hint="eastAsia" w:ascii="Calibri" w:hAnsi="Calibri" w:eastAsia="宋体" w:cs="Times New Roman"/>
          <w:color w:val="FF0000"/>
          <w:szCs w:val="21"/>
        </w:rPr>
        <w:t>相应功能</w:t>
      </w:r>
      <w:r>
        <w:rPr>
          <w:rFonts w:ascii="Calibri" w:hAnsi="Calibri" w:eastAsia="宋体" w:cs="Times New Roman"/>
          <w:color w:val="FF0000"/>
          <w:szCs w:val="21"/>
        </w:rPr>
        <w:t>或</w:t>
      </w:r>
      <w:r>
        <w:rPr>
          <w:rFonts w:hint="eastAsia" w:ascii="Calibri" w:hAnsi="Calibri" w:eastAsia="宋体" w:cs="Times New Roman"/>
          <w:color w:val="FF0000"/>
          <w:szCs w:val="21"/>
        </w:rPr>
        <w:t>满足相关</w:t>
      </w:r>
      <w:r>
        <w:rPr>
          <w:rFonts w:ascii="Calibri" w:hAnsi="Calibri" w:eastAsia="宋体" w:cs="Times New Roman"/>
          <w:color w:val="FF0000"/>
          <w:szCs w:val="21"/>
        </w:rPr>
        <w:t>要求。</w:t>
      </w:r>
    </w:p>
    <w:p w14:paraId="4FF0C27B">
      <w:pPr>
        <w:spacing w:after="78"/>
        <w:jc w:val="left"/>
        <w:rPr>
          <w:rFonts w:ascii="Calibri" w:hAnsi="Calibri" w:eastAsia="宋体" w:cs="Times New Roman"/>
          <w:color w:val="FF0000"/>
          <w:szCs w:val="21"/>
        </w:rPr>
      </w:pPr>
      <w:r>
        <w:rPr>
          <w:rFonts w:ascii="Calibri" w:hAnsi="Calibri" w:eastAsia="宋体" w:cs="Times New Roman"/>
          <w:color w:val="FF0000"/>
          <w:szCs w:val="21"/>
        </w:rPr>
        <w:t>4、针对招标文件产品技术参数如涉及相关既定值、单向范围值、区间范围值的，投标技术参数响应方式举例说明如下：</w:t>
      </w:r>
    </w:p>
    <w:p w14:paraId="7E33AAB3">
      <w:pPr>
        <w:spacing w:after="78"/>
        <w:jc w:val="left"/>
        <w:rPr>
          <w:rFonts w:ascii="Calibri" w:hAnsi="Calibri" w:eastAsia="宋体" w:cs="Times New Roman"/>
          <w:color w:val="FF0000"/>
          <w:szCs w:val="21"/>
        </w:rPr>
      </w:pPr>
      <w:r>
        <w:rPr>
          <w:rFonts w:ascii="Calibri" w:hAnsi="Calibri" w:eastAsia="宋体" w:cs="Times New Roman"/>
          <w:color w:val="FF0000"/>
          <w:szCs w:val="21"/>
        </w:rPr>
        <w:t>（1）涉及相关既定值的，例：招标技术参数要求值为“20L”，投标技术参数响应值与“20L”不一致的，均视为负偏离；</w:t>
      </w:r>
    </w:p>
    <w:p w14:paraId="0B5581F4">
      <w:pPr>
        <w:spacing w:after="78"/>
        <w:jc w:val="left"/>
        <w:rPr>
          <w:rFonts w:ascii="Calibri" w:hAnsi="Calibri" w:eastAsia="宋体" w:cs="Times New Roman"/>
          <w:color w:val="FF0000"/>
          <w:szCs w:val="21"/>
        </w:rPr>
      </w:pPr>
      <w:r>
        <w:rPr>
          <w:rFonts w:ascii="Calibri" w:hAnsi="Calibri" w:eastAsia="宋体" w:cs="Times New Roman"/>
          <w:color w:val="FF0000"/>
          <w:szCs w:val="21"/>
        </w:rPr>
        <w:t>（2）涉及相关单向范围值的，例：招标技术参数要求的单向范围值为“≥6m”，除有特别注明以外，投标技术参数响应值与招标技术参数要求范围值完全一致的（如响应为“≥6m”）或投标技术参数响应值大于招标技术参数要求范围值的（如响应为“≥5”或“＞5”等）或投标技术参数响应值为招标技术参数要求范围值内的任意值的（如响应为“7m”或“6.5m”等）均视为符合要求，投标技术参数响应值小于招标技术参数要求的（如响应为"＜6m"或“＜5m”或“5m”等）均视为负偏离；</w:t>
      </w:r>
    </w:p>
    <w:p w14:paraId="5DC5C0DE">
      <w:pPr>
        <w:spacing w:after="78"/>
        <w:jc w:val="left"/>
        <w:rPr>
          <w:rFonts w:ascii="Calibri" w:hAnsi="Calibri" w:eastAsia="宋体" w:cs="Times New Roman"/>
          <w:color w:val="FF0000"/>
          <w:szCs w:val="21"/>
        </w:rPr>
      </w:pPr>
      <w:r>
        <w:rPr>
          <w:rFonts w:ascii="Calibri" w:hAnsi="Calibri" w:eastAsia="宋体" w:cs="Times New Roman"/>
          <w:color w:val="FF0000"/>
          <w:szCs w:val="21"/>
        </w:rPr>
        <w:t>（3）涉及相关区间范围值的，例：招标技术参数要求的区间范围值为“0-20ML”，除有特别注明以外，投标技术参数响应值与招标技术参数要求范围值完全一致的（如响应为“0-20ML”）或投标技术参数响应值大于招标技术参数要求范围值的（如响应为“0-21ML”或“-1-20ML”或“0-25ML”等）均视为符合要求，投标技术参数响应值小于招标技术参数要求范围值的（如响应为“0-15ML”或“1-12ML ”或 “9-20ML”或“9ML” 等）均视为负偏离。</w:t>
      </w:r>
    </w:p>
    <w:tbl>
      <w:tblPr>
        <w:tblStyle w:val="16"/>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58"/>
        <w:gridCol w:w="1355"/>
        <w:gridCol w:w="7269"/>
      </w:tblGrid>
      <w:tr w14:paraId="425DE8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54" w:type="pct"/>
            <w:tcBorders>
              <w:top w:val="single" w:color="000000" w:sz="4" w:space="0"/>
              <w:left w:val="single" w:color="000000" w:sz="4" w:space="0"/>
              <w:bottom w:val="single" w:color="000000" w:sz="4" w:space="0"/>
              <w:right w:val="single" w:color="000000" w:sz="4" w:space="0"/>
            </w:tcBorders>
            <w:noWrap/>
            <w:vAlign w:val="center"/>
          </w:tcPr>
          <w:p w14:paraId="64C0C4A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序号</w:t>
            </w:r>
          </w:p>
        </w:tc>
        <w:tc>
          <w:tcPr>
            <w:tcW w:w="730" w:type="pct"/>
            <w:tcBorders>
              <w:top w:val="single" w:color="000000" w:sz="4" w:space="0"/>
              <w:left w:val="single" w:color="000000" w:sz="4" w:space="0"/>
              <w:bottom w:val="single" w:color="000000" w:sz="4" w:space="0"/>
              <w:right w:val="single" w:color="000000" w:sz="4" w:space="0"/>
            </w:tcBorders>
            <w:noWrap w:val="0"/>
            <w:vAlign w:val="center"/>
          </w:tcPr>
          <w:p w14:paraId="60DD350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货物名称</w:t>
            </w:r>
          </w:p>
        </w:tc>
        <w:tc>
          <w:tcPr>
            <w:tcW w:w="3915" w:type="pct"/>
            <w:tcBorders>
              <w:top w:val="single" w:color="000000" w:sz="4" w:space="0"/>
              <w:left w:val="single" w:color="000000" w:sz="4" w:space="0"/>
              <w:bottom w:val="single" w:color="000000" w:sz="4" w:space="0"/>
              <w:right w:val="single" w:color="000000" w:sz="4" w:space="0"/>
            </w:tcBorders>
            <w:noWrap/>
            <w:vAlign w:val="center"/>
          </w:tcPr>
          <w:p w14:paraId="02A0DD7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招标技术要求</w:t>
            </w:r>
          </w:p>
        </w:tc>
      </w:tr>
      <w:tr w14:paraId="6EFB7E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54" w:type="pct"/>
            <w:tcBorders>
              <w:top w:val="single" w:color="000000" w:sz="4" w:space="0"/>
              <w:left w:val="single" w:color="000000" w:sz="4" w:space="0"/>
              <w:bottom w:val="single" w:color="000000" w:sz="4" w:space="0"/>
              <w:right w:val="single" w:color="000000" w:sz="4" w:space="0"/>
            </w:tcBorders>
            <w:noWrap/>
            <w:vAlign w:val="center"/>
          </w:tcPr>
          <w:p w14:paraId="7577220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730" w:type="pct"/>
            <w:tcBorders>
              <w:top w:val="single" w:color="000000" w:sz="4" w:space="0"/>
              <w:left w:val="single" w:color="000000" w:sz="4" w:space="0"/>
              <w:bottom w:val="single" w:color="000000" w:sz="4" w:space="0"/>
              <w:right w:val="single" w:color="000000" w:sz="4" w:space="0"/>
            </w:tcBorders>
            <w:noWrap w:val="0"/>
            <w:vAlign w:val="center"/>
          </w:tcPr>
          <w:p w14:paraId="50845A5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定制款单人沙发座</w:t>
            </w:r>
          </w:p>
        </w:tc>
        <w:tc>
          <w:tcPr>
            <w:tcW w:w="3915" w:type="pct"/>
            <w:tcBorders>
              <w:top w:val="single" w:color="000000" w:sz="4" w:space="0"/>
              <w:left w:val="single" w:color="000000" w:sz="4" w:space="0"/>
              <w:bottom w:val="single" w:color="000000" w:sz="4" w:space="0"/>
              <w:right w:val="single" w:color="000000" w:sz="4" w:space="0"/>
            </w:tcBorders>
            <w:noWrap w:val="0"/>
            <w:vAlign w:val="center"/>
          </w:tcPr>
          <w:p w14:paraId="6CC1D0DF">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1、规格尺寸：550*550mm*400mm（±5mm）</w:t>
            </w:r>
          </w:p>
          <w:p w14:paraId="1B4E1BB1">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2、框架：落叶松实木框架；</w:t>
            </w:r>
          </w:p>
          <w:p w14:paraId="5B09F90A">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3、填充：高密度海绵；</w:t>
            </w:r>
          </w:p>
          <w:p w14:paraId="4829B639">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4、覆面：抗污PU皮饰面</w:t>
            </w:r>
          </w:p>
        </w:tc>
      </w:tr>
      <w:tr w14:paraId="29AAA7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354" w:type="pct"/>
            <w:tcBorders>
              <w:top w:val="single" w:color="000000" w:sz="4" w:space="0"/>
              <w:left w:val="single" w:color="000000" w:sz="4" w:space="0"/>
              <w:bottom w:val="single" w:color="000000" w:sz="4" w:space="0"/>
              <w:right w:val="single" w:color="000000" w:sz="4" w:space="0"/>
            </w:tcBorders>
            <w:noWrap/>
            <w:vAlign w:val="center"/>
          </w:tcPr>
          <w:p w14:paraId="4BA8487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730" w:type="pct"/>
            <w:tcBorders>
              <w:top w:val="single" w:color="000000" w:sz="4" w:space="0"/>
              <w:left w:val="single" w:color="000000" w:sz="4" w:space="0"/>
              <w:bottom w:val="single" w:color="000000" w:sz="4" w:space="0"/>
              <w:right w:val="single" w:color="000000" w:sz="4" w:space="0"/>
            </w:tcBorders>
            <w:noWrap w:val="0"/>
            <w:vAlign w:val="center"/>
          </w:tcPr>
          <w:p w14:paraId="7C17514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定制款双人沙发座</w:t>
            </w:r>
          </w:p>
        </w:tc>
        <w:tc>
          <w:tcPr>
            <w:tcW w:w="3915" w:type="pct"/>
            <w:tcBorders>
              <w:top w:val="single" w:color="000000" w:sz="4" w:space="0"/>
              <w:left w:val="single" w:color="000000" w:sz="4" w:space="0"/>
              <w:bottom w:val="single" w:color="000000" w:sz="4" w:space="0"/>
              <w:right w:val="single" w:color="000000" w:sz="4" w:space="0"/>
            </w:tcBorders>
            <w:noWrap w:val="0"/>
            <w:vAlign w:val="center"/>
          </w:tcPr>
          <w:p w14:paraId="680F955D">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1、规格尺寸：1100*550mm*400mm（±5mm）</w:t>
            </w:r>
          </w:p>
          <w:p w14:paraId="05114F69">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2、框架：落叶松实木框架；</w:t>
            </w:r>
          </w:p>
          <w:p w14:paraId="3518600F">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3、填充：高密度海绵；</w:t>
            </w:r>
          </w:p>
          <w:p w14:paraId="50627249">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4、覆面：抗污PU皮饰面</w:t>
            </w:r>
          </w:p>
        </w:tc>
      </w:tr>
      <w:tr w14:paraId="1B923E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354" w:type="pct"/>
            <w:tcBorders>
              <w:top w:val="single" w:color="000000" w:sz="4" w:space="0"/>
              <w:left w:val="single" w:color="000000" w:sz="4" w:space="0"/>
              <w:bottom w:val="single" w:color="000000" w:sz="4" w:space="0"/>
              <w:right w:val="single" w:color="000000" w:sz="4" w:space="0"/>
            </w:tcBorders>
            <w:noWrap/>
            <w:vAlign w:val="center"/>
          </w:tcPr>
          <w:p w14:paraId="265310A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730" w:type="pct"/>
            <w:tcBorders>
              <w:top w:val="single" w:color="000000" w:sz="4" w:space="0"/>
              <w:left w:val="single" w:color="000000" w:sz="4" w:space="0"/>
              <w:bottom w:val="single" w:color="000000" w:sz="4" w:space="0"/>
              <w:right w:val="single" w:color="000000" w:sz="4" w:space="0"/>
            </w:tcBorders>
            <w:noWrap w:val="0"/>
            <w:vAlign w:val="center"/>
          </w:tcPr>
          <w:p w14:paraId="1950057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定制款弧形沙发</w:t>
            </w:r>
          </w:p>
        </w:tc>
        <w:tc>
          <w:tcPr>
            <w:tcW w:w="3915" w:type="pct"/>
            <w:tcBorders>
              <w:top w:val="single" w:color="000000" w:sz="4" w:space="0"/>
              <w:left w:val="single" w:color="000000" w:sz="4" w:space="0"/>
              <w:bottom w:val="single" w:color="000000" w:sz="4" w:space="0"/>
              <w:right w:val="single" w:color="000000" w:sz="4" w:space="0"/>
            </w:tcBorders>
            <w:noWrap w:val="0"/>
            <w:vAlign w:val="center"/>
          </w:tcPr>
          <w:p w14:paraId="5F839AF9">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1、规格尺寸：φ2060*500mm*400mm（±5mm）</w:t>
            </w:r>
          </w:p>
          <w:p w14:paraId="317B5AC2">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2、框架：落叶松实木框架；</w:t>
            </w:r>
          </w:p>
          <w:p w14:paraId="6E95D7D4">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3、填充：高密度海绵；</w:t>
            </w:r>
          </w:p>
          <w:p w14:paraId="428DCAB9">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4、覆面：抗污PU皮饰面</w:t>
            </w:r>
          </w:p>
        </w:tc>
      </w:tr>
      <w:tr w14:paraId="033F9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9" w:hRule="atLeast"/>
        </w:trPr>
        <w:tc>
          <w:tcPr>
            <w:tcW w:w="354" w:type="pct"/>
            <w:tcBorders>
              <w:top w:val="single" w:color="000000" w:sz="4" w:space="0"/>
              <w:left w:val="single" w:color="000000" w:sz="4" w:space="0"/>
              <w:bottom w:val="single" w:color="000000" w:sz="4" w:space="0"/>
              <w:right w:val="single" w:color="000000" w:sz="4" w:space="0"/>
            </w:tcBorders>
            <w:noWrap/>
            <w:vAlign w:val="center"/>
          </w:tcPr>
          <w:p w14:paraId="326591C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730" w:type="pct"/>
            <w:tcBorders>
              <w:top w:val="single" w:color="000000" w:sz="4" w:space="0"/>
              <w:left w:val="single" w:color="000000" w:sz="4" w:space="0"/>
              <w:bottom w:val="single" w:color="000000" w:sz="4" w:space="0"/>
              <w:right w:val="single" w:color="000000" w:sz="4" w:space="0"/>
            </w:tcBorders>
            <w:noWrap w:val="0"/>
            <w:vAlign w:val="center"/>
          </w:tcPr>
          <w:p w14:paraId="168A40E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四角高凳</w:t>
            </w:r>
          </w:p>
        </w:tc>
        <w:tc>
          <w:tcPr>
            <w:tcW w:w="3915" w:type="pct"/>
            <w:tcBorders>
              <w:top w:val="single" w:color="000000" w:sz="4" w:space="0"/>
              <w:left w:val="single" w:color="000000" w:sz="4" w:space="0"/>
              <w:bottom w:val="single" w:color="000000" w:sz="4" w:space="0"/>
              <w:right w:val="single" w:color="000000" w:sz="4" w:space="0"/>
            </w:tcBorders>
            <w:noWrap w:val="0"/>
            <w:vAlign w:val="center"/>
          </w:tcPr>
          <w:p w14:paraId="73F917BE">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1、规格尺寸：750mm（凳面高度）总高：900mm（±5mm）</w:t>
            </w:r>
          </w:p>
          <w:p w14:paraId="3795A1E1">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2、材质：PP凳面，碳素钢脚架</w:t>
            </w:r>
          </w:p>
        </w:tc>
      </w:tr>
      <w:tr w14:paraId="507FA0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54" w:type="pct"/>
            <w:tcBorders>
              <w:top w:val="single" w:color="000000" w:sz="4" w:space="0"/>
              <w:left w:val="single" w:color="000000" w:sz="4" w:space="0"/>
              <w:bottom w:val="single" w:color="000000" w:sz="4" w:space="0"/>
              <w:right w:val="single" w:color="000000" w:sz="4" w:space="0"/>
            </w:tcBorders>
            <w:noWrap/>
            <w:vAlign w:val="center"/>
          </w:tcPr>
          <w:p w14:paraId="748964A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730" w:type="pct"/>
            <w:tcBorders>
              <w:top w:val="single" w:color="000000" w:sz="4" w:space="0"/>
              <w:left w:val="single" w:color="000000" w:sz="4" w:space="0"/>
              <w:bottom w:val="single" w:color="000000" w:sz="4" w:space="0"/>
              <w:right w:val="single" w:color="000000" w:sz="4" w:space="0"/>
            </w:tcBorders>
            <w:noWrap w:val="0"/>
            <w:vAlign w:val="center"/>
          </w:tcPr>
          <w:p w14:paraId="5C99173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靠背椅</w:t>
            </w:r>
          </w:p>
        </w:tc>
        <w:tc>
          <w:tcPr>
            <w:tcW w:w="3915" w:type="pct"/>
            <w:tcBorders>
              <w:top w:val="single" w:color="000000" w:sz="4" w:space="0"/>
              <w:left w:val="single" w:color="000000" w:sz="4" w:space="0"/>
              <w:bottom w:val="single" w:color="000000" w:sz="4" w:space="0"/>
              <w:right w:val="single" w:color="000000" w:sz="4" w:space="0"/>
            </w:tcBorders>
            <w:noWrap w:val="0"/>
            <w:vAlign w:val="center"/>
          </w:tcPr>
          <w:p w14:paraId="2019CAED">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1、规格尺寸：350*350*500mm（±5mm）</w:t>
            </w:r>
          </w:p>
          <w:p w14:paraId="15829692">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2、PP塑料靠背，PU皮海绵坐垫，人体工学曲线设计。</w:t>
            </w:r>
          </w:p>
          <w:p w14:paraId="009EF37D">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3、升降采用气杆，升降杆为不锈钢材质。</w:t>
            </w:r>
          </w:p>
          <w:p w14:paraId="05F48A42">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4、转椅脚轮尼龙塑料脚架。</w:t>
            </w:r>
          </w:p>
          <w:p w14:paraId="357CFC01">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5、脚垫采用ABS材质。</w:t>
            </w:r>
          </w:p>
        </w:tc>
      </w:tr>
      <w:tr w14:paraId="7917BF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54" w:type="pct"/>
            <w:tcBorders>
              <w:top w:val="single" w:color="000000" w:sz="4" w:space="0"/>
              <w:left w:val="single" w:color="000000" w:sz="4" w:space="0"/>
              <w:bottom w:val="single" w:color="000000" w:sz="4" w:space="0"/>
              <w:right w:val="single" w:color="000000" w:sz="4" w:space="0"/>
            </w:tcBorders>
            <w:noWrap/>
            <w:vAlign w:val="center"/>
          </w:tcPr>
          <w:p w14:paraId="1A79888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730" w:type="pct"/>
            <w:tcBorders>
              <w:top w:val="single" w:color="000000" w:sz="4" w:space="0"/>
              <w:left w:val="single" w:color="000000" w:sz="4" w:space="0"/>
              <w:bottom w:val="single" w:color="000000" w:sz="4" w:space="0"/>
              <w:right w:val="single" w:color="000000" w:sz="4" w:space="0"/>
            </w:tcBorders>
            <w:noWrap w:val="0"/>
            <w:vAlign w:val="center"/>
          </w:tcPr>
          <w:p w14:paraId="5A259F3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讲台</w:t>
            </w:r>
          </w:p>
        </w:tc>
        <w:tc>
          <w:tcPr>
            <w:tcW w:w="3915" w:type="pct"/>
            <w:tcBorders>
              <w:top w:val="single" w:color="000000" w:sz="4" w:space="0"/>
              <w:left w:val="single" w:color="000000" w:sz="4" w:space="0"/>
              <w:bottom w:val="single" w:color="000000" w:sz="4" w:space="0"/>
              <w:right w:val="single" w:color="000000" w:sz="4" w:space="0"/>
            </w:tcBorders>
            <w:noWrap w:val="0"/>
            <w:vAlign w:val="center"/>
          </w:tcPr>
          <w:p w14:paraId="1C89B892">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1、规格尺寸：1500*700mm*750mm（±5mm）</w:t>
            </w:r>
          </w:p>
          <w:p w14:paraId="24ADCEB3">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2、面板：E0级环保板材，实木颗粒环保板。</w:t>
            </w:r>
          </w:p>
          <w:p w14:paraId="186D4DBF">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3、桌脚：采用冷轧钢，表面环氧树脂静电粉末喷涂。</w:t>
            </w:r>
          </w:p>
        </w:tc>
      </w:tr>
      <w:tr w14:paraId="22C6D9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4" w:hRule="atLeast"/>
        </w:trPr>
        <w:tc>
          <w:tcPr>
            <w:tcW w:w="354" w:type="pct"/>
            <w:tcBorders>
              <w:top w:val="single" w:color="000000" w:sz="4" w:space="0"/>
              <w:left w:val="single" w:color="000000" w:sz="4" w:space="0"/>
              <w:bottom w:val="single" w:color="000000" w:sz="4" w:space="0"/>
              <w:right w:val="single" w:color="000000" w:sz="4" w:space="0"/>
            </w:tcBorders>
            <w:noWrap/>
            <w:vAlign w:val="center"/>
          </w:tcPr>
          <w:p w14:paraId="3EFD361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730" w:type="pct"/>
            <w:tcBorders>
              <w:top w:val="single" w:color="000000" w:sz="4" w:space="0"/>
              <w:left w:val="single" w:color="000000" w:sz="4" w:space="0"/>
              <w:bottom w:val="single" w:color="000000" w:sz="4" w:space="0"/>
              <w:right w:val="single" w:color="000000" w:sz="4" w:space="0"/>
            </w:tcBorders>
            <w:noWrap w:val="0"/>
            <w:vAlign w:val="center"/>
          </w:tcPr>
          <w:p w14:paraId="1E71C4A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定制款单人桌</w:t>
            </w:r>
          </w:p>
        </w:tc>
        <w:tc>
          <w:tcPr>
            <w:tcW w:w="3915" w:type="pct"/>
            <w:tcBorders>
              <w:top w:val="single" w:color="000000" w:sz="4" w:space="0"/>
              <w:left w:val="single" w:color="000000" w:sz="4" w:space="0"/>
              <w:bottom w:val="single" w:color="000000" w:sz="4" w:space="0"/>
              <w:right w:val="single" w:color="000000" w:sz="4" w:space="0"/>
            </w:tcBorders>
            <w:noWrap w:val="0"/>
            <w:vAlign w:val="center"/>
          </w:tcPr>
          <w:p w14:paraId="2BAAFD0C">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1、规格尺寸：650*500mm*750mm（±5mm）</w:t>
            </w:r>
          </w:p>
          <w:p w14:paraId="5F7B6DAF">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2、台面：采用≥12mm厚抗倍特制作。</w:t>
            </w:r>
          </w:p>
          <w:p w14:paraId="7512B875">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3、支架：采用≥1.0mm厚冷轧钢管，表面经过酸洗、磷化防腐、除锈化处理后静电喷塑。</w:t>
            </w:r>
          </w:p>
          <w:p w14:paraId="0459561C">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4、桌脚：采用静音万向轮，可水平360°旋转，可以自由移动到任意位置。</w:t>
            </w:r>
          </w:p>
        </w:tc>
      </w:tr>
      <w:tr w14:paraId="1BDF68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4" w:hRule="atLeast"/>
        </w:trPr>
        <w:tc>
          <w:tcPr>
            <w:tcW w:w="354" w:type="pct"/>
            <w:tcBorders>
              <w:top w:val="single" w:color="000000" w:sz="4" w:space="0"/>
              <w:left w:val="single" w:color="000000" w:sz="4" w:space="0"/>
              <w:bottom w:val="single" w:color="000000" w:sz="4" w:space="0"/>
              <w:right w:val="single" w:color="000000" w:sz="4" w:space="0"/>
            </w:tcBorders>
            <w:noWrap/>
            <w:vAlign w:val="center"/>
          </w:tcPr>
          <w:p w14:paraId="662E312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730" w:type="pct"/>
            <w:tcBorders>
              <w:top w:val="single" w:color="000000" w:sz="4" w:space="0"/>
              <w:left w:val="single" w:color="000000" w:sz="4" w:space="0"/>
              <w:bottom w:val="single" w:color="000000" w:sz="4" w:space="0"/>
              <w:right w:val="single" w:color="000000" w:sz="4" w:space="0"/>
            </w:tcBorders>
            <w:noWrap w:val="0"/>
            <w:vAlign w:val="center"/>
          </w:tcPr>
          <w:p w14:paraId="5823BA3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定制款双人桌</w:t>
            </w:r>
          </w:p>
        </w:tc>
        <w:tc>
          <w:tcPr>
            <w:tcW w:w="3915" w:type="pct"/>
            <w:tcBorders>
              <w:top w:val="single" w:color="000000" w:sz="4" w:space="0"/>
              <w:left w:val="single" w:color="000000" w:sz="4" w:space="0"/>
              <w:bottom w:val="single" w:color="000000" w:sz="4" w:space="0"/>
              <w:right w:val="single" w:color="000000" w:sz="4" w:space="0"/>
            </w:tcBorders>
            <w:noWrap w:val="0"/>
            <w:vAlign w:val="center"/>
          </w:tcPr>
          <w:p w14:paraId="3A4483F9">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1、规格尺寸：1300*500mm750mm（±5mm）</w:t>
            </w:r>
          </w:p>
          <w:p w14:paraId="649CC579">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2、台面：采用≥12mm厚抗倍特制作。</w:t>
            </w:r>
          </w:p>
          <w:p w14:paraId="6CCC9376">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3、支架：采用≥1.0mm厚冷轧钢管，表面经过酸洗、磷化防腐、除锈化处理后静电喷塑。</w:t>
            </w:r>
          </w:p>
          <w:p w14:paraId="2B435643">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4、桌脚：采用静音万向轮，可水平360°旋转，可以自由移动到任意位置。</w:t>
            </w:r>
          </w:p>
        </w:tc>
      </w:tr>
      <w:tr w14:paraId="47651A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4" w:hRule="atLeast"/>
        </w:trPr>
        <w:tc>
          <w:tcPr>
            <w:tcW w:w="354" w:type="pct"/>
            <w:tcBorders>
              <w:top w:val="single" w:color="000000" w:sz="4" w:space="0"/>
              <w:left w:val="single" w:color="000000" w:sz="4" w:space="0"/>
              <w:bottom w:val="single" w:color="000000" w:sz="4" w:space="0"/>
              <w:right w:val="single" w:color="000000" w:sz="4" w:space="0"/>
            </w:tcBorders>
            <w:noWrap/>
            <w:vAlign w:val="center"/>
          </w:tcPr>
          <w:p w14:paraId="790AB8E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w:t>
            </w:r>
          </w:p>
        </w:tc>
        <w:tc>
          <w:tcPr>
            <w:tcW w:w="730" w:type="pct"/>
            <w:tcBorders>
              <w:top w:val="single" w:color="000000" w:sz="4" w:space="0"/>
              <w:left w:val="single" w:color="000000" w:sz="4" w:space="0"/>
              <w:bottom w:val="single" w:color="000000" w:sz="4" w:space="0"/>
              <w:right w:val="single" w:color="000000" w:sz="4" w:space="0"/>
            </w:tcBorders>
            <w:noWrap w:val="0"/>
            <w:vAlign w:val="center"/>
          </w:tcPr>
          <w:p w14:paraId="683DD9D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定制款6人桌</w:t>
            </w:r>
          </w:p>
        </w:tc>
        <w:tc>
          <w:tcPr>
            <w:tcW w:w="3915" w:type="pct"/>
            <w:tcBorders>
              <w:top w:val="single" w:color="000000" w:sz="4" w:space="0"/>
              <w:left w:val="single" w:color="000000" w:sz="4" w:space="0"/>
              <w:bottom w:val="single" w:color="000000" w:sz="4" w:space="0"/>
              <w:right w:val="single" w:color="000000" w:sz="4" w:space="0"/>
            </w:tcBorders>
            <w:noWrap w:val="0"/>
            <w:vAlign w:val="center"/>
          </w:tcPr>
          <w:p w14:paraId="0B6384FF">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1、规格尺寸：2400*1200mm*1000mm（±5mm）</w:t>
            </w:r>
          </w:p>
          <w:p w14:paraId="75B4A8C4">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2、台面：采用≥12mm厚抗倍特制作。</w:t>
            </w:r>
          </w:p>
          <w:p w14:paraId="6B33108D">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3、支架：采用≥1.0mm厚冷轧钢管，表面经过酸洗、磷化防腐、除锈化处理后静电喷塑。</w:t>
            </w:r>
          </w:p>
        </w:tc>
      </w:tr>
      <w:tr w14:paraId="370E88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3" w:hRule="atLeast"/>
        </w:trPr>
        <w:tc>
          <w:tcPr>
            <w:tcW w:w="354" w:type="pct"/>
            <w:tcBorders>
              <w:top w:val="single" w:color="000000" w:sz="4" w:space="0"/>
              <w:left w:val="single" w:color="000000" w:sz="4" w:space="0"/>
              <w:bottom w:val="single" w:color="000000" w:sz="4" w:space="0"/>
              <w:right w:val="single" w:color="000000" w:sz="4" w:space="0"/>
            </w:tcBorders>
            <w:noWrap/>
            <w:vAlign w:val="center"/>
          </w:tcPr>
          <w:p w14:paraId="0A57D19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730" w:type="pct"/>
            <w:tcBorders>
              <w:top w:val="single" w:color="000000" w:sz="4" w:space="0"/>
              <w:left w:val="single" w:color="000000" w:sz="4" w:space="0"/>
              <w:bottom w:val="single" w:color="000000" w:sz="4" w:space="0"/>
              <w:right w:val="single" w:color="000000" w:sz="4" w:space="0"/>
            </w:tcBorders>
            <w:noWrap w:val="0"/>
            <w:vAlign w:val="center"/>
          </w:tcPr>
          <w:p w14:paraId="7FE57A4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边台</w:t>
            </w:r>
          </w:p>
        </w:tc>
        <w:tc>
          <w:tcPr>
            <w:tcW w:w="3915" w:type="pct"/>
            <w:tcBorders>
              <w:top w:val="single" w:color="000000" w:sz="4" w:space="0"/>
              <w:left w:val="single" w:color="000000" w:sz="4" w:space="0"/>
              <w:bottom w:val="single" w:color="000000" w:sz="4" w:space="0"/>
              <w:right w:val="single" w:color="000000" w:sz="4" w:space="0"/>
            </w:tcBorders>
            <w:noWrap w:val="0"/>
            <w:vAlign w:val="center"/>
          </w:tcPr>
          <w:p w14:paraId="28D69EAD">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1、规格尺寸：1000*600*750mm（±5mm）。</w:t>
            </w:r>
          </w:p>
          <w:p w14:paraId="25710CCC">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2、台面：E0级环保板材，实木颗粒环保板。</w:t>
            </w:r>
          </w:p>
          <w:p w14:paraId="1F6F9294">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3、桌脚：采用冷轧钢。</w:t>
            </w:r>
          </w:p>
        </w:tc>
      </w:tr>
      <w:tr w14:paraId="12ED3E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96" w:hRule="atLeast"/>
        </w:trPr>
        <w:tc>
          <w:tcPr>
            <w:tcW w:w="354" w:type="pct"/>
            <w:tcBorders>
              <w:top w:val="single" w:color="000000" w:sz="4" w:space="0"/>
              <w:left w:val="single" w:color="000000" w:sz="4" w:space="0"/>
              <w:bottom w:val="single" w:color="000000" w:sz="4" w:space="0"/>
              <w:right w:val="single" w:color="000000" w:sz="4" w:space="0"/>
            </w:tcBorders>
            <w:noWrap/>
            <w:vAlign w:val="center"/>
          </w:tcPr>
          <w:p w14:paraId="229EB2F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w:t>
            </w:r>
          </w:p>
        </w:tc>
        <w:tc>
          <w:tcPr>
            <w:tcW w:w="730" w:type="pct"/>
            <w:tcBorders>
              <w:top w:val="single" w:color="000000" w:sz="4" w:space="0"/>
              <w:left w:val="single" w:color="000000" w:sz="4" w:space="0"/>
              <w:bottom w:val="single" w:color="000000" w:sz="4" w:space="0"/>
              <w:right w:val="single" w:color="000000" w:sz="4" w:space="0"/>
            </w:tcBorders>
            <w:noWrap w:val="0"/>
            <w:vAlign w:val="center"/>
          </w:tcPr>
          <w:p w14:paraId="2C66FF9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底柜</w:t>
            </w:r>
          </w:p>
        </w:tc>
        <w:tc>
          <w:tcPr>
            <w:tcW w:w="3915" w:type="pct"/>
            <w:tcBorders>
              <w:top w:val="single" w:color="000000" w:sz="4" w:space="0"/>
              <w:left w:val="single" w:color="000000" w:sz="4" w:space="0"/>
              <w:bottom w:val="single" w:color="000000" w:sz="4" w:space="0"/>
              <w:right w:val="single" w:color="000000" w:sz="4" w:space="0"/>
            </w:tcBorders>
            <w:noWrap w:val="0"/>
            <w:vAlign w:val="center"/>
          </w:tcPr>
          <w:p w14:paraId="2E43952E">
            <w:pPr>
              <w:keepNext w:val="0"/>
              <w:keepLines w:val="0"/>
              <w:pageBreakBefore w:val="0"/>
              <w:widowControl/>
              <w:numPr>
                <w:ilvl w:val="0"/>
                <w:numId w:val="3"/>
              </w:numPr>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规格：400*400*600mm（±5mm）</w:t>
            </w:r>
          </w:p>
          <w:p w14:paraId="37D796F6">
            <w:pPr>
              <w:keepNext w:val="0"/>
              <w:keepLines w:val="0"/>
              <w:pageBreakBefore w:val="0"/>
              <w:widowControl/>
              <w:numPr>
                <w:ilvl w:val="0"/>
                <w:numId w:val="3"/>
              </w:numPr>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柜体：采用冷轧钢，表面环氧树脂静电粉末喷涂。</w:t>
            </w:r>
          </w:p>
          <w:p w14:paraId="4BD312A5">
            <w:pPr>
              <w:keepNext w:val="0"/>
              <w:keepLines w:val="0"/>
              <w:pageBreakBefore w:val="0"/>
              <w:widowControl/>
              <w:numPr>
                <w:ilvl w:val="0"/>
                <w:numId w:val="3"/>
              </w:numPr>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滑轨：三节钢珠滑轨，宽度42mm，总厚13mm,长度250mm；（±5mm）</w:t>
            </w:r>
          </w:p>
          <w:p w14:paraId="4F3DA6C1">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jc w:val="both"/>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4、材质：冷轧钢板，表面防锈处理。</w:t>
            </w:r>
          </w:p>
        </w:tc>
      </w:tr>
      <w:tr w14:paraId="57088B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54" w:type="pct"/>
            <w:tcBorders>
              <w:top w:val="single" w:color="000000" w:sz="4" w:space="0"/>
              <w:left w:val="single" w:color="000000" w:sz="4" w:space="0"/>
              <w:bottom w:val="single" w:color="000000" w:sz="4" w:space="0"/>
              <w:right w:val="single" w:color="000000" w:sz="4" w:space="0"/>
            </w:tcBorders>
            <w:noWrap/>
            <w:vAlign w:val="center"/>
          </w:tcPr>
          <w:p w14:paraId="0A506EA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w:t>
            </w:r>
          </w:p>
        </w:tc>
        <w:tc>
          <w:tcPr>
            <w:tcW w:w="730" w:type="pct"/>
            <w:tcBorders>
              <w:top w:val="single" w:color="000000" w:sz="4" w:space="0"/>
              <w:left w:val="single" w:color="000000" w:sz="4" w:space="0"/>
              <w:bottom w:val="single" w:color="000000" w:sz="4" w:space="0"/>
              <w:right w:val="single" w:color="000000" w:sz="4" w:space="0"/>
            </w:tcBorders>
            <w:noWrap w:val="0"/>
            <w:vAlign w:val="center"/>
          </w:tcPr>
          <w:p w14:paraId="3241336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洞洞板</w:t>
            </w:r>
          </w:p>
        </w:tc>
        <w:tc>
          <w:tcPr>
            <w:tcW w:w="3915" w:type="pct"/>
            <w:tcBorders>
              <w:top w:val="single" w:color="000000" w:sz="4" w:space="0"/>
              <w:left w:val="single" w:color="000000" w:sz="4" w:space="0"/>
              <w:bottom w:val="single" w:color="000000" w:sz="4" w:space="0"/>
              <w:right w:val="single" w:color="000000" w:sz="4" w:space="0"/>
            </w:tcBorders>
            <w:noWrap w:val="0"/>
            <w:vAlign w:val="center"/>
          </w:tcPr>
          <w:p w14:paraId="13707675">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材质：钢板，板材厚度≥1mm</w:t>
            </w:r>
          </w:p>
        </w:tc>
      </w:tr>
      <w:tr w14:paraId="3096ED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trPr>
        <w:tc>
          <w:tcPr>
            <w:tcW w:w="354" w:type="pct"/>
            <w:tcBorders>
              <w:top w:val="single" w:color="000000" w:sz="4" w:space="0"/>
              <w:left w:val="single" w:color="000000" w:sz="4" w:space="0"/>
              <w:bottom w:val="single" w:color="000000" w:sz="4" w:space="0"/>
              <w:right w:val="single" w:color="000000" w:sz="4" w:space="0"/>
            </w:tcBorders>
            <w:noWrap/>
            <w:vAlign w:val="center"/>
          </w:tcPr>
          <w:p w14:paraId="3200362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w:t>
            </w:r>
          </w:p>
        </w:tc>
        <w:tc>
          <w:tcPr>
            <w:tcW w:w="730" w:type="pct"/>
            <w:tcBorders>
              <w:top w:val="single" w:color="000000" w:sz="4" w:space="0"/>
              <w:left w:val="single" w:color="000000" w:sz="4" w:space="0"/>
              <w:bottom w:val="single" w:color="000000" w:sz="4" w:space="0"/>
              <w:right w:val="single" w:color="000000" w:sz="4" w:space="0"/>
            </w:tcBorders>
            <w:noWrap w:val="0"/>
            <w:vAlign w:val="center"/>
          </w:tcPr>
          <w:p w14:paraId="45E31EF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墙面滑动电源</w:t>
            </w:r>
          </w:p>
        </w:tc>
        <w:tc>
          <w:tcPr>
            <w:tcW w:w="3915" w:type="pct"/>
            <w:tcBorders>
              <w:top w:val="single" w:color="000000" w:sz="4" w:space="0"/>
              <w:left w:val="single" w:color="000000" w:sz="4" w:space="0"/>
              <w:bottom w:val="single" w:color="000000" w:sz="4" w:space="0"/>
              <w:right w:val="single" w:color="000000" w:sz="4" w:space="0"/>
            </w:tcBorders>
            <w:noWrap w:val="0"/>
            <w:vAlign w:val="center"/>
          </w:tcPr>
          <w:p w14:paraId="52CE1D00">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1、规格尺寸：1000mm*80mm（±5mm）</w:t>
            </w:r>
          </w:p>
          <w:p w14:paraId="7A1252E9">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 xml:space="preserve">2、额定电压220V，额定电流16A，额定频率50Hz。                 </w:t>
            </w:r>
          </w:p>
          <w:p w14:paraId="448F2EEF">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3、3个单点适配器，自由滑动，逆时针旋转断电，顺时针通电，大功率可以多电器同时使用。</w:t>
            </w:r>
          </w:p>
        </w:tc>
      </w:tr>
      <w:tr w14:paraId="52B8F2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4" w:hRule="atLeast"/>
        </w:trPr>
        <w:tc>
          <w:tcPr>
            <w:tcW w:w="354" w:type="pct"/>
            <w:tcBorders>
              <w:top w:val="single" w:color="000000" w:sz="4" w:space="0"/>
              <w:left w:val="single" w:color="000000" w:sz="4" w:space="0"/>
              <w:bottom w:val="single" w:color="000000" w:sz="4" w:space="0"/>
              <w:right w:val="single" w:color="000000" w:sz="4" w:space="0"/>
            </w:tcBorders>
            <w:noWrap/>
            <w:vAlign w:val="center"/>
          </w:tcPr>
          <w:p w14:paraId="60FA43F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w:t>
            </w:r>
          </w:p>
        </w:tc>
        <w:tc>
          <w:tcPr>
            <w:tcW w:w="730" w:type="pct"/>
            <w:tcBorders>
              <w:top w:val="single" w:color="000000" w:sz="4" w:space="0"/>
              <w:left w:val="single" w:color="000000" w:sz="4" w:space="0"/>
              <w:bottom w:val="single" w:color="000000" w:sz="4" w:space="0"/>
              <w:right w:val="single" w:color="000000" w:sz="4" w:space="0"/>
            </w:tcBorders>
            <w:noWrap w:val="0"/>
            <w:vAlign w:val="center"/>
          </w:tcPr>
          <w:p w14:paraId="2C52873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高柜</w:t>
            </w:r>
          </w:p>
        </w:tc>
        <w:tc>
          <w:tcPr>
            <w:tcW w:w="3915" w:type="pct"/>
            <w:tcBorders>
              <w:top w:val="single" w:color="000000" w:sz="4" w:space="0"/>
              <w:left w:val="single" w:color="000000" w:sz="4" w:space="0"/>
              <w:bottom w:val="single" w:color="000000" w:sz="4" w:space="0"/>
              <w:right w:val="single" w:color="000000" w:sz="4" w:space="0"/>
            </w:tcBorders>
            <w:noWrap w:val="0"/>
            <w:vAlign w:val="center"/>
          </w:tcPr>
          <w:p w14:paraId="131E1BE8">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1、规格尺寸：0.49m*0.6m*3m（±5mm）</w:t>
            </w:r>
          </w:p>
          <w:p w14:paraId="35342D99">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2、柜身：采用优质三聚氰胺双贴面板，板材断面选用优质PVC封边，粘力强、密封性好。</w:t>
            </w:r>
          </w:p>
          <w:p w14:paraId="240930B0">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3、隔板：采用三聚氰胺板隔板。</w:t>
            </w:r>
          </w:p>
        </w:tc>
      </w:tr>
      <w:tr w14:paraId="0415CA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70" w:hRule="atLeast"/>
        </w:trPr>
        <w:tc>
          <w:tcPr>
            <w:tcW w:w="354" w:type="pct"/>
            <w:tcBorders>
              <w:top w:val="single" w:color="000000" w:sz="4" w:space="0"/>
              <w:left w:val="single" w:color="000000" w:sz="4" w:space="0"/>
              <w:bottom w:val="single" w:color="000000" w:sz="4" w:space="0"/>
              <w:right w:val="single" w:color="000000" w:sz="4" w:space="0"/>
            </w:tcBorders>
            <w:noWrap/>
            <w:vAlign w:val="center"/>
          </w:tcPr>
          <w:p w14:paraId="63C4546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w:t>
            </w:r>
          </w:p>
        </w:tc>
        <w:tc>
          <w:tcPr>
            <w:tcW w:w="730" w:type="pct"/>
            <w:tcBorders>
              <w:top w:val="single" w:color="000000" w:sz="4" w:space="0"/>
              <w:left w:val="single" w:color="000000" w:sz="4" w:space="0"/>
              <w:bottom w:val="single" w:color="000000" w:sz="4" w:space="0"/>
              <w:right w:val="single" w:color="000000" w:sz="4" w:space="0"/>
            </w:tcBorders>
            <w:noWrap w:val="0"/>
            <w:vAlign w:val="center"/>
          </w:tcPr>
          <w:p w14:paraId="0579144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定制款墙面造型柜</w:t>
            </w:r>
          </w:p>
        </w:tc>
        <w:tc>
          <w:tcPr>
            <w:tcW w:w="3915" w:type="pct"/>
            <w:tcBorders>
              <w:top w:val="single" w:color="000000" w:sz="4" w:space="0"/>
              <w:left w:val="single" w:color="000000" w:sz="4" w:space="0"/>
              <w:bottom w:val="single" w:color="000000" w:sz="4" w:space="0"/>
              <w:right w:val="single" w:color="000000" w:sz="4" w:space="0"/>
            </w:tcBorders>
            <w:noWrap w:val="0"/>
            <w:vAlign w:val="center"/>
          </w:tcPr>
          <w:p w14:paraId="5909DE94">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1、规格尺寸：5.5*0.55*2.75m（±5mm）</w:t>
            </w:r>
          </w:p>
          <w:p w14:paraId="77F14D6A">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2、柜体：采用≥18mm厚三聚氰胺双贴E0级板材。</w:t>
            </w:r>
          </w:p>
          <w:p w14:paraId="6B295CA6">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 xml:space="preserve">3、连接件：ABS三合一链接件。                                            </w:t>
            </w:r>
          </w:p>
          <w:p w14:paraId="16F92723">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 xml:space="preserve">4、铰链：材质：304不锈钢,厚度：≥2mm,关门方式：二段力液压缓冲,开门角度：95°～110°,缓冲方式：内置液压泵阻尼。                                                          </w:t>
            </w:r>
          </w:p>
          <w:p w14:paraId="7E2CBC8D">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5、洞洞板：钢板，板材厚度≥1mm</w:t>
            </w:r>
          </w:p>
        </w:tc>
      </w:tr>
      <w:tr w14:paraId="62302A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354" w:type="pct"/>
            <w:tcBorders>
              <w:top w:val="single" w:color="000000" w:sz="4" w:space="0"/>
              <w:left w:val="single" w:color="000000" w:sz="4" w:space="0"/>
              <w:bottom w:val="single" w:color="000000" w:sz="4" w:space="0"/>
              <w:right w:val="single" w:color="000000" w:sz="4" w:space="0"/>
            </w:tcBorders>
            <w:noWrap/>
            <w:vAlign w:val="center"/>
          </w:tcPr>
          <w:p w14:paraId="01D0C96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w:t>
            </w:r>
          </w:p>
        </w:tc>
        <w:tc>
          <w:tcPr>
            <w:tcW w:w="730" w:type="pct"/>
            <w:tcBorders>
              <w:top w:val="single" w:color="000000" w:sz="4" w:space="0"/>
              <w:left w:val="single" w:color="000000" w:sz="4" w:space="0"/>
              <w:bottom w:val="single" w:color="000000" w:sz="4" w:space="0"/>
              <w:right w:val="single" w:color="000000" w:sz="4" w:space="0"/>
            </w:tcBorders>
            <w:noWrap w:val="0"/>
            <w:vAlign w:val="center"/>
          </w:tcPr>
          <w:p w14:paraId="6FEC630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电源自动升降机构</w:t>
            </w:r>
          </w:p>
        </w:tc>
        <w:tc>
          <w:tcPr>
            <w:tcW w:w="3915" w:type="pct"/>
            <w:tcBorders>
              <w:top w:val="single" w:color="000000" w:sz="4" w:space="0"/>
              <w:left w:val="single" w:color="000000" w:sz="4" w:space="0"/>
              <w:bottom w:val="single" w:color="000000" w:sz="4" w:space="0"/>
              <w:right w:val="single" w:color="000000" w:sz="4" w:space="0"/>
            </w:tcBorders>
            <w:noWrap w:val="0"/>
            <w:vAlign w:val="center"/>
          </w:tcPr>
          <w:p w14:paraId="3C76AA92">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1、规格尺寸：500*400*160mm（±5mm）</w:t>
            </w:r>
          </w:p>
          <w:p w14:paraId="62F9A733">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b/>
                <w:color w:val="auto"/>
                <w:kern w:val="0"/>
                <w:sz w:val="22"/>
                <w:szCs w:val="22"/>
                <w:highlight w:val="none"/>
              </w:rPr>
              <w:t>▲</w:t>
            </w:r>
            <w:r>
              <w:rPr>
                <w:rFonts w:hint="eastAsia" w:ascii="宋体" w:hAnsi="宋体" w:eastAsia="宋体" w:cs="宋体"/>
                <w:i w:val="0"/>
                <w:iCs w:val="0"/>
                <w:color w:val="auto"/>
                <w:kern w:val="0"/>
                <w:sz w:val="22"/>
                <w:szCs w:val="22"/>
                <w:highlight w:val="none"/>
                <w:u w:val="none"/>
                <w:lang w:val="en-US" w:eastAsia="zh-CN" w:bidi="ar"/>
              </w:rPr>
              <w:t>2、升降机构固定架：</w:t>
            </w:r>
          </w:p>
          <w:p w14:paraId="6834CE28">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整体采用1mm的Q235结构钢制作，经激光雕刻机精细下料，数控折弯成型，氩弧焊焊接固定，焊接表面无焊渣，表面经环氧树脂粉末喷涂高温固化处理。</w:t>
            </w:r>
          </w:p>
          <w:p w14:paraId="6343EA19">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3、吊杆：</w:t>
            </w:r>
          </w:p>
          <w:p w14:paraId="64ABA9F5">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规格：直径≥50mm；整体采用厚≥1mm的无缝钢管制作，氩弧焊焊接固定；焊接表面光滑无焊渣，表面经环氧树脂粉末喷涂高温固化处理。</w:t>
            </w:r>
          </w:p>
          <w:p w14:paraId="5081AFEA">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4、电机：采用金属齿轮，马达转子线圈，纯铜线圈电机的动力输出，转子部分采用纯铜组；锌合金压铸合金外壳。</w:t>
            </w:r>
          </w:p>
          <w:p w14:paraId="27DD643E">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5、柔性电缆：导体材料：无氧纯铜；绝缘材料：特制环保弹性PVC；适用环境：-30℃-105℃。</w:t>
            </w:r>
          </w:p>
          <w:p w14:paraId="0367A51B">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6、电源系统具有垂直升降功能，使用时降下来，不用时升起，老师授课时不挡学生视线。</w:t>
            </w:r>
          </w:p>
        </w:tc>
      </w:tr>
      <w:tr w14:paraId="2964B4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85" w:hRule="atLeast"/>
        </w:trPr>
        <w:tc>
          <w:tcPr>
            <w:tcW w:w="354" w:type="pct"/>
            <w:tcBorders>
              <w:top w:val="single" w:color="000000" w:sz="4" w:space="0"/>
              <w:left w:val="single" w:color="000000" w:sz="4" w:space="0"/>
              <w:bottom w:val="single" w:color="000000" w:sz="4" w:space="0"/>
              <w:right w:val="single" w:color="000000" w:sz="4" w:space="0"/>
            </w:tcBorders>
            <w:noWrap/>
            <w:vAlign w:val="center"/>
          </w:tcPr>
          <w:p w14:paraId="108D96E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w:t>
            </w:r>
          </w:p>
        </w:tc>
        <w:tc>
          <w:tcPr>
            <w:tcW w:w="730" w:type="pct"/>
            <w:tcBorders>
              <w:top w:val="single" w:color="000000" w:sz="4" w:space="0"/>
              <w:left w:val="single" w:color="000000" w:sz="4" w:space="0"/>
              <w:bottom w:val="single" w:color="000000" w:sz="4" w:space="0"/>
              <w:right w:val="single" w:color="000000" w:sz="4" w:space="0"/>
            </w:tcBorders>
            <w:noWrap w:val="0"/>
            <w:vAlign w:val="center"/>
          </w:tcPr>
          <w:p w14:paraId="3FC7F9C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智能电源</w:t>
            </w:r>
          </w:p>
        </w:tc>
        <w:tc>
          <w:tcPr>
            <w:tcW w:w="3915" w:type="pct"/>
            <w:tcBorders>
              <w:top w:val="single" w:color="000000" w:sz="4" w:space="0"/>
              <w:left w:val="single" w:color="000000" w:sz="4" w:space="0"/>
              <w:bottom w:val="single" w:color="000000" w:sz="4" w:space="0"/>
              <w:right w:val="single" w:color="000000" w:sz="4" w:space="0"/>
            </w:tcBorders>
            <w:noWrap w:val="0"/>
            <w:vAlign w:val="center"/>
          </w:tcPr>
          <w:p w14:paraId="49B692C4">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1、低压直流电源：</w:t>
            </w:r>
          </w:p>
          <w:p w14:paraId="41C8EF13">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数码管：三位0.8英寸，高亮红，共阴极；直流输出：使用的LM2596芯片，使用低ESR的滤波电容；可输出：1.5V，3V，5V，12V。</w:t>
            </w:r>
          </w:p>
          <w:p w14:paraId="724C5174">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2、单相交流电源：输出220V，5A，内置防误触保护门，采用阻燃PC材质，使用高精度铜片。</w:t>
            </w:r>
          </w:p>
          <w:p w14:paraId="4F3D4F9B">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3、网络接口：接口：RJ45；类别：CAT5e；配备防尘盖，采用阻燃PC材质。</w:t>
            </w:r>
          </w:p>
          <w:p w14:paraId="44C3E2BD">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4、USB接口：输入220V，输出5V，材质：阻燃塑件，内部/磷青铜部件。</w:t>
            </w:r>
          </w:p>
        </w:tc>
      </w:tr>
      <w:tr w14:paraId="12837E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3" w:hRule="atLeast"/>
        </w:trPr>
        <w:tc>
          <w:tcPr>
            <w:tcW w:w="354" w:type="pct"/>
            <w:tcBorders>
              <w:top w:val="single" w:color="000000" w:sz="4" w:space="0"/>
              <w:left w:val="single" w:color="000000" w:sz="4" w:space="0"/>
              <w:bottom w:val="single" w:color="000000" w:sz="4" w:space="0"/>
              <w:right w:val="single" w:color="000000" w:sz="4" w:space="0"/>
            </w:tcBorders>
            <w:noWrap/>
            <w:vAlign w:val="center"/>
          </w:tcPr>
          <w:p w14:paraId="0D52483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w:t>
            </w:r>
          </w:p>
        </w:tc>
        <w:tc>
          <w:tcPr>
            <w:tcW w:w="730" w:type="pct"/>
            <w:tcBorders>
              <w:top w:val="single" w:color="000000" w:sz="4" w:space="0"/>
              <w:left w:val="single" w:color="000000" w:sz="4" w:space="0"/>
              <w:bottom w:val="single" w:color="000000" w:sz="4" w:space="0"/>
              <w:right w:val="single" w:color="000000" w:sz="4" w:space="0"/>
            </w:tcBorders>
            <w:noWrap w:val="0"/>
            <w:vAlign w:val="center"/>
          </w:tcPr>
          <w:p w14:paraId="03A286A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智能照明</w:t>
            </w:r>
          </w:p>
        </w:tc>
        <w:tc>
          <w:tcPr>
            <w:tcW w:w="3915" w:type="pct"/>
            <w:tcBorders>
              <w:top w:val="single" w:color="000000" w:sz="4" w:space="0"/>
              <w:left w:val="single" w:color="000000" w:sz="4" w:space="0"/>
              <w:bottom w:val="single" w:color="000000" w:sz="4" w:space="0"/>
              <w:right w:val="single" w:color="000000" w:sz="4" w:space="0"/>
            </w:tcBorders>
            <w:noWrap w:val="0"/>
            <w:vAlign w:val="center"/>
          </w:tcPr>
          <w:p w14:paraId="6C7E2267">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1、灯板：</w:t>
            </w:r>
          </w:p>
          <w:p w14:paraId="670CA318">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尺寸：直径不小于24.8cm，电源：输入电压AC170V-265V，50/60HZ；输出：DC120-190V，240mA±5mA，功率：24W，智能IC恒流驱动。</w:t>
            </w:r>
          </w:p>
          <w:p w14:paraId="532916DF">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2、导光板：</w:t>
            </w:r>
          </w:p>
          <w:p w14:paraId="6B8EAD5A">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采用磨砂透明均光板。</w:t>
            </w:r>
          </w:p>
          <w:p w14:paraId="4B3CC415">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3、塑料内壳：</w:t>
            </w:r>
          </w:p>
          <w:p w14:paraId="08C20958">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注塑模具一体成型。</w:t>
            </w:r>
          </w:p>
          <w:p w14:paraId="26AF83FE">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4、金属外壳：</w:t>
            </w:r>
          </w:p>
          <w:p w14:paraId="78DB8342">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采用≥1.0mm，Q235结构钢旋压制作，表面经酸洗磷化处理，环氧树脂粉末静电喷涂、高温固化处理。</w:t>
            </w:r>
          </w:p>
        </w:tc>
      </w:tr>
      <w:tr w14:paraId="205F5F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5" w:hRule="atLeast"/>
        </w:trPr>
        <w:tc>
          <w:tcPr>
            <w:tcW w:w="354" w:type="pct"/>
            <w:tcBorders>
              <w:top w:val="single" w:color="000000" w:sz="4" w:space="0"/>
              <w:left w:val="single" w:color="000000" w:sz="4" w:space="0"/>
              <w:bottom w:val="single" w:color="000000" w:sz="4" w:space="0"/>
              <w:right w:val="single" w:color="000000" w:sz="4" w:space="0"/>
            </w:tcBorders>
            <w:noWrap/>
            <w:vAlign w:val="center"/>
          </w:tcPr>
          <w:p w14:paraId="3823340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w:t>
            </w:r>
          </w:p>
        </w:tc>
        <w:tc>
          <w:tcPr>
            <w:tcW w:w="730" w:type="pct"/>
            <w:tcBorders>
              <w:top w:val="single" w:color="000000" w:sz="4" w:space="0"/>
              <w:left w:val="single" w:color="000000" w:sz="4" w:space="0"/>
              <w:bottom w:val="single" w:color="000000" w:sz="4" w:space="0"/>
              <w:right w:val="single" w:color="000000" w:sz="4" w:space="0"/>
            </w:tcBorders>
            <w:noWrap w:val="0"/>
            <w:vAlign w:val="center"/>
          </w:tcPr>
          <w:p w14:paraId="073330D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智能控制柜</w:t>
            </w:r>
          </w:p>
        </w:tc>
        <w:tc>
          <w:tcPr>
            <w:tcW w:w="3915" w:type="pct"/>
            <w:tcBorders>
              <w:top w:val="single" w:color="000000" w:sz="4" w:space="0"/>
              <w:left w:val="single" w:color="000000" w:sz="4" w:space="0"/>
              <w:bottom w:val="single" w:color="000000" w:sz="4" w:space="0"/>
              <w:right w:val="single" w:color="000000" w:sz="4" w:space="0"/>
            </w:tcBorders>
            <w:noWrap w:val="0"/>
            <w:vAlign w:val="center"/>
          </w:tcPr>
          <w:p w14:paraId="5C4D1608">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1、规格尺寸：530mm*175mm*1060mm（±5mm）</w:t>
            </w:r>
          </w:p>
          <w:p w14:paraId="44ECE5F8">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b/>
                <w:color w:val="auto"/>
                <w:kern w:val="0"/>
                <w:sz w:val="22"/>
                <w:szCs w:val="22"/>
                <w:highlight w:val="none"/>
              </w:rPr>
              <w:t>▲</w:t>
            </w:r>
            <w:r>
              <w:rPr>
                <w:rFonts w:hint="eastAsia" w:ascii="宋体" w:hAnsi="宋体" w:eastAsia="宋体" w:cs="宋体"/>
                <w:i w:val="0"/>
                <w:iCs w:val="0"/>
                <w:color w:val="auto"/>
                <w:kern w:val="0"/>
                <w:sz w:val="22"/>
                <w:szCs w:val="22"/>
                <w:highlight w:val="none"/>
                <w:u w:val="none"/>
                <w:lang w:val="en-US" w:eastAsia="zh-CN" w:bidi="ar"/>
              </w:rPr>
              <w:t>2、柜体采用≥1.2mm优质冷轧钢板，经激光雕刻机精细雕刻，数控折弯成型，表面经环氧树脂粉末喷涂高温固化处理等多重防护工艺。具有承重性能强、耐酸碱、耐腐蚀等优点。箱体两侧有散热开孔，高效散热，防止内部温度过高，有效降低箱体温度；浇注密封条防水防尘，密封效果好；可拆卸镀锌背板，便于拆卸维护；柜门上配有安全门锁。内置总电源开关1个，漏电保护器1套，工作指示灯系统1套，电源控制系统1套、照明控制系统1套。</w:t>
            </w:r>
          </w:p>
          <w:p w14:paraId="05693CDC">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 xml:space="preserve">  （1）触摸屏：≥10英寸高亮度TFT液晶显示屏（分辨率≥1024×600），四线电阻式触摸屏（分辨率≥4096×4096）。具备强大的图像显示和数据处理功能，丰富的通讯接口。工作电压：24±20%VDC；额定功率：6W；内存：256M；系统存储：128；CPU：M4核 800M Hz。可通过触摸屏实现电源、照明的启停和电源的升降等操作。</w:t>
            </w:r>
          </w:p>
          <w:p w14:paraId="564FF208">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 xml:space="preserve">  （2）电源控制：使用大功率接触器对整套系统进行供电。使用全铜线圈，吸合有力接触良好，使用银合金触点，导电性能强，内部使用32片铁片堆叠，性能稳定;使用优良的控制元器件，保证电源控制系统稳定运行。配合触摸屏可实现电源的批量或单独启停。</w:t>
            </w:r>
          </w:p>
          <w:p w14:paraId="32082DBF">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 xml:space="preserve">  （3）照明控制：使用接触器对照明进行整体控制，接触器线圈电压AC24-380V，操作频率1200次/小时，防护等级不低于IP20。配合触摸屏可实现照明系统的批量或单独控制。</w:t>
            </w:r>
          </w:p>
          <w:p w14:paraId="5C65A5BC">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（4）升降控制：使用可编程控制器进行控制，配合触摸屏可实现学生电压的批量或单独升降控制。</w:t>
            </w:r>
          </w:p>
        </w:tc>
      </w:tr>
      <w:tr w14:paraId="2730F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0" w:hRule="atLeast"/>
        </w:trPr>
        <w:tc>
          <w:tcPr>
            <w:tcW w:w="354" w:type="pct"/>
            <w:tcBorders>
              <w:top w:val="single" w:color="000000" w:sz="4" w:space="0"/>
              <w:left w:val="single" w:color="000000" w:sz="4" w:space="0"/>
              <w:bottom w:val="single" w:color="000000" w:sz="4" w:space="0"/>
              <w:right w:val="single" w:color="000000" w:sz="4" w:space="0"/>
            </w:tcBorders>
            <w:noWrap/>
            <w:vAlign w:val="center"/>
          </w:tcPr>
          <w:p w14:paraId="711A9DA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w:t>
            </w:r>
          </w:p>
        </w:tc>
        <w:tc>
          <w:tcPr>
            <w:tcW w:w="730" w:type="pct"/>
            <w:tcBorders>
              <w:top w:val="single" w:color="000000" w:sz="4" w:space="0"/>
              <w:left w:val="single" w:color="000000" w:sz="4" w:space="0"/>
              <w:bottom w:val="single" w:color="000000" w:sz="4" w:space="0"/>
              <w:right w:val="single" w:color="000000" w:sz="4" w:space="0"/>
            </w:tcBorders>
            <w:noWrap w:val="0"/>
            <w:vAlign w:val="center"/>
          </w:tcPr>
          <w:p w14:paraId="3BEBB44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LED卡扣灯具</w:t>
            </w:r>
          </w:p>
        </w:tc>
        <w:tc>
          <w:tcPr>
            <w:tcW w:w="3915" w:type="pct"/>
            <w:tcBorders>
              <w:top w:val="single" w:color="000000" w:sz="4" w:space="0"/>
              <w:left w:val="single" w:color="000000" w:sz="4" w:space="0"/>
              <w:bottom w:val="single" w:color="000000" w:sz="4" w:space="0"/>
              <w:right w:val="single" w:color="000000" w:sz="4" w:space="0"/>
            </w:tcBorders>
            <w:noWrap w:val="0"/>
            <w:vAlign w:val="center"/>
          </w:tcPr>
          <w:p w14:paraId="74730563">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1.人工安装</w:t>
            </w:r>
          </w:p>
          <w:p w14:paraId="4E1CC093">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2.订购≥600*600</w:t>
            </w:r>
            <w:r>
              <w:rPr>
                <w:rFonts w:hint="eastAsia"/>
                <w:color w:val="auto"/>
                <w:highlight w:val="none"/>
                <w:lang w:val="en-US" w:eastAsia="zh-CN"/>
              </w:rPr>
              <w:t>mm</w:t>
            </w:r>
            <w:r>
              <w:rPr>
                <w:rFonts w:hint="eastAsia" w:ascii="宋体" w:hAnsi="宋体" w:eastAsia="宋体" w:cs="宋体"/>
                <w:i w:val="0"/>
                <w:iCs w:val="0"/>
                <w:color w:val="auto"/>
                <w:kern w:val="0"/>
                <w:sz w:val="22"/>
                <w:szCs w:val="22"/>
                <w:highlight w:val="none"/>
                <w:u w:val="none"/>
                <w:lang w:val="en-US" w:eastAsia="zh-CN" w:bidi="ar"/>
              </w:rPr>
              <w:t>LED灯具</w:t>
            </w:r>
          </w:p>
          <w:p w14:paraId="3647B34F">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3.光源：≥6000K（白光）功率：60W</w:t>
            </w:r>
          </w:p>
        </w:tc>
      </w:tr>
      <w:tr w14:paraId="11AAEE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54" w:type="pct"/>
            <w:tcBorders>
              <w:top w:val="single" w:color="000000" w:sz="4" w:space="0"/>
              <w:left w:val="single" w:color="000000" w:sz="4" w:space="0"/>
              <w:bottom w:val="single" w:color="000000" w:sz="4" w:space="0"/>
              <w:right w:val="single" w:color="000000" w:sz="4" w:space="0"/>
            </w:tcBorders>
            <w:noWrap/>
            <w:vAlign w:val="center"/>
          </w:tcPr>
          <w:p w14:paraId="2B2BDCA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w:t>
            </w:r>
          </w:p>
        </w:tc>
        <w:tc>
          <w:tcPr>
            <w:tcW w:w="730" w:type="pct"/>
            <w:tcBorders>
              <w:top w:val="single" w:color="000000" w:sz="4" w:space="0"/>
              <w:left w:val="single" w:color="000000" w:sz="4" w:space="0"/>
              <w:bottom w:val="single" w:color="000000" w:sz="4" w:space="0"/>
              <w:right w:val="single" w:color="000000" w:sz="4" w:space="0"/>
            </w:tcBorders>
            <w:noWrap w:val="0"/>
            <w:vAlign w:val="center"/>
          </w:tcPr>
          <w:p w14:paraId="1C7139C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开关及插座面板</w:t>
            </w:r>
          </w:p>
        </w:tc>
        <w:tc>
          <w:tcPr>
            <w:tcW w:w="3915" w:type="pct"/>
            <w:tcBorders>
              <w:top w:val="single" w:color="000000" w:sz="4" w:space="0"/>
              <w:left w:val="single" w:color="000000" w:sz="4" w:space="0"/>
              <w:bottom w:val="single" w:color="000000" w:sz="4" w:space="0"/>
              <w:right w:val="single" w:color="000000" w:sz="4" w:space="0"/>
            </w:tcBorders>
            <w:noWrap w:val="0"/>
            <w:vAlign w:val="center"/>
          </w:tcPr>
          <w:p w14:paraId="072AE7C1">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人工安装及订购开关面板及插座</w:t>
            </w:r>
          </w:p>
        </w:tc>
      </w:tr>
      <w:tr w14:paraId="23476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54" w:type="pct"/>
            <w:tcBorders>
              <w:top w:val="single" w:color="000000" w:sz="4" w:space="0"/>
              <w:left w:val="single" w:color="000000" w:sz="4" w:space="0"/>
              <w:bottom w:val="single" w:color="000000" w:sz="4" w:space="0"/>
              <w:right w:val="single" w:color="000000" w:sz="4" w:space="0"/>
            </w:tcBorders>
            <w:noWrap/>
            <w:vAlign w:val="center"/>
          </w:tcPr>
          <w:p w14:paraId="1035235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22</w:t>
            </w:r>
          </w:p>
        </w:tc>
        <w:tc>
          <w:tcPr>
            <w:tcW w:w="730" w:type="pct"/>
            <w:tcBorders>
              <w:top w:val="single" w:color="000000" w:sz="4" w:space="0"/>
              <w:left w:val="single" w:color="000000" w:sz="4" w:space="0"/>
              <w:bottom w:val="single" w:color="000000" w:sz="4" w:space="0"/>
              <w:right w:val="single" w:color="000000" w:sz="4" w:space="0"/>
            </w:tcBorders>
            <w:noWrap w:val="0"/>
            <w:vAlign w:val="center"/>
          </w:tcPr>
          <w:p w14:paraId="6977A64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环境提升</w:t>
            </w:r>
          </w:p>
        </w:tc>
        <w:tc>
          <w:tcPr>
            <w:tcW w:w="3915" w:type="pct"/>
            <w:tcBorders>
              <w:top w:val="single" w:color="000000" w:sz="4" w:space="0"/>
              <w:left w:val="single" w:color="000000" w:sz="4" w:space="0"/>
              <w:bottom w:val="single" w:color="000000" w:sz="4" w:space="0"/>
              <w:right w:val="single" w:color="000000" w:sz="4" w:space="0"/>
            </w:tcBorders>
            <w:noWrap w:val="0"/>
            <w:vAlign w:val="center"/>
          </w:tcPr>
          <w:p w14:paraId="7C1FCE67">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1、规格：面积：≥106㎡</w:t>
            </w:r>
          </w:p>
          <w:p w14:paraId="3D746337">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2、布电：放线弹线，布管穿线，ZC-BVR国标6㎡.4㎡.2.5㎡阻燃电线，满足现场需求.</w:t>
            </w:r>
          </w:p>
          <w:p w14:paraId="469BE861">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3、布网：1、使用超六类网线。外被采用环保PVC胶料，满足现场需求.。</w:t>
            </w:r>
          </w:p>
          <w:p w14:paraId="69519105">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4、铝扣板吊顶：≥600*600*0.8</w:t>
            </w:r>
            <w:r>
              <w:rPr>
                <w:rFonts w:hint="eastAsia" w:ascii="Times New Roman" w:eastAsia="宋体"/>
                <w:color w:val="auto"/>
                <w:highlight w:val="none"/>
                <w:lang w:val="en-US" w:eastAsia="zh-CN"/>
              </w:rPr>
              <w:t>mm</w:t>
            </w:r>
            <w:r>
              <w:rPr>
                <w:rFonts w:hint="eastAsia" w:ascii="宋体" w:hAnsi="宋体" w:eastAsia="宋体" w:cs="宋体"/>
                <w:i w:val="0"/>
                <w:iCs w:val="0"/>
                <w:color w:val="auto"/>
                <w:kern w:val="0"/>
                <w:sz w:val="22"/>
                <w:szCs w:val="22"/>
                <w:highlight w:val="none"/>
                <w:u w:val="none"/>
                <w:lang w:val="en-US" w:eastAsia="zh-CN" w:bidi="ar"/>
              </w:rPr>
              <w:t>穿孔铝扣板及龙骨</w:t>
            </w:r>
          </w:p>
          <w:p w14:paraId="32852033">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5、墙面粉刷及造型：刮腻子、刷乳胶漆，墙面造型采用≥2440*1220*9厘B1级阻燃板、≥2440*1220*9厘石膏板等材料；</w:t>
            </w:r>
          </w:p>
          <w:p w14:paraId="05A48F7A">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6、临时措施：地面保护及防尘保护膜等以及临时接电接水及脚手架租赁</w:t>
            </w:r>
          </w:p>
          <w:p w14:paraId="39D13931">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7、垃圾清运。</w:t>
            </w:r>
          </w:p>
        </w:tc>
      </w:tr>
    </w:tbl>
    <w:p w14:paraId="1FB898CB">
      <w:pPr>
        <w:pStyle w:val="5"/>
        <w:numPr>
          <w:ilvl w:val="0"/>
          <w:numId w:val="4"/>
        </w:numPr>
        <w:spacing w:before="156" w:beforeLines="50" w:after="156" w:afterLines="50" w:line="416" w:lineRule="auto"/>
        <w:jc w:val="center"/>
        <w:rPr>
          <w:rFonts w:hint="eastAsia"/>
          <w:szCs w:val="28"/>
        </w:rPr>
      </w:pPr>
      <w:r>
        <w:rPr>
          <w:rFonts w:hint="eastAsia"/>
          <w:szCs w:val="28"/>
        </w:rPr>
        <w:t>投标报价要求</w:t>
      </w:r>
    </w:p>
    <w:p w14:paraId="4A31E6EF">
      <w:pPr>
        <w:ind w:firstLine="420" w:firstLineChars="200"/>
        <w:rPr>
          <w:rFonts w:hint="eastAsia"/>
          <w:bCs/>
          <w:szCs w:val="21"/>
        </w:rPr>
      </w:pPr>
      <w:r>
        <w:rPr>
          <w:rFonts w:hint="eastAsia"/>
          <w:bCs/>
          <w:szCs w:val="21"/>
        </w:rPr>
        <w:t>1、本项目服务费采用包干制，应包括服务成本、法定税费和利润。由</w:t>
      </w:r>
      <w:r>
        <w:rPr>
          <w:rFonts w:hint="eastAsia"/>
          <w:bCs/>
          <w:szCs w:val="21"/>
          <w:lang w:eastAsia="zh-CN"/>
        </w:rPr>
        <w:t>投标人</w:t>
      </w:r>
      <w:r>
        <w:rPr>
          <w:rFonts w:hint="eastAsia"/>
          <w:bCs/>
          <w:szCs w:val="21"/>
        </w:rPr>
        <w:t>根据采购文件所提供的资料自行测算投标报价；一经中标，投标报价总价作为中标单位与采购单位签定的合同金额，合同期限内不做调整；</w:t>
      </w:r>
    </w:p>
    <w:p w14:paraId="7B1A0536">
      <w:pPr>
        <w:ind w:firstLine="420" w:firstLineChars="200"/>
        <w:rPr>
          <w:rFonts w:hint="eastAsia"/>
          <w:bCs/>
          <w:szCs w:val="21"/>
        </w:rPr>
      </w:pPr>
      <w:r>
        <w:rPr>
          <w:rFonts w:hint="eastAsia"/>
          <w:bCs/>
          <w:szCs w:val="21"/>
        </w:rPr>
        <w:t>2、</w:t>
      </w:r>
      <w:r>
        <w:rPr>
          <w:rFonts w:hint="eastAsia"/>
          <w:bCs/>
          <w:szCs w:val="21"/>
          <w:lang w:eastAsia="zh-CN"/>
        </w:rPr>
        <w:t>投标人</w:t>
      </w:r>
      <w:r>
        <w:rPr>
          <w:rFonts w:hint="eastAsia"/>
          <w:bCs/>
          <w:szCs w:val="21"/>
        </w:rPr>
        <w:t>应根据其成本自行决定报价。评审小组认为</w:t>
      </w:r>
      <w:r>
        <w:rPr>
          <w:rFonts w:hint="eastAsia"/>
          <w:bCs/>
          <w:szCs w:val="21"/>
          <w:lang w:eastAsia="zh-CN"/>
        </w:rPr>
        <w:t>投标人</w:t>
      </w:r>
      <w:r>
        <w:rPr>
          <w:rFonts w:hint="eastAsia"/>
          <w:bCs/>
          <w:szCs w:val="21"/>
        </w:rPr>
        <w:t>的报价明显低于其他通过符合性审查</w:t>
      </w:r>
      <w:r>
        <w:rPr>
          <w:rFonts w:hint="eastAsia"/>
          <w:bCs/>
          <w:szCs w:val="21"/>
          <w:lang w:eastAsia="zh-CN"/>
        </w:rPr>
        <w:t>投标人</w:t>
      </w:r>
      <w:r>
        <w:rPr>
          <w:rFonts w:hint="eastAsia"/>
          <w:bCs/>
          <w:szCs w:val="21"/>
        </w:rPr>
        <w:t>的报价，有可能影响服务质量或不能诚信履约的，将会要求该</w:t>
      </w:r>
      <w:r>
        <w:rPr>
          <w:rFonts w:hint="eastAsia"/>
          <w:bCs/>
          <w:szCs w:val="21"/>
          <w:lang w:eastAsia="zh-CN"/>
        </w:rPr>
        <w:t>投标人</w:t>
      </w:r>
      <w:r>
        <w:rPr>
          <w:rFonts w:hint="eastAsia"/>
          <w:bCs/>
          <w:szCs w:val="21"/>
        </w:rPr>
        <w:t>在评审现场合理的时间内提供书面说明，必要时提交相关证明材料。</w:t>
      </w:r>
      <w:r>
        <w:rPr>
          <w:rFonts w:hint="eastAsia"/>
          <w:bCs/>
          <w:szCs w:val="21"/>
          <w:lang w:eastAsia="zh-CN"/>
        </w:rPr>
        <w:t>投标人</w:t>
      </w:r>
      <w:r>
        <w:rPr>
          <w:rFonts w:hint="eastAsia"/>
          <w:bCs/>
          <w:szCs w:val="21"/>
        </w:rPr>
        <w:t>不能证明其报价合理性的，评审委员会应将其作为无效投标处理。若评审小组对是否须由</w:t>
      </w:r>
      <w:r>
        <w:rPr>
          <w:rFonts w:hint="eastAsia"/>
          <w:bCs/>
          <w:szCs w:val="21"/>
          <w:lang w:eastAsia="zh-CN"/>
        </w:rPr>
        <w:t>投标人</w:t>
      </w:r>
      <w:r>
        <w:rPr>
          <w:rFonts w:hint="eastAsia"/>
          <w:bCs/>
          <w:szCs w:val="21"/>
        </w:rPr>
        <w:t>作出报价合理性说明，以及书面说明是否采纳等判断不一致的，按照“少数服从多数”的原则确定评审小组的意见。</w:t>
      </w:r>
    </w:p>
    <w:p w14:paraId="4CAC68A7">
      <w:pPr>
        <w:ind w:firstLine="420" w:firstLineChars="200"/>
        <w:rPr>
          <w:rFonts w:hint="eastAsia"/>
          <w:bCs/>
          <w:szCs w:val="21"/>
        </w:rPr>
      </w:pPr>
      <w:r>
        <w:rPr>
          <w:rFonts w:hint="eastAsia"/>
          <w:bCs/>
          <w:szCs w:val="21"/>
        </w:rPr>
        <w:t>3、如果中标价低于财政预算限额的70%，该项目将被列为优先实施履约检查的项目。</w:t>
      </w:r>
    </w:p>
    <w:p w14:paraId="6B232011">
      <w:pPr>
        <w:ind w:firstLine="420" w:firstLineChars="200"/>
        <w:rPr>
          <w:rFonts w:hint="eastAsia"/>
          <w:bCs/>
          <w:szCs w:val="21"/>
        </w:rPr>
      </w:pPr>
      <w:r>
        <w:rPr>
          <w:rFonts w:hint="eastAsia"/>
          <w:bCs/>
          <w:szCs w:val="21"/>
        </w:rPr>
        <w:t>4、</w:t>
      </w:r>
      <w:r>
        <w:rPr>
          <w:rFonts w:hint="eastAsia"/>
          <w:bCs/>
          <w:szCs w:val="21"/>
          <w:lang w:eastAsia="zh-CN"/>
        </w:rPr>
        <w:t>投标人</w:t>
      </w:r>
      <w:r>
        <w:rPr>
          <w:rFonts w:hint="eastAsia"/>
          <w:bCs/>
          <w:szCs w:val="21"/>
        </w:rPr>
        <w:t>的投标报价不得超过财政预算限额，如设投标最高限价的，报价不得超过最高限价；</w:t>
      </w:r>
    </w:p>
    <w:p w14:paraId="16873A73">
      <w:pPr>
        <w:ind w:firstLine="420" w:firstLineChars="200"/>
        <w:rPr>
          <w:rFonts w:hint="eastAsia"/>
          <w:bCs/>
          <w:szCs w:val="21"/>
        </w:rPr>
      </w:pPr>
      <w:r>
        <w:rPr>
          <w:rFonts w:hint="eastAsia"/>
          <w:bCs/>
          <w:szCs w:val="21"/>
        </w:rPr>
        <w:t>5、</w:t>
      </w:r>
      <w:r>
        <w:rPr>
          <w:rFonts w:hint="eastAsia"/>
          <w:bCs/>
          <w:szCs w:val="21"/>
          <w:lang w:eastAsia="zh-CN"/>
        </w:rPr>
        <w:t>投标人</w:t>
      </w:r>
      <w:r>
        <w:rPr>
          <w:rFonts w:hint="eastAsia"/>
          <w:bCs/>
          <w:szCs w:val="21"/>
        </w:rPr>
        <w:t>的投标报价，应是本项目采购范围和采购文件及合同条款上所列的各项内容中所述的全部，不得以任何理由予以重复，并以</w:t>
      </w:r>
      <w:r>
        <w:rPr>
          <w:rFonts w:hint="eastAsia"/>
          <w:bCs/>
          <w:szCs w:val="21"/>
          <w:lang w:eastAsia="zh-CN"/>
        </w:rPr>
        <w:t>投标人</w:t>
      </w:r>
      <w:r>
        <w:rPr>
          <w:rFonts w:hint="eastAsia"/>
          <w:bCs/>
          <w:szCs w:val="21"/>
        </w:rPr>
        <w:t>在中提出的综合单价或总价为依据；</w:t>
      </w:r>
    </w:p>
    <w:p w14:paraId="210989BA">
      <w:pPr>
        <w:ind w:firstLine="420" w:firstLineChars="200"/>
        <w:rPr>
          <w:rFonts w:hint="eastAsia"/>
          <w:bCs/>
          <w:szCs w:val="21"/>
        </w:rPr>
      </w:pPr>
      <w:r>
        <w:rPr>
          <w:rFonts w:hint="eastAsia"/>
          <w:bCs/>
          <w:szCs w:val="21"/>
        </w:rPr>
        <w:t>6、除非龙华区教育系统通过修改采购文件予以更正，否则，</w:t>
      </w:r>
      <w:r>
        <w:rPr>
          <w:rFonts w:hint="eastAsia"/>
          <w:bCs/>
          <w:szCs w:val="21"/>
          <w:lang w:eastAsia="zh-CN"/>
        </w:rPr>
        <w:t>投标人</w:t>
      </w:r>
      <w:r>
        <w:rPr>
          <w:rFonts w:hint="eastAsia"/>
          <w:bCs/>
          <w:szCs w:val="21"/>
        </w:rPr>
        <w:t>应毫无例外地按采购文件所列的清单中项目和数量填报综合单价和合价。</w:t>
      </w:r>
      <w:r>
        <w:rPr>
          <w:rFonts w:hint="eastAsia"/>
          <w:bCs/>
          <w:szCs w:val="21"/>
          <w:lang w:eastAsia="zh-CN"/>
        </w:rPr>
        <w:t>投标人</w:t>
      </w:r>
      <w:r>
        <w:rPr>
          <w:rFonts w:hint="eastAsia"/>
          <w:bCs/>
          <w:szCs w:val="21"/>
        </w:rPr>
        <w:t>未填综合单价或合价的项目，视作该项费用已包括在其它有价款的综合单价或合价内；</w:t>
      </w:r>
    </w:p>
    <w:p w14:paraId="786535AF">
      <w:pPr>
        <w:ind w:firstLine="420" w:firstLineChars="200"/>
        <w:rPr>
          <w:rFonts w:hint="eastAsia"/>
          <w:bCs/>
          <w:szCs w:val="21"/>
        </w:rPr>
      </w:pPr>
      <w:r>
        <w:rPr>
          <w:rFonts w:hint="eastAsia"/>
          <w:bCs/>
          <w:szCs w:val="21"/>
        </w:rPr>
        <w:t>7、</w:t>
      </w:r>
      <w:r>
        <w:rPr>
          <w:rFonts w:hint="eastAsia"/>
          <w:bCs/>
          <w:szCs w:val="21"/>
          <w:lang w:eastAsia="zh-CN"/>
        </w:rPr>
        <w:t>投标人</w:t>
      </w:r>
      <w:r>
        <w:rPr>
          <w:rFonts w:hint="eastAsia"/>
          <w:bCs/>
          <w:szCs w:val="21"/>
        </w:rPr>
        <w:t>应先到项目地点踏勘以充分了解项目的位置、情况、道路及任何其它足以影响投标报价的情况，任何因忽视或误解项目情况而导致的索赔或服务期限延长申请将不获批准；</w:t>
      </w:r>
    </w:p>
    <w:p w14:paraId="56E22194">
      <w:pPr>
        <w:ind w:firstLine="420" w:firstLineChars="200"/>
        <w:rPr>
          <w:rFonts w:hint="eastAsia"/>
          <w:bCs/>
          <w:szCs w:val="21"/>
        </w:rPr>
      </w:pPr>
      <w:r>
        <w:rPr>
          <w:rFonts w:hint="eastAsia"/>
          <w:bCs/>
          <w:szCs w:val="21"/>
        </w:rPr>
        <w:t>8、</w:t>
      </w:r>
      <w:r>
        <w:rPr>
          <w:rFonts w:hint="eastAsia"/>
          <w:bCs/>
          <w:szCs w:val="21"/>
          <w:lang w:eastAsia="zh-CN"/>
        </w:rPr>
        <w:t>投标人</w:t>
      </w:r>
      <w:r>
        <w:rPr>
          <w:rFonts w:hint="eastAsia"/>
          <w:bCs/>
          <w:szCs w:val="21"/>
        </w:rPr>
        <w:t>不得期望通过索赔等方式获取补偿，否则，除可能遭到拒绝外，还可能将被作为不良行为记录在案，并可能影响其以后参加龙华区教育系统自行采购的项目投标。各</w:t>
      </w:r>
      <w:r>
        <w:rPr>
          <w:rFonts w:hint="eastAsia"/>
          <w:bCs/>
          <w:szCs w:val="21"/>
          <w:lang w:eastAsia="zh-CN"/>
        </w:rPr>
        <w:t>投标人</w:t>
      </w:r>
      <w:r>
        <w:rPr>
          <w:rFonts w:hint="eastAsia"/>
          <w:bCs/>
          <w:szCs w:val="21"/>
        </w:rPr>
        <w:t>在投标报价时，应充分考虑投标报价的风险。</w:t>
      </w:r>
    </w:p>
    <w:p w14:paraId="3DCA1DD9">
      <w:pPr>
        <w:pStyle w:val="5"/>
        <w:spacing w:before="156" w:beforeLines="50" w:after="156" w:afterLines="50" w:line="416" w:lineRule="auto"/>
        <w:jc w:val="center"/>
        <w:rPr>
          <w:rFonts w:hint="eastAsia" w:ascii="宋体" w:hAnsi="宋体" w:eastAsia="宋体"/>
          <w:szCs w:val="28"/>
        </w:rPr>
      </w:pPr>
      <w:r>
        <w:rPr>
          <w:rFonts w:hint="eastAsia" w:ascii="宋体" w:hAnsi="宋体" w:eastAsia="宋体"/>
          <w:szCs w:val="28"/>
          <w:lang w:eastAsia="zh-CN"/>
        </w:rPr>
        <w:t>七、</w:t>
      </w:r>
      <w:r>
        <w:rPr>
          <w:rFonts w:hint="eastAsia" w:ascii="宋体" w:hAnsi="宋体" w:eastAsia="宋体"/>
          <w:szCs w:val="28"/>
        </w:rPr>
        <w:t>注意事项</w:t>
      </w:r>
    </w:p>
    <w:p w14:paraId="0B208EAC">
      <w:pPr>
        <w:ind w:firstLine="420" w:firstLineChars="200"/>
        <w:rPr>
          <w:rFonts w:hint="eastAsia"/>
          <w:bCs/>
          <w:szCs w:val="21"/>
        </w:rPr>
      </w:pPr>
      <w:r>
        <w:rPr>
          <w:rFonts w:hint="eastAsia"/>
          <w:bCs/>
          <w:szCs w:val="21"/>
        </w:rPr>
        <w:t>1、中标供应商不得将项目非法分包或转包给任何单位和个人。否则，采购单位有权即刻终止合同，并要求中标供应商赔偿相应损失。</w:t>
      </w:r>
    </w:p>
    <w:p w14:paraId="6D8D7441">
      <w:pPr>
        <w:ind w:firstLine="420" w:firstLineChars="200"/>
        <w:rPr>
          <w:rFonts w:hint="eastAsia"/>
          <w:bCs/>
          <w:szCs w:val="21"/>
        </w:rPr>
      </w:pPr>
      <w:r>
        <w:rPr>
          <w:rFonts w:hint="eastAsia"/>
          <w:bCs/>
          <w:szCs w:val="21"/>
        </w:rPr>
        <w:t>2、</w:t>
      </w:r>
      <w:r>
        <w:rPr>
          <w:rFonts w:hint="eastAsia"/>
          <w:bCs/>
          <w:szCs w:val="21"/>
          <w:lang w:eastAsia="zh-CN"/>
        </w:rPr>
        <w:t>投标人</w:t>
      </w:r>
      <w:r>
        <w:rPr>
          <w:rFonts w:hint="eastAsia"/>
          <w:bCs/>
          <w:szCs w:val="21"/>
        </w:rPr>
        <w:t>使用的标准必须是国际公认或国家、或地方政府颁布的同等或更高的标准，如</w:t>
      </w:r>
      <w:r>
        <w:rPr>
          <w:rFonts w:hint="eastAsia"/>
          <w:bCs/>
          <w:szCs w:val="21"/>
          <w:lang w:eastAsia="zh-CN"/>
        </w:rPr>
        <w:t>投标人</w:t>
      </w:r>
      <w:r>
        <w:rPr>
          <w:rFonts w:hint="eastAsia"/>
          <w:bCs/>
          <w:szCs w:val="21"/>
        </w:rPr>
        <w:t>使用的标准低于上述标准,评审委员会将有权不予接受，</w:t>
      </w:r>
      <w:r>
        <w:rPr>
          <w:rFonts w:hint="eastAsia"/>
          <w:bCs/>
          <w:szCs w:val="21"/>
          <w:lang w:eastAsia="zh-CN"/>
        </w:rPr>
        <w:t>投标人</w:t>
      </w:r>
      <w:r>
        <w:rPr>
          <w:rFonts w:hint="eastAsia"/>
          <w:bCs/>
          <w:szCs w:val="21"/>
        </w:rPr>
        <w:t>必须列表将明显的差异详细说明。</w:t>
      </w:r>
    </w:p>
    <w:p w14:paraId="0C186081">
      <w:pPr>
        <w:ind w:firstLine="420" w:firstLineChars="200"/>
        <w:rPr>
          <w:rFonts w:hint="eastAsia"/>
          <w:bCs/>
          <w:szCs w:val="21"/>
        </w:rPr>
      </w:pPr>
      <w:r>
        <w:rPr>
          <w:rFonts w:hint="eastAsia"/>
          <w:bCs/>
          <w:szCs w:val="21"/>
        </w:rPr>
        <w:t>3、供应商须在质疑期内一次性提出针对同一采购程序环节的质疑。</w:t>
      </w:r>
    </w:p>
    <w:p w14:paraId="06F8D1FF">
      <w:pPr>
        <w:ind w:firstLine="422" w:firstLineChars="200"/>
        <w:rPr>
          <w:rFonts w:hint="eastAsia" w:eastAsiaTheme="minorEastAsia"/>
          <w:b/>
          <w:bCs w:val="0"/>
          <w:szCs w:val="21"/>
          <w:lang w:eastAsia="zh-CN"/>
        </w:rPr>
      </w:pPr>
      <w:r>
        <w:rPr>
          <w:rFonts w:hint="eastAsia"/>
          <w:b/>
          <w:bCs w:val="0"/>
          <w:szCs w:val="21"/>
        </w:rPr>
        <w:t>4、本项目按照深圳市龙华区教育局的相关采购规定执行，招标文件未明确的事项，参照政府采购有关法律法规执行</w:t>
      </w:r>
      <w:r>
        <w:rPr>
          <w:rFonts w:hint="eastAsia"/>
          <w:b/>
          <w:bCs w:val="0"/>
          <w:szCs w:val="21"/>
          <w:lang w:eastAsia="zh-CN"/>
        </w:rPr>
        <w:t>。</w:t>
      </w:r>
    </w:p>
    <w:p w14:paraId="03E744B2">
      <w:pPr>
        <w:pStyle w:val="5"/>
        <w:spacing w:before="156" w:beforeLines="50" w:after="156" w:afterLines="50" w:line="416" w:lineRule="auto"/>
        <w:jc w:val="center"/>
        <w:rPr>
          <w:szCs w:val="28"/>
        </w:rPr>
      </w:pPr>
      <w:r>
        <w:rPr>
          <w:rFonts w:hint="eastAsia"/>
          <w:szCs w:val="28"/>
          <w:lang w:eastAsia="zh-CN"/>
        </w:rPr>
        <w:t>八、</w:t>
      </w:r>
      <w:r>
        <w:rPr>
          <w:rFonts w:hint="eastAsia"/>
          <w:szCs w:val="28"/>
        </w:rPr>
        <w:t>其他重要条款</w:t>
      </w:r>
    </w:p>
    <w:p w14:paraId="785F61FC">
      <w:pPr>
        <w:ind w:firstLine="420" w:firstLineChars="200"/>
        <w:rPr>
          <w:bCs/>
          <w:szCs w:val="21"/>
        </w:rPr>
      </w:pPr>
      <w:r>
        <w:rPr>
          <w:rFonts w:hint="eastAsia"/>
          <w:bCs/>
          <w:szCs w:val="21"/>
        </w:rPr>
        <w:t>1、本项目投标报价采用包干制，应包括成本、法定税费和相应的利润，应涵盖本项目招标范围和招标文件所列的各项内容中所述的全部。由投标人根据招标需求自行测算投标报价；一经中标，投标报价即作为中标单位与采购人签订的合同金额。</w:t>
      </w:r>
    </w:p>
    <w:p w14:paraId="79F6732F">
      <w:pPr>
        <w:ind w:firstLine="420" w:firstLineChars="200"/>
        <w:rPr>
          <w:bCs/>
          <w:szCs w:val="21"/>
        </w:rPr>
      </w:pPr>
      <w:r>
        <w:rPr>
          <w:rFonts w:hint="eastAsia"/>
          <w:bCs/>
          <w:szCs w:val="21"/>
        </w:rPr>
        <w:t>2、投标人应充分了解项目的位置、情况、道路及任何其它足以影响投标报价的情况，任何因忽视或误解项目情况而导致的索赔或服务期限延长申请将不获批准。</w:t>
      </w:r>
    </w:p>
    <w:p w14:paraId="6F31A273">
      <w:pPr>
        <w:ind w:firstLine="420" w:firstLineChars="200"/>
        <w:rPr>
          <w:bCs/>
          <w:szCs w:val="21"/>
        </w:rPr>
      </w:pPr>
      <w:r>
        <w:rPr>
          <w:rFonts w:hint="eastAsia"/>
          <w:bCs/>
          <w:szCs w:val="21"/>
        </w:rPr>
        <w:t>3、投标人不得期望通过索赔等方式获取补偿，否则，除可能遭到拒绝外，还可能将被作为不良行为记录在案，并可能影响其以后参加政府采购的项目投标。各投标人在投标报价时，应充分考虑投标报价的风险。</w:t>
      </w:r>
    </w:p>
    <w:p w14:paraId="104B0D90">
      <w:pPr>
        <w:ind w:firstLine="420" w:firstLineChars="200"/>
        <w:rPr>
          <w:bCs/>
          <w:szCs w:val="21"/>
        </w:rPr>
      </w:pPr>
      <w:r>
        <w:rPr>
          <w:rFonts w:hint="eastAsia"/>
          <w:bCs/>
          <w:szCs w:val="21"/>
        </w:rPr>
        <w:t>4、除政府采购合同继续履行将损害国家利益和社会公共利益外，双方当事人不得擅自变更、中止或者终止合同。</w:t>
      </w:r>
    </w:p>
    <w:p w14:paraId="523E4A47">
      <w:pPr>
        <w:ind w:firstLine="420" w:firstLineChars="200"/>
        <w:rPr>
          <w:bCs/>
          <w:szCs w:val="21"/>
        </w:rPr>
      </w:pPr>
      <w:r>
        <w:rPr>
          <w:rFonts w:hint="eastAsia"/>
          <w:bCs/>
          <w:szCs w:val="21"/>
        </w:rPr>
        <w:t>5、“信用中国”中“信用服务”栏的“重大税收违法失信主体”“失信被执行人”，“中国政府采购网”中的“政府采购严重违法失信行为记录名单”，以及“深圳市政府采购监管网”为供应商信用信息的查询渠道，相关信息以开标当日的查询结果为准。</w:t>
      </w:r>
    </w:p>
    <w:p w14:paraId="68DE5E32">
      <w:pPr>
        <w:widowControl/>
        <w:jc w:val="left"/>
        <w:rPr>
          <w:rFonts w:ascii="宋体" w:hAnsi="宋体" w:eastAsia="黑体" w:cs="Times New Roman"/>
          <w:bCs/>
          <w:kern w:val="44"/>
          <w:sz w:val="28"/>
          <w:szCs w:val="44"/>
        </w:rPr>
      </w:pPr>
    </w:p>
    <w:p w14:paraId="1DA14557">
      <w:pPr>
        <w:rPr>
          <w:rFonts w:ascii="宋体" w:hAnsi="宋体" w:eastAsia="宋体" w:cs="Times New Roman"/>
          <w:b/>
          <w:bCs/>
          <w:kern w:val="0"/>
          <w:sz w:val="28"/>
          <w:szCs w:val="28"/>
        </w:rPr>
      </w:pPr>
      <w:r>
        <w:rPr>
          <w:rFonts w:hint="eastAsia" w:ascii="宋体" w:hAnsi="宋体" w:eastAsia="宋体" w:cs="Times New Roman"/>
          <w:b/>
          <w:bCs/>
          <w:kern w:val="0"/>
          <w:sz w:val="28"/>
          <w:szCs w:val="28"/>
        </w:rPr>
        <w:br w:type="page"/>
      </w:r>
    </w:p>
    <w:p w14:paraId="0B12EB10">
      <w:pPr>
        <w:keepNext/>
        <w:keepLines/>
        <w:adjustRightInd w:val="0"/>
        <w:spacing w:line="320" w:lineRule="atLeast"/>
        <w:jc w:val="center"/>
        <w:textAlignment w:val="baseline"/>
        <w:outlineLvl w:val="1"/>
        <w:rPr>
          <w:rFonts w:ascii="宋体" w:hAnsi="宋体" w:eastAsia="宋体" w:cs="Times New Roman"/>
          <w:b/>
          <w:bCs/>
          <w:kern w:val="0"/>
          <w:sz w:val="28"/>
          <w:szCs w:val="28"/>
        </w:rPr>
      </w:pPr>
      <w:r>
        <w:rPr>
          <w:rFonts w:hint="eastAsia" w:ascii="宋体" w:hAnsi="宋体" w:eastAsia="宋体" w:cs="Times New Roman"/>
          <w:b/>
          <w:bCs/>
          <w:kern w:val="0"/>
          <w:sz w:val="28"/>
          <w:szCs w:val="28"/>
        </w:rPr>
        <w:t>第四章</w:t>
      </w:r>
      <w:r>
        <w:rPr>
          <w:rFonts w:ascii="宋体" w:hAnsi="宋体" w:eastAsia="宋体" w:cs="Times New Roman"/>
          <w:b/>
          <w:bCs/>
          <w:kern w:val="0"/>
          <w:sz w:val="28"/>
          <w:szCs w:val="28"/>
        </w:rPr>
        <w:t xml:space="preserve"> </w:t>
      </w:r>
      <w:r>
        <w:rPr>
          <w:rFonts w:hint="eastAsia" w:ascii="宋体" w:hAnsi="宋体" w:eastAsia="宋体" w:cs="Times New Roman"/>
          <w:b/>
          <w:bCs/>
          <w:kern w:val="0"/>
          <w:sz w:val="28"/>
          <w:szCs w:val="28"/>
        </w:rPr>
        <w:t xml:space="preserve"> 投标文件组成要求及格式</w:t>
      </w:r>
    </w:p>
    <w:p w14:paraId="0CB1197D">
      <w:pPr>
        <w:spacing w:line="320" w:lineRule="atLeast"/>
        <w:outlineLvl w:val="2"/>
        <w:rPr>
          <w:rFonts w:ascii="宋体" w:hAnsi="宋体" w:eastAsia="宋体" w:cs="宋体"/>
          <w:b/>
          <w:bCs/>
          <w:color w:val="FF0000"/>
          <w:sz w:val="24"/>
          <w:szCs w:val="24"/>
        </w:rPr>
      </w:pPr>
      <w:r>
        <w:rPr>
          <w:rFonts w:hint="eastAsia" w:ascii="宋体" w:hAnsi="宋体" w:eastAsia="宋体" w:cs="宋体"/>
          <w:b/>
          <w:bCs/>
          <w:color w:val="FF0000"/>
          <w:sz w:val="24"/>
          <w:szCs w:val="24"/>
        </w:rPr>
        <w:t>特别提醒：</w:t>
      </w:r>
    </w:p>
    <w:p w14:paraId="2E5A9C9A">
      <w:pPr>
        <w:tabs>
          <w:tab w:val="left" w:pos="1470"/>
        </w:tabs>
        <w:snapToGrid w:val="0"/>
        <w:spacing w:line="320" w:lineRule="atLeast"/>
        <w:ind w:firstLine="482" w:firstLineChars="200"/>
        <w:rPr>
          <w:rFonts w:ascii="宋体" w:hAnsi="宋体" w:eastAsia="宋体" w:cs="宋体"/>
          <w:b/>
          <w:color w:val="FF0000"/>
          <w:sz w:val="24"/>
          <w:szCs w:val="24"/>
        </w:rPr>
      </w:pPr>
      <w:r>
        <w:rPr>
          <w:rFonts w:hint="eastAsia" w:ascii="宋体" w:hAnsi="宋体" w:eastAsia="宋体" w:cs="宋体"/>
          <w:b/>
          <w:color w:val="FF0000"/>
          <w:sz w:val="24"/>
          <w:szCs w:val="24"/>
        </w:rPr>
        <w:t>1、投标人在编辑投标文件时，在投标文件目录中属于本节点内容的必须在本节点中填写，填写到其他节点或附件的将可能导致投标无效，一切后果由供应商自行承担。</w:t>
      </w:r>
    </w:p>
    <w:p w14:paraId="7D55BEB8">
      <w:pPr>
        <w:tabs>
          <w:tab w:val="left" w:pos="1470"/>
        </w:tabs>
        <w:snapToGrid w:val="0"/>
        <w:spacing w:line="320" w:lineRule="atLeast"/>
        <w:ind w:firstLine="482" w:firstLineChars="200"/>
        <w:rPr>
          <w:rFonts w:ascii="宋体" w:hAnsi="宋体" w:eastAsia="宋体" w:cs="宋体"/>
          <w:b/>
          <w:color w:val="FF0000"/>
          <w:sz w:val="24"/>
          <w:szCs w:val="24"/>
        </w:rPr>
      </w:pPr>
      <w:r>
        <w:rPr>
          <w:rFonts w:hint="eastAsia" w:ascii="宋体" w:hAnsi="宋体" w:eastAsia="宋体" w:cs="宋体"/>
          <w:b/>
          <w:color w:val="FF0000"/>
          <w:sz w:val="24"/>
          <w:szCs w:val="24"/>
        </w:rPr>
        <w:t>2、投标文件正文必须编制于“正文”部分，投标文件附件必须编制于“附件”部分。</w:t>
      </w:r>
      <w:bookmarkStart w:id="13" w:name="_Hlk72257167"/>
    </w:p>
    <w:p w14:paraId="782C4106">
      <w:pPr>
        <w:tabs>
          <w:tab w:val="left" w:pos="1470"/>
        </w:tabs>
        <w:snapToGrid w:val="0"/>
        <w:spacing w:line="320" w:lineRule="atLeast"/>
        <w:ind w:firstLine="482" w:firstLineChars="200"/>
        <w:rPr>
          <w:rFonts w:ascii="宋体" w:hAnsi="宋体" w:eastAsia="宋体" w:cs="宋体"/>
          <w:b/>
          <w:color w:val="FF0000"/>
          <w:sz w:val="24"/>
          <w:szCs w:val="24"/>
        </w:rPr>
      </w:pPr>
      <w:r>
        <w:rPr>
          <w:rFonts w:hint="eastAsia" w:ascii="宋体" w:hAnsi="宋体" w:eastAsia="宋体" w:cs="宋体"/>
          <w:b/>
          <w:color w:val="FF0000"/>
          <w:sz w:val="24"/>
          <w:szCs w:val="24"/>
        </w:rPr>
        <w:t>3、如投标人误将涉及个人隐私的信息放入投标文件正文，相关后果由投标人自负；如投标人将必须放于投标文件正文的内容放入投标文件附件，将作投标无效处理。</w:t>
      </w:r>
    </w:p>
    <w:p w14:paraId="3D676A0F">
      <w:pPr>
        <w:pStyle w:val="2"/>
      </w:pPr>
    </w:p>
    <w:bookmarkEnd w:id="13"/>
    <w:p w14:paraId="6F31D8B9">
      <w:pPr>
        <w:widowControl/>
        <w:spacing w:line="320" w:lineRule="atLeast"/>
        <w:jc w:val="left"/>
        <w:outlineLvl w:val="2"/>
        <w:rPr>
          <w:rFonts w:ascii="宋体" w:hAnsi="宋体" w:eastAsia="黑体" w:cs="Times New Roman"/>
          <w:bCs/>
          <w:kern w:val="44"/>
          <w:sz w:val="24"/>
          <w:szCs w:val="24"/>
        </w:rPr>
      </w:pPr>
      <w:r>
        <w:rPr>
          <w:rFonts w:hint="eastAsia" w:ascii="宋体" w:hAnsi="宋体" w:eastAsia="黑体" w:cs="Times New Roman"/>
          <w:bCs/>
          <w:kern w:val="44"/>
          <w:sz w:val="24"/>
          <w:szCs w:val="24"/>
        </w:rPr>
        <w:t>投标文件组成：</w:t>
      </w:r>
    </w:p>
    <w:p w14:paraId="4EB91E19">
      <w:pPr>
        <w:ind w:firstLine="1200" w:firstLineChars="500"/>
        <w:outlineLvl w:val="0"/>
        <w:rPr>
          <w:rFonts w:ascii="宋体" w:hAnsi="宋体"/>
          <w:sz w:val="24"/>
        </w:rPr>
      </w:pPr>
      <w:bookmarkStart w:id="14" w:name="_Hlk72257771"/>
      <w:r>
        <w:rPr>
          <w:rFonts w:hint="eastAsia" w:ascii="宋体" w:hAnsi="宋体"/>
          <w:sz w:val="24"/>
        </w:rPr>
        <w:t>1.投标文件正文，主要包括以下内容：</w:t>
      </w:r>
    </w:p>
    <w:p w14:paraId="75061A49">
      <w:pPr>
        <w:ind w:left="718" w:leftChars="342" w:firstLine="1417" w:firstLineChars="675"/>
        <w:rPr>
          <w:szCs w:val="21"/>
        </w:rPr>
      </w:pPr>
      <w:r>
        <w:rPr>
          <w:rFonts w:hint="eastAsia"/>
          <w:szCs w:val="21"/>
        </w:rPr>
        <w:t>（1）</w:t>
      </w:r>
      <w:bookmarkStart w:id="15" w:name="_Hlk72070784"/>
      <w:r>
        <w:rPr>
          <w:rFonts w:hint="eastAsia"/>
          <w:szCs w:val="21"/>
        </w:rPr>
        <w:t>投标函</w:t>
      </w:r>
      <w:bookmarkEnd w:id="15"/>
    </w:p>
    <w:p w14:paraId="45F47F4D">
      <w:pPr>
        <w:ind w:left="718" w:leftChars="342" w:firstLine="1417" w:firstLineChars="675"/>
        <w:rPr>
          <w:szCs w:val="21"/>
        </w:rPr>
      </w:pPr>
      <w:r>
        <w:rPr>
          <w:rFonts w:hint="eastAsia"/>
          <w:szCs w:val="21"/>
        </w:rPr>
        <w:t>（2）</w:t>
      </w:r>
      <w:bookmarkStart w:id="16" w:name="_Hlk72062521"/>
      <w:r>
        <w:rPr>
          <w:rFonts w:hint="eastAsia"/>
          <w:szCs w:val="21"/>
        </w:rPr>
        <w:t>政府采购投标及履约承诺函</w:t>
      </w:r>
      <w:bookmarkEnd w:id="16"/>
    </w:p>
    <w:p w14:paraId="17198C62">
      <w:pPr>
        <w:ind w:left="718" w:leftChars="342" w:firstLine="1417" w:firstLineChars="675"/>
        <w:rPr>
          <w:szCs w:val="21"/>
        </w:rPr>
      </w:pPr>
      <w:r>
        <w:rPr>
          <w:rFonts w:hint="eastAsia"/>
          <w:szCs w:val="21"/>
        </w:rPr>
        <w:t>（</w:t>
      </w:r>
      <w:r>
        <w:rPr>
          <w:szCs w:val="21"/>
        </w:rPr>
        <w:t>3</w:t>
      </w:r>
      <w:r>
        <w:rPr>
          <w:rFonts w:hint="eastAsia"/>
          <w:szCs w:val="21"/>
        </w:rPr>
        <w:t>）投标人情况及资格证明文件</w:t>
      </w:r>
    </w:p>
    <w:p w14:paraId="3F1225CA">
      <w:pPr>
        <w:ind w:left="718" w:leftChars="342" w:firstLine="1417" w:firstLineChars="675"/>
        <w:rPr>
          <w:szCs w:val="21"/>
        </w:rPr>
      </w:pPr>
      <w:bookmarkStart w:id="17" w:name="_Hlk72257201"/>
      <w:r>
        <w:rPr>
          <w:rFonts w:hint="eastAsia"/>
          <w:szCs w:val="21"/>
        </w:rPr>
        <w:t>（</w:t>
      </w:r>
      <w:r>
        <w:rPr>
          <w:szCs w:val="21"/>
        </w:rPr>
        <w:t>4</w:t>
      </w:r>
      <w:r>
        <w:rPr>
          <w:rFonts w:hint="eastAsia"/>
          <w:szCs w:val="21"/>
        </w:rPr>
        <w:t>）分项报价清单</w:t>
      </w:r>
    </w:p>
    <w:bookmarkEnd w:id="17"/>
    <w:p w14:paraId="59519917">
      <w:pPr>
        <w:ind w:left="718" w:leftChars="342" w:firstLine="1627" w:firstLineChars="775"/>
        <w:rPr>
          <w:szCs w:val="21"/>
        </w:rPr>
      </w:pPr>
      <w:r>
        <w:rPr>
          <w:rFonts w:hint="eastAsia" w:ascii="宋体" w:hAnsi="宋体"/>
          <w:szCs w:val="21"/>
        </w:rPr>
        <w:t>…………</w:t>
      </w:r>
    </w:p>
    <w:p w14:paraId="4479022D">
      <w:pPr>
        <w:ind w:firstLine="1200" w:firstLineChars="500"/>
        <w:outlineLvl w:val="0"/>
        <w:rPr>
          <w:rFonts w:ascii="宋体" w:hAnsi="宋体"/>
          <w:sz w:val="24"/>
        </w:rPr>
      </w:pPr>
      <w:r>
        <w:rPr>
          <w:rFonts w:hint="eastAsia" w:ascii="宋体" w:hAnsi="宋体"/>
          <w:sz w:val="24"/>
        </w:rPr>
        <w:t>2.投标文件附件：主要包括以下内容：</w:t>
      </w:r>
    </w:p>
    <w:p w14:paraId="66139C7E">
      <w:pPr>
        <w:ind w:firstLine="2100" w:firstLineChars="1000"/>
        <w:rPr>
          <w:szCs w:val="21"/>
        </w:rPr>
      </w:pPr>
      <w:r>
        <w:rPr>
          <w:rFonts w:hint="eastAsia"/>
          <w:szCs w:val="21"/>
        </w:rPr>
        <w:t>（1）法定代表人（负责人）证明书</w:t>
      </w:r>
    </w:p>
    <w:p w14:paraId="3BD468E7">
      <w:pPr>
        <w:ind w:left="718" w:leftChars="342" w:firstLine="1417" w:firstLineChars="675"/>
        <w:rPr>
          <w:szCs w:val="21"/>
        </w:rPr>
      </w:pPr>
      <w:r>
        <w:rPr>
          <w:rFonts w:hint="eastAsia"/>
          <w:szCs w:val="21"/>
        </w:rPr>
        <w:t>（2）投标文件签署授权委托书</w:t>
      </w:r>
    </w:p>
    <w:p w14:paraId="6A3D2BB4">
      <w:pPr>
        <w:ind w:left="718" w:leftChars="342" w:firstLine="1417" w:firstLineChars="675"/>
        <w:rPr>
          <w:szCs w:val="21"/>
        </w:rPr>
      </w:pPr>
      <w:r>
        <w:rPr>
          <w:rFonts w:hint="eastAsia"/>
          <w:szCs w:val="21"/>
        </w:rPr>
        <w:t>（3）实质性条款响应情况表</w:t>
      </w:r>
    </w:p>
    <w:p w14:paraId="328EBCC9">
      <w:pPr>
        <w:ind w:left="718" w:leftChars="342" w:firstLine="1417" w:firstLineChars="675"/>
        <w:rPr>
          <w:szCs w:val="21"/>
        </w:rPr>
      </w:pPr>
      <w:r>
        <w:rPr>
          <w:rFonts w:hint="eastAsia"/>
          <w:szCs w:val="21"/>
        </w:rPr>
        <w:t>（</w:t>
      </w:r>
      <w:r>
        <w:rPr>
          <w:szCs w:val="21"/>
        </w:rPr>
        <w:t>4</w:t>
      </w:r>
      <w:r>
        <w:rPr>
          <w:rFonts w:hint="eastAsia"/>
          <w:szCs w:val="21"/>
        </w:rPr>
        <w:t>）商务要求偏离表</w:t>
      </w:r>
    </w:p>
    <w:p w14:paraId="21A1AB28">
      <w:pPr>
        <w:ind w:left="718" w:leftChars="342" w:firstLine="1417" w:firstLineChars="675"/>
        <w:rPr>
          <w:szCs w:val="21"/>
        </w:rPr>
      </w:pPr>
      <w:r>
        <w:rPr>
          <w:rFonts w:hint="eastAsia"/>
          <w:szCs w:val="21"/>
        </w:rPr>
        <w:t>（</w:t>
      </w:r>
      <w:r>
        <w:rPr>
          <w:szCs w:val="21"/>
        </w:rPr>
        <w:t>5</w:t>
      </w:r>
      <w:r>
        <w:rPr>
          <w:rFonts w:hint="eastAsia"/>
          <w:szCs w:val="21"/>
        </w:rPr>
        <w:t>）技术</w:t>
      </w:r>
      <w:r>
        <w:rPr>
          <w:rFonts w:hint="eastAsia"/>
          <w:szCs w:val="21"/>
          <w:lang w:eastAsia="zh-CN"/>
        </w:rPr>
        <w:t>规格</w:t>
      </w:r>
      <w:r>
        <w:rPr>
          <w:rFonts w:hint="eastAsia"/>
          <w:szCs w:val="21"/>
        </w:rPr>
        <w:t>偏离表</w:t>
      </w:r>
    </w:p>
    <w:p w14:paraId="447942C3">
      <w:pPr>
        <w:ind w:left="718" w:leftChars="342" w:firstLine="1417" w:firstLineChars="675"/>
        <w:rPr>
          <w:szCs w:val="21"/>
        </w:rPr>
      </w:pPr>
      <w:r>
        <w:rPr>
          <w:rFonts w:hint="eastAsia"/>
          <w:szCs w:val="21"/>
        </w:rPr>
        <w:t>（6）投标人认为需要加以说明的其他内容</w:t>
      </w:r>
    </w:p>
    <w:p w14:paraId="3C8FA10D">
      <w:pPr>
        <w:ind w:left="718" w:leftChars="342" w:firstLine="1417" w:firstLineChars="675"/>
        <w:rPr>
          <w:rFonts w:ascii="宋体" w:hAnsi="宋体"/>
          <w:szCs w:val="21"/>
        </w:rPr>
      </w:pPr>
      <w:r>
        <w:rPr>
          <w:rFonts w:hint="eastAsia" w:ascii="宋体" w:hAnsi="宋体"/>
          <w:szCs w:val="21"/>
        </w:rPr>
        <w:t>…………</w:t>
      </w:r>
    </w:p>
    <w:p w14:paraId="6687659F">
      <w:pPr>
        <w:spacing w:line="320" w:lineRule="atLeast"/>
        <w:rPr>
          <w:rFonts w:ascii="宋体" w:hAnsi="宋体"/>
          <w:b/>
          <w:sz w:val="24"/>
          <w:szCs w:val="24"/>
        </w:rPr>
      </w:pPr>
      <w:r>
        <w:rPr>
          <w:rFonts w:hint="eastAsia" w:ascii="宋体" w:hAnsi="宋体"/>
          <w:b/>
          <w:sz w:val="24"/>
          <w:szCs w:val="24"/>
        </w:rPr>
        <w:t>备注：</w:t>
      </w:r>
    </w:p>
    <w:p w14:paraId="4CC16E1C">
      <w:pPr>
        <w:snapToGrid w:val="0"/>
        <w:spacing w:line="320" w:lineRule="atLeast"/>
        <w:ind w:firstLine="482" w:firstLineChars="200"/>
        <w:rPr>
          <w:rFonts w:ascii="宋体" w:hAnsi="宋体"/>
          <w:b/>
          <w:sz w:val="24"/>
          <w:szCs w:val="24"/>
        </w:rPr>
      </w:pPr>
      <w:r>
        <w:rPr>
          <w:rFonts w:hint="eastAsia" w:ascii="宋体" w:hAnsi="宋体"/>
          <w:b/>
          <w:sz w:val="24"/>
          <w:szCs w:val="24"/>
        </w:rPr>
        <w:t>1.本项目为网上电子投标项目，投标文件不需法人或授权委托人另行签字，无需加盖单位公章，招标文件另有规定的除外。</w:t>
      </w:r>
    </w:p>
    <w:p w14:paraId="08A2BFC5">
      <w:pPr>
        <w:snapToGrid w:val="0"/>
        <w:spacing w:after="78" w:afterLines="25"/>
        <w:ind w:firstLine="482" w:firstLineChars="200"/>
        <w:rPr>
          <w:rFonts w:ascii="宋体" w:hAnsi="宋体" w:eastAsia="黑体" w:cs="Times New Roman"/>
          <w:bCs/>
          <w:kern w:val="44"/>
          <w:sz w:val="32"/>
          <w:szCs w:val="32"/>
        </w:rPr>
      </w:pPr>
      <w:bookmarkStart w:id="18" w:name="_Hlk72263559"/>
      <w:r>
        <w:rPr>
          <w:rFonts w:hint="eastAsia" w:ascii="宋体" w:hAnsi="宋体"/>
          <w:b/>
          <w:sz w:val="24"/>
          <w:szCs w:val="24"/>
        </w:rPr>
        <w:t>2.关于填写“开标一览表”的说明：“开标一览表”中除“投标总价”外，其他信息不作评审依据。</w:t>
      </w:r>
      <w:bookmarkEnd w:id="14"/>
      <w:bookmarkEnd w:id="18"/>
      <w:r>
        <w:rPr>
          <w:rFonts w:ascii="宋体" w:hAnsi="宋体" w:eastAsia="黑体" w:cs="Times New Roman"/>
          <w:bCs/>
          <w:kern w:val="44"/>
          <w:sz w:val="32"/>
          <w:szCs w:val="32"/>
        </w:rPr>
        <w:br w:type="page"/>
      </w:r>
    </w:p>
    <w:p w14:paraId="247C026B">
      <w:pPr>
        <w:widowControl/>
        <w:jc w:val="left"/>
        <w:outlineLvl w:val="1"/>
        <w:rPr>
          <w:rFonts w:ascii="宋体" w:hAnsi="宋体" w:eastAsia="宋体" w:cs="宋体"/>
          <w:b/>
          <w:color w:val="FF0000"/>
          <w:kern w:val="0"/>
          <w:sz w:val="32"/>
          <w:szCs w:val="32"/>
        </w:rPr>
      </w:pPr>
      <w:r>
        <w:rPr>
          <w:rFonts w:hint="eastAsia" w:ascii="宋体" w:hAnsi="宋体" w:eastAsia="宋体" w:cs="宋体"/>
          <w:b/>
          <w:color w:val="FF0000"/>
          <w:kern w:val="0"/>
          <w:sz w:val="32"/>
          <w:szCs w:val="32"/>
        </w:rPr>
        <w:t>（一）投标文件正文</w:t>
      </w:r>
    </w:p>
    <w:p w14:paraId="311DA5DF">
      <w:pPr>
        <w:pStyle w:val="5"/>
        <w:jc w:val="center"/>
        <w:rPr>
          <w:rFonts w:ascii="黑体" w:eastAsia="黑体"/>
          <w:b w:val="0"/>
          <w:sz w:val="24"/>
        </w:rPr>
      </w:pPr>
      <w:r>
        <w:rPr>
          <w:rFonts w:hint="eastAsia" w:ascii="黑体" w:eastAsia="黑体"/>
          <w:b w:val="0"/>
          <w:sz w:val="24"/>
        </w:rPr>
        <w:t>一、投标函</w:t>
      </w:r>
    </w:p>
    <w:p w14:paraId="12A05B4D">
      <w:pPr>
        <w:spacing w:line="360" w:lineRule="auto"/>
        <w:rPr>
          <w:rFonts w:ascii="宋体" w:hAnsi="宋体"/>
          <w:szCs w:val="21"/>
        </w:rPr>
      </w:pPr>
      <w:bookmarkStart w:id="19" w:name="_Hlk72257506"/>
      <w:r>
        <w:rPr>
          <w:rFonts w:hint="eastAsia" w:ascii="宋体" w:hAnsi="宋体"/>
          <w:szCs w:val="21"/>
        </w:rPr>
        <w:t>致：</w:t>
      </w:r>
      <w:r>
        <w:rPr>
          <w:rFonts w:hint="eastAsia" w:ascii="宋体" w:hAnsi="宋体"/>
          <w:szCs w:val="21"/>
          <w:u w:val="single"/>
        </w:rPr>
        <w:t xml:space="preserve">  </w:t>
      </w:r>
      <w:r>
        <w:rPr>
          <w:rFonts w:hint="eastAsia" w:ascii="宋体" w:hAnsi="宋体"/>
          <w:color w:val="FF0000"/>
          <w:szCs w:val="21"/>
          <w:u w:val="single"/>
          <w:lang w:eastAsia="zh-CN"/>
        </w:rPr>
        <w:t>深圳市东海国际招标有限公司</w:t>
      </w:r>
      <w:r>
        <w:rPr>
          <w:rFonts w:hint="eastAsia" w:ascii="宋体" w:hAnsi="宋体"/>
          <w:szCs w:val="21"/>
          <w:u w:val="single"/>
        </w:rPr>
        <w:t xml:space="preserve">  </w:t>
      </w:r>
    </w:p>
    <w:p w14:paraId="626B2164">
      <w:pPr>
        <w:ind w:firstLine="420" w:firstLineChars="200"/>
        <w:rPr>
          <w:rFonts w:ascii="宋体" w:hAnsi="宋体"/>
          <w:szCs w:val="21"/>
        </w:rPr>
      </w:pPr>
      <w:bookmarkStart w:id="20" w:name="_Hlk73818812"/>
      <w:r>
        <w:rPr>
          <w:rFonts w:hint="eastAsia"/>
          <w:szCs w:val="21"/>
        </w:rPr>
        <w:t>1、根据已收到贵单位的项目编号为</w:t>
      </w:r>
      <w:r>
        <w:rPr>
          <w:rFonts w:hint="eastAsia"/>
          <w:szCs w:val="21"/>
          <w:u w:val="thick"/>
        </w:rPr>
        <w:t xml:space="preserve">                 </w:t>
      </w:r>
      <w:r>
        <w:rPr>
          <w:rFonts w:hint="eastAsia"/>
          <w:szCs w:val="21"/>
        </w:rPr>
        <w:t>的</w:t>
      </w:r>
      <w:r>
        <w:rPr>
          <w:rFonts w:hint="eastAsia"/>
          <w:szCs w:val="21"/>
          <w:u w:val="thick"/>
        </w:rPr>
        <w:t xml:space="preserve">   （项目名称）   </w:t>
      </w:r>
      <w:r>
        <w:rPr>
          <w:rFonts w:hint="eastAsia"/>
          <w:szCs w:val="21"/>
        </w:rPr>
        <w:t>项目的招标文件，遵照《深圳经济特区政府采购条例》和《深圳网上政府采购管理暂行办法》等有关规定，我单位经研究上述招标文件的专用条款及通用条款后，</w:t>
      </w:r>
      <w:bookmarkStart w:id="21" w:name="_Hlk72263588"/>
      <w:r>
        <w:rPr>
          <w:rFonts w:hint="eastAsia"/>
          <w:szCs w:val="21"/>
        </w:rPr>
        <w:t>愿意按照招标文件要求承包上述项目并修补其任何缺陷。</w:t>
      </w:r>
      <w:bookmarkEnd w:id="21"/>
    </w:p>
    <w:p w14:paraId="3AF817D5">
      <w:pPr>
        <w:ind w:firstLine="420" w:firstLineChars="200"/>
        <w:rPr>
          <w:rFonts w:ascii="宋体" w:hAnsi="宋体"/>
          <w:szCs w:val="21"/>
        </w:rPr>
      </w:pPr>
      <w:r>
        <w:rPr>
          <w:rFonts w:ascii="宋体" w:hAnsi="宋体"/>
          <w:szCs w:val="21"/>
        </w:rPr>
        <w:t>2</w:t>
      </w:r>
      <w:r>
        <w:rPr>
          <w:rFonts w:hint="eastAsia" w:ascii="宋体" w:hAnsi="宋体"/>
          <w:szCs w:val="21"/>
        </w:rPr>
        <w:t>、</w:t>
      </w:r>
      <w:bookmarkStart w:id="22" w:name="_Hlk73819847"/>
      <w:r>
        <w:rPr>
          <w:rFonts w:hint="eastAsia" w:ascii="宋体" w:hAnsi="宋体"/>
          <w:szCs w:val="21"/>
        </w:rPr>
        <w:t>投标价格见</w:t>
      </w:r>
      <w:r>
        <w:rPr>
          <w:rFonts w:hint="eastAsia"/>
          <w:szCs w:val="21"/>
        </w:rPr>
        <w:t>投标书编制软件中《开标一览表》中填写的投标总价。</w:t>
      </w:r>
      <w:bookmarkEnd w:id="22"/>
    </w:p>
    <w:p w14:paraId="23F5B190">
      <w:pPr>
        <w:ind w:firstLine="420" w:firstLineChars="200"/>
        <w:rPr>
          <w:rFonts w:ascii="宋体" w:hAnsi="宋体"/>
          <w:szCs w:val="21"/>
        </w:rPr>
      </w:pPr>
      <w:r>
        <w:rPr>
          <w:rFonts w:hint="eastAsia" w:ascii="宋体" w:hAnsi="宋体"/>
          <w:szCs w:val="21"/>
        </w:rPr>
        <w:t>3、如果我单位中标，我单位将按照招标文件的要求足额提交履约担保。</w:t>
      </w:r>
    </w:p>
    <w:p w14:paraId="51F9C9EA">
      <w:pPr>
        <w:ind w:firstLine="420" w:firstLineChars="200"/>
        <w:rPr>
          <w:rFonts w:ascii="宋体" w:hAnsi="宋体"/>
          <w:szCs w:val="21"/>
        </w:rPr>
      </w:pPr>
      <w:r>
        <w:rPr>
          <w:rFonts w:hint="eastAsia" w:ascii="宋体" w:hAnsi="宋体"/>
          <w:szCs w:val="21"/>
        </w:rPr>
        <w:t>4、我单位同意所递交的投标文件在“对通用条款的补充内容”中明确的投标有效期内有效，在此期间内我单位的投标有可能中标，我方将受此约束。</w:t>
      </w:r>
    </w:p>
    <w:p w14:paraId="79AEEE87">
      <w:pPr>
        <w:ind w:firstLine="420" w:firstLineChars="200"/>
        <w:rPr>
          <w:rFonts w:ascii="宋体" w:hAnsi="宋体"/>
          <w:szCs w:val="21"/>
        </w:rPr>
      </w:pPr>
      <w:r>
        <w:rPr>
          <w:rFonts w:hint="eastAsia" w:ascii="宋体" w:hAnsi="宋体"/>
          <w:szCs w:val="21"/>
        </w:rPr>
        <w:t>5、除非另外达成协议并生效，贵单位的中标通知书和本投标文件将构成合同的重要内容。</w:t>
      </w:r>
    </w:p>
    <w:p w14:paraId="66318BD0">
      <w:pPr>
        <w:ind w:left="420" w:leftChars="200"/>
        <w:rPr>
          <w:rFonts w:hint="eastAsia" w:ascii="宋体" w:hAnsi="宋体"/>
          <w:szCs w:val="21"/>
        </w:rPr>
      </w:pPr>
      <w:r>
        <w:rPr>
          <w:rFonts w:hint="eastAsia" w:ascii="宋体" w:hAnsi="宋体"/>
          <w:szCs w:val="21"/>
        </w:rPr>
        <w:t>6、我单位理解贵单位将不受必须接受所收到的最低报价或其它任何投标文件的约束。</w:t>
      </w:r>
      <w:bookmarkEnd w:id="20"/>
    </w:p>
    <w:p w14:paraId="1A1E5A16">
      <w:pPr>
        <w:ind w:left="420" w:leftChars="200"/>
        <w:rPr>
          <w:rFonts w:ascii="宋体" w:hAnsi="宋体"/>
          <w:b/>
          <w:szCs w:val="21"/>
        </w:rPr>
      </w:pPr>
      <w:r>
        <w:rPr>
          <w:rFonts w:hint="eastAsia" w:ascii="宋体" w:hAnsi="宋体"/>
          <w:b/>
          <w:szCs w:val="21"/>
        </w:rPr>
        <w:t>7</w:t>
      </w:r>
      <w:r>
        <w:rPr>
          <w:rFonts w:ascii="宋体" w:hAnsi="宋体"/>
          <w:b/>
          <w:szCs w:val="21"/>
        </w:rPr>
        <w:t>、如我单位提交样品，且未在规定时间内取回样品的，视同放弃取回，同意</w:t>
      </w:r>
      <w:r>
        <w:rPr>
          <w:rFonts w:hint="eastAsia" w:ascii="宋体" w:hAnsi="宋体"/>
          <w:b/>
          <w:szCs w:val="21"/>
          <w:lang w:eastAsia="zh-CN"/>
        </w:rPr>
        <w:t>深圳市东海国际招标有限公司</w:t>
      </w:r>
      <w:r>
        <w:rPr>
          <w:rFonts w:ascii="宋体" w:hAnsi="宋体"/>
          <w:b/>
          <w:szCs w:val="21"/>
        </w:rPr>
        <w:t>对我单位提交的样品进行清理。</w:t>
      </w:r>
    </w:p>
    <w:p w14:paraId="451F3C26">
      <w:pPr>
        <w:ind w:left="420" w:leftChars="200" w:firstLine="210" w:firstLineChars="100"/>
        <w:rPr>
          <w:szCs w:val="21"/>
        </w:rPr>
      </w:pPr>
    </w:p>
    <w:p w14:paraId="720A2ACF">
      <w:pPr>
        <w:ind w:left="420" w:leftChars="200" w:firstLine="210" w:firstLineChars="100"/>
        <w:rPr>
          <w:szCs w:val="21"/>
        </w:rPr>
      </w:pPr>
      <w:r>
        <w:rPr>
          <w:rFonts w:hint="eastAsia"/>
          <w:szCs w:val="21"/>
        </w:rPr>
        <w:t>投标人：</w:t>
      </w:r>
      <w:r>
        <w:rPr>
          <w:rFonts w:hint="eastAsia"/>
          <w:szCs w:val="21"/>
          <w:u w:val="thick"/>
        </w:rPr>
        <w:t xml:space="preserve">                   </w:t>
      </w:r>
      <w:r>
        <w:rPr>
          <w:rFonts w:hint="eastAsia"/>
          <w:szCs w:val="21"/>
        </w:rPr>
        <w:t xml:space="preserve">  ；  </w:t>
      </w:r>
    </w:p>
    <w:p w14:paraId="3CBD799F">
      <w:pPr>
        <w:ind w:left="420" w:leftChars="200" w:firstLine="210" w:firstLineChars="100"/>
        <w:rPr>
          <w:szCs w:val="21"/>
        </w:rPr>
      </w:pPr>
      <w:r>
        <w:rPr>
          <w:rFonts w:hint="eastAsia"/>
          <w:szCs w:val="21"/>
        </w:rPr>
        <w:t>单位地址：</w:t>
      </w:r>
      <w:r>
        <w:rPr>
          <w:rFonts w:hint="eastAsia"/>
          <w:szCs w:val="21"/>
          <w:u w:val="thick"/>
        </w:rPr>
        <w:t xml:space="preserve">                                            </w:t>
      </w:r>
      <w:r>
        <w:rPr>
          <w:rFonts w:hint="eastAsia"/>
          <w:szCs w:val="21"/>
        </w:rPr>
        <w:t>；</w:t>
      </w:r>
    </w:p>
    <w:p w14:paraId="6737BAAB">
      <w:pPr>
        <w:ind w:left="420" w:leftChars="200" w:firstLine="210" w:firstLineChars="100"/>
        <w:rPr>
          <w:szCs w:val="21"/>
        </w:rPr>
      </w:pPr>
      <w:r>
        <w:rPr>
          <w:rFonts w:hint="eastAsia"/>
          <w:szCs w:val="21"/>
        </w:rPr>
        <w:t>法定代表人（负责人）或其授权委托代理人：</w:t>
      </w:r>
      <w:r>
        <w:rPr>
          <w:rFonts w:hint="eastAsia"/>
          <w:szCs w:val="21"/>
          <w:u w:val="thick"/>
        </w:rPr>
        <w:t xml:space="preserve">                       </w:t>
      </w:r>
      <w:r>
        <w:rPr>
          <w:rFonts w:hint="eastAsia"/>
          <w:szCs w:val="21"/>
        </w:rPr>
        <w:t>；</w:t>
      </w:r>
    </w:p>
    <w:p w14:paraId="05C285DE">
      <w:pPr>
        <w:ind w:left="420" w:leftChars="200" w:firstLine="210" w:firstLineChars="100"/>
        <w:rPr>
          <w:szCs w:val="21"/>
        </w:rPr>
      </w:pPr>
      <w:r>
        <w:rPr>
          <w:rFonts w:hint="eastAsia" w:ascii="Times New Roman" w:eastAsia="宋体"/>
          <w:szCs w:val="21"/>
        </w:rPr>
        <w:t>开户银行名称：</w:t>
      </w:r>
      <w:r>
        <w:rPr>
          <w:rFonts w:hint="eastAsia"/>
          <w:szCs w:val="21"/>
          <w:u w:val="thick"/>
        </w:rPr>
        <w:t xml:space="preserve">                        </w:t>
      </w:r>
      <w:r>
        <w:rPr>
          <w:rFonts w:hint="eastAsia"/>
          <w:szCs w:val="21"/>
        </w:rPr>
        <w:t>；</w:t>
      </w:r>
    </w:p>
    <w:p w14:paraId="63C844E6">
      <w:pPr>
        <w:ind w:left="420" w:leftChars="200" w:firstLine="210" w:firstLineChars="100"/>
        <w:rPr>
          <w:szCs w:val="21"/>
        </w:rPr>
      </w:pPr>
      <w:r>
        <w:rPr>
          <w:rFonts w:hint="eastAsia" w:ascii="Times New Roman" w:eastAsia="宋体"/>
          <w:szCs w:val="21"/>
        </w:rPr>
        <w:t>开户银行账号：</w:t>
      </w:r>
      <w:r>
        <w:rPr>
          <w:rFonts w:hint="eastAsia"/>
          <w:szCs w:val="21"/>
          <w:u w:val="thick"/>
        </w:rPr>
        <w:t xml:space="preserve">                        </w:t>
      </w:r>
      <w:r>
        <w:rPr>
          <w:rFonts w:hint="eastAsia"/>
          <w:szCs w:val="21"/>
        </w:rPr>
        <w:t>；</w:t>
      </w:r>
    </w:p>
    <w:p w14:paraId="5C8935C0">
      <w:pPr>
        <w:ind w:left="420" w:leftChars="200" w:firstLine="210" w:firstLineChars="100"/>
        <w:rPr>
          <w:szCs w:val="21"/>
        </w:rPr>
      </w:pPr>
      <w:r>
        <w:rPr>
          <w:rFonts w:hint="eastAsia"/>
          <w:szCs w:val="21"/>
        </w:rPr>
        <w:t>邮政编码：</w:t>
      </w:r>
      <w:r>
        <w:rPr>
          <w:rFonts w:hint="eastAsia"/>
          <w:szCs w:val="21"/>
          <w:u w:val="thick"/>
        </w:rPr>
        <w:t xml:space="preserve">          </w:t>
      </w:r>
      <w:r>
        <w:rPr>
          <w:rFonts w:hint="eastAsia"/>
          <w:szCs w:val="21"/>
        </w:rPr>
        <w:t xml:space="preserve">  电话：</w:t>
      </w:r>
      <w:r>
        <w:rPr>
          <w:rFonts w:hint="eastAsia"/>
          <w:szCs w:val="21"/>
          <w:u w:val="thick"/>
        </w:rPr>
        <w:t xml:space="preserve">           </w:t>
      </w:r>
      <w:r>
        <w:rPr>
          <w:rFonts w:hint="eastAsia"/>
          <w:szCs w:val="21"/>
        </w:rPr>
        <w:t xml:space="preserve"> 传真：</w:t>
      </w:r>
      <w:r>
        <w:rPr>
          <w:rFonts w:hint="eastAsia"/>
          <w:szCs w:val="21"/>
          <w:u w:val="thick"/>
        </w:rPr>
        <w:t xml:space="preserve">                            </w:t>
      </w:r>
      <w:r>
        <w:rPr>
          <w:rFonts w:hint="eastAsia"/>
          <w:szCs w:val="21"/>
        </w:rPr>
        <w:t xml:space="preserve">；     </w:t>
      </w:r>
    </w:p>
    <w:p w14:paraId="68A9836C">
      <w:pPr>
        <w:ind w:left="420" w:leftChars="200" w:firstLine="210" w:firstLineChars="100"/>
        <w:rPr>
          <w:sz w:val="24"/>
        </w:rPr>
      </w:pPr>
      <w:r>
        <w:rPr>
          <w:rFonts w:hint="eastAsia" w:ascii="宋体" w:hAnsi="宋体"/>
          <w:szCs w:val="21"/>
        </w:rPr>
        <w:t>日期：</w:t>
      </w:r>
      <w:r>
        <w:rPr>
          <w:rFonts w:hint="eastAsia" w:ascii="宋体" w:hAnsi="宋体"/>
          <w:szCs w:val="21"/>
          <w:u w:val="thick"/>
        </w:rPr>
        <w:t xml:space="preserve">       </w:t>
      </w:r>
      <w:r>
        <w:rPr>
          <w:rFonts w:hint="eastAsia" w:ascii="宋体" w:hAnsi="宋体"/>
          <w:szCs w:val="21"/>
        </w:rPr>
        <w:t>年</w:t>
      </w:r>
      <w:r>
        <w:rPr>
          <w:rFonts w:hint="eastAsia" w:ascii="宋体" w:hAnsi="宋体"/>
          <w:szCs w:val="21"/>
          <w:u w:val="thick"/>
        </w:rPr>
        <w:t xml:space="preserve">     </w:t>
      </w:r>
      <w:r>
        <w:rPr>
          <w:rFonts w:hint="eastAsia" w:ascii="宋体" w:hAnsi="宋体"/>
          <w:szCs w:val="21"/>
        </w:rPr>
        <w:t>月</w:t>
      </w:r>
      <w:r>
        <w:rPr>
          <w:rFonts w:hint="eastAsia" w:ascii="宋体" w:hAnsi="宋体"/>
          <w:szCs w:val="21"/>
          <w:u w:val="thick"/>
        </w:rPr>
        <w:t xml:space="preserve">    </w:t>
      </w:r>
      <w:r>
        <w:rPr>
          <w:rFonts w:hint="eastAsia" w:ascii="宋体" w:hAnsi="宋体"/>
          <w:szCs w:val="21"/>
        </w:rPr>
        <w:t>日</w:t>
      </w:r>
      <w:r>
        <w:rPr>
          <w:rFonts w:hint="eastAsia"/>
          <w:sz w:val="24"/>
        </w:rPr>
        <w:t xml:space="preserve">                                </w:t>
      </w:r>
    </w:p>
    <w:p w14:paraId="5DF7525E">
      <w:pPr>
        <w:rPr>
          <w:rFonts w:ascii="黑体" w:hAnsi="宋体" w:eastAsia="黑体"/>
        </w:rPr>
      </w:pPr>
    </w:p>
    <w:p w14:paraId="7A9F02C8">
      <w:pPr>
        <w:rPr>
          <w:rFonts w:ascii="黑体" w:hAnsi="宋体" w:eastAsia="黑体"/>
        </w:rPr>
      </w:pPr>
    </w:p>
    <w:bookmarkEnd w:id="19"/>
    <w:p w14:paraId="0CCA0F35">
      <w:pPr>
        <w:rPr>
          <w:rFonts w:ascii="黑体" w:eastAsia="黑体"/>
          <w:sz w:val="24"/>
        </w:rPr>
      </w:pPr>
      <w:r>
        <w:rPr>
          <w:rFonts w:hint="eastAsia" w:ascii="黑体" w:eastAsia="黑体"/>
          <w:sz w:val="24"/>
        </w:rPr>
        <w:br w:type="page"/>
      </w:r>
    </w:p>
    <w:p w14:paraId="7D036180">
      <w:pPr>
        <w:pStyle w:val="5"/>
        <w:jc w:val="center"/>
        <w:rPr>
          <w:rFonts w:ascii="黑体" w:eastAsia="黑体"/>
          <w:b w:val="0"/>
          <w:sz w:val="24"/>
        </w:rPr>
      </w:pPr>
      <w:r>
        <w:rPr>
          <w:rFonts w:hint="eastAsia" w:ascii="黑体" w:eastAsia="黑体"/>
          <w:b w:val="0"/>
          <w:sz w:val="24"/>
        </w:rPr>
        <w:t>二、政府采购投标及履约承诺函</w:t>
      </w:r>
    </w:p>
    <w:p w14:paraId="3F69B9AF">
      <w:pPr>
        <w:rPr>
          <w:rFonts w:hint="eastAsia" w:ascii="宋体" w:hAnsi="宋体" w:eastAsiaTheme="minorEastAsia"/>
          <w:color w:val="FF0000"/>
          <w:szCs w:val="21"/>
          <w:lang w:eastAsia="zh-CN"/>
        </w:rPr>
      </w:pPr>
      <w:bookmarkStart w:id="23" w:name="_Hlk72257530"/>
      <w:r>
        <w:rPr>
          <w:rFonts w:hint="eastAsia" w:ascii="宋体" w:hAnsi="宋体"/>
          <w:color w:val="FF0000"/>
          <w:szCs w:val="21"/>
        </w:rPr>
        <w:t>致：</w:t>
      </w:r>
      <w:r>
        <w:rPr>
          <w:rFonts w:hint="eastAsia" w:ascii="宋体" w:hAnsi="宋体"/>
          <w:color w:val="FF0000"/>
          <w:szCs w:val="21"/>
          <w:u w:val="single"/>
          <w:lang w:eastAsia="zh-CN"/>
        </w:rPr>
        <w:t>深圳市东海国际招标有限公司</w:t>
      </w:r>
    </w:p>
    <w:p w14:paraId="6AFAE040">
      <w:pPr>
        <w:ind w:right="-815" w:firstLine="420" w:firstLineChars="200"/>
        <w:rPr>
          <w:rFonts w:ascii="宋体" w:hAnsi="宋体"/>
          <w:szCs w:val="21"/>
        </w:rPr>
      </w:pPr>
      <w:r>
        <w:rPr>
          <w:rFonts w:hint="eastAsia" w:ascii="宋体" w:hAnsi="宋体"/>
          <w:szCs w:val="21"/>
        </w:rPr>
        <w:t>我单位承诺：</w:t>
      </w:r>
    </w:p>
    <w:p w14:paraId="59A5B791">
      <w:pPr>
        <w:ind w:firstLine="420" w:firstLineChars="200"/>
        <w:rPr>
          <w:rFonts w:ascii="宋体" w:hAnsi="宋体"/>
          <w:b/>
          <w:szCs w:val="21"/>
        </w:rPr>
      </w:pPr>
      <w:r>
        <w:rPr>
          <w:rFonts w:hint="eastAsia" w:ascii="宋体" w:hAnsi="宋体"/>
          <w:bCs/>
          <w:szCs w:val="21"/>
        </w:rPr>
        <w:t>1.我单位参与本项目所投标（响应）的货物、工程或服务，不存在侵犯知识产权的情况。</w:t>
      </w:r>
    </w:p>
    <w:p w14:paraId="6B78A150">
      <w:pPr>
        <w:ind w:firstLine="420" w:firstLineChars="200"/>
        <w:rPr>
          <w:rFonts w:ascii="宋体" w:hAnsi="宋体"/>
          <w:szCs w:val="21"/>
        </w:rPr>
      </w:pPr>
      <w:r>
        <w:rPr>
          <w:rFonts w:hint="eastAsia" w:ascii="宋体" w:hAnsi="宋体"/>
          <w:szCs w:val="21"/>
        </w:rPr>
        <w:t>2.我单位参与本项目</w:t>
      </w:r>
      <w:r>
        <w:rPr>
          <w:rFonts w:hint="eastAsia"/>
        </w:rPr>
        <w:t>政府采购活动时不存在被有关部门禁止参与政府采购活动且在有效期内的情况。</w:t>
      </w:r>
    </w:p>
    <w:p w14:paraId="7FE22409">
      <w:pPr>
        <w:ind w:firstLine="420" w:firstLineChars="200"/>
        <w:rPr>
          <w:rFonts w:ascii="宋体" w:hAnsi="宋体"/>
          <w:szCs w:val="21"/>
        </w:rPr>
      </w:pPr>
      <w:r>
        <w:rPr>
          <w:rFonts w:hint="eastAsia" w:ascii="宋体" w:hAnsi="宋体"/>
          <w:szCs w:val="21"/>
        </w:rPr>
        <w:t>3.我单位具备《中华人民共和国政府采购法》第二十二条第一款规定的六项条件。</w:t>
      </w:r>
    </w:p>
    <w:p w14:paraId="5CF1333B">
      <w:pPr>
        <w:ind w:firstLine="420" w:firstLineChars="200"/>
        <w:rPr>
          <w:rFonts w:eastAsia="宋体"/>
        </w:rPr>
      </w:pPr>
      <w:r>
        <w:rPr>
          <w:rFonts w:hint="eastAsia" w:ascii="宋体" w:hAnsi="宋体"/>
          <w:szCs w:val="21"/>
        </w:rPr>
        <w:t>4.我单位</w:t>
      </w:r>
      <w:r>
        <w:rPr>
          <w:rFonts w:hint="eastAsia"/>
        </w:rPr>
        <w:t xml:space="preserve">未被列入失信被执行人、重大税收违法案件当事人名单、政府采购严重违法失信行为记录名单。 </w:t>
      </w:r>
    </w:p>
    <w:p w14:paraId="317D2995">
      <w:pPr>
        <w:ind w:firstLine="420" w:firstLineChars="200"/>
        <w:rPr>
          <w:rFonts w:eastAsia="宋体"/>
          <w:color w:val="FF0000"/>
        </w:rPr>
      </w:pPr>
      <w:r>
        <w:rPr>
          <w:rFonts w:hint="eastAsia"/>
          <w:color w:val="FF0000"/>
        </w:rPr>
        <w:t>5.我单位不存在《深圳市财政局政府采购供应商信用信息管理办法》（深财规〔2023〕3号）列明的严重违法失信行为。</w:t>
      </w:r>
    </w:p>
    <w:p w14:paraId="6CD52A64">
      <w:pPr>
        <w:ind w:firstLine="420" w:firstLineChars="200"/>
        <w:rPr>
          <w:rFonts w:ascii="宋体" w:hAnsi="宋体"/>
          <w:szCs w:val="21"/>
        </w:rPr>
      </w:pPr>
      <w:r>
        <w:rPr>
          <w:rFonts w:hint="eastAsia" w:ascii="宋体" w:hAnsi="宋体"/>
          <w:szCs w:val="21"/>
        </w:rPr>
        <w:t>6.</w:t>
      </w:r>
      <w:bookmarkStart w:id="24" w:name="_Hlk72587269"/>
      <w:bookmarkStart w:id="25" w:name="_Hlk72587299"/>
      <w:r>
        <w:rPr>
          <w:rFonts w:hint="eastAsia" w:ascii="宋体" w:hAnsi="宋体"/>
          <w:szCs w:val="21"/>
        </w:rPr>
        <w:t>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bookmarkEnd w:id="24"/>
      <w:r>
        <w:rPr>
          <w:rFonts w:hint="eastAsia" w:ascii="宋体" w:hAnsi="宋体"/>
          <w:szCs w:val="21"/>
        </w:rPr>
        <w:t>。</w:t>
      </w:r>
    </w:p>
    <w:bookmarkEnd w:id="25"/>
    <w:p w14:paraId="5FC46C50">
      <w:pPr>
        <w:ind w:firstLine="420" w:firstLineChars="200"/>
        <w:rPr>
          <w:rFonts w:ascii="宋体" w:hAnsi="宋体"/>
          <w:szCs w:val="21"/>
        </w:rPr>
      </w:pPr>
      <w:r>
        <w:rPr>
          <w:rFonts w:hint="eastAsia" w:ascii="宋体" w:hAnsi="宋体"/>
          <w:szCs w:val="21"/>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14:paraId="255465A5">
      <w:pPr>
        <w:ind w:firstLine="420" w:firstLineChars="200"/>
        <w:rPr>
          <w:rFonts w:ascii="宋体" w:hAnsi="宋体"/>
          <w:szCs w:val="21"/>
        </w:rPr>
      </w:pPr>
      <w:r>
        <w:rPr>
          <w:rFonts w:hint="eastAsia" w:ascii="宋体" w:hAnsi="宋体"/>
          <w:szCs w:val="21"/>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22CC40A9">
      <w:pPr>
        <w:ind w:firstLine="420" w:firstLineChars="200"/>
        <w:rPr>
          <w:rFonts w:ascii="宋体" w:hAnsi="宋体"/>
          <w:szCs w:val="21"/>
        </w:rPr>
      </w:pPr>
      <w:r>
        <w:rPr>
          <w:rFonts w:hint="eastAsia" w:ascii="宋体" w:hAnsi="宋体"/>
          <w:szCs w:val="21"/>
        </w:rPr>
        <w:t>8.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435C7367">
      <w:pPr>
        <w:ind w:firstLine="420" w:firstLineChars="200"/>
        <w:rPr>
          <w:rFonts w:ascii="宋体" w:hAnsi="宋体"/>
          <w:szCs w:val="21"/>
        </w:rPr>
      </w:pPr>
      <w:r>
        <w:rPr>
          <w:rFonts w:hint="eastAsia" w:ascii="宋体" w:hAnsi="宋体"/>
          <w:szCs w:val="21"/>
        </w:rPr>
        <w:t>9.我单位承诺中标后项目不转包，未经采购人同意不进行分包。</w:t>
      </w:r>
    </w:p>
    <w:p w14:paraId="1F0FBBC8">
      <w:pPr>
        <w:ind w:firstLine="420" w:firstLineChars="200"/>
        <w:rPr>
          <w:rFonts w:ascii="宋体" w:hAnsi="宋体"/>
        </w:rPr>
      </w:pPr>
      <w:r>
        <w:rPr>
          <w:rFonts w:hint="eastAsia" w:ascii="宋体" w:hAnsi="宋体"/>
          <w:szCs w:val="21"/>
        </w:rPr>
        <w:t>10</w:t>
      </w:r>
      <w:r>
        <w:rPr>
          <w:rFonts w:ascii="宋体" w:hAnsi="宋体"/>
          <w:szCs w:val="21"/>
        </w:rPr>
        <w:t>.</w:t>
      </w:r>
      <w:r>
        <w:rPr>
          <w:rFonts w:hint="eastAsia" w:ascii="宋体" w:hAnsi="宋体"/>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14:paraId="18239692">
      <w:pPr>
        <w:ind w:firstLine="420" w:firstLineChars="200"/>
        <w:rPr>
          <w:rFonts w:ascii="宋体" w:hAnsi="宋体" w:eastAsia="宋体"/>
        </w:rPr>
      </w:pPr>
      <w:r>
        <w:rPr>
          <w:rFonts w:hint="eastAsia" w:ascii="宋体" w:hAnsi="宋体"/>
        </w:rPr>
        <w:t>11</w:t>
      </w:r>
      <w:r>
        <w:rPr>
          <w:rFonts w:ascii="宋体" w:hAnsi="宋体"/>
        </w:rPr>
        <w:t>.</w:t>
      </w:r>
      <w:r>
        <w:rPr>
          <w:rFonts w:hint="eastAsia" w:ascii="宋体" w:hAnsi="宋体"/>
        </w:rPr>
        <w:t>我单位保证，若所投货物涉及</w:t>
      </w:r>
      <w:r>
        <w:rPr>
          <w:rFonts w:ascii="宋体" w:hAnsi="宋体"/>
        </w:rPr>
        <w:t>《</w:t>
      </w:r>
      <w:r>
        <w:rPr>
          <w:rFonts w:hint="eastAsia" w:ascii="宋体" w:hAnsi="宋体"/>
        </w:rPr>
        <w:t>财政部生态环境部关于印发节能产品政府采购品目清单的通知》（财库〔20</w:t>
      </w:r>
      <w:r>
        <w:rPr>
          <w:rFonts w:ascii="宋体" w:hAnsi="宋体"/>
        </w:rPr>
        <w:t>19</w:t>
      </w:r>
      <w:r>
        <w:rPr>
          <w:rFonts w:hint="eastAsia" w:ascii="宋体" w:hAnsi="宋体"/>
        </w:rPr>
        <w:t>〕</w:t>
      </w:r>
      <w:r>
        <w:rPr>
          <w:rFonts w:ascii="宋体" w:hAnsi="宋体"/>
        </w:rPr>
        <w:t>19</w:t>
      </w:r>
      <w:r>
        <w:rPr>
          <w:rFonts w:hint="eastAsia" w:ascii="宋体" w:hAnsi="宋体"/>
        </w:rPr>
        <w:t>号）列明的政府采购强制产品，则所投该产品符合节能产品的认证要求。若所投产品包括数据中心相关设备的，应满足</w:t>
      </w:r>
      <w:r>
        <w:rPr>
          <w:rFonts w:hint="eastAsia"/>
        </w:rPr>
        <w:t>《财政部 生态环境部 工业和信息化部关于印发&lt;绿色数据中心政府采购需求标准（试行）&gt;的通知》（财库〔2023〕7号）要求。若所投产品涉及国家强制性标准的，所投产品应符合国家强制性标准相关要求。</w:t>
      </w:r>
    </w:p>
    <w:p w14:paraId="402C1B38">
      <w:pPr>
        <w:ind w:firstLine="420" w:firstLineChars="200"/>
        <w:rPr>
          <w:rFonts w:ascii="宋体" w:hAnsi="宋体"/>
          <w:bCs/>
        </w:rPr>
      </w:pPr>
      <w:r>
        <w:rPr>
          <w:rFonts w:hint="eastAsia" w:ascii="宋体" w:hAnsi="宋体" w:cs="宋体"/>
          <w:bCs/>
          <w:kern w:val="0"/>
          <w:szCs w:val="21"/>
        </w:rPr>
        <w:t>12.</w:t>
      </w:r>
      <w:r>
        <w:rPr>
          <w:rFonts w:hint="eastAsia" w:ascii="宋体" w:hAnsi="宋体"/>
          <w:bCs/>
        </w:rPr>
        <w:t>我单位已知悉并同意中标（成交）结果信息公示（公开）的内容。</w:t>
      </w:r>
    </w:p>
    <w:p w14:paraId="73AF7BF2">
      <w:pPr>
        <w:ind w:firstLine="420" w:firstLineChars="200"/>
        <w:rPr>
          <w:rFonts w:ascii="宋体" w:hAnsi="宋体" w:eastAsia="宋体" w:cs="宋体"/>
          <w:b/>
          <w:color w:val="FF0000"/>
          <w:kern w:val="0"/>
          <w:szCs w:val="21"/>
        </w:rPr>
      </w:pPr>
      <w:r>
        <w:rPr>
          <w:rFonts w:hint="eastAsia" w:ascii="宋体" w:hAnsi="宋体"/>
          <w:bCs/>
        </w:rPr>
        <w:t>13</w:t>
      </w:r>
      <w:r>
        <w:rPr>
          <w:rFonts w:ascii="宋体" w:hAnsi="宋体"/>
          <w:bCs/>
        </w:rPr>
        <w:t>.我单位保证，符合《中华人民共和国政府采购法实施条例》第十八条规定，与其他投标供应商不存在单位负责人为同一人或者存在直接控股、管理关系；未对本次采购项目提供整体设计、规范编制或者项目管理、监理、检测等服务的情形。</w:t>
      </w:r>
      <w:r>
        <w:rPr>
          <w:rFonts w:hint="eastAsia" w:ascii="宋体" w:hAnsi="宋体"/>
          <w:bCs/>
          <w:color w:val="FF0000"/>
        </w:rPr>
        <w:t>若存在“不同供应商的董事、股东或其他高级管理人员为同一人的”情形的，我单位保证不存在串通投标、恶意串通或者视为串通投标的情形。</w:t>
      </w:r>
    </w:p>
    <w:p w14:paraId="03E1A374">
      <w:pPr>
        <w:ind w:firstLine="422" w:firstLineChars="200"/>
        <w:rPr>
          <w:rFonts w:ascii="宋体" w:hAnsi="宋体"/>
          <w:b/>
          <w:szCs w:val="21"/>
        </w:rPr>
      </w:pPr>
      <w:r>
        <w:rPr>
          <w:rFonts w:hint="eastAsia" w:ascii="宋体" w:hAnsi="宋体"/>
          <w:b/>
        </w:rPr>
        <w:t>14.我单位清楚，如存在违反投标承诺行为情节严重的，将根据《深圳市财政局关于印发&lt;深圳市财政局政府采购供应商信用信息管理办法&gt;的通知》，依法被列入失信信息。</w:t>
      </w:r>
    </w:p>
    <w:p w14:paraId="261EEE7F">
      <w:pPr>
        <w:ind w:firstLine="420" w:firstLineChars="200"/>
        <w:rPr>
          <w:rFonts w:ascii="宋体" w:hAnsi="宋体"/>
        </w:rPr>
      </w:pPr>
    </w:p>
    <w:p w14:paraId="63131D22">
      <w:pPr>
        <w:ind w:firstLine="420" w:firstLineChars="200"/>
        <w:rPr>
          <w:rFonts w:ascii="宋体" w:hAnsi="宋体"/>
          <w:szCs w:val="21"/>
        </w:rPr>
      </w:pPr>
      <w:r>
        <w:rPr>
          <w:rFonts w:hint="eastAsia" w:ascii="宋体" w:hAnsi="宋体"/>
          <w:szCs w:val="21"/>
        </w:rPr>
        <w:t>以上承诺，如有违反，愿依照国家相关法律法规处理，并承担由此给采购人带来的损失。</w:t>
      </w:r>
    </w:p>
    <w:p w14:paraId="5094BF6B">
      <w:pPr>
        <w:spacing w:before="78" w:beforeLines="25" w:after="78" w:afterLines="25"/>
        <w:ind w:firstLine="5460" w:firstLineChars="2600"/>
        <w:rPr>
          <w:rFonts w:ascii="宋体" w:hAnsi="宋体"/>
          <w:szCs w:val="21"/>
        </w:rPr>
      </w:pPr>
      <w:r>
        <w:rPr>
          <w:rFonts w:hint="eastAsia" w:ascii="宋体" w:hAnsi="宋体"/>
          <w:szCs w:val="21"/>
        </w:rPr>
        <w:t xml:space="preserve">                                    </w:t>
      </w:r>
    </w:p>
    <w:bookmarkEnd w:id="23"/>
    <w:p w14:paraId="7BDDD626">
      <w:pPr>
        <w:spacing w:before="78" w:beforeLines="25" w:after="78" w:afterLines="25"/>
        <w:jc w:val="right"/>
        <w:rPr>
          <w:rFonts w:eastAsia="宋体"/>
          <w:color w:val="FF0000"/>
        </w:rPr>
      </w:pPr>
      <w:r>
        <w:rPr>
          <w:rFonts w:hint="eastAsia"/>
          <w:color w:val="FF0000"/>
          <w:szCs w:val="21"/>
        </w:rPr>
        <w:t>投标人：</w:t>
      </w:r>
      <w:r>
        <w:rPr>
          <w:rFonts w:hint="eastAsia"/>
          <w:color w:val="FF0000"/>
          <w:szCs w:val="21"/>
          <w:u w:val="thick"/>
        </w:rPr>
        <w:t xml:space="preserve">                           </w:t>
      </w:r>
      <w:r>
        <w:rPr>
          <w:rFonts w:hint="eastAsia"/>
          <w:color w:val="FF0000"/>
          <w:szCs w:val="21"/>
        </w:rPr>
        <w:t>.</w:t>
      </w:r>
    </w:p>
    <w:p w14:paraId="65F1A838">
      <w:pPr>
        <w:jc w:val="right"/>
        <w:rPr>
          <w:rFonts w:ascii="宋体" w:hAnsi="宋体"/>
          <w:color w:val="FF0000"/>
          <w:szCs w:val="21"/>
        </w:rPr>
      </w:pPr>
      <w:r>
        <w:rPr>
          <w:rFonts w:hint="eastAsia" w:ascii="宋体" w:hAnsi="宋体"/>
          <w:color w:val="FF0000"/>
          <w:szCs w:val="21"/>
        </w:rPr>
        <w:t>日期：</w:t>
      </w:r>
      <w:r>
        <w:rPr>
          <w:rFonts w:hint="eastAsia"/>
          <w:color w:val="FF0000"/>
          <w:szCs w:val="21"/>
          <w:u w:val="thick"/>
        </w:rPr>
        <w:t xml:space="preserve">        </w:t>
      </w:r>
      <w:r>
        <w:rPr>
          <w:rFonts w:hint="eastAsia" w:ascii="宋体" w:hAnsi="宋体"/>
          <w:color w:val="FF0000"/>
          <w:szCs w:val="21"/>
        </w:rPr>
        <w:t>年</w:t>
      </w:r>
      <w:r>
        <w:rPr>
          <w:rFonts w:hint="eastAsia"/>
          <w:color w:val="FF0000"/>
          <w:szCs w:val="21"/>
          <w:u w:val="thick"/>
        </w:rPr>
        <w:t xml:space="preserve">       </w:t>
      </w:r>
      <w:r>
        <w:rPr>
          <w:rFonts w:hint="eastAsia" w:ascii="宋体" w:hAnsi="宋体"/>
          <w:color w:val="FF0000"/>
          <w:szCs w:val="21"/>
        </w:rPr>
        <w:t>月</w:t>
      </w:r>
      <w:r>
        <w:rPr>
          <w:rFonts w:hint="eastAsia"/>
          <w:color w:val="FF0000"/>
          <w:szCs w:val="21"/>
          <w:u w:val="thick"/>
        </w:rPr>
        <w:t xml:space="preserve">       </w:t>
      </w:r>
      <w:r>
        <w:rPr>
          <w:rFonts w:hint="eastAsia" w:ascii="宋体" w:hAnsi="宋体"/>
          <w:color w:val="FF0000"/>
          <w:szCs w:val="21"/>
        </w:rPr>
        <w:t>日</w:t>
      </w:r>
    </w:p>
    <w:p w14:paraId="764F0B5B">
      <w:pPr>
        <w:ind w:firstLine="645"/>
        <w:rPr>
          <w:rFonts w:ascii="宋体" w:hAnsi="宋体"/>
          <w:szCs w:val="21"/>
        </w:rPr>
      </w:pPr>
    </w:p>
    <w:p w14:paraId="7568711E">
      <w:pPr>
        <w:rPr>
          <w:rFonts w:ascii="宋体"/>
          <w:b/>
          <w:szCs w:val="21"/>
        </w:rPr>
      </w:pPr>
    </w:p>
    <w:p w14:paraId="6BBAD9B2">
      <w:pPr>
        <w:ind w:firstLine="482" w:firstLineChars="200"/>
        <w:jc w:val="center"/>
        <w:rPr>
          <w:rFonts w:hAnsi="宋体"/>
          <w:b/>
          <w:bCs/>
          <w:sz w:val="24"/>
        </w:rPr>
      </w:pPr>
    </w:p>
    <w:p w14:paraId="5E738628">
      <w:pPr>
        <w:rPr>
          <w:rFonts w:ascii="黑体" w:eastAsia="黑体"/>
          <w:sz w:val="24"/>
          <w:szCs w:val="24"/>
        </w:rPr>
      </w:pPr>
      <w:r>
        <w:rPr>
          <w:rFonts w:hint="eastAsia" w:ascii="黑体" w:eastAsia="黑体"/>
          <w:sz w:val="24"/>
          <w:szCs w:val="24"/>
        </w:rPr>
        <w:br w:type="page"/>
      </w:r>
    </w:p>
    <w:p w14:paraId="285A49FC">
      <w:pPr>
        <w:pStyle w:val="5"/>
        <w:jc w:val="center"/>
        <w:rPr>
          <w:rFonts w:ascii="黑体" w:eastAsia="黑体"/>
          <w:b w:val="0"/>
          <w:sz w:val="24"/>
          <w:szCs w:val="24"/>
        </w:rPr>
      </w:pPr>
      <w:r>
        <w:rPr>
          <w:rFonts w:hint="eastAsia" w:ascii="黑体" w:eastAsia="黑体"/>
          <w:b w:val="0"/>
          <w:sz w:val="24"/>
          <w:szCs w:val="24"/>
        </w:rPr>
        <w:t>三、投标人情况及资格证明文件</w:t>
      </w:r>
    </w:p>
    <w:p w14:paraId="12E7AA3A">
      <w:pPr>
        <w:rPr>
          <w:b/>
          <w:bCs/>
          <w:sz w:val="24"/>
        </w:rPr>
      </w:pPr>
    </w:p>
    <w:p w14:paraId="29BB4FD3">
      <w:pPr>
        <w:ind w:firstLine="2640" w:firstLineChars="1100"/>
        <w:rPr>
          <w:rFonts w:ascii="黑体" w:hAnsi="宋体" w:eastAsia="黑体"/>
          <w:bCs/>
          <w:kern w:val="0"/>
          <w:sz w:val="24"/>
          <w:szCs w:val="32"/>
        </w:rPr>
      </w:pPr>
      <w:bookmarkStart w:id="26" w:name="_Hlk72257590"/>
      <w:r>
        <w:rPr>
          <w:rFonts w:hint="eastAsia" w:ascii="黑体" w:hAnsi="宋体" w:eastAsia="黑体"/>
          <w:bCs/>
          <w:kern w:val="0"/>
          <w:sz w:val="24"/>
          <w:szCs w:val="32"/>
        </w:rPr>
        <w:t>（一）投标人资格证明文件</w:t>
      </w:r>
    </w:p>
    <w:p w14:paraId="49339C92">
      <w:pPr>
        <w:spacing w:before="156" w:beforeLines="50"/>
        <w:ind w:firstLine="422" w:firstLineChars="200"/>
        <w:rPr>
          <w:b/>
          <w:bCs/>
          <w:color w:val="FF0000"/>
        </w:rPr>
      </w:pPr>
      <w:r>
        <w:rPr>
          <w:rFonts w:hint="eastAsia"/>
          <w:b/>
          <w:bCs/>
          <w:color w:val="FF0000"/>
        </w:rPr>
        <w:t>（特别提示：投标人须按本招标文件第一册第一章招标公告 “申请人的资格要求”（即投标人资格要求）提供相关的资格证明资料，未提供或提供不完整、不符合要求的，将作投标无效处理，其中要求提供《政府采购投标及履约承诺函》且已在“二、政府采购投标及履约承诺函”章节中提供了，此处可不重复提供。）</w:t>
      </w:r>
    </w:p>
    <w:p w14:paraId="02D5DC60">
      <w:pPr>
        <w:rPr>
          <w:b/>
          <w:bCs/>
          <w:sz w:val="24"/>
        </w:rPr>
      </w:pPr>
    </w:p>
    <w:p w14:paraId="65437036">
      <w:pPr>
        <w:ind w:firstLine="480" w:firstLineChars="200"/>
        <w:rPr>
          <w:rFonts w:ascii="黑体" w:hAnsi="宋体" w:eastAsia="黑体"/>
          <w:bCs/>
          <w:kern w:val="0"/>
          <w:sz w:val="24"/>
          <w:szCs w:val="32"/>
        </w:rPr>
      </w:pPr>
      <w:bookmarkStart w:id="27" w:name="_Hlk72257908"/>
      <w:r>
        <w:rPr>
          <w:rFonts w:hint="eastAsia" w:ascii="黑体" w:hAnsi="宋体" w:eastAsia="黑体"/>
          <w:bCs/>
          <w:kern w:val="0"/>
          <w:sz w:val="24"/>
          <w:szCs w:val="32"/>
        </w:rPr>
        <w:t>（二）中小企业声明函、残疾人福利性单位声明函及监狱企业声明函</w:t>
      </w:r>
    </w:p>
    <w:bookmarkEnd w:id="26"/>
    <w:p w14:paraId="646A5198">
      <w:pPr>
        <w:jc w:val="left"/>
        <w:rPr>
          <w:rFonts w:ascii="黑体" w:hAnsi="宋体" w:eastAsia="黑体"/>
          <w:bCs/>
          <w:kern w:val="0"/>
          <w:sz w:val="24"/>
          <w:szCs w:val="32"/>
        </w:rPr>
      </w:pPr>
    </w:p>
    <w:p w14:paraId="1C66AAC1">
      <w:pPr>
        <w:ind w:firstLine="420" w:firstLineChars="200"/>
        <w:rPr>
          <w:rFonts w:ascii="黑体" w:hAnsi="宋体" w:eastAsia="黑体"/>
          <w:bCs/>
          <w:color w:val="FF0000"/>
          <w:kern w:val="0"/>
          <w:szCs w:val="21"/>
        </w:rPr>
      </w:pPr>
      <w:r>
        <w:rPr>
          <w:rFonts w:hint="eastAsia" w:ascii="黑体" w:hAnsi="宋体" w:eastAsia="黑体"/>
          <w:bCs/>
          <w:color w:val="FF0000"/>
          <w:kern w:val="0"/>
          <w:szCs w:val="21"/>
        </w:rPr>
        <w:t>填写指引：</w:t>
      </w:r>
    </w:p>
    <w:p w14:paraId="5D000A1A">
      <w:pPr>
        <w:ind w:firstLine="420" w:firstLineChars="200"/>
        <w:rPr>
          <w:rFonts w:ascii="黑体" w:hAnsi="黑体" w:eastAsia="黑体"/>
          <w:color w:val="FF0000"/>
          <w:szCs w:val="21"/>
        </w:rPr>
      </w:pPr>
      <w:r>
        <w:rPr>
          <w:rFonts w:hint="eastAsia" w:ascii="黑体" w:hAnsi="宋体" w:eastAsia="黑体"/>
          <w:bCs/>
          <w:color w:val="FF0000"/>
          <w:kern w:val="0"/>
          <w:szCs w:val="21"/>
        </w:rPr>
        <w:t>1、该部分内容由投标人根据自身实际情况填写，不符合要求的投标人可以不填写或直接删除相应的声明函。</w:t>
      </w:r>
      <w:r>
        <w:rPr>
          <w:rFonts w:hint="eastAsia" w:ascii="黑体" w:hAnsi="黑体" w:eastAsia="黑体"/>
          <w:color w:val="FF0000"/>
          <w:szCs w:val="21"/>
        </w:rPr>
        <w:t>投标人提供的声明函不属实的，属于提供虚假资料谋取中标，依照《中华人民共和国政府采购法》等国家有关规定追究相应责任。</w:t>
      </w:r>
    </w:p>
    <w:p w14:paraId="6B3232AC">
      <w:pPr>
        <w:ind w:firstLine="420" w:firstLineChars="200"/>
        <w:rPr>
          <w:rFonts w:ascii="黑体" w:hAnsi="黑体" w:eastAsia="黑体"/>
          <w:color w:val="FF0000"/>
          <w:szCs w:val="21"/>
        </w:rPr>
      </w:pPr>
      <w:r>
        <w:rPr>
          <w:rFonts w:hint="eastAsia" w:ascii="黑体" w:hAnsi="黑体" w:eastAsia="黑体"/>
          <w:color w:val="FF0000"/>
          <w:szCs w:val="21"/>
        </w:rPr>
        <w:t>2、该部分内容填写需要参考的相关文件：</w:t>
      </w:r>
    </w:p>
    <w:p w14:paraId="6DE443BE">
      <w:pPr>
        <w:ind w:firstLine="420" w:firstLineChars="200"/>
        <w:rPr>
          <w:rFonts w:ascii="黑体" w:hAnsi="黑体" w:eastAsia="黑体"/>
          <w:color w:val="FF0000"/>
          <w:szCs w:val="21"/>
        </w:rPr>
      </w:pPr>
      <w:r>
        <w:rPr>
          <w:rFonts w:hint="eastAsia" w:ascii="黑体" w:hAnsi="黑体" w:eastAsia="黑体"/>
          <w:color w:val="FF0000"/>
          <w:szCs w:val="21"/>
        </w:rPr>
        <w:t>(</w:t>
      </w:r>
      <w:r>
        <w:rPr>
          <w:rFonts w:ascii="黑体" w:hAnsi="黑体" w:eastAsia="黑体"/>
          <w:color w:val="FF0000"/>
          <w:szCs w:val="21"/>
        </w:rPr>
        <w:t>1</w:t>
      </w:r>
      <w:r>
        <w:rPr>
          <w:rFonts w:hint="eastAsia" w:ascii="黑体" w:hAnsi="黑体" w:eastAsia="黑体"/>
          <w:color w:val="FF0000"/>
          <w:szCs w:val="21"/>
        </w:rPr>
        <w:t>)财政部《政府采购促进中小企业发展管理办法》（财库〔2020〕46号）；</w:t>
      </w:r>
    </w:p>
    <w:p w14:paraId="5EE6233D">
      <w:pPr>
        <w:ind w:firstLine="420" w:firstLineChars="200"/>
        <w:rPr>
          <w:rFonts w:ascii="黑体" w:hAnsi="黑体" w:eastAsia="黑体"/>
          <w:color w:val="FF0000"/>
          <w:szCs w:val="21"/>
        </w:rPr>
      </w:pPr>
      <w:r>
        <w:rPr>
          <w:rFonts w:hint="eastAsia" w:ascii="黑体" w:hAnsi="黑体" w:eastAsia="黑体"/>
          <w:color w:val="FF0000"/>
          <w:szCs w:val="21"/>
        </w:rPr>
        <w:t>(</w:t>
      </w:r>
      <w:r>
        <w:rPr>
          <w:rFonts w:ascii="黑体" w:hAnsi="黑体" w:eastAsia="黑体"/>
          <w:color w:val="FF0000"/>
          <w:szCs w:val="21"/>
        </w:rPr>
        <w:t>2</w:t>
      </w:r>
      <w:r>
        <w:rPr>
          <w:rFonts w:hint="eastAsia" w:ascii="黑体" w:hAnsi="黑体" w:eastAsia="黑体"/>
          <w:color w:val="FF0000"/>
          <w:szCs w:val="21"/>
        </w:rPr>
        <w:t>)《工业和信息化部、国家统计局、国家发展和改革委员会、财政部关于印发中小企业划型标准规定的通知》（工信部联企业〔2011〕300 号，以下简称3</w:t>
      </w:r>
      <w:r>
        <w:rPr>
          <w:rFonts w:ascii="黑体" w:hAnsi="黑体" w:eastAsia="黑体"/>
          <w:color w:val="FF0000"/>
          <w:szCs w:val="21"/>
        </w:rPr>
        <w:t>00</w:t>
      </w:r>
      <w:r>
        <w:rPr>
          <w:rFonts w:hint="eastAsia" w:ascii="黑体" w:hAnsi="黑体" w:eastAsia="黑体"/>
          <w:color w:val="FF0000"/>
          <w:szCs w:val="21"/>
        </w:rPr>
        <w:t>号文）；</w:t>
      </w:r>
    </w:p>
    <w:p w14:paraId="61C4BD4D">
      <w:pPr>
        <w:ind w:firstLine="420" w:firstLineChars="200"/>
        <w:rPr>
          <w:rFonts w:ascii="黑体" w:hAnsi="黑体" w:eastAsia="黑体"/>
          <w:color w:val="FF0000"/>
          <w:szCs w:val="21"/>
        </w:rPr>
      </w:pPr>
      <w:r>
        <w:rPr>
          <w:rFonts w:hint="eastAsia" w:ascii="黑体" w:hAnsi="黑体" w:eastAsia="黑体"/>
          <w:color w:val="FF0000"/>
          <w:szCs w:val="21"/>
        </w:rPr>
        <w:t>(3)《统计上大中小微型企业划分办法(2017)》（国统字〔2017〕213 号）；</w:t>
      </w:r>
    </w:p>
    <w:p w14:paraId="226284BC">
      <w:pPr>
        <w:ind w:firstLine="420" w:firstLineChars="200"/>
        <w:rPr>
          <w:rFonts w:ascii="黑体" w:hAnsi="黑体" w:eastAsia="黑体"/>
          <w:color w:val="FF0000"/>
          <w:szCs w:val="21"/>
        </w:rPr>
      </w:pPr>
      <w:r>
        <w:rPr>
          <w:rFonts w:hint="eastAsia" w:ascii="黑体" w:hAnsi="黑体" w:eastAsia="黑体"/>
          <w:color w:val="FF0000"/>
          <w:szCs w:val="21"/>
        </w:rPr>
        <w:t>(4)《关于促进残疾人就业政府采购政策的通知》（财库〔2017〕141号）；</w:t>
      </w:r>
    </w:p>
    <w:p w14:paraId="6EA0CEF5">
      <w:pPr>
        <w:ind w:firstLine="420" w:firstLineChars="200"/>
        <w:rPr>
          <w:rFonts w:ascii="黑体" w:hAnsi="黑体" w:eastAsia="黑体"/>
          <w:color w:val="FF0000"/>
          <w:szCs w:val="21"/>
        </w:rPr>
      </w:pPr>
      <w:r>
        <w:rPr>
          <w:rFonts w:hint="eastAsia" w:ascii="黑体" w:hAnsi="黑体" w:eastAsia="黑体"/>
          <w:color w:val="FF0000"/>
          <w:szCs w:val="21"/>
        </w:rPr>
        <w:t>(5)《关于政府采购支持监狱企业发展有关问题的通知》（财库〔2014〕68号）</w:t>
      </w:r>
    </w:p>
    <w:p w14:paraId="774580F5">
      <w:pPr>
        <w:ind w:firstLine="420" w:firstLineChars="200"/>
        <w:rPr>
          <w:rFonts w:ascii="黑体" w:hAnsi="宋体" w:eastAsia="黑体"/>
          <w:bCs/>
          <w:color w:val="FF0000"/>
          <w:kern w:val="0"/>
          <w:szCs w:val="21"/>
        </w:rPr>
      </w:pPr>
      <w:r>
        <w:rPr>
          <w:rFonts w:hint="eastAsia" w:ascii="黑体" w:hAnsi="宋体" w:eastAsia="黑体"/>
          <w:bCs/>
          <w:color w:val="FF0000"/>
          <w:kern w:val="0"/>
          <w:szCs w:val="21"/>
        </w:rPr>
        <w:t>3、请依照提供的格式和内容填写声明函，不要随意变更格式；声明函不需要盖章或签字；</w:t>
      </w:r>
      <w:r>
        <w:rPr>
          <w:rFonts w:hint="eastAsia" w:ascii="黑体" w:hAnsi="黑体" w:eastAsia="黑体"/>
          <w:color w:val="FF0000"/>
          <w:szCs w:val="21"/>
        </w:rPr>
        <w:t>满足多项优惠政策的投标人，不重复享受多项价格扣除政策。</w:t>
      </w:r>
    </w:p>
    <w:p w14:paraId="03C233D9">
      <w:pPr>
        <w:ind w:firstLine="420" w:firstLineChars="200"/>
        <w:rPr>
          <w:rFonts w:ascii="黑体" w:hAnsi="宋体" w:eastAsia="黑体"/>
          <w:bCs/>
          <w:color w:val="FF0000"/>
          <w:kern w:val="0"/>
          <w:szCs w:val="21"/>
        </w:rPr>
      </w:pPr>
      <w:r>
        <w:rPr>
          <w:rFonts w:hint="eastAsia" w:ascii="黑体" w:hAnsi="宋体" w:eastAsia="黑体"/>
          <w:bCs/>
          <w:color w:val="FF0000"/>
          <w:kern w:val="0"/>
          <w:szCs w:val="21"/>
        </w:rPr>
        <w:t>4、声明函具体填写要求：</w:t>
      </w:r>
    </w:p>
    <w:p w14:paraId="51E76D67">
      <w:pPr>
        <w:ind w:firstLine="420" w:firstLineChars="200"/>
        <w:rPr>
          <w:rFonts w:ascii="黑体" w:hAnsi="宋体" w:eastAsia="黑体"/>
          <w:bCs/>
          <w:color w:val="FF0000"/>
          <w:kern w:val="0"/>
          <w:szCs w:val="21"/>
        </w:rPr>
      </w:pPr>
      <w:r>
        <w:rPr>
          <w:rFonts w:hint="eastAsia" w:ascii="黑体" w:hAnsi="宋体" w:eastAsia="黑体"/>
          <w:bCs/>
          <w:color w:val="FF0000"/>
          <w:kern w:val="0"/>
          <w:szCs w:val="21"/>
        </w:rPr>
        <w:t>（1）声明是中小企业须填写《中小企业声明函》的以下内容：</w:t>
      </w:r>
    </w:p>
    <w:p w14:paraId="7E2A13F7">
      <w:pPr>
        <w:ind w:firstLine="420" w:firstLineChars="200"/>
        <w:rPr>
          <w:rFonts w:ascii="黑体" w:hAnsi="宋体" w:eastAsia="黑体"/>
          <w:bCs/>
          <w:color w:val="FF0000"/>
          <w:kern w:val="0"/>
          <w:szCs w:val="21"/>
        </w:rPr>
      </w:pPr>
      <w:r>
        <w:rPr>
          <w:rFonts w:hint="eastAsia" w:ascii="黑体" w:hAnsi="宋体" w:eastAsia="黑体"/>
          <w:bCs/>
          <w:color w:val="FF0000"/>
          <w:kern w:val="0"/>
          <w:szCs w:val="21"/>
        </w:rPr>
        <w:t>第一处，在“单位名称”下划线处如实填写采购人名称（</w:t>
      </w:r>
      <w:r>
        <w:rPr>
          <w:rFonts w:hint="eastAsia" w:ascii="黑体" w:hAnsi="宋体" w:eastAsia="黑体"/>
          <w:bCs/>
          <w:color w:val="FF0000"/>
          <w:kern w:val="0"/>
          <w:szCs w:val="21"/>
          <w:lang w:eastAsia="zh-CN"/>
        </w:rPr>
        <w:t>深圳市东海国际招标有限公司</w:t>
      </w:r>
      <w:r>
        <w:rPr>
          <w:rFonts w:hint="eastAsia" w:ascii="黑体" w:hAnsi="宋体" w:eastAsia="黑体"/>
          <w:bCs/>
          <w:color w:val="FF0000"/>
          <w:kern w:val="0"/>
          <w:szCs w:val="21"/>
        </w:rPr>
        <w:t>不是本项目的采购人，而是组织实施机构）；</w:t>
      </w:r>
    </w:p>
    <w:p w14:paraId="189F0BE4">
      <w:pPr>
        <w:ind w:firstLine="420" w:firstLineChars="200"/>
        <w:rPr>
          <w:rFonts w:ascii="黑体" w:hAnsi="宋体" w:eastAsia="黑体"/>
          <w:bCs/>
          <w:color w:val="FF0000"/>
          <w:kern w:val="0"/>
          <w:szCs w:val="21"/>
        </w:rPr>
      </w:pPr>
      <w:r>
        <w:rPr>
          <w:rFonts w:hint="eastAsia" w:ascii="黑体" w:hAnsi="宋体" w:eastAsia="黑体"/>
          <w:bCs/>
          <w:color w:val="FF0000"/>
          <w:kern w:val="0"/>
          <w:szCs w:val="21"/>
        </w:rPr>
        <w:t>第二处，在“项目名称”下划线处如实填写采购项目名称；</w:t>
      </w:r>
    </w:p>
    <w:p w14:paraId="40BF7EDD">
      <w:pPr>
        <w:ind w:firstLine="420" w:firstLineChars="200"/>
        <w:rPr>
          <w:rFonts w:ascii="黑体" w:hAnsi="宋体" w:eastAsia="黑体"/>
          <w:bCs/>
          <w:color w:val="FF0000"/>
          <w:kern w:val="0"/>
          <w:szCs w:val="21"/>
        </w:rPr>
      </w:pPr>
      <w:r>
        <w:rPr>
          <w:rFonts w:hint="eastAsia" w:ascii="黑体" w:hAnsi="宋体" w:eastAsia="黑体"/>
          <w:bCs/>
          <w:color w:val="FF0000"/>
          <w:kern w:val="0"/>
          <w:szCs w:val="21"/>
        </w:rPr>
        <w:t>第三处，在“标的名称”下划线处填写所采购货物（标的）的具体名称（以招标文件第一册第三章用户需求书“货物</w:t>
      </w:r>
      <w:r>
        <w:rPr>
          <w:rFonts w:hint="eastAsia" w:ascii="黑体" w:hAnsi="宋体" w:eastAsia="黑体"/>
          <w:bCs/>
          <w:color w:val="FF0000"/>
          <w:kern w:val="0"/>
          <w:szCs w:val="21"/>
          <w:lang w:eastAsia="zh-CN"/>
        </w:rPr>
        <w:t>需求</w:t>
      </w:r>
      <w:r>
        <w:rPr>
          <w:rFonts w:hint="eastAsia" w:ascii="黑体" w:hAnsi="宋体" w:eastAsia="黑体"/>
          <w:bCs/>
          <w:color w:val="FF0000"/>
          <w:kern w:val="0"/>
          <w:szCs w:val="21"/>
        </w:rPr>
        <w:t>明细”的“货物名称”一栏为准）；如果涉及多项货物（标的）为同一企业制造，“标的名称”下划线处可以如实填写多项货物；</w:t>
      </w:r>
    </w:p>
    <w:p w14:paraId="5C8C60BE">
      <w:pPr>
        <w:ind w:firstLine="420" w:firstLineChars="200"/>
        <w:rPr>
          <w:rFonts w:ascii="黑体" w:hAnsi="宋体" w:eastAsia="黑体"/>
          <w:bCs/>
          <w:color w:val="FF0000"/>
          <w:kern w:val="0"/>
          <w:szCs w:val="21"/>
        </w:rPr>
      </w:pPr>
      <w:r>
        <w:rPr>
          <w:rFonts w:hint="eastAsia" w:ascii="黑体" w:hAnsi="宋体" w:eastAsia="黑体"/>
          <w:bCs/>
          <w:color w:val="FF0000"/>
          <w:kern w:val="0"/>
          <w:szCs w:val="21"/>
        </w:rPr>
        <w:t>第四处，在“招标文件中明确的所属行业”下划线处填写采购标的对应的中小企业划分标准所属行业（所属行业可在招标文件第一册第二章“对通用条款的补充内容及其他关键信息”章节查看）；</w:t>
      </w:r>
    </w:p>
    <w:p w14:paraId="774F4BA3">
      <w:pPr>
        <w:ind w:firstLine="420" w:firstLineChars="200"/>
        <w:rPr>
          <w:rFonts w:ascii="黑体" w:hAnsi="宋体" w:eastAsia="黑体"/>
          <w:bCs/>
          <w:color w:val="FF0000"/>
          <w:kern w:val="0"/>
          <w:szCs w:val="21"/>
        </w:rPr>
      </w:pPr>
      <w:r>
        <w:rPr>
          <w:rFonts w:hint="eastAsia" w:ascii="黑体" w:hAnsi="宋体" w:eastAsia="黑体"/>
          <w:bCs/>
          <w:color w:val="FF0000"/>
          <w:kern w:val="0"/>
          <w:szCs w:val="21"/>
        </w:rPr>
        <w:t>第五处，在“企业名称”下划线处如实填写制造商名称；在“从业人员”、“营业收入”、“资产总额”下划线处如实填写从业人员、营业收入、资产总额；在“中型企业、小型企业、微型企业”下划线处如实依照300号文填写相应的企业类型；从业人员、营业收入、资产总额填报上一年度数据，无上一年度数据的新成立企业可以不填报。《中小企业声明函》中制造商所属行业应当与招标文件要求的行业相一致，供应商如有疑问，可根据《国民经济行业分类》（GB/T 4754-2017），结合《关于印发中小企业划型标准规定的通知》（工信部联企业〔2011〕300号）进行判断。事业单位、社会组织等非企业主体不享受中小企业扶持政策，但事业单位、社会组织等非企业主体提供全部由中小企业制造的货物参加货物采购项目的除外。</w:t>
      </w:r>
    </w:p>
    <w:p w14:paraId="0C4858C6">
      <w:pPr>
        <w:ind w:firstLine="420" w:firstLineChars="200"/>
        <w:rPr>
          <w:rFonts w:ascii="黑体" w:hAnsi="宋体" w:eastAsia="黑体"/>
          <w:bCs/>
          <w:color w:val="FF0000"/>
          <w:kern w:val="0"/>
          <w:szCs w:val="21"/>
        </w:rPr>
      </w:pPr>
      <w:r>
        <w:rPr>
          <w:rFonts w:hint="eastAsia" w:ascii="黑体" w:hAnsi="宋体" w:eastAsia="黑体"/>
          <w:bCs/>
          <w:color w:val="FF0000"/>
          <w:kern w:val="0"/>
          <w:szCs w:val="21"/>
        </w:rPr>
        <w:t>（2）声明是残疾人福利性单位须填写《残疾人福利性单位声明函》的相关内容，具体参照以上《中小企业声明函》填写要求执行。</w:t>
      </w:r>
    </w:p>
    <w:p w14:paraId="3714672D">
      <w:pPr>
        <w:ind w:firstLine="420" w:firstLineChars="200"/>
        <w:rPr>
          <w:rFonts w:ascii="黑体" w:hAnsi="宋体" w:eastAsia="黑体"/>
          <w:bCs/>
          <w:color w:val="FF0000"/>
          <w:kern w:val="0"/>
          <w:szCs w:val="21"/>
        </w:rPr>
      </w:pPr>
      <w:r>
        <w:rPr>
          <w:rFonts w:hint="eastAsia" w:ascii="黑体" w:hAnsi="宋体" w:eastAsia="黑体"/>
          <w:bCs/>
          <w:color w:val="FF0000"/>
          <w:kern w:val="0"/>
          <w:szCs w:val="21"/>
        </w:rPr>
        <w:t>（3）声明是监狱企业须填写《监狱企业声明函》的三项内容（填写位置的字体已加粗），具体参照以上《中小企业声明函》填写要求执行。</w:t>
      </w:r>
    </w:p>
    <w:p w14:paraId="15293270">
      <w:pPr>
        <w:ind w:firstLine="420" w:firstLineChars="200"/>
      </w:pPr>
      <w:r>
        <w:rPr>
          <w:rFonts w:hint="eastAsia" w:ascii="黑体" w:hAnsi="宋体" w:eastAsia="黑体"/>
          <w:bCs/>
          <w:color w:val="FF0000"/>
          <w:kern w:val="0"/>
          <w:szCs w:val="21"/>
        </w:rPr>
        <w:t>5、若本项目属于专门面向中小企业、残疾人福利性单位或监狱企业，则声明函有效性由采购人或代理机构判定，如判定声明函无效的，相关供应商将作资格审查不通过处理；若本项目非专门面向中小企业、残疾人福利性单位或监狱企业，声明函的有效性由评审委员会判定，如评审委员会判定声明函无效，相关供应商不享受价格扣除（但不作投标无效处理）。</w:t>
      </w:r>
    </w:p>
    <w:p w14:paraId="5EF11961">
      <w:pPr>
        <w:ind w:firstLine="420" w:firstLineChars="200"/>
      </w:pPr>
    </w:p>
    <w:p w14:paraId="2C3E6CAE">
      <w:pPr>
        <w:numPr>
          <w:ilvl w:val="0"/>
          <w:numId w:val="5"/>
        </w:numPr>
        <w:jc w:val="center"/>
        <w:rPr>
          <w:b/>
          <w:sz w:val="24"/>
        </w:rPr>
      </w:pPr>
      <w:r>
        <w:rPr>
          <w:b/>
          <w:sz w:val="24"/>
        </w:rPr>
        <w:t>中小企业声明函（货物）</w:t>
      </w:r>
    </w:p>
    <w:p w14:paraId="5410E387">
      <w:pPr>
        <w:pStyle w:val="2"/>
      </w:pPr>
    </w:p>
    <w:p w14:paraId="4CE02CE3">
      <w:pPr>
        <w:pStyle w:val="13"/>
        <w:ind w:firstLine="420" w:firstLineChars="200"/>
        <w:rPr>
          <w:rFonts w:asciiTheme="minorEastAsia" w:hAnsiTheme="minorEastAsia" w:cstheme="minorEastAsia"/>
          <w:sz w:val="21"/>
          <w:szCs w:val="21"/>
        </w:rPr>
      </w:pPr>
      <w:r>
        <w:rPr>
          <w:rFonts w:hint="eastAsia" w:asciiTheme="minorEastAsia" w:hAnsiTheme="minorEastAsia" w:cstheme="minorEastAsia"/>
          <w:sz w:val="21"/>
          <w:szCs w:val="21"/>
        </w:rPr>
        <w:t>本公司（联合体）郑重声明，根据《政府采购促进中小企业发展管理办法》（财库﹝2020﹞46号）的规定，本公司（联合体）参加</w:t>
      </w:r>
      <w:r>
        <w:rPr>
          <w:rFonts w:hint="eastAsia" w:asciiTheme="minorEastAsia" w:hAnsiTheme="minorEastAsia" w:cstheme="minorEastAsia"/>
          <w:b/>
          <w:bCs/>
          <w:i/>
          <w:iCs/>
          <w:sz w:val="21"/>
          <w:szCs w:val="21"/>
          <w:u w:val="single"/>
        </w:rPr>
        <w:t xml:space="preserve">    （单位名称）    </w:t>
      </w:r>
      <w:r>
        <w:rPr>
          <w:rFonts w:hint="eastAsia" w:asciiTheme="minorEastAsia" w:hAnsiTheme="minorEastAsia" w:cstheme="minorEastAsia"/>
          <w:sz w:val="21"/>
          <w:szCs w:val="21"/>
        </w:rPr>
        <w:t>的</w:t>
      </w:r>
      <w:r>
        <w:rPr>
          <w:rFonts w:hint="eastAsia" w:asciiTheme="minorEastAsia" w:hAnsiTheme="minorEastAsia" w:cstheme="minorEastAsia"/>
          <w:b/>
          <w:bCs/>
          <w:i/>
          <w:iCs/>
          <w:sz w:val="21"/>
          <w:szCs w:val="21"/>
          <w:u w:val="single"/>
        </w:rPr>
        <w:t xml:space="preserve">    （项目名称）    </w:t>
      </w:r>
      <w:r>
        <w:rPr>
          <w:rFonts w:hint="eastAsia" w:asciiTheme="minorEastAsia" w:hAnsiTheme="minorEastAsia" w:cstheme="minorEastAsia"/>
          <w:sz w:val="21"/>
          <w:szCs w:val="21"/>
        </w:rPr>
        <w:t>采购活动，提供的货物全部由符合政策要求的中小企业制造。相关企业（含联合体中的中小企业、签订分包意向协议的中小企业）的具体情况如下：</w:t>
      </w:r>
    </w:p>
    <w:p w14:paraId="4DE5625C">
      <w:pPr>
        <w:pStyle w:val="13"/>
        <w:ind w:firstLine="420" w:firstLineChars="200"/>
        <w:rPr>
          <w:rFonts w:asciiTheme="minorEastAsia" w:hAnsiTheme="minorEastAsia" w:cstheme="minorEastAsia"/>
          <w:sz w:val="21"/>
          <w:szCs w:val="21"/>
        </w:rPr>
      </w:pPr>
      <w:r>
        <w:rPr>
          <w:rFonts w:hint="eastAsia" w:asciiTheme="minorEastAsia" w:hAnsiTheme="minorEastAsia" w:cstheme="minorEastAsia"/>
          <w:sz w:val="21"/>
          <w:szCs w:val="21"/>
        </w:rPr>
        <w:t>1.</w:t>
      </w:r>
      <w:r>
        <w:rPr>
          <w:rFonts w:hint="eastAsia" w:asciiTheme="minorEastAsia" w:hAnsiTheme="minorEastAsia" w:cstheme="minorEastAsia"/>
          <w:b/>
          <w:bCs/>
          <w:i/>
          <w:iCs/>
          <w:sz w:val="21"/>
          <w:szCs w:val="21"/>
          <w:u w:val="single"/>
        </w:rPr>
        <w:t xml:space="preserve">    （标的名称）     </w:t>
      </w:r>
      <w:r>
        <w:rPr>
          <w:rFonts w:hint="eastAsia" w:asciiTheme="minorEastAsia" w:hAnsiTheme="minorEastAsia" w:cstheme="minorEastAsia"/>
          <w:sz w:val="21"/>
          <w:szCs w:val="21"/>
        </w:rPr>
        <w:t>，属于</w:t>
      </w:r>
      <w:r>
        <w:rPr>
          <w:rFonts w:hint="eastAsia" w:asciiTheme="minorEastAsia" w:hAnsiTheme="minorEastAsia" w:cstheme="minorEastAsia"/>
          <w:b/>
          <w:bCs/>
          <w:i/>
          <w:iCs/>
          <w:sz w:val="21"/>
          <w:szCs w:val="21"/>
          <w:u w:val="single"/>
        </w:rPr>
        <w:t xml:space="preserve">    （采购文件中明确的所属行业）    </w:t>
      </w:r>
      <w:r>
        <w:rPr>
          <w:rFonts w:hint="eastAsia" w:asciiTheme="minorEastAsia" w:hAnsiTheme="minorEastAsia" w:cstheme="minorEastAsia"/>
          <w:sz w:val="21"/>
          <w:szCs w:val="21"/>
        </w:rPr>
        <w:t>行业；制造商为</w:t>
      </w:r>
      <w:r>
        <w:rPr>
          <w:rFonts w:hint="eastAsia" w:asciiTheme="minorEastAsia" w:hAnsiTheme="minorEastAsia" w:cstheme="minorEastAsia"/>
          <w:b/>
          <w:bCs/>
          <w:i/>
          <w:iCs/>
          <w:sz w:val="21"/>
          <w:szCs w:val="21"/>
          <w:u w:val="single"/>
        </w:rPr>
        <w:t xml:space="preserve">    （企业名称，要求制造商本身所属行业应当与招标文件要求的行业相一致）    </w:t>
      </w:r>
      <w:r>
        <w:rPr>
          <w:rFonts w:hint="eastAsia" w:asciiTheme="minorEastAsia" w:hAnsiTheme="minorEastAsia" w:cstheme="minorEastAsia"/>
          <w:sz w:val="21"/>
          <w:szCs w:val="21"/>
        </w:rPr>
        <w:t>，从业人员</w:t>
      </w:r>
      <w:r>
        <w:rPr>
          <w:rFonts w:hint="eastAsia" w:asciiTheme="minorEastAsia" w:hAnsiTheme="minorEastAsia" w:cstheme="minorEastAsia"/>
          <w:b/>
          <w:bCs/>
          <w:i/>
          <w:iCs/>
          <w:sz w:val="21"/>
          <w:szCs w:val="21"/>
          <w:u w:val="single"/>
        </w:rPr>
        <w:t xml:space="preserve">        </w:t>
      </w:r>
      <w:r>
        <w:rPr>
          <w:rFonts w:hint="eastAsia" w:asciiTheme="minorEastAsia" w:hAnsiTheme="minorEastAsia" w:cstheme="minorEastAsia"/>
          <w:sz w:val="21"/>
          <w:szCs w:val="21"/>
        </w:rPr>
        <w:t>人，营业收入为</w:t>
      </w:r>
      <w:r>
        <w:rPr>
          <w:rFonts w:hint="eastAsia" w:asciiTheme="minorEastAsia" w:hAnsiTheme="minorEastAsia" w:cstheme="minorEastAsia"/>
          <w:b/>
          <w:bCs/>
          <w:i/>
          <w:iCs/>
          <w:sz w:val="21"/>
          <w:szCs w:val="21"/>
          <w:u w:val="single"/>
        </w:rPr>
        <w:t xml:space="preserve">         </w:t>
      </w:r>
      <w:r>
        <w:rPr>
          <w:rFonts w:hint="eastAsia" w:asciiTheme="minorEastAsia" w:hAnsiTheme="minorEastAsia" w:cstheme="minorEastAsia"/>
          <w:sz w:val="21"/>
          <w:szCs w:val="21"/>
        </w:rPr>
        <w:t>万元，资产总额为</w:t>
      </w:r>
      <w:r>
        <w:rPr>
          <w:rFonts w:hint="eastAsia" w:asciiTheme="minorEastAsia" w:hAnsiTheme="minorEastAsia" w:cstheme="minorEastAsia"/>
          <w:b/>
          <w:bCs/>
          <w:i/>
          <w:iCs/>
          <w:sz w:val="21"/>
          <w:szCs w:val="21"/>
          <w:u w:val="single"/>
        </w:rPr>
        <w:t xml:space="preserve">         </w:t>
      </w:r>
      <w:r>
        <w:rPr>
          <w:rFonts w:hint="eastAsia" w:asciiTheme="minorEastAsia" w:hAnsiTheme="minorEastAsia" w:cstheme="minorEastAsia"/>
          <w:sz w:val="21"/>
          <w:szCs w:val="21"/>
        </w:rPr>
        <w:t>万元，属于</w:t>
      </w:r>
      <w:r>
        <w:rPr>
          <w:rFonts w:hint="eastAsia" w:asciiTheme="minorEastAsia" w:hAnsiTheme="minorEastAsia" w:cstheme="minorEastAsia"/>
          <w:b/>
          <w:bCs/>
          <w:i/>
          <w:iCs/>
          <w:sz w:val="21"/>
          <w:szCs w:val="21"/>
          <w:u w:val="single"/>
        </w:rPr>
        <w:t xml:space="preserve">    （中型企业、小型企业、微型企业）    </w:t>
      </w:r>
      <w:r>
        <w:rPr>
          <w:rFonts w:hint="eastAsia" w:asciiTheme="minorEastAsia" w:hAnsiTheme="minorEastAsia" w:cstheme="minorEastAsia"/>
          <w:sz w:val="21"/>
          <w:szCs w:val="21"/>
        </w:rPr>
        <w:t>；</w:t>
      </w:r>
    </w:p>
    <w:p w14:paraId="2D03F0B7">
      <w:pPr>
        <w:pStyle w:val="13"/>
        <w:ind w:firstLine="420" w:firstLineChars="200"/>
        <w:rPr>
          <w:rFonts w:asciiTheme="minorEastAsia" w:hAnsiTheme="minorEastAsia" w:cstheme="minorEastAsia"/>
          <w:sz w:val="21"/>
          <w:szCs w:val="21"/>
        </w:rPr>
      </w:pPr>
      <w:r>
        <w:rPr>
          <w:rFonts w:hint="eastAsia" w:asciiTheme="minorEastAsia" w:hAnsiTheme="minorEastAsia" w:cstheme="minorEastAsia"/>
          <w:sz w:val="21"/>
          <w:szCs w:val="21"/>
        </w:rPr>
        <w:t>2.</w:t>
      </w:r>
      <w:r>
        <w:rPr>
          <w:rFonts w:hint="eastAsia" w:asciiTheme="minorEastAsia" w:hAnsiTheme="minorEastAsia" w:cstheme="minorEastAsia"/>
          <w:b/>
          <w:bCs/>
          <w:i/>
          <w:iCs/>
          <w:sz w:val="21"/>
          <w:szCs w:val="21"/>
          <w:u w:val="single"/>
        </w:rPr>
        <w:t xml:space="preserve">    （标的名称）     </w:t>
      </w:r>
      <w:r>
        <w:rPr>
          <w:rFonts w:hint="eastAsia" w:asciiTheme="minorEastAsia" w:hAnsiTheme="minorEastAsia" w:cstheme="minorEastAsia"/>
          <w:sz w:val="21"/>
          <w:szCs w:val="21"/>
        </w:rPr>
        <w:t>，属于</w:t>
      </w:r>
      <w:r>
        <w:rPr>
          <w:rFonts w:hint="eastAsia" w:asciiTheme="minorEastAsia" w:hAnsiTheme="minorEastAsia" w:cstheme="minorEastAsia"/>
          <w:b/>
          <w:bCs/>
          <w:i/>
          <w:iCs/>
          <w:sz w:val="21"/>
          <w:szCs w:val="21"/>
          <w:u w:val="single"/>
        </w:rPr>
        <w:t xml:space="preserve">    （采购文件中明确的所属行业）    </w:t>
      </w:r>
      <w:r>
        <w:rPr>
          <w:rFonts w:hint="eastAsia" w:asciiTheme="minorEastAsia" w:hAnsiTheme="minorEastAsia" w:cstheme="minorEastAsia"/>
          <w:sz w:val="21"/>
          <w:szCs w:val="21"/>
        </w:rPr>
        <w:t>行业；制造商为</w:t>
      </w:r>
      <w:r>
        <w:rPr>
          <w:rFonts w:hint="eastAsia" w:asciiTheme="minorEastAsia" w:hAnsiTheme="minorEastAsia" w:cstheme="minorEastAsia"/>
          <w:b/>
          <w:bCs/>
          <w:i/>
          <w:iCs/>
          <w:sz w:val="21"/>
          <w:szCs w:val="21"/>
          <w:u w:val="single"/>
        </w:rPr>
        <w:t xml:space="preserve">    （企业名称，要求制造商本身所属行业应当与招标文件要求的行业相一致）    </w:t>
      </w:r>
      <w:r>
        <w:rPr>
          <w:rFonts w:hint="eastAsia" w:asciiTheme="minorEastAsia" w:hAnsiTheme="minorEastAsia" w:cstheme="minorEastAsia"/>
          <w:sz w:val="21"/>
          <w:szCs w:val="21"/>
        </w:rPr>
        <w:t>，从业人员</w:t>
      </w:r>
      <w:r>
        <w:rPr>
          <w:rFonts w:hint="eastAsia" w:asciiTheme="minorEastAsia" w:hAnsiTheme="minorEastAsia" w:cstheme="minorEastAsia"/>
          <w:b/>
          <w:bCs/>
          <w:i/>
          <w:iCs/>
          <w:sz w:val="21"/>
          <w:szCs w:val="21"/>
          <w:u w:val="single"/>
        </w:rPr>
        <w:t xml:space="preserve">        </w:t>
      </w:r>
      <w:r>
        <w:rPr>
          <w:rFonts w:hint="eastAsia" w:asciiTheme="minorEastAsia" w:hAnsiTheme="minorEastAsia" w:cstheme="minorEastAsia"/>
          <w:sz w:val="21"/>
          <w:szCs w:val="21"/>
        </w:rPr>
        <w:t>人，营业收入为</w:t>
      </w:r>
      <w:r>
        <w:rPr>
          <w:rFonts w:hint="eastAsia" w:asciiTheme="minorEastAsia" w:hAnsiTheme="minorEastAsia" w:cstheme="minorEastAsia"/>
          <w:b/>
          <w:bCs/>
          <w:i/>
          <w:iCs/>
          <w:sz w:val="21"/>
          <w:szCs w:val="21"/>
          <w:u w:val="single"/>
        </w:rPr>
        <w:t xml:space="preserve">         </w:t>
      </w:r>
      <w:r>
        <w:rPr>
          <w:rFonts w:hint="eastAsia" w:asciiTheme="minorEastAsia" w:hAnsiTheme="minorEastAsia" w:cstheme="minorEastAsia"/>
          <w:sz w:val="21"/>
          <w:szCs w:val="21"/>
        </w:rPr>
        <w:t>万元，资产总额为</w:t>
      </w:r>
      <w:r>
        <w:rPr>
          <w:rFonts w:hint="eastAsia" w:asciiTheme="minorEastAsia" w:hAnsiTheme="minorEastAsia" w:cstheme="minorEastAsia"/>
          <w:b/>
          <w:bCs/>
          <w:i/>
          <w:iCs/>
          <w:sz w:val="21"/>
          <w:szCs w:val="21"/>
          <w:u w:val="single"/>
        </w:rPr>
        <w:t xml:space="preserve">         </w:t>
      </w:r>
      <w:r>
        <w:rPr>
          <w:rFonts w:hint="eastAsia" w:asciiTheme="minorEastAsia" w:hAnsiTheme="minorEastAsia" w:cstheme="minorEastAsia"/>
          <w:sz w:val="21"/>
          <w:szCs w:val="21"/>
        </w:rPr>
        <w:t>万元，属于</w:t>
      </w:r>
      <w:r>
        <w:rPr>
          <w:rFonts w:hint="eastAsia" w:asciiTheme="minorEastAsia" w:hAnsiTheme="minorEastAsia" w:cstheme="minorEastAsia"/>
          <w:b/>
          <w:bCs/>
          <w:i/>
          <w:iCs/>
          <w:sz w:val="21"/>
          <w:szCs w:val="21"/>
          <w:u w:val="single"/>
        </w:rPr>
        <w:t xml:space="preserve">    （中型企业、小型企业、微型企业）    </w:t>
      </w:r>
      <w:r>
        <w:rPr>
          <w:rFonts w:hint="eastAsia" w:asciiTheme="minorEastAsia" w:hAnsiTheme="minorEastAsia" w:cstheme="minorEastAsia"/>
          <w:sz w:val="21"/>
          <w:szCs w:val="21"/>
        </w:rPr>
        <w:t>；</w:t>
      </w:r>
    </w:p>
    <w:p w14:paraId="534ED944">
      <w:pPr>
        <w:ind w:firstLine="420" w:firstLineChars="200"/>
        <w:rPr>
          <w:rFonts w:ascii="宋体" w:hAnsi="宋体"/>
          <w:bCs/>
          <w:color w:val="FF0000"/>
          <w:kern w:val="0"/>
          <w:szCs w:val="21"/>
        </w:rPr>
      </w:pPr>
    </w:p>
    <w:p w14:paraId="22D1D2C5"/>
    <w:p w14:paraId="50E9CCE9">
      <w:pPr>
        <w:ind w:firstLine="420" w:firstLineChars="200"/>
      </w:pPr>
    </w:p>
    <w:p w14:paraId="778ADDD0">
      <w:pPr>
        <w:jc w:val="center"/>
        <w:rPr>
          <w:b/>
          <w:sz w:val="24"/>
        </w:rPr>
      </w:pPr>
      <w:r>
        <w:rPr>
          <w:rFonts w:hint="eastAsia"/>
          <w:b/>
          <w:sz w:val="24"/>
        </w:rPr>
        <w:t>2、残疾人福利性单位声明函（货物类）</w:t>
      </w:r>
    </w:p>
    <w:p w14:paraId="1A82D231">
      <w:pPr>
        <w:rPr>
          <w:b/>
          <w:bCs/>
        </w:rPr>
      </w:pPr>
    </w:p>
    <w:p w14:paraId="0F8D27FD">
      <w:pPr>
        <w:spacing w:line="360" w:lineRule="auto"/>
        <w:ind w:firstLine="420" w:firstLineChars="200"/>
        <w:rPr>
          <w:rFonts w:asciiTheme="minorEastAsia" w:hAnsiTheme="minorEastAsia" w:cstheme="minorEastAsia"/>
          <w:szCs w:val="21"/>
        </w:rPr>
      </w:pPr>
      <w:bookmarkStart w:id="28" w:name="_Hlk73562331"/>
      <w:bookmarkStart w:id="29" w:name="_Hlk73562245"/>
      <w:r>
        <w:rPr>
          <w:rFonts w:hint="eastAsia" w:asciiTheme="minorEastAsia" w:hAnsiTheme="minorEastAsia" w:cstheme="minorEastAsia"/>
          <w:szCs w:val="21"/>
        </w:rPr>
        <w:t>本单位郑重声明，根据《财政部 民政部 中国残疾人联合会关于促进残疾人就业政府采购政策的通知》（财库〔2017〕141号）的规定，本单位为符合条件的残疾人福利性单位，且本单位参加</w:t>
      </w:r>
      <w:r>
        <w:rPr>
          <w:rFonts w:hint="eastAsia" w:asciiTheme="minorEastAsia" w:hAnsiTheme="minorEastAsia" w:cstheme="minorEastAsia"/>
          <w:b/>
          <w:bCs/>
          <w:i/>
          <w:iCs/>
          <w:szCs w:val="21"/>
          <w:u w:val="single"/>
        </w:rPr>
        <w:t xml:space="preserve">    （单位名称）    </w:t>
      </w:r>
      <w:r>
        <w:rPr>
          <w:rFonts w:hint="eastAsia" w:asciiTheme="minorEastAsia" w:hAnsiTheme="minorEastAsia" w:cstheme="minorEastAsia"/>
          <w:szCs w:val="21"/>
        </w:rPr>
        <w:t>单位的</w:t>
      </w:r>
      <w:r>
        <w:rPr>
          <w:rFonts w:hint="eastAsia" w:asciiTheme="minorEastAsia" w:hAnsiTheme="minorEastAsia" w:cstheme="minorEastAsia"/>
          <w:b/>
          <w:bCs/>
          <w:i/>
          <w:iCs/>
          <w:szCs w:val="21"/>
          <w:u w:val="single"/>
        </w:rPr>
        <w:t xml:space="preserve">    （项目名称）    </w:t>
      </w:r>
      <w:r>
        <w:rPr>
          <w:rFonts w:hint="eastAsia" w:asciiTheme="minorEastAsia" w:hAnsiTheme="minorEastAsia" w:cstheme="minorEastAsia"/>
          <w:szCs w:val="21"/>
        </w:rPr>
        <w:t>项目采购活动提供本单位制造的货物（由本单位承担工程/提供服务），或者提供其他残疾人福利性单位制造的货物（不包括使用非残疾人福利性单位注册商标的货物）。</w:t>
      </w:r>
    </w:p>
    <w:p w14:paraId="2AB5CFAA">
      <w:pPr>
        <w:spacing w:line="360" w:lineRule="auto"/>
        <w:ind w:firstLine="420" w:firstLineChars="200"/>
        <w:rPr>
          <w:rFonts w:asciiTheme="minorEastAsia" w:hAnsiTheme="minorEastAsia" w:cstheme="minorEastAsia"/>
          <w:szCs w:val="21"/>
        </w:rPr>
      </w:pPr>
      <w:r>
        <w:rPr>
          <w:rFonts w:hint="eastAsia" w:asciiTheme="minorEastAsia" w:hAnsiTheme="minorEastAsia" w:cstheme="minorEastAsia"/>
          <w:szCs w:val="21"/>
        </w:rPr>
        <w:t>本单位对上述声明的真实性负责。如有虚假，将依法承担相应责任。</w:t>
      </w:r>
    </w:p>
    <w:p w14:paraId="0FEE51BC">
      <w:pPr>
        <w:spacing w:line="360" w:lineRule="auto"/>
        <w:ind w:firstLine="420" w:firstLineChars="200"/>
        <w:rPr>
          <w:rFonts w:asciiTheme="minorEastAsia" w:hAnsiTheme="minorEastAsia" w:cstheme="minorEastAsia"/>
          <w:szCs w:val="21"/>
        </w:rPr>
      </w:pPr>
      <w:r>
        <w:rPr>
          <w:rFonts w:hint="eastAsia" w:asciiTheme="minorEastAsia" w:hAnsiTheme="minorEastAsia" w:cstheme="minorEastAsia"/>
          <w:szCs w:val="21"/>
        </w:rPr>
        <w:t>本投标人已知悉《财政部民政部中国残疾人联合会关于促进残疾人就业政府采购政策的通知》（财库〔2017〕141号）的规定，承诺提供的声明函内容是真实的，如提供声明函内容不实，则依法追究相关法律责任。</w:t>
      </w:r>
      <w:bookmarkEnd w:id="28"/>
    </w:p>
    <w:bookmarkEnd w:id="29"/>
    <w:p w14:paraId="675D8643">
      <w:pPr>
        <w:ind w:firstLine="420" w:firstLineChars="200"/>
        <w:rPr>
          <w:rFonts w:ascii="宋体" w:hAnsi="宋体"/>
          <w:szCs w:val="21"/>
        </w:rPr>
      </w:pPr>
    </w:p>
    <w:p w14:paraId="5E3FED07">
      <w:pPr>
        <w:ind w:firstLine="420" w:firstLineChars="200"/>
        <w:rPr>
          <w:rFonts w:ascii="宋体" w:hAnsi="宋体"/>
          <w:szCs w:val="21"/>
        </w:rPr>
      </w:pPr>
    </w:p>
    <w:p w14:paraId="40111D2F">
      <w:pPr>
        <w:jc w:val="center"/>
        <w:rPr>
          <w:b/>
          <w:sz w:val="24"/>
        </w:rPr>
      </w:pPr>
      <w:r>
        <w:rPr>
          <w:rFonts w:hint="eastAsia"/>
          <w:b/>
          <w:sz w:val="24"/>
        </w:rPr>
        <w:t>3、监狱企业声明函【货物类，提供监狱企业货物的供应商如需享受优惠政策，还须另行提供省级以上监狱管理局、戒毒管理局（含新疆生产建设兵团）出具的监狱企业证明文件】</w:t>
      </w:r>
    </w:p>
    <w:p w14:paraId="38950517">
      <w:pPr>
        <w:spacing w:line="360" w:lineRule="auto"/>
        <w:ind w:firstLine="420" w:firstLineChars="200"/>
        <w:rPr>
          <w:rFonts w:ascii="宋体" w:hAnsi="宋体"/>
          <w:szCs w:val="21"/>
        </w:rPr>
      </w:pPr>
      <w:r>
        <w:rPr>
          <w:rFonts w:hint="eastAsia" w:ascii="宋体" w:hAnsi="宋体"/>
          <w:szCs w:val="21"/>
        </w:rPr>
        <w:t>本投标人郑重声明，根据《财政部司法部关于政府采购支持监狱企业发展有关问题的通知》（财库〔</w:t>
      </w:r>
      <w:r>
        <w:rPr>
          <w:rFonts w:ascii="宋体" w:hAnsi="宋体"/>
          <w:szCs w:val="21"/>
        </w:rPr>
        <w:t>2014</w:t>
      </w:r>
      <w:r>
        <w:rPr>
          <w:rFonts w:hint="eastAsia" w:ascii="宋体" w:hAnsi="宋体"/>
          <w:szCs w:val="21"/>
        </w:rPr>
        <w:t>〕</w:t>
      </w:r>
      <w:r>
        <w:rPr>
          <w:rFonts w:ascii="宋体" w:hAnsi="宋体"/>
          <w:szCs w:val="21"/>
        </w:rPr>
        <w:t>68</w:t>
      </w:r>
      <w:r>
        <w:rPr>
          <w:rFonts w:hint="eastAsia" w:ascii="宋体" w:hAnsi="宋体"/>
          <w:szCs w:val="21"/>
        </w:rPr>
        <w:t>号）的规定，本投标人</w:t>
      </w:r>
      <w:r>
        <w:rPr>
          <w:rFonts w:ascii="宋体" w:hAnsi="宋体"/>
          <w:szCs w:val="21"/>
        </w:rPr>
        <w:t>参加</w:t>
      </w:r>
      <w:r>
        <w:rPr>
          <w:rFonts w:ascii="宋体" w:hAnsi="宋体"/>
          <w:b/>
          <w:bCs/>
          <w:i/>
          <w:iCs/>
          <w:szCs w:val="21"/>
          <w:u w:val="single"/>
        </w:rPr>
        <w:t>（</w:t>
      </w:r>
      <w:r>
        <w:rPr>
          <w:rFonts w:hint="eastAsia" w:ascii="宋体" w:hAnsi="宋体"/>
          <w:b/>
          <w:bCs/>
          <w:i/>
          <w:iCs/>
          <w:szCs w:val="21"/>
          <w:u w:val="single"/>
        </w:rPr>
        <w:t>采购人</w:t>
      </w:r>
      <w:r>
        <w:rPr>
          <w:rFonts w:ascii="宋体" w:hAnsi="宋体"/>
          <w:b/>
          <w:bCs/>
          <w:i/>
          <w:iCs/>
          <w:szCs w:val="21"/>
          <w:u w:val="single"/>
        </w:rPr>
        <w:t>名称）</w:t>
      </w:r>
      <w:r>
        <w:rPr>
          <w:rFonts w:ascii="宋体" w:hAnsi="宋体"/>
          <w:szCs w:val="21"/>
        </w:rPr>
        <w:t>的</w:t>
      </w:r>
      <w:r>
        <w:rPr>
          <w:rFonts w:ascii="宋体" w:hAnsi="宋体"/>
          <w:b/>
          <w:bCs/>
          <w:i/>
          <w:iCs/>
          <w:szCs w:val="21"/>
          <w:u w:val="single"/>
        </w:rPr>
        <w:t>（项目名称）</w:t>
      </w:r>
      <w:r>
        <w:rPr>
          <w:rFonts w:ascii="宋体" w:hAnsi="宋体"/>
          <w:szCs w:val="21"/>
        </w:rPr>
        <w:t>采购活动，提供的货物全部由符合政策要求的</w:t>
      </w:r>
      <w:r>
        <w:rPr>
          <w:rFonts w:hint="eastAsia" w:ascii="宋体" w:hAnsi="宋体"/>
          <w:szCs w:val="21"/>
        </w:rPr>
        <w:t>监狱企业</w:t>
      </w:r>
      <w:r>
        <w:rPr>
          <w:rFonts w:ascii="宋体" w:hAnsi="宋体"/>
          <w:szCs w:val="21"/>
        </w:rPr>
        <w:t>制造。相关</w:t>
      </w:r>
      <w:r>
        <w:rPr>
          <w:rFonts w:hint="eastAsia" w:ascii="宋体" w:hAnsi="宋体"/>
          <w:szCs w:val="21"/>
        </w:rPr>
        <w:t>监狱企业</w:t>
      </w:r>
      <w:r>
        <w:rPr>
          <w:rFonts w:ascii="宋体" w:hAnsi="宋体"/>
          <w:szCs w:val="21"/>
        </w:rPr>
        <w:t>的具体情况如下：</w:t>
      </w:r>
    </w:p>
    <w:p w14:paraId="06180756">
      <w:pPr>
        <w:spacing w:line="360" w:lineRule="auto"/>
        <w:ind w:firstLine="420" w:firstLineChars="200"/>
        <w:rPr>
          <w:rFonts w:ascii="宋体" w:hAnsi="宋体"/>
          <w:szCs w:val="21"/>
        </w:rPr>
      </w:pPr>
      <w:r>
        <w:rPr>
          <w:rFonts w:ascii="宋体" w:hAnsi="宋体"/>
          <w:szCs w:val="21"/>
        </w:rPr>
        <w:t>1.</w:t>
      </w:r>
      <w:r>
        <w:rPr>
          <w:rFonts w:ascii="宋体" w:hAnsi="宋体"/>
          <w:b/>
          <w:bCs/>
          <w:i/>
          <w:iCs/>
          <w:szCs w:val="21"/>
          <w:u w:val="single"/>
        </w:rPr>
        <w:t xml:space="preserve"> </w:t>
      </w:r>
      <w:r>
        <w:rPr>
          <w:rFonts w:hint="eastAsia" w:ascii="宋体" w:hAnsi="宋体"/>
          <w:b/>
          <w:bCs/>
          <w:i/>
          <w:iCs/>
          <w:szCs w:val="21"/>
          <w:u w:val="single"/>
        </w:rPr>
        <w:t xml:space="preserve">   </w:t>
      </w:r>
      <w:r>
        <w:rPr>
          <w:rFonts w:ascii="宋体" w:hAnsi="宋体"/>
          <w:b/>
          <w:bCs/>
          <w:i/>
          <w:iCs/>
          <w:szCs w:val="21"/>
          <w:u w:val="single"/>
        </w:rPr>
        <w:t>（标的名称）</w:t>
      </w:r>
      <w:r>
        <w:rPr>
          <w:rFonts w:hint="eastAsia" w:ascii="宋体" w:hAnsi="宋体"/>
          <w:b/>
          <w:bCs/>
          <w:i/>
          <w:iCs/>
          <w:szCs w:val="21"/>
          <w:u w:val="single"/>
        </w:rPr>
        <w:t xml:space="preserve">    </w:t>
      </w:r>
      <w:r>
        <w:rPr>
          <w:rFonts w:hint="eastAsia" w:ascii="宋体" w:hAnsi="宋体"/>
          <w:szCs w:val="21"/>
        </w:rPr>
        <w:t>，</w:t>
      </w:r>
      <w:r>
        <w:rPr>
          <w:rFonts w:ascii="宋体" w:hAnsi="宋体"/>
          <w:szCs w:val="21"/>
        </w:rPr>
        <w:t>制造商为</w:t>
      </w:r>
      <w:r>
        <w:rPr>
          <w:rFonts w:hint="eastAsia" w:ascii="宋体" w:hAnsi="宋体"/>
          <w:szCs w:val="21"/>
          <w:u w:val="single"/>
        </w:rPr>
        <w:t xml:space="preserve">    </w:t>
      </w:r>
      <w:r>
        <w:rPr>
          <w:rFonts w:ascii="宋体" w:hAnsi="宋体"/>
          <w:b/>
          <w:bCs/>
          <w:i/>
          <w:iCs/>
          <w:szCs w:val="21"/>
          <w:u w:val="single"/>
        </w:rPr>
        <w:t>（</w:t>
      </w:r>
      <w:r>
        <w:rPr>
          <w:rFonts w:hint="eastAsia" w:ascii="宋体" w:hAnsi="宋体"/>
          <w:b/>
          <w:bCs/>
          <w:i/>
          <w:iCs/>
          <w:szCs w:val="21"/>
          <w:u w:val="single"/>
        </w:rPr>
        <w:t>企业</w:t>
      </w:r>
      <w:r>
        <w:rPr>
          <w:rFonts w:ascii="宋体" w:hAnsi="宋体"/>
          <w:b/>
          <w:bCs/>
          <w:i/>
          <w:iCs/>
          <w:szCs w:val="21"/>
          <w:u w:val="single"/>
        </w:rPr>
        <w:t>名称）</w:t>
      </w:r>
      <w:r>
        <w:rPr>
          <w:rFonts w:hint="eastAsia" w:ascii="宋体" w:hAnsi="宋体"/>
          <w:b/>
          <w:bCs/>
          <w:i/>
          <w:iCs/>
          <w:szCs w:val="21"/>
          <w:u w:val="single"/>
        </w:rPr>
        <w:t xml:space="preserve">    </w:t>
      </w:r>
      <w:r>
        <w:rPr>
          <w:rFonts w:ascii="宋体" w:hAnsi="宋体"/>
          <w:szCs w:val="21"/>
        </w:rPr>
        <w:t>，属于</w:t>
      </w:r>
      <w:r>
        <w:rPr>
          <w:rFonts w:hint="eastAsia" w:ascii="宋体" w:hAnsi="宋体"/>
          <w:szCs w:val="21"/>
          <w:u w:val="single"/>
        </w:rPr>
        <w:t xml:space="preserve">  </w:t>
      </w:r>
      <w:r>
        <w:rPr>
          <w:rFonts w:hint="eastAsia" w:ascii="宋体" w:hAnsi="宋体"/>
          <w:b/>
          <w:bCs/>
          <w:szCs w:val="21"/>
          <w:u w:val="single"/>
        </w:rPr>
        <w:t xml:space="preserve">监狱企业  </w:t>
      </w:r>
      <w:r>
        <w:rPr>
          <w:rFonts w:ascii="宋体" w:hAnsi="宋体"/>
          <w:szCs w:val="21"/>
        </w:rPr>
        <w:t>；</w:t>
      </w:r>
    </w:p>
    <w:p w14:paraId="22AAC1E1">
      <w:pPr>
        <w:spacing w:line="360" w:lineRule="auto"/>
        <w:ind w:firstLine="420" w:firstLineChars="200"/>
        <w:rPr>
          <w:rFonts w:ascii="宋体" w:hAnsi="宋体"/>
          <w:szCs w:val="21"/>
        </w:rPr>
      </w:pPr>
      <w:r>
        <w:rPr>
          <w:rFonts w:ascii="宋体" w:hAnsi="宋体"/>
          <w:szCs w:val="21"/>
        </w:rPr>
        <w:t>2.</w:t>
      </w:r>
      <w:r>
        <w:rPr>
          <w:rFonts w:ascii="宋体" w:hAnsi="宋体"/>
          <w:b/>
          <w:bCs/>
          <w:i/>
          <w:iCs/>
          <w:szCs w:val="21"/>
          <w:u w:val="single"/>
        </w:rPr>
        <w:t xml:space="preserve"> </w:t>
      </w:r>
      <w:r>
        <w:rPr>
          <w:rFonts w:hint="eastAsia" w:ascii="宋体" w:hAnsi="宋体"/>
          <w:b/>
          <w:bCs/>
          <w:i/>
          <w:iCs/>
          <w:szCs w:val="21"/>
          <w:u w:val="single"/>
        </w:rPr>
        <w:t xml:space="preserve">   </w:t>
      </w:r>
      <w:r>
        <w:rPr>
          <w:rFonts w:ascii="宋体" w:hAnsi="宋体"/>
          <w:b/>
          <w:bCs/>
          <w:i/>
          <w:iCs/>
          <w:szCs w:val="21"/>
          <w:u w:val="single"/>
        </w:rPr>
        <w:t>（标的名称）</w:t>
      </w:r>
      <w:r>
        <w:rPr>
          <w:rFonts w:hint="eastAsia" w:ascii="宋体" w:hAnsi="宋体"/>
          <w:b/>
          <w:bCs/>
          <w:i/>
          <w:iCs/>
          <w:szCs w:val="21"/>
          <w:u w:val="single"/>
        </w:rPr>
        <w:t xml:space="preserve">    </w:t>
      </w:r>
      <w:r>
        <w:rPr>
          <w:rFonts w:hint="eastAsia" w:ascii="宋体" w:hAnsi="宋体"/>
          <w:szCs w:val="21"/>
        </w:rPr>
        <w:t>，</w:t>
      </w:r>
      <w:r>
        <w:rPr>
          <w:rFonts w:ascii="宋体" w:hAnsi="宋体"/>
          <w:szCs w:val="21"/>
        </w:rPr>
        <w:t>制造商为</w:t>
      </w:r>
      <w:r>
        <w:rPr>
          <w:rFonts w:hint="eastAsia" w:ascii="宋体" w:hAnsi="宋体"/>
          <w:szCs w:val="21"/>
          <w:u w:val="single"/>
        </w:rPr>
        <w:t xml:space="preserve">    </w:t>
      </w:r>
      <w:r>
        <w:rPr>
          <w:rFonts w:ascii="宋体" w:hAnsi="宋体"/>
          <w:b/>
          <w:bCs/>
          <w:i/>
          <w:iCs/>
          <w:szCs w:val="21"/>
          <w:u w:val="single"/>
        </w:rPr>
        <w:t>（</w:t>
      </w:r>
      <w:r>
        <w:rPr>
          <w:rFonts w:hint="eastAsia" w:ascii="宋体" w:hAnsi="宋体"/>
          <w:b/>
          <w:bCs/>
          <w:i/>
          <w:iCs/>
          <w:szCs w:val="21"/>
          <w:u w:val="single"/>
        </w:rPr>
        <w:t>企业</w:t>
      </w:r>
      <w:r>
        <w:rPr>
          <w:rFonts w:ascii="宋体" w:hAnsi="宋体"/>
          <w:b/>
          <w:bCs/>
          <w:i/>
          <w:iCs/>
          <w:szCs w:val="21"/>
          <w:u w:val="single"/>
        </w:rPr>
        <w:t>名称）</w:t>
      </w:r>
      <w:r>
        <w:rPr>
          <w:rFonts w:hint="eastAsia" w:ascii="宋体" w:hAnsi="宋体"/>
          <w:b/>
          <w:bCs/>
          <w:i/>
          <w:iCs/>
          <w:szCs w:val="21"/>
          <w:u w:val="single"/>
        </w:rPr>
        <w:t xml:space="preserve">    </w:t>
      </w:r>
      <w:r>
        <w:rPr>
          <w:rFonts w:ascii="宋体" w:hAnsi="宋体"/>
          <w:szCs w:val="21"/>
        </w:rPr>
        <w:t>，属于</w:t>
      </w:r>
      <w:r>
        <w:rPr>
          <w:rFonts w:hint="eastAsia" w:ascii="宋体" w:hAnsi="宋体"/>
          <w:szCs w:val="21"/>
          <w:u w:val="single"/>
        </w:rPr>
        <w:t xml:space="preserve">  </w:t>
      </w:r>
      <w:r>
        <w:rPr>
          <w:rFonts w:hint="eastAsia" w:ascii="宋体" w:hAnsi="宋体"/>
          <w:b/>
          <w:bCs/>
          <w:szCs w:val="21"/>
          <w:u w:val="single"/>
        </w:rPr>
        <w:t xml:space="preserve">监狱企业  </w:t>
      </w:r>
      <w:r>
        <w:rPr>
          <w:rFonts w:hint="eastAsia" w:ascii="宋体" w:hAnsi="宋体"/>
          <w:szCs w:val="21"/>
        </w:rPr>
        <w:t>。</w:t>
      </w:r>
    </w:p>
    <w:p w14:paraId="7965DC0B">
      <w:pPr>
        <w:spacing w:line="360" w:lineRule="auto"/>
        <w:ind w:firstLine="420" w:firstLineChars="200"/>
        <w:rPr>
          <w:rFonts w:ascii="宋体" w:hAnsi="宋体"/>
          <w:szCs w:val="21"/>
        </w:rPr>
      </w:pPr>
      <w:r>
        <w:rPr>
          <w:rFonts w:ascii="宋体" w:hAnsi="宋体"/>
          <w:szCs w:val="21"/>
        </w:rPr>
        <w:t xml:space="preserve">…… </w:t>
      </w:r>
    </w:p>
    <w:p w14:paraId="22F526FE">
      <w:pPr>
        <w:spacing w:line="360" w:lineRule="auto"/>
        <w:ind w:firstLine="420" w:firstLineChars="200"/>
        <w:rPr>
          <w:rFonts w:ascii="宋体" w:hAnsi="宋体"/>
          <w:szCs w:val="21"/>
        </w:rPr>
      </w:pPr>
      <w:r>
        <w:rPr>
          <w:rFonts w:ascii="宋体" w:hAnsi="宋体"/>
          <w:szCs w:val="21"/>
        </w:rPr>
        <w:t>本</w:t>
      </w:r>
      <w:r>
        <w:rPr>
          <w:rFonts w:hint="eastAsia" w:ascii="宋体" w:hAnsi="宋体"/>
          <w:szCs w:val="21"/>
        </w:rPr>
        <w:t>投标人</w:t>
      </w:r>
      <w:r>
        <w:rPr>
          <w:rFonts w:ascii="宋体" w:hAnsi="宋体"/>
          <w:szCs w:val="21"/>
        </w:rPr>
        <w:t>对上述声明内容的真实性负责。如有虚假，将依法承担相应责任。</w:t>
      </w:r>
    </w:p>
    <w:p w14:paraId="27DE9468">
      <w:pPr>
        <w:spacing w:line="360" w:lineRule="auto"/>
        <w:ind w:firstLine="420" w:firstLineChars="200"/>
        <w:rPr>
          <w:b/>
          <w:bCs/>
          <w:color w:val="FF0000"/>
          <w:szCs w:val="21"/>
        </w:rPr>
      </w:pPr>
      <w:r>
        <w:rPr>
          <w:rFonts w:hint="eastAsia" w:ascii="宋体" w:hAnsi="宋体"/>
          <w:szCs w:val="21"/>
        </w:rPr>
        <w:t>附：省级以上监狱管理局、戒毒管理局（含新疆生产建设兵团）出具的监狱企业证明文件。</w:t>
      </w:r>
      <w:bookmarkEnd w:id="27"/>
    </w:p>
    <w:p w14:paraId="36EDEEE4">
      <w:pPr>
        <w:keepNext/>
        <w:keepLines/>
        <w:pageBreakBefore/>
        <w:adjustRightInd w:val="0"/>
        <w:snapToGrid w:val="0"/>
        <w:spacing w:line="360" w:lineRule="auto"/>
        <w:jc w:val="center"/>
        <w:textAlignment w:val="baseline"/>
        <w:outlineLvl w:val="2"/>
        <w:rPr>
          <w:rFonts w:ascii="宋体" w:hAnsi="宋体" w:eastAsia="宋体" w:cs="Times New Roman"/>
          <w:b/>
          <w:bCs/>
          <w:kern w:val="0"/>
          <w:sz w:val="24"/>
          <w:szCs w:val="20"/>
        </w:rPr>
      </w:pPr>
      <w:r>
        <w:rPr>
          <w:rFonts w:hint="eastAsia" w:ascii="宋体" w:hAnsi="宋体" w:eastAsia="宋体" w:cs="Times New Roman"/>
          <w:b/>
          <w:bCs/>
          <w:kern w:val="0"/>
          <w:sz w:val="24"/>
          <w:szCs w:val="20"/>
        </w:rPr>
        <w:t>四、分项报价清单</w:t>
      </w:r>
    </w:p>
    <w:p w14:paraId="2CA41FC3">
      <w:pPr>
        <w:spacing w:after="78" w:afterLines="25" w:line="300" w:lineRule="auto"/>
        <w:rPr>
          <w:rFonts w:ascii="Arial" w:hAnsi="Arial" w:eastAsia="宋体" w:cs="Arial"/>
          <w:szCs w:val="24"/>
        </w:rPr>
      </w:pPr>
      <w:r>
        <w:rPr>
          <w:rFonts w:hint="eastAsia" w:ascii="Arial" w:hAnsi="Arial" w:eastAsia="宋体" w:cs="Arial"/>
          <w:color w:val="000000"/>
          <w:szCs w:val="24"/>
        </w:rPr>
        <w:t>投标单位（投标人）名称：</w:t>
      </w:r>
      <w:r>
        <w:rPr>
          <w:rFonts w:ascii="Arial" w:hAnsi="Arial" w:eastAsia="宋体" w:cs="Arial"/>
          <w:color w:val="000000"/>
          <w:szCs w:val="24"/>
          <w:u w:val="single"/>
        </w:rPr>
        <w:t xml:space="preserve">                          </w:t>
      </w:r>
    </w:p>
    <w:p w14:paraId="40DF5B99">
      <w:pPr>
        <w:tabs>
          <w:tab w:val="left" w:pos="720"/>
        </w:tabs>
        <w:spacing w:after="78" w:afterLines="25" w:line="300" w:lineRule="auto"/>
        <w:rPr>
          <w:rFonts w:ascii="Arial" w:hAnsi="Arial" w:eastAsia="宋体" w:cs="Times New Roman"/>
          <w:b/>
          <w:sz w:val="24"/>
          <w:szCs w:val="24"/>
        </w:rPr>
      </w:pPr>
      <w:r>
        <w:rPr>
          <w:rFonts w:hint="eastAsia" w:ascii="Arial" w:hAnsi="Arial" w:eastAsia="宋体" w:cs="Times New Roman"/>
          <w:b/>
          <w:sz w:val="24"/>
          <w:szCs w:val="24"/>
        </w:rPr>
        <w:t>（一）项目报价表</w:t>
      </w:r>
    </w:p>
    <w:tbl>
      <w:tblPr>
        <w:tblStyle w:val="16"/>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1663"/>
        <w:gridCol w:w="745"/>
        <w:gridCol w:w="873"/>
        <w:gridCol w:w="968"/>
        <w:gridCol w:w="725"/>
        <w:gridCol w:w="510"/>
        <w:gridCol w:w="510"/>
        <w:gridCol w:w="721"/>
        <w:gridCol w:w="964"/>
        <w:gridCol w:w="966"/>
      </w:tblGrid>
      <w:tr w14:paraId="3A538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67" w:type="pct"/>
          </w:tcPr>
          <w:p w14:paraId="6AD0AD69">
            <w:pPr>
              <w:spacing w:line="300" w:lineRule="auto"/>
              <w:jc w:val="center"/>
              <w:rPr>
                <w:rFonts w:ascii="Arial" w:hAnsi="Arial" w:eastAsia="宋体" w:cs="Times New Roman"/>
                <w:szCs w:val="24"/>
              </w:rPr>
            </w:pPr>
            <w:r>
              <w:rPr>
                <w:rFonts w:hint="eastAsia" w:ascii="Arial" w:hAnsi="Arial" w:eastAsia="宋体" w:cs="Times New Roman"/>
                <w:szCs w:val="24"/>
              </w:rPr>
              <w:t>序号</w:t>
            </w:r>
          </w:p>
        </w:tc>
        <w:tc>
          <w:tcPr>
            <w:tcW w:w="903" w:type="pct"/>
            <w:vAlign w:val="center"/>
          </w:tcPr>
          <w:p w14:paraId="75E97225">
            <w:pPr>
              <w:spacing w:line="300" w:lineRule="auto"/>
              <w:jc w:val="center"/>
              <w:rPr>
                <w:rFonts w:ascii="Arial" w:hAnsi="Arial" w:eastAsia="宋体" w:cs="Times New Roman"/>
                <w:szCs w:val="24"/>
              </w:rPr>
            </w:pPr>
            <w:r>
              <w:rPr>
                <w:rFonts w:hint="eastAsia" w:ascii="Arial" w:hAnsi="Arial" w:eastAsia="宋体" w:cs="Times New Roman"/>
                <w:szCs w:val="24"/>
              </w:rPr>
              <w:t>货物名称</w:t>
            </w:r>
          </w:p>
        </w:tc>
        <w:tc>
          <w:tcPr>
            <w:tcW w:w="409" w:type="pct"/>
            <w:vAlign w:val="center"/>
          </w:tcPr>
          <w:p w14:paraId="5ECBF76A">
            <w:pPr>
              <w:spacing w:line="300" w:lineRule="auto"/>
              <w:jc w:val="center"/>
              <w:rPr>
                <w:rFonts w:ascii="Arial" w:hAnsi="Arial" w:eastAsia="宋体" w:cs="Times New Roman"/>
                <w:szCs w:val="24"/>
              </w:rPr>
            </w:pPr>
            <w:r>
              <w:rPr>
                <w:rFonts w:hint="eastAsia" w:ascii="Arial" w:hAnsi="Arial" w:eastAsia="宋体" w:cs="Times New Roman"/>
                <w:szCs w:val="24"/>
              </w:rPr>
              <w:t>品牌</w:t>
            </w:r>
          </w:p>
        </w:tc>
        <w:tc>
          <w:tcPr>
            <w:tcW w:w="478" w:type="pct"/>
            <w:vAlign w:val="center"/>
          </w:tcPr>
          <w:p w14:paraId="09F24C3E">
            <w:pPr>
              <w:spacing w:line="300" w:lineRule="auto"/>
              <w:jc w:val="center"/>
              <w:rPr>
                <w:rFonts w:ascii="Arial" w:hAnsi="Arial" w:eastAsia="宋体" w:cs="Times New Roman"/>
                <w:szCs w:val="24"/>
              </w:rPr>
            </w:pPr>
            <w:r>
              <w:rPr>
                <w:rFonts w:hint="eastAsia" w:ascii="Arial" w:hAnsi="Arial" w:eastAsia="宋体" w:cs="Times New Roman"/>
                <w:szCs w:val="24"/>
              </w:rPr>
              <w:t>规格/型号</w:t>
            </w:r>
          </w:p>
        </w:tc>
        <w:tc>
          <w:tcPr>
            <w:tcW w:w="529" w:type="pct"/>
            <w:vAlign w:val="center"/>
          </w:tcPr>
          <w:p w14:paraId="64DA73C3">
            <w:pPr>
              <w:spacing w:line="300" w:lineRule="auto"/>
              <w:jc w:val="center"/>
              <w:rPr>
                <w:rFonts w:ascii="Arial" w:hAnsi="Arial" w:eastAsia="宋体" w:cs="Times New Roman"/>
                <w:b/>
                <w:szCs w:val="24"/>
              </w:rPr>
            </w:pPr>
            <w:r>
              <w:rPr>
                <w:rFonts w:hint="eastAsia" w:ascii="Arial" w:hAnsi="Arial" w:eastAsia="宋体" w:cs="Times New Roman"/>
                <w:bCs/>
                <w:szCs w:val="24"/>
              </w:rPr>
              <w:t>制造商名称</w:t>
            </w:r>
          </w:p>
        </w:tc>
        <w:tc>
          <w:tcPr>
            <w:tcW w:w="395" w:type="pct"/>
            <w:vAlign w:val="center"/>
          </w:tcPr>
          <w:p w14:paraId="4C871665">
            <w:pPr>
              <w:spacing w:line="300" w:lineRule="auto"/>
              <w:jc w:val="center"/>
              <w:rPr>
                <w:rFonts w:ascii="Arial" w:hAnsi="Arial" w:eastAsia="宋体" w:cs="Times New Roman"/>
                <w:szCs w:val="24"/>
              </w:rPr>
            </w:pPr>
            <w:r>
              <w:rPr>
                <w:rFonts w:hint="eastAsia" w:ascii="Arial" w:hAnsi="Arial" w:eastAsia="宋体" w:cs="Times New Roman"/>
                <w:szCs w:val="24"/>
              </w:rPr>
              <w:t>原产地</w:t>
            </w:r>
          </w:p>
        </w:tc>
        <w:tc>
          <w:tcPr>
            <w:tcW w:w="282" w:type="pct"/>
            <w:vAlign w:val="center"/>
          </w:tcPr>
          <w:p w14:paraId="6675CDB5">
            <w:pPr>
              <w:spacing w:line="300" w:lineRule="auto"/>
              <w:jc w:val="center"/>
              <w:rPr>
                <w:rFonts w:ascii="Arial" w:hAnsi="Arial" w:eastAsia="宋体" w:cs="Times New Roman"/>
                <w:szCs w:val="24"/>
              </w:rPr>
            </w:pPr>
            <w:r>
              <w:rPr>
                <w:rFonts w:hint="eastAsia" w:ascii="Arial" w:hAnsi="Arial" w:eastAsia="宋体" w:cs="Times New Roman"/>
                <w:szCs w:val="24"/>
              </w:rPr>
              <w:t>数量</w:t>
            </w:r>
          </w:p>
        </w:tc>
        <w:tc>
          <w:tcPr>
            <w:tcW w:w="282" w:type="pct"/>
          </w:tcPr>
          <w:p w14:paraId="511137C1">
            <w:pPr>
              <w:spacing w:line="300" w:lineRule="auto"/>
              <w:jc w:val="center"/>
              <w:rPr>
                <w:rFonts w:ascii="Arial" w:hAnsi="Arial" w:eastAsia="宋体" w:cs="Times New Roman"/>
                <w:szCs w:val="24"/>
              </w:rPr>
            </w:pPr>
            <w:r>
              <w:rPr>
                <w:rFonts w:hint="eastAsia" w:ascii="Arial" w:hAnsi="Arial" w:eastAsia="宋体" w:cs="Times New Roman"/>
                <w:szCs w:val="24"/>
              </w:rPr>
              <w:t>单位</w:t>
            </w:r>
          </w:p>
        </w:tc>
        <w:tc>
          <w:tcPr>
            <w:tcW w:w="396" w:type="pct"/>
            <w:vAlign w:val="center"/>
          </w:tcPr>
          <w:p w14:paraId="61BC241D">
            <w:pPr>
              <w:spacing w:line="300" w:lineRule="auto"/>
              <w:jc w:val="center"/>
              <w:rPr>
                <w:rFonts w:ascii="Arial" w:hAnsi="Arial" w:eastAsia="宋体" w:cs="Times New Roman"/>
                <w:szCs w:val="24"/>
              </w:rPr>
            </w:pPr>
            <w:r>
              <w:rPr>
                <w:rFonts w:hint="eastAsia" w:ascii="Arial" w:hAnsi="Arial" w:eastAsia="宋体" w:cs="Times New Roman"/>
                <w:szCs w:val="24"/>
              </w:rPr>
              <w:t>单价(元)</w:t>
            </w:r>
          </w:p>
        </w:tc>
        <w:tc>
          <w:tcPr>
            <w:tcW w:w="527" w:type="pct"/>
            <w:vAlign w:val="center"/>
          </w:tcPr>
          <w:p w14:paraId="19DE9258">
            <w:pPr>
              <w:spacing w:line="300" w:lineRule="auto"/>
              <w:jc w:val="center"/>
              <w:rPr>
                <w:rFonts w:ascii="Arial" w:hAnsi="Arial" w:eastAsia="宋体" w:cs="Times New Roman"/>
                <w:szCs w:val="24"/>
              </w:rPr>
            </w:pPr>
            <w:r>
              <w:rPr>
                <w:rFonts w:hint="eastAsia" w:ascii="Arial" w:hAnsi="Arial" w:eastAsia="宋体" w:cs="Times New Roman"/>
                <w:szCs w:val="24"/>
              </w:rPr>
              <w:t>合价(元)</w:t>
            </w:r>
          </w:p>
        </w:tc>
        <w:tc>
          <w:tcPr>
            <w:tcW w:w="527" w:type="pct"/>
            <w:vAlign w:val="center"/>
          </w:tcPr>
          <w:p w14:paraId="311295F7">
            <w:pPr>
              <w:spacing w:line="300" w:lineRule="auto"/>
              <w:jc w:val="center"/>
              <w:rPr>
                <w:rFonts w:ascii="Arial" w:hAnsi="Arial" w:eastAsia="宋体" w:cs="Times New Roman"/>
                <w:szCs w:val="24"/>
              </w:rPr>
            </w:pPr>
            <w:r>
              <w:rPr>
                <w:rFonts w:hint="eastAsia" w:ascii="Times New Roman" w:hAnsi="Times New Roman" w:eastAsia="宋体" w:cs="Times New Roman"/>
                <w:szCs w:val="21"/>
              </w:rPr>
              <w:t>预算金额（元）</w:t>
            </w:r>
          </w:p>
        </w:tc>
      </w:tr>
      <w:tr w14:paraId="4FB99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67" w:type="pct"/>
            <w:vAlign w:val="center"/>
          </w:tcPr>
          <w:p w14:paraId="026E723A">
            <w:pPr>
              <w:spacing w:after="78" w:afterLines="25" w:line="300" w:lineRule="auto"/>
              <w:jc w:val="center"/>
              <w:rPr>
                <w:rFonts w:ascii="Arial" w:hAnsi="Arial" w:eastAsia="宋体" w:cs="Times New Roman"/>
                <w:szCs w:val="24"/>
              </w:rPr>
            </w:pPr>
            <w:r>
              <w:rPr>
                <w:rFonts w:hint="eastAsia" w:ascii="Arial" w:hAnsi="Arial" w:eastAsia="宋体" w:cs="Times New Roman"/>
                <w:szCs w:val="24"/>
              </w:rPr>
              <w:t>1</w:t>
            </w:r>
          </w:p>
        </w:tc>
        <w:tc>
          <w:tcPr>
            <w:tcW w:w="903" w:type="pct"/>
            <w:vAlign w:val="center"/>
          </w:tcPr>
          <w:p w14:paraId="67A37AAD">
            <w:pPr>
              <w:spacing w:after="78" w:afterLines="25" w:line="300" w:lineRule="auto"/>
              <w:rPr>
                <w:rFonts w:ascii="Arial" w:hAnsi="Arial" w:eastAsia="宋体" w:cs="Times New Roman"/>
                <w:b/>
                <w:szCs w:val="24"/>
              </w:rPr>
            </w:pPr>
          </w:p>
        </w:tc>
        <w:tc>
          <w:tcPr>
            <w:tcW w:w="409" w:type="pct"/>
          </w:tcPr>
          <w:p w14:paraId="71DD6450">
            <w:pPr>
              <w:spacing w:after="78" w:afterLines="25" w:line="300" w:lineRule="auto"/>
              <w:rPr>
                <w:rFonts w:ascii="Arial" w:hAnsi="Arial" w:eastAsia="宋体" w:cs="Times New Roman"/>
                <w:szCs w:val="24"/>
              </w:rPr>
            </w:pPr>
          </w:p>
        </w:tc>
        <w:tc>
          <w:tcPr>
            <w:tcW w:w="478" w:type="pct"/>
          </w:tcPr>
          <w:p w14:paraId="072B9B78">
            <w:pPr>
              <w:spacing w:after="78" w:afterLines="25" w:line="300" w:lineRule="auto"/>
              <w:rPr>
                <w:rFonts w:ascii="Arial" w:hAnsi="Arial" w:eastAsia="宋体" w:cs="Times New Roman"/>
                <w:szCs w:val="24"/>
              </w:rPr>
            </w:pPr>
          </w:p>
        </w:tc>
        <w:tc>
          <w:tcPr>
            <w:tcW w:w="529" w:type="pct"/>
          </w:tcPr>
          <w:p w14:paraId="71E08787">
            <w:pPr>
              <w:spacing w:after="78" w:afterLines="25" w:line="300" w:lineRule="auto"/>
              <w:rPr>
                <w:rFonts w:ascii="Arial" w:hAnsi="Arial" w:eastAsia="宋体" w:cs="Times New Roman"/>
                <w:szCs w:val="24"/>
              </w:rPr>
            </w:pPr>
          </w:p>
        </w:tc>
        <w:tc>
          <w:tcPr>
            <w:tcW w:w="395" w:type="pct"/>
          </w:tcPr>
          <w:p w14:paraId="2EBC2305">
            <w:pPr>
              <w:spacing w:after="78" w:afterLines="25" w:line="300" w:lineRule="auto"/>
              <w:rPr>
                <w:rFonts w:ascii="Arial" w:hAnsi="Arial" w:eastAsia="宋体" w:cs="Times New Roman"/>
                <w:szCs w:val="24"/>
              </w:rPr>
            </w:pPr>
          </w:p>
        </w:tc>
        <w:tc>
          <w:tcPr>
            <w:tcW w:w="282" w:type="pct"/>
          </w:tcPr>
          <w:p w14:paraId="16408310">
            <w:pPr>
              <w:spacing w:after="78" w:afterLines="25" w:line="300" w:lineRule="auto"/>
              <w:rPr>
                <w:rFonts w:ascii="Arial" w:hAnsi="Arial" w:eastAsia="宋体" w:cs="Times New Roman"/>
                <w:szCs w:val="24"/>
              </w:rPr>
            </w:pPr>
          </w:p>
        </w:tc>
        <w:tc>
          <w:tcPr>
            <w:tcW w:w="282" w:type="pct"/>
          </w:tcPr>
          <w:p w14:paraId="5B6DB8B1">
            <w:pPr>
              <w:spacing w:after="78" w:afterLines="25" w:line="300" w:lineRule="auto"/>
              <w:rPr>
                <w:rFonts w:ascii="Arial" w:hAnsi="Arial" w:eastAsia="宋体" w:cs="Times New Roman"/>
                <w:szCs w:val="24"/>
              </w:rPr>
            </w:pPr>
          </w:p>
        </w:tc>
        <w:tc>
          <w:tcPr>
            <w:tcW w:w="396" w:type="pct"/>
          </w:tcPr>
          <w:p w14:paraId="188B66A7">
            <w:pPr>
              <w:spacing w:after="78" w:afterLines="25" w:line="300" w:lineRule="auto"/>
              <w:rPr>
                <w:rFonts w:ascii="Arial" w:hAnsi="Arial" w:eastAsia="宋体" w:cs="Times New Roman"/>
                <w:szCs w:val="24"/>
              </w:rPr>
            </w:pPr>
          </w:p>
        </w:tc>
        <w:tc>
          <w:tcPr>
            <w:tcW w:w="527" w:type="pct"/>
          </w:tcPr>
          <w:p w14:paraId="586BD570">
            <w:pPr>
              <w:spacing w:after="78" w:afterLines="25" w:line="300" w:lineRule="auto"/>
              <w:rPr>
                <w:rFonts w:ascii="Arial" w:hAnsi="Arial" w:eastAsia="宋体" w:cs="Times New Roman"/>
                <w:szCs w:val="24"/>
              </w:rPr>
            </w:pPr>
          </w:p>
        </w:tc>
        <w:tc>
          <w:tcPr>
            <w:tcW w:w="527" w:type="pct"/>
            <w:vMerge w:val="restart"/>
          </w:tcPr>
          <w:p w14:paraId="28257381">
            <w:pPr>
              <w:spacing w:after="78" w:afterLines="25" w:line="300" w:lineRule="auto"/>
              <w:rPr>
                <w:rFonts w:ascii="Arial" w:hAnsi="Arial" w:eastAsia="宋体" w:cs="Times New Roman"/>
                <w:szCs w:val="24"/>
              </w:rPr>
            </w:pPr>
          </w:p>
        </w:tc>
      </w:tr>
      <w:tr w14:paraId="0E883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67" w:type="pct"/>
          </w:tcPr>
          <w:p w14:paraId="0759A8C5">
            <w:pPr>
              <w:spacing w:after="78" w:afterLines="25" w:line="300" w:lineRule="auto"/>
              <w:jc w:val="center"/>
              <w:rPr>
                <w:rFonts w:ascii="Arial" w:hAnsi="Arial" w:eastAsia="宋体" w:cs="Times New Roman"/>
                <w:szCs w:val="24"/>
              </w:rPr>
            </w:pPr>
            <w:r>
              <w:rPr>
                <w:rFonts w:hint="eastAsia" w:ascii="Arial" w:hAnsi="Arial" w:eastAsia="宋体" w:cs="Times New Roman"/>
                <w:szCs w:val="24"/>
              </w:rPr>
              <w:t>2</w:t>
            </w:r>
          </w:p>
        </w:tc>
        <w:tc>
          <w:tcPr>
            <w:tcW w:w="903" w:type="pct"/>
          </w:tcPr>
          <w:p w14:paraId="0F43E074">
            <w:pPr>
              <w:spacing w:after="78" w:afterLines="25" w:line="300" w:lineRule="auto"/>
              <w:rPr>
                <w:rFonts w:ascii="Arial" w:hAnsi="Arial" w:eastAsia="宋体" w:cs="Times New Roman"/>
                <w:b/>
                <w:szCs w:val="24"/>
              </w:rPr>
            </w:pPr>
          </w:p>
        </w:tc>
        <w:tc>
          <w:tcPr>
            <w:tcW w:w="409" w:type="pct"/>
          </w:tcPr>
          <w:p w14:paraId="795B361F">
            <w:pPr>
              <w:spacing w:after="78" w:afterLines="25" w:line="300" w:lineRule="auto"/>
              <w:rPr>
                <w:rFonts w:ascii="Arial" w:hAnsi="Arial" w:eastAsia="宋体" w:cs="Times New Roman"/>
                <w:szCs w:val="24"/>
              </w:rPr>
            </w:pPr>
          </w:p>
        </w:tc>
        <w:tc>
          <w:tcPr>
            <w:tcW w:w="478" w:type="pct"/>
          </w:tcPr>
          <w:p w14:paraId="5E236B35">
            <w:pPr>
              <w:spacing w:after="78" w:afterLines="25" w:line="300" w:lineRule="auto"/>
              <w:rPr>
                <w:rFonts w:ascii="Arial" w:hAnsi="Arial" w:eastAsia="宋体" w:cs="Times New Roman"/>
                <w:szCs w:val="24"/>
              </w:rPr>
            </w:pPr>
          </w:p>
        </w:tc>
        <w:tc>
          <w:tcPr>
            <w:tcW w:w="529" w:type="pct"/>
          </w:tcPr>
          <w:p w14:paraId="0C152678">
            <w:pPr>
              <w:spacing w:after="78" w:afterLines="25" w:line="300" w:lineRule="auto"/>
              <w:rPr>
                <w:rFonts w:ascii="Arial" w:hAnsi="Arial" w:eastAsia="宋体" w:cs="Times New Roman"/>
                <w:szCs w:val="24"/>
              </w:rPr>
            </w:pPr>
          </w:p>
        </w:tc>
        <w:tc>
          <w:tcPr>
            <w:tcW w:w="395" w:type="pct"/>
          </w:tcPr>
          <w:p w14:paraId="1709B4D1">
            <w:pPr>
              <w:spacing w:after="78" w:afterLines="25" w:line="300" w:lineRule="auto"/>
              <w:rPr>
                <w:rFonts w:ascii="Arial" w:hAnsi="Arial" w:eastAsia="宋体" w:cs="Times New Roman"/>
                <w:szCs w:val="24"/>
              </w:rPr>
            </w:pPr>
          </w:p>
        </w:tc>
        <w:tc>
          <w:tcPr>
            <w:tcW w:w="282" w:type="pct"/>
          </w:tcPr>
          <w:p w14:paraId="6FD022D3">
            <w:pPr>
              <w:spacing w:after="78" w:afterLines="25" w:line="300" w:lineRule="auto"/>
              <w:rPr>
                <w:rFonts w:ascii="Arial" w:hAnsi="Arial" w:eastAsia="宋体" w:cs="Times New Roman"/>
                <w:szCs w:val="24"/>
              </w:rPr>
            </w:pPr>
          </w:p>
        </w:tc>
        <w:tc>
          <w:tcPr>
            <w:tcW w:w="282" w:type="pct"/>
          </w:tcPr>
          <w:p w14:paraId="3622DA38">
            <w:pPr>
              <w:spacing w:after="78" w:afterLines="25" w:line="300" w:lineRule="auto"/>
              <w:rPr>
                <w:rFonts w:ascii="Arial" w:hAnsi="Arial" w:eastAsia="宋体" w:cs="Times New Roman"/>
                <w:szCs w:val="24"/>
              </w:rPr>
            </w:pPr>
          </w:p>
        </w:tc>
        <w:tc>
          <w:tcPr>
            <w:tcW w:w="396" w:type="pct"/>
          </w:tcPr>
          <w:p w14:paraId="58DA8C90">
            <w:pPr>
              <w:spacing w:after="78" w:afterLines="25" w:line="300" w:lineRule="auto"/>
              <w:rPr>
                <w:rFonts w:ascii="Arial" w:hAnsi="Arial" w:eastAsia="宋体" w:cs="Times New Roman"/>
                <w:szCs w:val="24"/>
              </w:rPr>
            </w:pPr>
          </w:p>
        </w:tc>
        <w:tc>
          <w:tcPr>
            <w:tcW w:w="527" w:type="pct"/>
          </w:tcPr>
          <w:p w14:paraId="581D69CA">
            <w:pPr>
              <w:spacing w:after="78" w:afterLines="25" w:line="300" w:lineRule="auto"/>
              <w:rPr>
                <w:rFonts w:ascii="Arial" w:hAnsi="Arial" w:eastAsia="宋体" w:cs="Times New Roman"/>
                <w:szCs w:val="24"/>
              </w:rPr>
            </w:pPr>
          </w:p>
        </w:tc>
        <w:tc>
          <w:tcPr>
            <w:tcW w:w="527" w:type="pct"/>
            <w:vMerge w:val="continue"/>
          </w:tcPr>
          <w:p w14:paraId="493A6583">
            <w:pPr>
              <w:spacing w:after="78" w:afterLines="25" w:line="300" w:lineRule="auto"/>
              <w:rPr>
                <w:rFonts w:ascii="Arial" w:hAnsi="Arial" w:eastAsia="宋体" w:cs="Times New Roman"/>
                <w:szCs w:val="24"/>
              </w:rPr>
            </w:pPr>
          </w:p>
        </w:tc>
      </w:tr>
      <w:tr w14:paraId="3FCF6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267" w:type="pct"/>
          </w:tcPr>
          <w:p w14:paraId="13B2A820">
            <w:pPr>
              <w:spacing w:after="78" w:afterLines="25" w:line="300" w:lineRule="auto"/>
              <w:jc w:val="center"/>
              <w:rPr>
                <w:rFonts w:ascii="Arial" w:hAnsi="Arial" w:eastAsia="宋体" w:cs="Times New Roman"/>
                <w:szCs w:val="24"/>
              </w:rPr>
            </w:pPr>
            <w:r>
              <w:rPr>
                <w:rFonts w:hint="eastAsia" w:ascii="Arial" w:hAnsi="Arial" w:eastAsia="宋体" w:cs="Times New Roman"/>
                <w:szCs w:val="24"/>
              </w:rPr>
              <w:t>3</w:t>
            </w:r>
          </w:p>
        </w:tc>
        <w:tc>
          <w:tcPr>
            <w:tcW w:w="903" w:type="pct"/>
          </w:tcPr>
          <w:p w14:paraId="5360CF3D">
            <w:pPr>
              <w:spacing w:after="78" w:afterLines="25" w:line="300" w:lineRule="auto"/>
              <w:rPr>
                <w:rFonts w:ascii="Arial" w:hAnsi="Arial" w:eastAsia="宋体" w:cs="Times New Roman"/>
                <w:b/>
                <w:szCs w:val="24"/>
              </w:rPr>
            </w:pPr>
          </w:p>
        </w:tc>
        <w:tc>
          <w:tcPr>
            <w:tcW w:w="409" w:type="pct"/>
          </w:tcPr>
          <w:p w14:paraId="35F8C1B7">
            <w:pPr>
              <w:spacing w:after="78" w:afterLines="25" w:line="300" w:lineRule="auto"/>
              <w:rPr>
                <w:rFonts w:ascii="Arial" w:hAnsi="Arial" w:eastAsia="宋体" w:cs="Times New Roman"/>
                <w:szCs w:val="24"/>
              </w:rPr>
            </w:pPr>
          </w:p>
        </w:tc>
        <w:tc>
          <w:tcPr>
            <w:tcW w:w="478" w:type="pct"/>
          </w:tcPr>
          <w:p w14:paraId="329AD247">
            <w:pPr>
              <w:spacing w:after="78" w:afterLines="25" w:line="300" w:lineRule="auto"/>
              <w:rPr>
                <w:rFonts w:ascii="Arial" w:hAnsi="Arial" w:eastAsia="宋体" w:cs="Times New Roman"/>
                <w:szCs w:val="24"/>
              </w:rPr>
            </w:pPr>
          </w:p>
        </w:tc>
        <w:tc>
          <w:tcPr>
            <w:tcW w:w="529" w:type="pct"/>
          </w:tcPr>
          <w:p w14:paraId="0EB4EB3B">
            <w:pPr>
              <w:spacing w:after="78" w:afterLines="25" w:line="300" w:lineRule="auto"/>
              <w:rPr>
                <w:rFonts w:ascii="Arial" w:hAnsi="Arial" w:eastAsia="宋体" w:cs="Times New Roman"/>
                <w:szCs w:val="24"/>
              </w:rPr>
            </w:pPr>
          </w:p>
        </w:tc>
        <w:tc>
          <w:tcPr>
            <w:tcW w:w="395" w:type="pct"/>
          </w:tcPr>
          <w:p w14:paraId="20A82346">
            <w:pPr>
              <w:spacing w:after="78" w:afterLines="25" w:line="300" w:lineRule="auto"/>
              <w:rPr>
                <w:rFonts w:ascii="Arial" w:hAnsi="Arial" w:eastAsia="宋体" w:cs="Times New Roman"/>
                <w:szCs w:val="24"/>
              </w:rPr>
            </w:pPr>
          </w:p>
        </w:tc>
        <w:tc>
          <w:tcPr>
            <w:tcW w:w="282" w:type="pct"/>
          </w:tcPr>
          <w:p w14:paraId="4C5D5418">
            <w:pPr>
              <w:spacing w:after="78" w:afterLines="25" w:line="300" w:lineRule="auto"/>
              <w:rPr>
                <w:rFonts w:ascii="Arial" w:hAnsi="Arial" w:eastAsia="宋体" w:cs="Times New Roman"/>
                <w:szCs w:val="24"/>
              </w:rPr>
            </w:pPr>
          </w:p>
        </w:tc>
        <w:tc>
          <w:tcPr>
            <w:tcW w:w="282" w:type="pct"/>
          </w:tcPr>
          <w:p w14:paraId="740AF46F">
            <w:pPr>
              <w:spacing w:after="78" w:afterLines="25" w:line="300" w:lineRule="auto"/>
              <w:rPr>
                <w:rFonts w:ascii="Arial" w:hAnsi="Arial" w:eastAsia="宋体" w:cs="Times New Roman"/>
                <w:szCs w:val="24"/>
              </w:rPr>
            </w:pPr>
          </w:p>
        </w:tc>
        <w:tc>
          <w:tcPr>
            <w:tcW w:w="396" w:type="pct"/>
          </w:tcPr>
          <w:p w14:paraId="0427937A">
            <w:pPr>
              <w:spacing w:after="78" w:afterLines="25" w:line="300" w:lineRule="auto"/>
              <w:rPr>
                <w:rFonts w:ascii="Arial" w:hAnsi="Arial" w:eastAsia="宋体" w:cs="Times New Roman"/>
                <w:szCs w:val="24"/>
              </w:rPr>
            </w:pPr>
          </w:p>
        </w:tc>
        <w:tc>
          <w:tcPr>
            <w:tcW w:w="527" w:type="pct"/>
          </w:tcPr>
          <w:p w14:paraId="449404FD">
            <w:pPr>
              <w:spacing w:after="78" w:afterLines="25" w:line="300" w:lineRule="auto"/>
              <w:rPr>
                <w:rFonts w:ascii="Arial" w:hAnsi="Arial" w:eastAsia="宋体" w:cs="Times New Roman"/>
                <w:szCs w:val="24"/>
              </w:rPr>
            </w:pPr>
          </w:p>
        </w:tc>
        <w:tc>
          <w:tcPr>
            <w:tcW w:w="527" w:type="pct"/>
            <w:vMerge w:val="continue"/>
          </w:tcPr>
          <w:p w14:paraId="7A9067A9">
            <w:pPr>
              <w:spacing w:after="78" w:afterLines="25" w:line="300" w:lineRule="auto"/>
              <w:rPr>
                <w:rFonts w:ascii="Arial" w:hAnsi="Arial" w:eastAsia="宋体" w:cs="Times New Roman"/>
                <w:szCs w:val="24"/>
              </w:rPr>
            </w:pPr>
          </w:p>
        </w:tc>
      </w:tr>
      <w:tr w14:paraId="64F4F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267" w:type="pct"/>
          </w:tcPr>
          <w:p w14:paraId="094D0563">
            <w:pPr>
              <w:spacing w:after="78" w:afterLines="25" w:line="300" w:lineRule="auto"/>
              <w:jc w:val="center"/>
              <w:rPr>
                <w:rFonts w:ascii="Arial" w:hAnsi="Arial" w:eastAsia="宋体" w:cs="Times New Roman"/>
                <w:szCs w:val="24"/>
              </w:rPr>
            </w:pPr>
            <w:r>
              <w:rPr>
                <w:rFonts w:hint="eastAsia" w:ascii="Arial" w:hAnsi="Arial" w:eastAsia="宋体" w:cs="Times New Roman"/>
                <w:szCs w:val="24"/>
              </w:rPr>
              <w:t>……</w:t>
            </w:r>
          </w:p>
        </w:tc>
        <w:tc>
          <w:tcPr>
            <w:tcW w:w="903" w:type="pct"/>
          </w:tcPr>
          <w:p w14:paraId="29C869A7">
            <w:pPr>
              <w:spacing w:after="78" w:afterLines="25" w:line="300" w:lineRule="auto"/>
              <w:rPr>
                <w:rFonts w:ascii="Arial" w:hAnsi="Arial" w:eastAsia="宋体" w:cs="Times New Roman"/>
                <w:b/>
                <w:szCs w:val="24"/>
              </w:rPr>
            </w:pPr>
          </w:p>
        </w:tc>
        <w:tc>
          <w:tcPr>
            <w:tcW w:w="409" w:type="pct"/>
          </w:tcPr>
          <w:p w14:paraId="4E918E21">
            <w:pPr>
              <w:spacing w:after="78" w:afterLines="25" w:line="300" w:lineRule="auto"/>
              <w:rPr>
                <w:rFonts w:ascii="Arial" w:hAnsi="Arial" w:eastAsia="宋体" w:cs="Times New Roman"/>
                <w:szCs w:val="24"/>
              </w:rPr>
            </w:pPr>
          </w:p>
        </w:tc>
        <w:tc>
          <w:tcPr>
            <w:tcW w:w="478" w:type="pct"/>
          </w:tcPr>
          <w:p w14:paraId="67B003BE">
            <w:pPr>
              <w:spacing w:after="78" w:afterLines="25" w:line="300" w:lineRule="auto"/>
              <w:rPr>
                <w:rFonts w:ascii="Arial" w:hAnsi="Arial" w:eastAsia="宋体" w:cs="Times New Roman"/>
                <w:szCs w:val="24"/>
              </w:rPr>
            </w:pPr>
          </w:p>
        </w:tc>
        <w:tc>
          <w:tcPr>
            <w:tcW w:w="529" w:type="pct"/>
          </w:tcPr>
          <w:p w14:paraId="6F856490">
            <w:pPr>
              <w:spacing w:after="78" w:afterLines="25" w:line="300" w:lineRule="auto"/>
              <w:rPr>
                <w:rFonts w:ascii="Arial" w:hAnsi="Arial" w:eastAsia="宋体" w:cs="Times New Roman"/>
                <w:szCs w:val="24"/>
              </w:rPr>
            </w:pPr>
          </w:p>
        </w:tc>
        <w:tc>
          <w:tcPr>
            <w:tcW w:w="395" w:type="pct"/>
          </w:tcPr>
          <w:p w14:paraId="2D1D71F0">
            <w:pPr>
              <w:spacing w:after="78" w:afterLines="25" w:line="300" w:lineRule="auto"/>
              <w:rPr>
                <w:rFonts w:ascii="Arial" w:hAnsi="Arial" w:eastAsia="宋体" w:cs="Times New Roman"/>
                <w:szCs w:val="24"/>
              </w:rPr>
            </w:pPr>
          </w:p>
        </w:tc>
        <w:tc>
          <w:tcPr>
            <w:tcW w:w="282" w:type="pct"/>
          </w:tcPr>
          <w:p w14:paraId="31E4E864">
            <w:pPr>
              <w:spacing w:after="78" w:afterLines="25" w:line="300" w:lineRule="auto"/>
              <w:rPr>
                <w:rFonts w:ascii="Arial" w:hAnsi="Arial" w:eastAsia="宋体" w:cs="Times New Roman"/>
                <w:szCs w:val="24"/>
              </w:rPr>
            </w:pPr>
          </w:p>
        </w:tc>
        <w:tc>
          <w:tcPr>
            <w:tcW w:w="282" w:type="pct"/>
          </w:tcPr>
          <w:p w14:paraId="55EDB7AF">
            <w:pPr>
              <w:spacing w:after="78" w:afterLines="25" w:line="300" w:lineRule="auto"/>
              <w:rPr>
                <w:rFonts w:ascii="Arial" w:hAnsi="Arial" w:eastAsia="宋体" w:cs="Times New Roman"/>
                <w:szCs w:val="24"/>
              </w:rPr>
            </w:pPr>
          </w:p>
        </w:tc>
        <w:tc>
          <w:tcPr>
            <w:tcW w:w="396" w:type="pct"/>
          </w:tcPr>
          <w:p w14:paraId="25EA24F0">
            <w:pPr>
              <w:spacing w:after="78" w:afterLines="25" w:line="300" w:lineRule="auto"/>
              <w:rPr>
                <w:rFonts w:ascii="Arial" w:hAnsi="Arial" w:eastAsia="宋体" w:cs="Times New Roman"/>
                <w:szCs w:val="24"/>
              </w:rPr>
            </w:pPr>
          </w:p>
        </w:tc>
        <w:tc>
          <w:tcPr>
            <w:tcW w:w="527" w:type="pct"/>
          </w:tcPr>
          <w:p w14:paraId="62E7C39D">
            <w:pPr>
              <w:spacing w:after="78" w:afterLines="25" w:line="300" w:lineRule="auto"/>
              <w:rPr>
                <w:rFonts w:ascii="Arial" w:hAnsi="Arial" w:eastAsia="宋体" w:cs="Times New Roman"/>
                <w:szCs w:val="24"/>
              </w:rPr>
            </w:pPr>
          </w:p>
        </w:tc>
        <w:tc>
          <w:tcPr>
            <w:tcW w:w="527" w:type="pct"/>
            <w:vMerge w:val="continue"/>
          </w:tcPr>
          <w:p w14:paraId="21207C78">
            <w:pPr>
              <w:spacing w:after="78" w:afterLines="25" w:line="300" w:lineRule="auto"/>
              <w:rPr>
                <w:rFonts w:ascii="Arial" w:hAnsi="Arial" w:eastAsia="宋体" w:cs="Times New Roman"/>
                <w:szCs w:val="24"/>
              </w:rPr>
            </w:pPr>
          </w:p>
        </w:tc>
      </w:tr>
      <w:tr w14:paraId="1047D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984" w:type="pct"/>
            <w:gridSpan w:val="6"/>
          </w:tcPr>
          <w:p w14:paraId="7A4C9FF4">
            <w:pPr>
              <w:spacing w:after="78" w:afterLines="25" w:line="300" w:lineRule="auto"/>
              <w:jc w:val="center"/>
              <w:rPr>
                <w:rFonts w:ascii="Arial" w:hAnsi="Arial" w:eastAsia="宋体" w:cs="Times New Roman"/>
                <w:szCs w:val="24"/>
              </w:rPr>
            </w:pPr>
            <w:r>
              <w:rPr>
                <w:rFonts w:hint="eastAsia" w:ascii="Arial" w:hAnsi="Arial" w:eastAsia="宋体" w:cs="Times New Roman"/>
                <w:b/>
                <w:szCs w:val="24"/>
              </w:rPr>
              <w:t>投标总价</w:t>
            </w:r>
            <w:r>
              <w:rPr>
                <w:rFonts w:hint="eastAsia" w:ascii="Arial" w:hAnsi="Arial" w:eastAsia="宋体" w:cs="Times New Roman"/>
                <w:szCs w:val="24"/>
              </w:rPr>
              <w:t>（以上各项之和；币种：人民币；单位：元）</w:t>
            </w:r>
          </w:p>
        </w:tc>
        <w:tc>
          <w:tcPr>
            <w:tcW w:w="2015" w:type="pct"/>
            <w:gridSpan w:val="5"/>
          </w:tcPr>
          <w:p w14:paraId="2AE35BEF">
            <w:pPr>
              <w:spacing w:after="78" w:afterLines="25" w:line="300" w:lineRule="auto"/>
              <w:rPr>
                <w:rFonts w:ascii="Arial" w:hAnsi="Arial" w:eastAsia="宋体" w:cs="Times New Roman"/>
                <w:szCs w:val="24"/>
              </w:rPr>
            </w:pPr>
          </w:p>
        </w:tc>
      </w:tr>
    </w:tbl>
    <w:p w14:paraId="5F593BC8">
      <w:pPr>
        <w:snapToGrid w:val="0"/>
        <w:rPr>
          <w:rFonts w:cs="Times New Roman" w:asciiTheme="minorEastAsia" w:hAnsiTheme="minorEastAsia"/>
          <w:b/>
          <w:szCs w:val="24"/>
        </w:rPr>
      </w:pPr>
      <w:r>
        <w:rPr>
          <w:rFonts w:hint="eastAsia" w:cs="Times New Roman" w:asciiTheme="minorEastAsia" w:hAnsiTheme="minorEastAsia"/>
          <w:b/>
          <w:szCs w:val="24"/>
        </w:rPr>
        <w:t>填写说明：</w:t>
      </w:r>
    </w:p>
    <w:p w14:paraId="3D4F8AAD">
      <w:pPr>
        <w:snapToGrid w:val="0"/>
        <w:rPr>
          <w:rFonts w:cs="Times New Roman" w:asciiTheme="minorEastAsia" w:hAnsiTheme="minorEastAsia"/>
          <w:b/>
          <w:szCs w:val="24"/>
        </w:rPr>
      </w:pPr>
      <w:r>
        <w:rPr>
          <w:rFonts w:hint="eastAsia" w:cs="Times New Roman" w:asciiTheme="minorEastAsia" w:hAnsiTheme="minorEastAsia"/>
          <w:b/>
          <w:szCs w:val="24"/>
        </w:rPr>
        <w:t>1.本表可按同样格式扩展。</w:t>
      </w:r>
    </w:p>
    <w:p w14:paraId="3DB6AB7F">
      <w:pPr>
        <w:snapToGrid w:val="0"/>
        <w:rPr>
          <w:rFonts w:cs="Times New Roman" w:asciiTheme="minorEastAsia" w:hAnsiTheme="minorEastAsia"/>
          <w:b/>
          <w:szCs w:val="24"/>
        </w:rPr>
      </w:pPr>
      <w:r>
        <w:rPr>
          <w:rFonts w:hint="eastAsia" w:cs="Times New Roman" w:asciiTheme="minorEastAsia" w:hAnsiTheme="minorEastAsia"/>
          <w:b/>
          <w:szCs w:val="24"/>
        </w:rPr>
        <w:t>2. “品牌”可以与商标一致，也可以填写便于区分其他公司商品的制造商简称或者制造商认可的品牌名称。</w:t>
      </w:r>
    </w:p>
    <w:p w14:paraId="3871E430">
      <w:pPr>
        <w:snapToGrid w:val="0"/>
        <w:rPr>
          <w:rFonts w:cs="Times New Roman" w:asciiTheme="minorEastAsia" w:hAnsiTheme="minorEastAsia"/>
          <w:b/>
          <w:szCs w:val="24"/>
        </w:rPr>
      </w:pPr>
      <w:r>
        <w:rPr>
          <w:rFonts w:hint="eastAsia" w:cs="Times New Roman" w:asciiTheme="minorEastAsia" w:hAnsiTheme="minorEastAsia"/>
          <w:b/>
          <w:szCs w:val="24"/>
        </w:rPr>
        <w:t>3.如所投货物属于定制类的非量产货物或无具体型号的货物，可以在“规格/型号”一栏仅填写规格信息而不填写型号信息（型号信息用“定制”描述即可）；</w:t>
      </w:r>
      <w:bookmarkStart w:id="30" w:name="_Hlk73646428"/>
      <w:r>
        <w:rPr>
          <w:rFonts w:hint="eastAsia" w:cs="Times New Roman" w:asciiTheme="minorEastAsia" w:hAnsiTheme="minorEastAsia"/>
          <w:b/>
          <w:szCs w:val="24"/>
        </w:rPr>
        <w:t>此类填写错误或缺漏（所投货物为定制类的非量产货物但供应商却错误填报了型号）可能带来的不利后果由供应商承担。</w:t>
      </w:r>
      <w:bookmarkEnd w:id="30"/>
    </w:p>
    <w:p w14:paraId="2D2C8240">
      <w:pPr>
        <w:snapToGrid w:val="0"/>
        <w:rPr>
          <w:rFonts w:cs="Times New Roman" w:asciiTheme="minorEastAsia" w:hAnsiTheme="minorEastAsia"/>
          <w:b/>
          <w:szCs w:val="24"/>
        </w:rPr>
      </w:pPr>
      <w:r>
        <w:rPr>
          <w:rFonts w:hint="eastAsia" w:cs="Times New Roman" w:asciiTheme="minorEastAsia" w:hAnsiTheme="minorEastAsia"/>
          <w:b/>
          <w:szCs w:val="24"/>
        </w:rPr>
        <w:t>4.</w:t>
      </w:r>
      <w:bookmarkStart w:id="31" w:name="_Hlk72074795"/>
      <w:r>
        <w:rPr>
          <w:rFonts w:hint="eastAsia" w:cs="Times New Roman" w:asciiTheme="minorEastAsia" w:hAnsiTheme="minorEastAsia"/>
          <w:b/>
          <w:szCs w:val="24"/>
        </w:rPr>
        <w:t>“原产地”是指该货物的实际生产加工地，而非品牌所在地</w:t>
      </w:r>
      <w:bookmarkEnd w:id="31"/>
      <w:r>
        <w:rPr>
          <w:rFonts w:hint="eastAsia" w:cs="Times New Roman" w:asciiTheme="minorEastAsia" w:hAnsiTheme="minorEastAsia"/>
          <w:b/>
          <w:szCs w:val="24"/>
        </w:rPr>
        <w:t>。</w:t>
      </w:r>
    </w:p>
    <w:p w14:paraId="7A2E0E76">
      <w:pPr>
        <w:snapToGrid w:val="0"/>
        <w:rPr>
          <w:rFonts w:cs="Times New Roman" w:asciiTheme="minorEastAsia" w:hAnsiTheme="minorEastAsia"/>
          <w:b/>
          <w:szCs w:val="24"/>
        </w:rPr>
      </w:pPr>
      <w:r>
        <w:rPr>
          <w:rFonts w:hint="eastAsia" w:cs="Times New Roman" w:asciiTheme="minorEastAsia" w:hAnsiTheme="minorEastAsia"/>
          <w:b/>
          <w:szCs w:val="24"/>
        </w:rPr>
        <w:t>5.所投货物均应填写制造商名称。“制造商”是指产品制造厂商，产品代工制造的，应填写接受委托生产制造的制造商。</w:t>
      </w:r>
    </w:p>
    <w:p w14:paraId="44C8E5C3">
      <w:pPr>
        <w:snapToGrid w:val="0"/>
        <w:rPr>
          <w:rFonts w:cs="Times New Roman" w:asciiTheme="minorEastAsia" w:hAnsiTheme="minorEastAsia"/>
          <w:b/>
          <w:szCs w:val="24"/>
        </w:rPr>
      </w:pPr>
      <w:r>
        <w:rPr>
          <w:rFonts w:hint="eastAsia" w:cs="Times New Roman" w:asciiTheme="minorEastAsia" w:hAnsiTheme="minorEastAsia"/>
          <w:b/>
          <w:szCs w:val="24"/>
        </w:rPr>
        <w:t>6.以上分项报价表的投标总价应当与开标一览表的投标总价一致。</w:t>
      </w:r>
    </w:p>
    <w:p w14:paraId="46650543">
      <w:pPr>
        <w:snapToGrid w:val="0"/>
        <w:rPr>
          <w:rFonts w:cs="Times New Roman" w:asciiTheme="minorEastAsia" w:hAnsiTheme="minorEastAsia"/>
          <w:b/>
          <w:szCs w:val="24"/>
        </w:rPr>
      </w:pPr>
      <w:r>
        <w:rPr>
          <w:rFonts w:hint="eastAsia" w:cs="Times New Roman" w:asciiTheme="minorEastAsia" w:hAnsiTheme="minorEastAsia"/>
          <w:b/>
          <w:szCs w:val="24"/>
        </w:rPr>
        <w:t>7.单价、合价和投标总价为包干价，即三者均应包含货物的价款、包装、运输、装卸、安装、调试、技术指导、培训、咨询、服务、保险、税费、检测、验收合格交付使用之前以及技术和售后服务等其他各项有关费用。</w:t>
      </w:r>
    </w:p>
    <w:p w14:paraId="6F4B00B2">
      <w:pPr>
        <w:snapToGrid w:val="0"/>
        <w:rPr>
          <w:rFonts w:cs="Times New Roman" w:asciiTheme="minorEastAsia" w:hAnsiTheme="minorEastAsia"/>
          <w:b/>
          <w:szCs w:val="24"/>
        </w:rPr>
      </w:pPr>
      <w:r>
        <w:rPr>
          <w:rFonts w:hint="eastAsia" w:cs="Times New Roman" w:asciiTheme="minorEastAsia" w:hAnsiTheme="minorEastAsia"/>
          <w:b/>
          <w:szCs w:val="24"/>
        </w:rPr>
        <w:t>8.所有价格应按“招标文件”中规定的货币单位填写；投标总价应为以上各分项价格之和；投标总价和项目报价表中单个采购预算条目报价均不得超过对应的财政预算限额，否则将导致投标无效。</w:t>
      </w:r>
    </w:p>
    <w:p w14:paraId="39A104B1">
      <w:pPr>
        <w:snapToGrid w:val="0"/>
        <w:rPr>
          <w:rFonts w:cs="Times New Roman" w:asciiTheme="minorEastAsia" w:hAnsiTheme="minorEastAsia"/>
          <w:b/>
          <w:szCs w:val="24"/>
        </w:rPr>
      </w:pPr>
    </w:p>
    <w:p w14:paraId="76582E58">
      <w:pPr>
        <w:snapToGrid w:val="0"/>
        <w:rPr>
          <w:rFonts w:cs="Times New Roman" w:asciiTheme="minorEastAsia" w:hAnsiTheme="minorEastAsia"/>
          <w:b/>
          <w:color w:val="FF0000"/>
          <w:szCs w:val="24"/>
        </w:rPr>
      </w:pPr>
      <w:r>
        <w:rPr>
          <w:rFonts w:hint="eastAsia" w:cs="Times New Roman" w:asciiTheme="minorEastAsia" w:hAnsiTheme="minorEastAsia"/>
          <w:bCs/>
          <w:color w:val="FF0000"/>
          <w:szCs w:val="24"/>
        </w:rPr>
        <w:t>★</w:t>
      </w:r>
      <w:r>
        <w:rPr>
          <w:rFonts w:hint="eastAsia" w:cs="Times New Roman" w:asciiTheme="minorEastAsia" w:hAnsiTheme="minorEastAsia"/>
          <w:b/>
          <w:color w:val="FF0000"/>
          <w:szCs w:val="24"/>
        </w:rPr>
        <w:t>填写</w:t>
      </w:r>
      <w:r>
        <w:rPr>
          <w:rFonts w:cs="Times New Roman" w:asciiTheme="minorEastAsia" w:hAnsiTheme="minorEastAsia"/>
          <w:b/>
          <w:color w:val="FF0000"/>
          <w:szCs w:val="24"/>
        </w:rPr>
        <w:t>要求：</w:t>
      </w:r>
    </w:p>
    <w:p w14:paraId="0DB5ADA2">
      <w:pPr>
        <w:snapToGrid w:val="0"/>
        <w:rPr>
          <w:rFonts w:cs="Times New Roman" w:asciiTheme="minorEastAsia" w:hAnsiTheme="minorEastAsia"/>
          <w:b/>
          <w:color w:val="FF0000"/>
          <w:szCs w:val="24"/>
        </w:rPr>
      </w:pPr>
      <w:r>
        <w:rPr>
          <w:rFonts w:cs="Times New Roman" w:asciiTheme="minorEastAsia" w:hAnsiTheme="minorEastAsia"/>
          <w:b/>
          <w:color w:val="FF0000"/>
          <w:szCs w:val="24"/>
        </w:rPr>
        <w:t>1.</w:t>
      </w:r>
      <w:r>
        <w:rPr>
          <w:rFonts w:hint="eastAsia" w:cs="Times New Roman" w:asciiTheme="minorEastAsia" w:hAnsiTheme="minorEastAsia"/>
          <w:b/>
          <w:color w:val="FF0000"/>
          <w:szCs w:val="24"/>
        </w:rPr>
        <w:t>《分项报价清单》</w:t>
      </w:r>
      <w:r>
        <w:rPr>
          <w:rFonts w:cs="Times New Roman" w:asciiTheme="minorEastAsia" w:hAnsiTheme="minorEastAsia"/>
          <w:b/>
          <w:color w:val="FF0000"/>
          <w:szCs w:val="24"/>
        </w:rPr>
        <w:t>所有价格应</w:t>
      </w:r>
      <w:r>
        <w:rPr>
          <w:rFonts w:hint="eastAsia" w:cs="Times New Roman" w:asciiTheme="minorEastAsia" w:hAnsiTheme="minorEastAsia"/>
          <w:b/>
          <w:color w:val="FF0000"/>
          <w:szCs w:val="24"/>
        </w:rPr>
        <w:t>以人民币为结算单位填写</w:t>
      </w:r>
      <w:r>
        <w:rPr>
          <w:rFonts w:cs="Times New Roman" w:asciiTheme="minorEastAsia" w:hAnsiTheme="minorEastAsia"/>
          <w:b/>
          <w:color w:val="FF0000"/>
          <w:szCs w:val="24"/>
        </w:rPr>
        <w:t>；</w:t>
      </w:r>
    </w:p>
    <w:p w14:paraId="72459F2A">
      <w:pPr>
        <w:snapToGrid w:val="0"/>
        <w:rPr>
          <w:rFonts w:cs="Times New Roman" w:asciiTheme="minorEastAsia" w:hAnsiTheme="minorEastAsia"/>
          <w:b/>
          <w:color w:val="FF0000"/>
          <w:szCs w:val="24"/>
        </w:rPr>
      </w:pPr>
      <w:r>
        <w:rPr>
          <w:rFonts w:cs="Times New Roman" w:asciiTheme="minorEastAsia" w:hAnsiTheme="minorEastAsia"/>
          <w:b/>
          <w:color w:val="FF0000"/>
          <w:szCs w:val="24"/>
        </w:rPr>
        <w:t>2.</w:t>
      </w:r>
      <w:r>
        <w:rPr>
          <w:rFonts w:hint="eastAsia" w:cs="Times New Roman" w:asciiTheme="minorEastAsia" w:hAnsiTheme="minorEastAsia"/>
          <w:b/>
          <w:color w:val="FF0000"/>
          <w:szCs w:val="24"/>
        </w:rPr>
        <w:t>《（一）项目报价表》</w:t>
      </w:r>
      <w:r>
        <w:rPr>
          <w:rFonts w:cs="Times New Roman" w:asciiTheme="minorEastAsia" w:hAnsiTheme="minorEastAsia"/>
          <w:b/>
          <w:color w:val="FF0000"/>
          <w:szCs w:val="24"/>
        </w:rPr>
        <w:t>可根据</w:t>
      </w:r>
      <w:r>
        <w:rPr>
          <w:rFonts w:hint="eastAsia" w:cs="Times New Roman" w:asciiTheme="minorEastAsia" w:hAnsiTheme="minorEastAsia"/>
          <w:b/>
          <w:color w:val="FF0000"/>
          <w:szCs w:val="24"/>
        </w:rPr>
        <w:t>实际需要</w:t>
      </w:r>
      <w:r>
        <w:rPr>
          <w:rFonts w:cs="Times New Roman" w:asciiTheme="minorEastAsia" w:hAnsiTheme="minorEastAsia"/>
          <w:b/>
          <w:color w:val="FF0000"/>
          <w:szCs w:val="24"/>
        </w:rPr>
        <w:t>增加</w:t>
      </w:r>
      <w:r>
        <w:rPr>
          <w:rFonts w:hint="eastAsia" w:cs="Times New Roman" w:asciiTheme="minorEastAsia" w:hAnsiTheme="minorEastAsia"/>
          <w:b/>
          <w:color w:val="FF0000"/>
          <w:szCs w:val="24"/>
        </w:rPr>
        <w:t>相关</w:t>
      </w:r>
      <w:r>
        <w:rPr>
          <w:rFonts w:cs="Times New Roman" w:asciiTheme="minorEastAsia" w:hAnsiTheme="minorEastAsia"/>
          <w:b/>
          <w:color w:val="FF0000"/>
          <w:szCs w:val="24"/>
        </w:rPr>
        <w:t>内容，但原</w:t>
      </w:r>
      <w:r>
        <w:rPr>
          <w:rFonts w:hint="eastAsia" w:cs="Times New Roman" w:asciiTheme="minorEastAsia" w:hAnsiTheme="minorEastAsia"/>
          <w:b/>
          <w:color w:val="FF0000"/>
          <w:szCs w:val="24"/>
        </w:rPr>
        <w:t>有</w:t>
      </w:r>
      <w:r>
        <w:rPr>
          <w:rFonts w:cs="Times New Roman" w:asciiTheme="minorEastAsia" w:hAnsiTheme="minorEastAsia"/>
          <w:b/>
          <w:color w:val="FF0000"/>
          <w:szCs w:val="24"/>
        </w:rPr>
        <w:t>的格式</w:t>
      </w:r>
      <w:r>
        <w:rPr>
          <w:rFonts w:hint="eastAsia" w:cs="Times New Roman" w:asciiTheme="minorEastAsia" w:hAnsiTheme="minorEastAsia"/>
          <w:b/>
          <w:color w:val="FF0000"/>
          <w:szCs w:val="24"/>
        </w:rPr>
        <w:t>内容</w:t>
      </w:r>
      <w:r>
        <w:rPr>
          <w:rFonts w:cs="Times New Roman" w:asciiTheme="minorEastAsia" w:hAnsiTheme="minorEastAsia"/>
          <w:b/>
          <w:color w:val="FF0000"/>
          <w:szCs w:val="24"/>
        </w:rPr>
        <w:t>不得删减；</w:t>
      </w:r>
    </w:p>
    <w:p w14:paraId="04F6BFD1">
      <w:pPr>
        <w:snapToGrid w:val="0"/>
        <w:rPr>
          <w:rFonts w:cs="Times New Roman" w:asciiTheme="minorEastAsia" w:hAnsiTheme="minorEastAsia"/>
          <w:b/>
          <w:color w:val="FF0000"/>
          <w:szCs w:val="24"/>
        </w:rPr>
      </w:pPr>
      <w:r>
        <w:rPr>
          <w:rFonts w:hint="eastAsia" w:cs="Times New Roman" w:asciiTheme="minorEastAsia" w:hAnsiTheme="minorEastAsia"/>
          <w:b/>
          <w:color w:val="FF0000"/>
          <w:szCs w:val="24"/>
        </w:rPr>
        <w:t>3.</w:t>
      </w:r>
      <w:r>
        <w:rPr>
          <w:rFonts w:cs="Times New Roman" w:asciiTheme="minorEastAsia" w:hAnsiTheme="minorEastAsia"/>
          <w:b/>
          <w:color w:val="FF0000"/>
          <w:szCs w:val="24"/>
        </w:rPr>
        <w:t>如</w:t>
      </w:r>
      <w:r>
        <w:rPr>
          <w:rFonts w:hint="eastAsia" w:cs="Times New Roman" w:asciiTheme="minorEastAsia" w:hAnsiTheme="minorEastAsia"/>
          <w:b/>
          <w:color w:val="FF0000"/>
          <w:szCs w:val="24"/>
        </w:rPr>
        <w:t>未提供《（一）项目报价表》或者</w:t>
      </w:r>
      <w:r>
        <w:rPr>
          <w:rFonts w:cs="Times New Roman" w:asciiTheme="minorEastAsia" w:hAnsiTheme="minorEastAsia"/>
          <w:b/>
          <w:color w:val="FF0000"/>
          <w:szCs w:val="24"/>
        </w:rPr>
        <w:t>不按</w:t>
      </w:r>
      <w:r>
        <w:rPr>
          <w:rFonts w:hint="eastAsia" w:cs="Times New Roman" w:asciiTheme="minorEastAsia" w:hAnsiTheme="minorEastAsia"/>
          <w:b/>
          <w:color w:val="FF0000"/>
          <w:szCs w:val="24"/>
        </w:rPr>
        <w:t>《第三章 用户需求书：二、货物需求明细》</w:t>
      </w:r>
      <w:r>
        <w:rPr>
          <w:rFonts w:cs="Times New Roman" w:asciiTheme="minorEastAsia" w:hAnsiTheme="minorEastAsia"/>
          <w:b/>
          <w:color w:val="FF0000"/>
          <w:szCs w:val="24"/>
        </w:rPr>
        <w:t>要求填报、漏报或错报</w:t>
      </w:r>
      <w:r>
        <w:rPr>
          <w:rFonts w:hint="eastAsia" w:cs="Times New Roman" w:asciiTheme="minorEastAsia" w:hAnsiTheme="minorEastAsia"/>
          <w:b/>
          <w:color w:val="FF0000"/>
          <w:szCs w:val="24"/>
        </w:rPr>
        <w:t>的将作</w:t>
      </w:r>
      <w:r>
        <w:rPr>
          <w:rFonts w:cs="Times New Roman" w:asciiTheme="minorEastAsia" w:hAnsiTheme="minorEastAsia"/>
          <w:b/>
          <w:color w:val="FF0000"/>
          <w:szCs w:val="24"/>
        </w:rPr>
        <w:t>投标无效处理。</w:t>
      </w:r>
    </w:p>
    <w:p w14:paraId="4040D6E6">
      <w:pPr>
        <w:tabs>
          <w:tab w:val="left" w:pos="720"/>
        </w:tabs>
        <w:rPr>
          <w:rFonts w:ascii="Times New Roman" w:hAnsi="Times New Roman" w:eastAsia="宋体" w:cs="Times New Roman"/>
          <w:b/>
          <w:sz w:val="24"/>
          <w:szCs w:val="24"/>
        </w:rPr>
      </w:pPr>
    </w:p>
    <w:p w14:paraId="5AA22476">
      <w:pPr>
        <w:tabs>
          <w:tab w:val="left" w:pos="720"/>
        </w:tabs>
        <w:rPr>
          <w:rFonts w:ascii="Times New Roman" w:hAnsi="Times New Roman" w:eastAsia="宋体" w:cs="Times New Roman"/>
          <w:b/>
          <w:color w:val="FF0000"/>
          <w:sz w:val="24"/>
          <w:szCs w:val="24"/>
        </w:rPr>
      </w:pPr>
      <w:r>
        <w:rPr>
          <w:rFonts w:hint="eastAsia" w:ascii="Times New Roman" w:hAnsi="Times New Roman" w:eastAsia="宋体" w:cs="Times New Roman"/>
          <w:b/>
          <w:color w:val="FF0000"/>
          <w:sz w:val="24"/>
          <w:szCs w:val="24"/>
        </w:rPr>
        <w:t>（二）核心产品品牌</w:t>
      </w:r>
    </w:p>
    <w:p w14:paraId="535E730A">
      <w:pPr>
        <w:rPr>
          <w:rFonts w:ascii="Times New Roman" w:hAnsi="Times New Roman" w:eastAsia="宋体" w:cs="Times New Roman"/>
          <w:color w:val="FF0000"/>
          <w:sz w:val="24"/>
          <w:szCs w:val="24"/>
        </w:rPr>
      </w:pPr>
      <w:r>
        <w:rPr>
          <w:rFonts w:hint="eastAsia" w:ascii="Times New Roman" w:hAnsi="Times New Roman" w:eastAsia="宋体" w:cs="Times New Roman"/>
          <w:b/>
          <w:color w:val="FF0000"/>
          <w:sz w:val="24"/>
          <w:szCs w:val="24"/>
        </w:rPr>
        <w:t>我单位所投核心产品的品牌为：</w:t>
      </w:r>
      <w:r>
        <w:rPr>
          <w:rFonts w:hint="eastAsia" w:ascii="Times New Roman" w:hAnsi="Times New Roman" w:eastAsia="宋体" w:cs="Times New Roman"/>
          <w:color w:val="FF0000"/>
          <w:sz w:val="24"/>
          <w:szCs w:val="24"/>
          <w:u w:val="single"/>
        </w:rPr>
        <w:t xml:space="preserve">               </w:t>
      </w:r>
      <w:r>
        <w:rPr>
          <w:rFonts w:hint="eastAsia" w:ascii="Times New Roman" w:hAnsi="Times New Roman" w:eastAsia="宋体" w:cs="Times New Roman"/>
          <w:color w:val="FF0000"/>
          <w:sz w:val="24"/>
          <w:szCs w:val="24"/>
        </w:rPr>
        <w:t>。</w:t>
      </w:r>
    </w:p>
    <w:p w14:paraId="1DCF146A">
      <w:pPr>
        <w:rPr>
          <w:rFonts w:ascii="Arial" w:hAnsi="Arial" w:eastAsia="宋体" w:cs="Times New Roman"/>
          <w:b/>
          <w:szCs w:val="24"/>
        </w:rPr>
      </w:pPr>
      <w:r>
        <w:rPr>
          <w:rFonts w:hint="eastAsia" w:ascii="宋体" w:hAnsi="宋体" w:eastAsia="宋体" w:cs="Times New Roman"/>
          <w:color w:val="FF0000"/>
          <w:sz w:val="24"/>
          <w:szCs w:val="24"/>
        </w:rPr>
        <w:t>备注：单一产品采购项目，核心产品即为该单一产品。</w:t>
      </w:r>
    </w:p>
    <w:p w14:paraId="1B3F12C2">
      <w:pPr>
        <w:spacing w:after="78" w:afterLines="25" w:line="300" w:lineRule="auto"/>
        <w:rPr>
          <w:rFonts w:ascii="Arial" w:hAnsi="Arial" w:eastAsia="宋体" w:cs="Times New Roman"/>
          <w:b/>
          <w:szCs w:val="24"/>
        </w:rPr>
      </w:pPr>
    </w:p>
    <w:p w14:paraId="6FBCEC24">
      <w:pPr>
        <w:spacing w:after="78" w:afterLines="25" w:line="300" w:lineRule="auto"/>
        <w:rPr>
          <w:rFonts w:ascii="Arial" w:hAnsi="Arial" w:eastAsia="宋体" w:cs="Times New Roman"/>
          <w:b/>
          <w:sz w:val="24"/>
          <w:szCs w:val="24"/>
        </w:rPr>
      </w:pPr>
      <w:r>
        <w:rPr>
          <w:rFonts w:hint="eastAsia" w:ascii="Arial" w:hAnsi="Arial" w:eastAsia="宋体" w:cs="Times New Roman"/>
          <w:b/>
          <w:sz w:val="24"/>
          <w:szCs w:val="24"/>
        </w:rPr>
        <w:t>（三）可选配件报价清单（非项目需求要求的必备配件，此部分不包括在总报价内）</w:t>
      </w:r>
    </w:p>
    <w:p w14:paraId="31EB9FDA">
      <w:pPr>
        <w:ind w:firstLine="422" w:firstLineChars="200"/>
        <w:rPr>
          <w:rFonts w:hAnsi="宋体"/>
          <w:b/>
          <w:bCs/>
          <w:szCs w:val="21"/>
        </w:rPr>
      </w:pPr>
      <w:r>
        <w:rPr>
          <w:rFonts w:hint="eastAsia" w:hAnsi="宋体"/>
          <w:b/>
          <w:bCs/>
          <w:szCs w:val="21"/>
        </w:rPr>
        <w:t>注：格式可以参照《（一）项目报价表》表格，并提供相应的品牌/规格/型号、原产地、制造商信息（没有品牌、型号的，用“定制”描述即可）、单价等详细信息</w:t>
      </w:r>
    </w:p>
    <w:p w14:paraId="6D609DA9">
      <w:pPr>
        <w:ind w:firstLine="422" w:firstLineChars="200"/>
        <w:rPr>
          <w:rFonts w:hAnsi="宋体"/>
          <w:b/>
          <w:bCs/>
          <w:szCs w:val="21"/>
        </w:rPr>
      </w:pPr>
    </w:p>
    <w:p w14:paraId="658C84BB">
      <w:pPr>
        <w:spacing w:after="78" w:afterLines="25" w:line="300" w:lineRule="auto"/>
        <w:rPr>
          <w:rFonts w:ascii="Arial" w:hAnsi="Arial" w:eastAsia="宋体" w:cs="Times New Roman"/>
          <w:b/>
          <w:sz w:val="24"/>
          <w:szCs w:val="24"/>
        </w:rPr>
      </w:pPr>
      <w:r>
        <w:rPr>
          <w:rFonts w:hint="eastAsia" w:ascii="Arial" w:hAnsi="Arial" w:eastAsia="宋体" w:cs="Times New Roman"/>
          <w:b/>
          <w:sz w:val="24"/>
          <w:szCs w:val="24"/>
        </w:rPr>
        <w:t>（四）供应商认为需要涉及的其他内容报价清单</w:t>
      </w:r>
    </w:p>
    <w:p w14:paraId="193F59CB">
      <w:pPr>
        <w:wordWrap w:val="0"/>
        <w:spacing w:after="78" w:afterLines="25" w:line="300" w:lineRule="auto"/>
        <w:ind w:right="420" w:firstLine="4410" w:firstLineChars="2100"/>
        <w:jc w:val="right"/>
        <w:rPr>
          <w:rFonts w:ascii="Arial" w:hAnsi="Arial" w:eastAsia="宋体" w:cs="Times New Roman"/>
          <w:szCs w:val="21"/>
        </w:rPr>
      </w:pPr>
      <w:r>
        <w:rPr>
          <w:rFonts w:hint="eastAsia" w:ascii="Arial" w:hAnsi="Arial" w:eastAsia="宋体" w:cs="Times New Roman"/>
          <w:szCs w:val="21"/>
        </w:rPr>
        <w:t xml:space="preserve">   </w:t>
      </w:r>
    </w:p>
    <w:p w14:paraId="553ADF01">
      <w:pPr>
        <w:widowControl/>
        <w:jc w:val="left"/>
        <w:rPr>
          <w:rFonts w:ascii="Arial" w:hAnsi="Arial" w:eastAsia="宋体" w:cs="Times New Roman"/>
          <w:b/>
          <w:sz w:val="24"/>
          <w:szCs w:val="24"/>
        </w:rPr>
      </w:pPr>
    </w:p>
    <w:p w14:paraId="4FE69EDA">
      <w:pPr>
        <w:keepNext/>
        <w:keepLines/>
        <w:pageBreakBefore/>
        <w:adjustRightInd w:val="0"/>
        <w:snapToGrid w:val="0"/>
        <w:spacing w:line="360" w:lineRule="auto"/>
        <w:jc w:val="center"/>
        <w:textAlignment w:val="baseline"/>
        <w:outlineLvl w:val="2"/>
        <w:rPr>
          <w:rFonts w:ascii="宋体" w:hAnsi="宋体" w:eastAsia="宋体" w:cs="Times New Roman"/>
          <w:b/>
          <w:bCs/>
          <w:kern w:val="0"/>
          <w:sz w:val="24"/>
          <w:szCs w:val="20"/>
        </w:rPr>
      </w:pPr>
      <w:r>
        <w:rPr>
          <w:rFonts w:hint="eastAsia"/>
          <w:b/>
          <w:bCs/>
          <w:color w:val="FF0000"/>
          <w:sz w:val="24"/>
        </w:rPr>
        <w:t>★</w:t>
      </w:r>
      <w:r>
        <w:rPr>
          <w:rFonts w:hint="eastAsia" w:ascii="黑体" w:eastAsia="黑体"/>
          <w:sz w:val="24"/>
          <w:szCs w:val="24"/>
        </w:rPr>
        <w:t>五、股东构成审查表</w:t>
      </w:r>
    </w:p>
    <w:p w14:paraId="6EB5CD90">
      <w:pPr>
        <w:pStyle w:val="5"/>
        <w:numPr>
          <w:ilvl w:val="0"/>
          <w:numId w:val="6"/>
        </w:numPr>
        <w:spacing w:before="0" w:after="0" w:line="360" w:lineRule="auto"/>
        <w:rPr>
          <w:rFonts w:ascii="Times New Roman" w:hAnsi="Times New Roman" w:cs="Times New Roman"/>
          <w:b w:val="0"/>
          <w:bCs w:val="0"/>
          <w:sz w:val="21"/>
          <w:szCs w:val="24"/>
        </w:rPr>
      </w:pPr>
      <w:r>
        <w:rPr>
          <w:rFonts w:hint="eastAsia" w:ascii="Times New Roman" w:hAnsi="Times New Roman" w:cs="Times New Roman"/>
          <w:b w:val="0"/>
          <w:bCs w:val="0"/>
          <w:sz w:val="21"/>
          <w:szCs w:val="24"/>
        </w:rPr>
        <w:t>提供投标人所在地的市场监督管理部门“商事登记簿查询（商事主体登记及备案信息查询）”查询截图；参考示例“深圳市市场监督管理局——商事登记簿查询（商事主体登记及备案信息查询）：https://amr.sz.gov.cn/outer/entSelect/gs.html”。</w:t>
      </w:r>
    </w:p>
    <w:p w14:paraId="3E6DDC66">
      <w:pPr>
        <w:pStyle w:val="5"/>
        <w:numPr>
          <w:ilvl w:val="0"/>
          <w:numId w:val="6"/>
        </w:numPr>
        <w:spacing w:before="0" w:after="0" w:line="360" w:lineRule="auto"/>
        <w:rPr>
          <w:rFonts w:ascii="Times New Roman" w:hAnsi="Times New Roman" w:cs="Times New Roman"/>
          <w:b w:val="0"/>
          <w:bCs w:val="0"/>
          <w:sz w:val="21"/>
          <w:szCs w:val="24"/>
        </w:rPr>
      </w:pPr>
      <w:r>
        <w:rPr>
          <w:rFonts w:hint="eastAsia" w:ascii="Times New Roman" w:hAnsi="Times New Roman" w:cs="Times New Roman"/>
          <w:b w:val="0"/>
          <w:bCs w:val="0"/>
          <w:sz w:val="21"/>
          <w:szCs w:val="24"/>
        </w:rPr>
        <w:t>提示：如果投标供应商存在单位负责人为同一人，或者存在直接控股、间接控股、管理关系等情形，将被纳入交易监管平台产生示警信息，由此产生的负面影响，由投标人自行承担。</w:t>
      </w:r>
    </w:p>
    <w:p w14:paraId="589B07C8">
      <w:pPr>
        <w:pStyle w:val="5"/>
        <w:numPr>
          <w:ilvl w:val="0"/>
          <w:numId w:val="6"/>
        </w:numPr>
        <w:spacing w:before="0" w:after="0" w:line="360" w:lineRule="auto"/>
        <w:rPr>
          <w:rFonts w:ascii="Times New Roman" w:hAnsi="Times New Roman" w:cs="Times New Roman"/>
          <w:b w:val="0"/>
          <w:bCs w:val="0"/>
          <w:sz w:val="21"/>
          <w:szCs w:val="24"/>
        </w:rPr>
      </w:pPr>
      <w:r>
        <w:rPr>
          <w:rFonts w:hint="eastAsia" w:ascii="Times New Roman" w:hAnsi="Times New Roman" w:cs="Times New Roman"/>
          <w:b w:val="0"/>
          <w:bCs w:val="0"/>
          <w:sz w:val="21"/>
          <w:szCs w:val="24"/>
        </w:rPr>
        <w:t>股东构成审查表</w:t>
      </w:r>
    </w:p>
    <w:tbl>
      <w:tblPr>
        <w:tblStyle w:val="1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14"/>
        <w:gridCol w:w="6315"/>
      </w:tblGrid>
      <w:tr w14:paraId="19EF2D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4" w:hRule="atLeast"/>
        </w:trPr>
        <w:tc>
          <w:tcPr>
            <w:tcW w:w="2214" w:type="dxa"/>
            <w:tcBorders>
              <w:top w:val="single" w:color="000000" w:sz="4" w:space="0"/>
              <w:left w:val="single" w:color="000000" w:sz="4" w:space="0"/>
              <w:bottom w:val="single" w:color="000000" w:sz="4" w:space="0"/>
              <w:right w:val="single" w:color="000000" w:sz="4" w:space="0"/>
            </w:tcBorders>
            <w:shd w:val="clear" w:color="auto" w:fill="D9E2F3"/>
            <w:vAlign w:val="center"/>
          </w:tcPr>
          <w:p w14:paraId="7DF90C85">
            <w:pPr>
              <w:autoSpaceDE w:val="0"/>
              <w:autoSpaceDN w:val="0"/>
              <w:adjustRightInd w:val="0"/>
              <w:snapToGrid w:val="0"/>
              <w:jc w:val="left"/>
              <w:rPr>
                <w:rFonts w:ascii="宋体" w:hAnsi="宋体"/>
                <w:b/>
                <w:bCs/>
                <w:color w:val="000000"/>
                <w:szCs w:val="21"/>
              </w:rPr>
            </w:pPr>
            <w:r>
              <w:rPr>
                <w:rFonts w:hint="eastAsia" w:ascii="宋体" w:hAnsi="宋体"/>
                <w:b/>
                <w:bCs/>
                <w:color w:val="000000"/>
                <w:szCs w:val="21"/>
              </w:rPr>
              <w:t>投标人名称</w:t>
            </w:r>
          </w:p>
        </w:tc>
        <w:tc>
          <w:tcPr>
            <w:tcW w:w="6315" w:type="dxa"/>
            <w:tcBorders>
              <w:top w:val="single" w:color="000000" w:sz="4" w:space="0"/>
              <w:left w:val="single" w:color="000000" w:sz="4" w:space="0"/>
              <w:bottom w:val="single" w:color="000000" w:sz="4" w:space="0"/>
              <w:right w:val="single" w:color="000000" w:sz="4" w:space="0"/>
            </w:tcBorders>
            <w:vAlign w:val="center"/>
          </w:tcPr>
          <w:p w14:paraId="1F525551">
            <w:pPr>
              <w:autoSpaceDE w:val="0"/>
              <w:autoSpaceDN w:val="0"/>
              <w:adjustRightInd w:val="0"/>
              <w:snapToGrid w:val="0"/>
              <w:jc w:val="left"/>
              <w:rPr>
                <w:rFonts w:ascii="宋体" w:hAnsi="宋体" w:cs="Segoe UI Symbol"/>
                <w:color w:val="000000"/>
                <w:kern w:val="0"/>
                <w:szCs w:val="21"/>
              </w:rPr>
            </w:pPr>
          </w:p>
        </w:tc>
      </w:tr>
      <w:tr w14:paraId="70AF4A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8" w:hRule="atLeast"/>
        </w:trPr>
        <w:tc>
          <w:tcPr>
            <w:tcW w:w="2214" w:type="dxa"/>
            <w:tcBorders>
              <w:top w:val="single" w:color="000000" w:sz="4" w:space="0"/>
              <w:left w:val="single" w:color="000000" w:sz="4" w:space="0"/>
              <w:bottom w:val="single" w:color="000000" w:sz="4" w:space="0"/>
              <w:right w:val="single" w:color="000000" w:sz="4" w:space="0"/>
            </w:tcBorders>
            <w:shd w:val="clear" w:color="auto" w:fill="D9E2F3"/>
            <w:vAlign w:val="center"/>
          </w:tcPr>
          <w:p w14:paraId="7B4A001C">
            <w:pPr>
              <w:autoSpaceDE w:val="0"/>
              <w:autoSpaceDN w:val="0"/>
              <w:adjustRightInd w:val="0"/>
              <w:snapToGrid w:val="0"/>
              <w:jc w:val="left"/>
              <w:rPr>
                <w:rFonts w:ascii="宋体" w:hAnsi="宋体"/>
                <w:b/>
                <w:bCs/>
                <w:color w:val="000000"/>
                <w:szCs w:val="21"/>
              </w:rPr>
            </w:pPr>
            <w:r>
              <w:rPr>
                <w:rFonts w:hint="eastAsia" w:ascii="宋体" w:hAnsi="宋体"/>
                <w:b/>
                <w:bCs/>
                <w:color w:val="000000"/>
                <w:szCs w:val="21"/>
              </w:rPr>
              <w:t>本单位负责人（法定代表人）姓名</w:t>
            </w:r>
          </w:p>
        </w:tc>
        <w:tc>
          <w:tcPr>
            <w:tcW w:w="6315" w:type="dxa"/>
            <w:tcBorders>
              <w:top w:val="single" w:color="000000" w:sz="4" w:space="0"/>
              <w:left w:val="single" w:color="000000" w:sz="4" w:space="0"/>
              <w:bottom w:val="single" w:color="000000" w:sz="4" w:space="0"/>
              <w:right w:val="single" w:color="000000" w:sz="4" w:space="0"/>
            </w:tcBorders>
            <w:vAlign w:val="center"/>
          </w:tcPr>
          <w:p w14:paraId="57E74AA6">
            <w:pPr>
              <w:autoSpaceDE w:val="0"/>
              <w:autoSpaceDN w:val="0"/>
              <w:adjustRightInd w:val="0"/>
              <w:snapToGrid w:val="0"/>
              <w:jc w:val="left"/>
              <w:rPr>
                <w:rFonts w:ascii="宋体" w:hAnsi="宋体" w:cs="Segoe UI Symbol"/>
                <w:color w:val="000000"/>
                <w:kern w:val="0"/>
                <w:szCs w:val="21"/>
              </w:rPr>
            </w:pPr>
          </w:p>
        </w:tc>
      </w:tr>
      <w:tr w14:paraId="36CEF9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8" w:hRule="atLeast"/>
        </w:trPr>
        <w:tc>
          <w:tcPr>
            <w:tcW w:w="2214" w:type="dxa"/>
            <w:tcBorders>
              <w:top w:val="single" w:color="000000" w:sz="4" w:space="0"/>
              <w:left w:val="single" w:color="000000" w:sz="4" w:space="0"/>
              <w:bottom w:val="single" w:color="000000" w:sz="4" w:space="0"/>
              <w:right w:val="single" w:color="000000" w:sz="4" w:space="0"/>
            </w:tcBorders>
            <w:shd w:val="clear" w:color="auto" w:fill="D9E2F3"/>
            <w:vAlign w:val="center"/>
          </w:tcPr>
          <w:p w14:paraId="39A0B233">
            <w:pPr>
              <w:autoSpaceDE w:val="0"/>
              <w:autoSpaceDN w:val="0"/>
              <w:adjustRightInd w:val="0"/>
              <w:snapToGrid w:val="0"/>
              <w:jc w:val="left"/>
              <w:rPr>
                <w:rFonts w:ascii="宋体" w:hAnsi="宋体"/>
                <w:b/>
                <w:bCs/>
                <w:color w:val="000000"/>
                <w:szCs w:val="21"/>
              </w:rPr>
            </w:pPr>
            <w:r>
              <w:rPr>
                <w:rFonts w:hint="eastAsia" w:ascii="宋体" w:hAnsi="宋体"/>
                <w:b/>
                <w:bCs/>
                <w:color w:val="000000"/>
                <w:szCs w:val="21"/>
              </w:rPr>
              <w:t>是否存在本单位的控股股东</w:t>
            </w:r>
          </w:p>
        </w:tc>
        <w:tc>
          <w:tcPr>
            <w:tcW w:w="6315" w:type="dxa"/>
            <w:tcBorders>
              <w:top w:val="single" w:color="000000" w:sz="4" w:space="0"/>
              <w:left w:val="single" w:color="000000" w:sz="4" w:space="0"/>
              <w:bottom w:val="single" w:color="000000" w:sz="4" w:space="0"/>
              <w:right w:val="single" w:color="000000" w:sz="4" w:space="0"/>
            </w:tcBorders>
            <w:vAlign w:val="center"/>
          </w:tcPr>
          <w:p w14:paraId="361E87FD">
            <w:pPr>
              <w:autoSpaceDE w:val="0"/>
              <w:autoSpaceDN w:val="0"/>
              <w:adjustRightInd w:val="0"/>
              <w:snapToGrid w:val="0"/>
              <w:jc w:val="left"/>
              <w:rPr>
                <w:rFonts w:ascii="宋体" w:hAnsi="宋体" w:cs="Segoe UI Symbol"/>
                <w:color w:val="000000"/>
                <w:kern w:val="0"/>
                <w:szCs w:val="21"/>
                <w:u w:val="single"/>
              </w:rPr>
            </w:pPr>
            <w:r>
              <w:rPr>
                <w:rFonts w:hint="eastAsia" w:ascii="宋体" w:hAnsi="宋体" w:cs="Segoe UI Symbol"/>
                <w:color w:val="000000"/>
                <w:kern w:val="0"/>
                <w:szCs w:val="21"/>
              </w:rPr>
              <w:t>□是，其控股股东为：</w:t>
            </w:r>
            <w:r>
              <w:rPr>
                <w:rFonts w:hint="eastAsia" w:ascii="宋体" w:hAnsi="宋体" w:cs="Segoe UI Symbol"/>
                <w:color w:val="000000"/>
                <w:kern w:val="0"/>
                <w:szCs w:val="21"/>
                <w:u w:val="single"/>
              </w:rPr>
              <w:t xml:space="preserve">              </w:t>
            </w:r>
            <w:r>
              <w:rPr>
                <w:rFonts w:hint="eastAsia" w:ascii="宋体" w:hAnsi="宋体" w:cs="Segoe UI Symbol"/>
                <w:color w:val="000000"/>
                <w:kern w:val="0"/>
                <w:szCs w:val="21"/>
              </w:rPr>
              <w:t>，股份占比：</w:t>
            </w:r>
            <w:r>
              <w:rPr>
                <w:rFonts w:hint="eastAsia" w:ascii="宋体" w:hAnsi="宋体" w:cs="Segoe UI Symbol"/>
                <w:color w:val="000000"/>
                <w:kern w:val="0"/>
                <w:szCs w:val="21"/>
                <w:u w:val="single"/>
              </w:rPr>
              <w:t xml:space="preserve">           </w:t>
            </w:r>
            <w:r>
              <w:rPr>
                <w:rFonts w:hint="eastAsia" w:ascii="宋体" w:hAnsi="宋体" w:cs="Segoe UI Symbol"/>
                <w:color w:val="000000"/>
                <w:kern w:val="0"/>
                <w:szCs w:val="21"/>
              </w:rPr>
              <w:t>；</w:t>
            </w:r>
          </w:p>
          <w:p w14:paraId="32ACDE62">
            <w:pPr>
              <w:autoSpaceDE w:val="0"/>
              <w:autoSpaceDN w:val="0"/>
              <w:adjustRightInd w:val="0"/>
              <w:snapToGrid w:val="0"/>
              <w:jc w:val="left"/>
              <w:rPr>
                <w:rFonts w:ascii="宋体" w:hAnsi="宋体" w:cs="Segoe UI Symbol"/>
                <w:color w:val="000000"/>
                <w:kern w:val="0"/>
                <w:szCs w:val="21"/>
              </w:rPr>
            </w:pPr>
            <w:r>
              <w:rPr>
                <w:rFonts w:hint="eastAsia" w:ascii="宋体" w:hAnsi="宋体" w:cs="Segoe UI Symbol"/>
                <w:color w:val="000000"/>
                <w:kern w:val="0"/>
                <w:szCs w:val="21"/>
              </w:rPr>
              <w:t>其他主要股东及其股份占比：</w:t>
            </w:r>
            <w:r>
              <w:rPr>
                <w:rFonts w:hint="eastAsia" w:ascii="宋体" w:hAnsi="宋体" w:cs="Segoe UI Symbol"/>
                <w:color w:val="000000"/>
                <w:kern w:val="0"/>
                <w:szCs w:val="21"/>
                <w:u w:val="single"/>
              </w:rPr>
              <w:t xml:space="preserve">                               </w:t>
            </w:r>
            <w:r>
              <w:rPr>
                <w:rFonts w:hint="eastAsia" w:ascii="宋体" w:hAnsi="宋体" w:cs="Segoe UI Symbol"/>
                <w:color w:val="000000"/>
                <w:kern w:val="0"/>
                <w:szCs w:val="21"/>
              </w:rPr>
              <w:t>。</w:t>
            </w:r>
          </w:p>
          <w:p w14:paraId="4FCD5A4F">
            <w:pPr>
              <w:autoSpaceDE w:val="0"/>
              <w:autoSpaceDN w:val="0"/>
              <w:adjustRightInd w:val="0"/>
              <w:snapToGrid w:val="0"/>
              <w:jc w:val="left"/>
              <w:rPr>
                <w:rFonts w:ascii="宋体" w:hAnsi="宋体"/>
                <w:b/>
                <w:bCs/>
                <w:color w:val="000000"/>
                <w:szCs w:val="21"/>
              </w:rPr>
            </w:pPr>
            <w:r>
              <w:rPr>
                <w:rFonts w:hint="eastAsia" w:ascii="宋体" w:hAnsi="宋体" w:cs="Segoe UI Symbol"/>
                <w:color w:val="000000"/>
                <w:kern w:val="0"/>
                <w:szCs w:val="21"/>
              </w:rPr>
              <w:t>□否</w:t>
            </w:r>
          </w:p>
        </w:tc>
      </w:tr>
      <w:tr w14:paraId="14205B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8" w:hRule="atLeast"/>
        </w:trPr>
        <w:tc>
          <w:tcPr>
            <w:tcW w:w="2214" w:type="dxa"/>
            <w:tcBorders>
              <w:top w:val="single" w:color="000000" w:sz="4" w:space="0"/>
              <w:left w:val="single" w:color="000000" w:sz="4" w:space="0"/>
              <w:bottom w:val="single" w:color="000000" w:sz="4" w:space="0"/>
              <w:right w:val="single" w:color="000000" w:sz="4" w:space="0"/>
            </w:tcBorders>
            <w:shd w:val="clear" w:color="auto" w:fill="D9E2F3"/>
            <w:vAlign w:val="center"/>
          </w:tcPr>
          <w:p w14:paraId="26B28559">
            <w:pPr>
              <w:autoSpaceDE w:val="0"/>
              <w:autoSpaceDN w:val="0"/>
              <w:adjustRightInd w:val="0"/>
              <w:snapToGrid w:val="0"/>
              <w:jc w:val="left"/>
              <w:rPr>
                <w:rFonts w:ascii="宋体" w:hAnsi="宋体"/>
                <w:b/>
                <w:bCs/>
                <w:color w:val="000000"/>
                <w:szCs w:val="21"/>
              </w:rPr>
            </w:pPr>
            <w:r>
              <w:rPr>
                <w:rFonts w:hint="eastAsia" w:ascii="宋体" w:hAnsi="宋体"/>
                <w:b/>
                <w:bCs/>
                <w:color w:val="000000"/>
                <w:szCs w:val="21"/>
              </w:rPr>
              <w:t>是否存在“与本单位存在管理关系的单位”</w:t>
            </w:r>
          </w:p>
        </w:tc>
        <w:tc>
          <w:tcPr>
            <w:tcW w:w="6315" w:type="dxa"/>
            <w:tcBorders>
              <w:top w:val="single" w:color="000000" w:sz="4" w:space="0"/>
              <w:left w:val="single" w:color="000000" w:sz="4" w:space="0"/>
              <w:bottom w:val="single" w:color="000000" w:sz="4" w:space="0"/>
              <w:right w:val="single" w:color="000000" w:sz="4" w:space="0"/>
            </w:tcBorders>
            <w:vAlign w:val="center"/>
          </w:tcPr>
          <w:p w14:paraId="7BF67E95">
            <w:pPr>
              <w:autoSpaceDE w:val="0"/>
              <w:autoSpaceDN w:val="0"/>
              <w:adjustRightInd w:val="0"/>
              <w:snapToGrid w:val="0"/>
              <w:jc w:val="left"/>
              <w:rPr>
                <w:rFonts w:ascii="宋体" w:hAnsi="宋体" w:cs="Segoe UI Symbol"/>
                <w:color w:val="000000"/>
                <w:kern w:val="0"/>
                <w:szCs w:val="21"/>
                <w:u w:val="single"/>
              </w:rPr>
            </w:pPr>
            <w:r>
              <w:rPr>
                <w:rFonts w:hint="eastAsia" w:ascii="宋体" w:hAnsi="宋体" w:cs="Segoe UI Symbol"/>
                <w:color w:val="000000"/>
                <w:kern w:val="0"/>
                <w:szCs w:val="21"/>
              </w:rPr>
              <w:t>□是，该单位为：</w:t>
            </w:r>
            <w:r>
              <w:rPr>
                <w:rFonts w:hint="eastAsia" w:ascii="宋体" w:hAnsi="宋体" w:cs="Segoe UI Symbol"/>
                <w:color w:val="000000"/>
                <w:kern w:val="0"/>
                <w:szCs w:val="21"/>
                <w:u w:val="single"/>
              </w:rPr>
              <w:t xml:space="preserve">                                          </w:t>
            </w:r>
          </w:p>
          <w:p w14:paraId="66D4784F">
            <w:pPr>
              <w:autoSpaceDE w:val="0"/>
              <w:autoSpaceDN w:val="0"/>
              <w:adjustRightInd w:val="0"/>
              <w:snapToGrid w:val="0"/>
              <w:jc w:val="left"/>
              <w:rPr>
                <w:rFonts w:ascii="宋体" w:hAnsi="宋体"/>
                <w:b/>
                <w:bCs/>
                <w:color w:val="000000"/>
                <w:szCs w:val="21"/>
              </w:rPr>
            </w:pPr>
            <w:r>
              <w:rPr>
                <w:rFonts w:hint="eastAsia" w:ascii="宋体" w:hAnsi="宋体" w:cs="Segoe UI Symbol"/>
                <w:color w:val="000000"/>
                <w:kern w:val="0"/>
                <w:szCs w:val="21"/>
              </w:rPr>
              <w:t>□否</w:t>
            </w:r>
          </w:p>
        </w:tc>
      </w:tr>
      <w:tr w14:paraId="098B53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8" w:hRule="atLeast"/>
        </w:trPr>
        <w:tc>
          <w:tcPr>
            <w:tcW w:w="2214" w:type="dxa"/>
            <w:tcBorders>
              <w:top w:val="single" w:color="000000" w:sz="4" w:space="0"/>
              <w:left w:val="single" w:color="000000" w:sz="4" w:space="0"/>
              <w:bottom w:val="single" w:color="000000" w:sz="4" w:space="0"/>
              <w:right w:val="single" w:color="000000" w:sz="4" w:space="0"/>
            </w:tcBorders>
            <w:shd w:val="clear" w:color="auto" w:fill="D9E2F3"/>
            <w:vAlign w:val="center"/>
          </w:tcPr>
          <w:p w14:paraId="166C06B8">
            <w:pPr>
              <w:autoSpaceDE w:val="0"/>
              <w:autoSpaceDN w:val="0"/>
              <w:adjustRightInd w:val="0"/>
              <w:snapToGrid w:val="0"/>
              <w:jc w:val="left"/>
              <w:rPr>
                <w:rFonts w:ascii="宋体" w:hAnsi="宋体"/>
                <w:b/>
                <w:bCs/>
                <w:color w:val="000000"/>
                <w:szCs w:val="21"/>
              </w:rPr>
            </w:pPr>
            <w:r>
              <w:rPr>
                <w:rFonts w:hint="eastAsia" w:ascii="宋体" w:hAnsi="宋体"/>
                <w:b/>
                <w:bCs/>
                <w:color w:val="000000"/>
                <w:szCs w:val="21"/>
              </w:rPr>
              <w:t>是否存在“与招标人有利害关系”的情况</w:t>
            </w:r>
          </w:p>
        </w:tc>
        <w:tc>
          <w:tcPr>
            <w:tcW w:w="6315" w:type="dxa"/>
            <w:tcBorders>
              <w:top w:val="single" w:color="000000" w:sz="4" w:space="0"/>
              <w:left w:val="single" w:color="000000" w:sz="4" w:space="0"/>
              <w:bottom w:val="single" w:color="000000" w:sz="4" w:space="0"/>
              <w:right w:val="single" w:color="000000" w:sz="4" w:space="0"/>
            </w:tcBorders>
            <w:vAlign w:val="center"/>
          </w:tcPr>
          <w:p w14:paraId="519C44D5">
            <w:pPr>
              <w:autoSpaceDE w:val="0"/>
              <w:autoSpaceDN w:val="0"/>
              <w:adjustRightInd w:val="0"/>
              <w:snapToGrid w:val="0"/>
              <w:jc w:val="left"/>
              <w:rPr>
                <w:rFonts w:ascii="宋体" w:hAnsi="宋体" w:cs="Segoe UI Symbol"/>
                <w:color w:val="000000"/>
                <w:kern w:val="0"/>
                <w:szCs w:val="21"/>
                <w:u w:val="single"/>
              </w:rPr>
            </w:pPr>
            <w:r>
              <w:rPr>
                <w:rFonts w:hint="eastAsia" w:ascii="宋体" w:hAnsi="宋体" w:cs="Segoe UI Symbol"/>
                <w:color w:val="000000"/>
                <w:kern w:val="0"/>
                <w:szCs w:val="21"/>
              </w:rPr>
              <w:t>□是，与招标人的关系为：</w:t>
            </w:r>
            <w:r>
              <w:rPr>
                <w:rFonts w:hint="eastAsia" w:ascii="宋体" w:hAnsi="宋体" w:cs="Segoe UI Symbol"/>
                <w:color w:val="000000"/>
                <w:kern w:val="0"/>
                <w:szCs w:val="21"/>
                <w:u w:val="single"/>
              </w:rPr>
              <w:t xml:space="preserve">                                   </w:t>
            </w:r>
          </w:p>
          <w:p w14:paraId="65382FA9">
            <w:pPr>
              <w:autoSpaceDE w:val="0"/>
              <w:autoSpaceDN w:val="0"/>
              <w:adjustRightInd w:val="0"/>
              <w:snapToGrid w:val="0"/>
              <w:jc w:val="left"/>
              <w:rPr>
                <w:rFonts w:ascii="宋体" w:hAnsi="宋体" w:cs="Segoe UI Symbol"/>
                <w:color w:val="000000"/>
                <w:kern w:val="0"/>
                <w:szCs w:val="21"/>
              </w:rPr>
            </w:pPr>
            <w:r>
              <w:rPr>
                <w:rFonts w:hint="eastAsia" w:ascii="宋体" w:hAnsi="宋体" w:cs="Segoe UI Symbol"/>
                <w:color w:val="000000"/>
                <w:kern w:val="0"/>
                <w:szCs w:val="21"/>
              </w:rPr>
              <w:t>□否</w:t>
            </w:r>
          </w:p>
        </w:tc>
      </w:tr>
    </w:tbl>
    <w:p w14:paraId="7B3F936D">
      <w:pPr>
        <w:autoSpaceDE w:val="0"/>
        <w:autoSpaceDN w:val="0"/>
        <w:adjustRightInd w:val="0"/>
        <w:snapToGrid w:val="0"/>
        <w:jc w:val="left"/>
        <w:rPr>
          <w:rFonts w:ascii="宋体" w:hAnsi="宋体"/>
          <w:b/>
          <w:bCs/>
          <w:color w:val="000000"/>
          <w:szCs w:val="21"/>
        </w:rPr>
      </w:pPr>
      <w:r>
        <w:rPr>
          <w:rFonts w:hint="eastAsia" w:ascii="宋体" w:hAnsi="宋体"/>
          <w:b/>
          <w:bCs/>
          <w:color w:val="000000"/>
          <w:szCs w:val="21"/>
        </w:rPr>
        <w:t>注：</w:t>
      </w:r>
    </w:p>
    <w:p w14:paraId="0D14ECFE">
      <w:pPr>
        <w:autoSpaceDE w:val="0"/>
        <w:autoSpaceDN w:val="0"/>
        <w:adjustRightInd w:val="0"/>
        <w:snapToGrid w:val="0"/>
        <w:jc w:val="left"/>
        <w:rPr>
          <w:rFonts w:ascii="宋体" w:hAnsi="宋体"/>
          <w:bCs/>
          <w:color w:val="000000"/>
          <w:szCs w:val="21"/>
        </w:rPr>
      </w:pPr>
      <w:r>
        <w:rPr>
          <w:rFonts w:hint="eastAsia" w:ascii="宋体" w:hAnsi="宋体"/>
          <w:bCs/>
          <w:color w:val="000000"/>
          <w:szCs w:val="21"/>
        </w:rPr>
        <w:t>1、控股是指：其出资额占有限责任公司资本总额百分之五十以上或其持有的股份占股份有限公司股本总额百分之五十以上的股东；出资额或者持有股份的比例虽然不足百分之五十，但依其出资额或者或其持有的股份享有的表决权已足以对股东会、股东大会的决议产生重大影响的股东；</w:t>
      </w:r>
    </w:p>
    <w:p w14:paraId="1D752683">
      <w:pPr>
        <w:rPr>
          <w:rFonts w:ascii="宋体" w:hAnsi="宋体"/>
          <w:bCs/>
          <w:color w:val="000000"/>
          <w:szCs w:val="21"/>
        </w:rPr>
      </w:pPr>
      <w:r>
        <w:rPr>
          <w:rFonts w:hint="eastAsia" w:ascii="宋体" w:hAnsi="宋体"/>
          <w:bCs/>
          <w:color w:val="000000"/>
          <w:szCs w:val="21"/>
        </w:rPr>
        <w:t>2、投标人需如实填写上述信息，如查实上述信息与实际不符，视为提供虚假证明材料骗取中标，投标人应承担相应法律后果。</w:t>
      </w:r>
    </w:p>
    <w:p w14:paraId="1C28A8D6">
      <w:pPr>
        <w:rPr>
          <w:rFonts w:ascii="宋体" w:hAnsi="宋体"/>
          <w:bCs/>
          <w:color w:val="000000"/>
          <w:szCs w:val="21"/>
        </w:rPr>
      </w:pPr>
    </w:p>
    <w:p w14:paraId="6B012776">
      <w:pPr>
        <w:spacing w:line="480" w:lineRule="auto"/>
      </w:pPr>
      <w:r>
        <w:t xml:space="preserve"> </w:t>
      </w:r>
      <w:bookmarkStart w:id="32" w:name="_Hlk72260501"/>
      <w:r>
        <w:t xml:space="preserve"> </w:t>
      </w:r>
      <w:bookmarkEnd w:id="32"/>
    </w:p>
    <w:p w14:paraId="20177974">
      <w:pPr>
        <w:rPr>
          <w:rFonts w:ascii="黑体" w:eastAsia="黑体"/>
          <w:sz w:val="24"/>
          <w:szCs w:val="24"/>
        </w:rPr>
      </w:pPr>
      <w:r>
        <w:rPr>
          <w:rFonts w:hint="eastAsia" w:ascii="黑体" w:eastAsia="黑体"/>
          <w:sz w:val="24"/>
          <w:szCs w:val="24"/>
        </w:rPr>
        <w:br w:type="page"/>
      </w:r>
    </w:p>
    <w:p w14:paraId="3B0B10AE">
      <w:pPr>
        <w:widowControl/>
        <w:jc w:val="center"/>
        <w:rPr>
          <w:rFonts w:ascii="Arial" w:hAnsi="Arial" w:eastAsia="宋体" w:cs="Times New Roman"/>
          <w:b/>
          <w:sz w:val="24"/>
          <w:szCs w:val="24"/>
        </w:rPr>
      </w:pPr>
    </w:p>
    <w:p w14:paraId="4C5FFA77">
      <w:pPr>
        <w:widowControl/>
        <w:jc w:val="center"/>
        <w:rPr>
          <w:rFonts w:ascii="Arial" w:hAnsi="Arial" w:eastAsia="宋体" w:cs="Times New Roman"/>
          <w:b/>
          <w:sz w:val="24"/>
          <w:szCs w:val="24"/>
        </w:rPr>
      </w:pPr>
      <w:r>
        <w:rPr>
          <w:rFonts w:hint="eastAsia" w:ascii="Arial" w:hAnsi="Arial" w:eastAsia="宋体" w:cs="Times New Roman"/>
          <w:b/>
          <w:sz w:val="24"/>
          <w:szCs w:val="24"/>
        </w:rPr>
        <w:t>（本章未提供的招标要求的其他文件格式由供应商自拟）</w:t>
      </w:r>
    </w:p>
    <w:p w14:paraId="222F94CF">
      <w:pPr>
        <w:widowControl/>
        <w:rPr>
          <w:rFonts w:ascii="Arial" w:hAnsi="Arial" w:eastAsia="宋体" w:cs="Times New Roman"/>
          <w:szCs w:val="24"/>
        </w:rPr>
      </w:pPr>
      <w:r>
        <w:rPr>
          <w:rFonts w:ascii="Arial" w:hAnsi="Arial" w:eastAsia="宋体" w:cs="Times New Roman"/>
          <w:szCs w:val="24"/>
        </w:rPr>
        <w:br w:type="page"/>
      </w:r>
    </w:p>
    <w:p w14:paraId="674EBC0A">
      <w:pPr>
        <w:spacing w:after="78" w:afterLines="25" w:line="300" w:lineRule="auto"/>
        <w:outlineLvl w:val="2"/>
        <w:rPr>
          <w:rFonts w:ascii="Arial" w:hAnsi="Arial" w:eastAsia="宋体" w:cs="Times New Roman"/>
          <w:b/>
          <w:color w:val="FF0000"/>
          <w:sz w:val="32"/>
          <w:szCs w:val="32"/>
        </w:rPr>
      </w:pPr>
      <w:r>
        <w:rPr>
          <w:rFonts w:hint="eastAsia" w:ascii="Arial" w:hAnsi="Arial" w:eastAsia="宋体" w:cs="Times New Roman"/>
          <w:b/>
          <w:color w:val="FF0000"/>
          <w:sz w:val="32"/>
          <w:szCs w:val="32"/>
        </w:rPr>
        <w:t>（二）投标文件附件</w:t>
      </w:r>
    </w:p>
    <w:p w14:paraId="43B7CCFB">
      <w:pPr>
        <w:pStyle w:val="5"/>
        <w:jc w:val="center"/>
        <w:rPr>
          <w:rFonts w:ascii="黑体" w:eastAsia="黑体"/>
          <w:b w:val="0"/>
          <w:sz w:val="24"/>
        </w:rPr>
      </w:pPr>
      <w:r>
        <w:rPr>
          <w:rFonts w:hint="eastAsia" w:ascii="黑体" w:eastAsia="黑体"/>
          <w:b w:val="0"/>
          <w:sz w:val="24"/>
        </w:rPr>
        <w:t>一、</w:t>
      </w:r>
      <w:bookmarkStart w:id="33" w:name="_Hlk72092499"/>
      <w:r>
        <w:rPr>
          <w:rFonts w:hint="eastAsia" w:ascii="黑体" w:eastAsia="黑体"/>
          <w:b w:val="0"/>
          <w:sz w:val="24"/>
        </w:rPr>
        <w:t>法定代表人（负责人）证明书</w:t>
      </w:r>
      <w:bookmarkEnd w:id="33"/>
    </w:p>
    <w:p w14:paraId="47BB6D55">
      <w:pPr>
        <w:rPr>
          <w:sz w:val="24"/>
        </w:rPr>
      </w:pPr>
    </w:p>
    <w:p w14:paraId="4FCFC09D">
      <w:pPr>
        <w:spacing w:line="360" w:lineRule="auto"/>
        <w:ind w:firstLine="420" w:firstLineChars="200"/>
        <w:rPr>
          <w:rFonts w:eastAsia="宋体"/>
          <w:szCs w:val="21"/>
        </w:rPr>
      </w:pPr>
      <w:r>
        <w:rPr>
          <w:rFonts w:hint="eastAsia"/>
          <w:szCs w:val="21"/>
          <w:u w:val="single"/>
        </w:rPr>
        <w:t xml:space="preserve">                 </w:t>
      </w:r>
      <w:r>
        <w:rPr>
          <w:rFonts w:hint="eastAsia"/>
          <w:szCs w:val="21"/>
        </w:rPr>
        <w:t>（姓名），现任我单位</w:t>
      </w:r>
      <w:r>
        <w:rPr>
          <w:rFonts w:hint="eastAsia"/>
          <w:szCs w:val="21"/>
          <w:u w:val="single"/>
        </w:rPr>
        <w:t xml:space="preserve">             </w:t>
      </w:r>
      <w:r>
        <w:rPr>
          <w:rFonts w:hint="eastAsia"/>
          <w:szCs w:val="21"/>
        </w:rPr>
        <w:t>职务，为法定代表人（负责人），身份证件号为：</w:t>
      </w:r>
      <w:r>
        <w:rPr>
          <w:rFonts w:hint="eastAsia"/>
          <w:szCs w:val="21"/>
          <w:u w:val="single"/>
        </w:rPr>
        <w:t xml:space="preserve">                                     </w:t>
      </w:r>
      <w:r>
        <w:rPr>
          <w:rFonts w:hint="eastAsia"/>
          <w:szCs w:val="21"/>
        </w:rPr>
        <w:t>，联系电话：</w:t>
      </w:r>
      <w:r>
        <w:rPr>
          <w:rFonts w:hint="eastAsia"/>
          <w:szCs w:val="21"/>
          <w:u w:val="single"/>
        </w:rPr>
        <w:t xml:space="preserve">                </w:t>
      </w:r>
      <w:r>
        <w:rPr>
          <w:rFonts w:hint="eastAsia"/>
          <w:szCs w:val="21"/>
        </w:rPr>
        <w:t>。</w:t>
      </w:r>
    </w:p>
    <w:p w14:paraId="6F1F0611">
      <w:pPr>
        <w:spacing w:line="360" w:lineRule="auto"/>
        <w:ind w:firstLine="420" w:firstLineChars="200"/>
        <w:rPr>
          <w:szCs w:val="21"/>
        </w:rPr>
      </w:pPr>
      <w:r>
        <w:rPr>
          <w:rFonts w:hint="eastAsia"/>
          <w:szCs w:val="21"/>
        </w:rPr>
        <w:t>特此证明。</w:t>
      </w:r>
    </w:p>
    <w:p w14:paraId="2FE6A6FB">
      <w:pPr>
        <w:spacing w:line="360" w:lineRule="auto"/>
        <w:ind w:firstLine="420" w:firstLineChars="200"/>
        <w:rPr>
          <w:szCs w:val="21"/>
        </w:rPr>
      </w:pPr>
      <w:r>
        <w:rPr>
          <w:rFonts w:hint="eastAsia"/>
          <w:szCs w:val="21"/>
        </w:rPr>
        <w:t>说明：1、法定代表人为投标人（企业事业单位、国家机关、社会团体）的主要行政负责人。</w:t>
      </w:r>
    </w:p>
    <w:p w14:paraId="2FCB0E91">
      <w:pPr>
        <w:numPr>
          <w:ilvl w:val="0"/>
          <w:numId w:val="7"/>
        </w:numPr>
        <w:spacing w:line="360" w:lineRule="auto"/>
        <w:ind w:firstLine="420" w:firstLineChars="200"/>
        <w:rPr>
          <w:szCs w:val="21"/>
        </w:rPr>
      </w:pPr>
      <w:r>
        <w:rPr>
          <w:rFonts w:hint="eastAsia"/>
          <w:szCs w:val="21"/>
          <w:lang w:eastAsia="zh-Hans"/>
        </w:rPr>
        <w:t>本证明书要供法定代表人（负责人）</w:t>
      </w:r>
      <w:r>
        <w:rPr>
          <w:rFonts w:hint="eastAsia"/>
          <w:szCs w:val="21"/>
        </w:rPr>
        <w:t>相关身份证明文件：身份证扫描件（正反两面）；港澳台居民可提供来往通行证扫描件；非中国国籍管辖范围人员，可提供公安部门认可的身份证明材料扫描件。</w:t>
      </w:r>
    </w:p>
    <w:p w14:paraId="195733CA">
      <w:pPr>
        <w:numPr>
          <w:ilvl w:val="0"/>
          <w:numId w:val="7"/>
        </w:numPr>
        <w:spacing w:line="360" w:lineRule="auto"/>
        <w:ind w:firstLine="420" w:firstLineChars="200"/>
        <w:rPr>
          <w:szCs w:val="21"/>
        </w:rPr>
      </w:pPr>
      <w:r>
        <w:rPr>
          <w:rFonts w:hint="eastAsia"/>
          <w:szCs w:val="21"/>
          <w:lang w:eastAsia="zh-Hans"/>
        </w:rPr>
        <w:t>本项目投标授权代表为法定代表人（负责人）的，无需提供</w:t>
      </w:r>
      <w:r>
        <w:rPr>
          <w:rFonts w:hint="eastAsia"/>
          <w:szCs w:val="21"/>
        </w:rPr>
        <w:t>《投标文件签署授权委托书》</w:t>
      </w:r>
      <w:r>
        <w:rPr>
          <w:rFonts w:hint="eastAsia"/>
          <w:szCs w:val="21"/>
          <w:lang w:eastAsia="zh-Hans"/>
        </w:rPr>
        <w:t>。</w:t>
      </w:r>
    </w:p>
    <w:p w14:paraId="0DE8E785">
      <w:pPr>
        <w:numPr>
          <w:ilvl w:val="0"/>
          <w:numId w:val="7"/>
        </w:numPr>
        <w:spacing w:line="360" w:lineRule="auto"/>
        <w:ind w:firstLine="420" w:firstLineChars="200"/>
        <w:rPr>
          <w:szCs w:val="21"/>
        </w:rPr>
      </w:pPr>
      <w:r>
        <w:rPr>
          <w:rFonts w:hint="eastAsia"/>
          <w:szCs w:val="21"/>
        </w:rPr>
        <w:t>内容必须填写真实、清楚，涂改无效，不得转让、买卖。</w:t>
      </w:r>
    </w:p>
    <w:tbl>
      <w:tblPr>
        <w:tblStyle w:val="17"/>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79B9D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Pr>
          <w:p w14:paraId="5D85E8D3">
            <w:pPr>
              <w:jc w:val="center"/>
            </w:pPr>
            <w:r>
              <w:rPr>
                <w:rFonts w:hint="eastAsia"/>
              </w:rPr>
              <w:t>证件扫描件正面</w:t>
            </w:r>
          </w:p>
          <w:p w14:paraId="770EDA87">
            <w:pPr>
              <w:pStyle w:val="2"/>
              <w:jc w:val="center"/>
            </w:pPr>
          </w:p>
          <w:p w14:paraId="4E4B9777">
            <w:pPr>
              <w:pStyle w:val="13"/>
              <w:jc w:val="center"/>
            </w:pPr>
          </w:p>
        </w:tc>
        <w:tc>
          <w:tcPr>
            <w:tcW w:w="4265" w:type="dxa"/>
          </w:tcPr>
          <w:p w14:paraId="148FE873">
            <w:pPr>
              <w:jc w:val="center"/>
            </w:pPr>
            <w:r>
              <w:rPr>
                <w:rFonts w:hint="eastAsia"/>
              </w:rPr>
              <w:t>证件扫描件反面</w:t>
            </w:r>
          </w:p>
          <w:p w14:paraId="6740318D">
            <w:pPr>
              <w:pStyle w:val="2"/>
              <w:jc w:val="center"/>
            </w:pPr>
          </w:p>
          <w:p w14:paraId="68675C43">
            <w:pPr>
              <w:pStyle w:val="13"/>
              <w:jc w:val="center"/>
            </w:pPr>
          </w:p>
        </w:tc>
      </w:tr>
    </w:tbl>
    <w:p w14:paraId="46FA0AFC">
      <w:pPr>
        <w:rPr>
          <w:sz w:val="24"/>
        </w:rPr>
      </w:pPr>
    </w:p>
    <w:p w14:paraId="7E4F4DC1">
      <w:pPr>
        <w:rPr>
          <w:rFonts w:ascii="黑体" w:eastAsia="黑体"/>
          <w:sz w:val="24"/>
        </w:rPr>
      </w:pPr>
      <w:r>
        <w:rPr>
          <w:rFonts w:hint="eastAsia" w:ascii="黑体" w:eastAsia="黑体"/>
          <w:sz w:val="24"/>
        </w:rPr>
        <w:br w:type="page"/>
      </w:r>
    </w:p>
    <w:p w14:paraId="00F0527A">
      <w:pPr>
        <w:pStyle w:val="5"/>
        <w:spacing w:before="120" w:after="120"/>
        <w:jc w:val="center"/>
        <w:rPr>
          <w:rFonts w:ascii="黑体" w:eastAsia="黑体"/>
          <w:b w:val="0"/>
          <w:sz w:val="24"/>
        </w:rPr>
      </w:pPr>
      <w:r>
        <w:rPr>
          <w:rFonts w:hint="eastAsia" w:ascii="黑体" w:eastAsia="黑体"/>
          <w:b w:val="0"/>
          <w:sz w:val="24"/>
        </w:rPr>
        <w:t>二、投标文件签署授权委托书</w:t>
      </w:r>
    </w:p>
    <w:p w14:paraId="5C487AF0">
      <w:pPr>
        <w:spacing w:line="360" w:lineRule="auto"/>
        <w:ind w:firstLine="420" w:firstLineChars="200"/>
        <w:rPr>
          <w:szCs w:val="21"/>
        </w:rPr>
      </w:pPr>
      <w:r>
        <w:rPr>
          <w:rFonts w:hint="eastAsia"/>
          <w:szCs w:val="21"/>
        </w:rPr>
        <w:t>本授权委托书声明：我</w:t>
      </w:r>
      <w:r>
        <w:rPr>
          <w:rFonts w:hint="eastAsia"/>
          <w:szCs w:val="21"/>
          <w:u w:val="single"/>
        </w:rPr>
        <w:t xml:space="preserve">           </w:t>
      </w:r>
      <w:r>
        <w:rPr>
          <w:rFonts w:hint="eastAsia"/>
          <w:szCs w:val="21"/>
        </w:rPr>
        <w:t>（姓名）系</w:t>
      </w:r>
      <w:r>
        <w:rPr>
          <w:rFonts w:hint="eastAsia"/>
          <w:szCs w:val="21"/>
          <w:u w:val="single"/>
        </w:rPr>
        <w:t xml:space="preserve">             </w:t>
      </w:r>
      <w:r>
        <w:rPr>
          <w:rFonts w:hint="eastAsia"/>
          <w:szCs w:val="21"/>
        </w:rPr>
        <w:t>（投标人名称）的法定代表人（负责人），现授权委托</w:t>
      </w:r>
      <w:r>
        <w:rPr>
          <w:rFonts w:hint="eastAsia"/>
          <w:szCs w:val="21"/>
          <w:u w:val="single"/>
        </w:rPr>
        <w:t xml:space="preserve">            </w:t>
      </w:r>
      <w:r>
        <w:rPr>
          <w:rFonts w:hint="eastAsia"/>
          <w:szCs w:val="21"/>
        </w:rPr>
        <w:t>（姓名）为我单位签署本项目已递交的投标文件的法定代表人（负责人）的授权委托代理人，代理人全权代表我所签署的本项目已递交的投标文件内容我均承认。</w:t>
      </w:r>
    </w:p>
    <w:p w14:paraId="7B64B2C0">
      <w:pPr>
        <w:spacing w:line="360" w:lineRule="auto"/>
        <w:ind w:firstLine="420" w:firstLineChars="200"/>
        <w:rPr>
          <w:szCs w:val="21"/>
        </w:rPr>
      </w:pPr>
      <w:r>
        <w:rPr>
          <w:rFonts w:hint="eastAsia"/>
          <w:szCs w:val="21"/>
        </w:rPr>
        <w:t>代理人无转委托权，特此委托。</w:t>
      </w:r>
    </w:p>
    <w:p w14:paraId="77CF90EF">
      <w:pPr>
        <w:spacing w:line="360" w:lineRule="auto"/>
        <w:ind w:firstLine="420" w:firstLineChars="200"/>
        <w:rPr>
          <w:szCs w:val="21"/>
        </w:rPr>
      </w:pPr>
    </w:p>
    <w:p w14:paraId="78B806B7">
      <w:pPr>
        <w:spacing w:line="360" w:lineRule="auto"/>
        <w:ind w:firstLine="420" w:firstLineChars="200"/>
        <w:rPr>
          <w:szCs w:val="21"/>
        </w:rPr>
      </w:pPr>
      <w:r>
        <w:rPr>
          <w:rFonts w:hint="eastAsia"/>
          <w:szCs w:val="21"/>
        </w:rPr>
        <w:t>代理人：</w:t>
      </w:r>
      <w:r>
        <w:rPr>
          <w:rFonts w:hint="eastAsia"/>
          <w:szCs w:val="21"/>
          <w:u w:val="single"/>
        </w:rPr>
        <w:t xml:space="preserve">              </w:t>
      </w:r>
      <w:r>
        <w:rPr>
          <w:rFonts w:hint="eastAsia"/>
          <w:szCs w:val="21"/>
        </w:rPr>
        <w:t>；</w:t>
      </w:r>
    </w:p>
    <w:p w14:paraId="722E0CE2">
      <w:pPr>
        <w:spacing w:line="360" w:lineRule="auto"/>
        <w:ind w:firstLine="420" w:firstLineChars="200"/>
        <w:rPr>
          <w:szCs w:val="21"/>
        </w:rPr>
      </w:pPr>
      <w:r>
        <w:rPr>
          <w:rFonts w:hint="eastAsia"/>
          <w:szCs w:val="21"/>
        </w:rPr>
        <w:t>身份证件号：</w:t>
      </w:r>
      <w:r>
        <w:rPr>
          <w:rFonts w:hint="eastAsia"/>
          <w:szCs w:val="21"/>
          <w:u w:val="single"/>
        </w:rPr>
        <w:t xml:space="preserve">                        </w:t>
      </w:r>
      <w:r>
        <w:rPr>
          <w:rFonts w:hint="eastAsia"/>
          <w:szCs w:val="21"/>
        </w:rPr>
        <w:t>，职务：</w:t>
      </w:r>
      <w:r>
        <w:rPr>
          <w:rFonts w:hint="eastAsia"/>
          <w:szCs w:val="21"/>
          <w:u w:val="single"/>
        </w:rPr>
        <w:t xml:space="preserve">                </w:t>
      </w:r>
      <w:r>
        <w:rPr>
          <w:rFonts w:hint="eastAsia"/>
          <w:szCs w:val="21"/>
        </w:rPr>
        <w:t>；</w:t>
      </w:r>
    </w:p>
    <w:p w14:paraId="5859AF47">
      <w:pPr>
        <w:spacing w:line="360" w:lineRule="auto"/>
        <w:ind w:firstLine="420" w:firstLineChars="200"/>
        <w:rPr>
          <w:szCs w:val="21"/>
        </w:rPr>
      </w:pPr>
      <w:r>
        <w:rPr>
          <w:rFonts w:hint="eastAsia"/>
          <w:szCs w:val="21"/>
        </w:rPr>
        <w:t>联系电话：</w:t>
      </w:r>
      <w:r>
        <w:rPr>
          <w:rFonts w:hint="eastAsia"/>
          <w:szCs w:val="21"/>
          <w:u w:val="single"/>
        </w:rPr>
        <w:t xml:space="preserve">            </w:t>
      </w:r>
      <w:r>
        <w:rPr>
          <w:rFonts w:hint="eastAsia"/>
          <w:szCs w:val="21"/>
        </w:rPr>
        <w:t>，手机：</w:t>
      </w:r>
      <w:r>
        <w:rPr>
          <w:rFonts w:hint="eastAsia"/>
          <w:szCs w:val="21"/>
          <w:u w:val="single"/>
        </w:rPr>
        <w:t xml:space="preserve">                   </w:t>
      </w:r>
      <w:r>
        <w:rPr>
          <w:rFonts w:hint="eastAsia"/>
          <w:szCs w:val="21"/>
        </w:rPr>
        <w:t>，电子邮箱：</w:t>
      </w:r>
      <w:r>
        <w:rPr>
          <w:rFonts w:hint="eastAsia"/>
          <w:szCs w:val="21"/>
          <w:u w:val="single"/>
        </w:rPr>
        <w:t xml:space="preserve">                        </w:t>
      </w:r>
      <w:r>
        <w:rPr>
          <w:rFonts w:hint="eastAsia" w:eastAsia="宋体"/>
          <w:szCs w:val="21"/>
        </w:rPr>
        <w:t>；</w:t>
      </w:r>
    </w:p>
    <w:p w14:paraId="2899BADD">
      <w:pPr>
        <w:spacing w:line="360" w:lineRule="auto"/>
        <w:ind w:firstLine="420" w:firstLineChars="200"/>
        <w:rPr>
          <w:rFonts w:eastAsia="宋体"/>
          <w:szCs w:val="21"/>
        </w:rPr>
      </w:pPr>
      <w:r>
        <w:rPr>
          <w:rFonts w:hint="eastAsia"/>
          <w:szCs w:val="21"/>
        </w:rPr>
        <w:t>授权委托日期：</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 xml:space="preserve">月 </w:t>
      </w:r>
      <w:r>
        <w:rPr>
          <w:rFonts w:hint="eastAsia"/>
          <w:szCs w:val="21"/>
          <w:u w:val="single"/>
        </w:rPr>
        <w:t xml:space="preserve">      </w:t>
      </w:r>
      <w:r>
        <w:rPr>
          <w:rFonts w:hint="eastAsia"/>
          <w:szCs w:val="21"/>
        </w:rPr>
        <w:t>日。</w:t>
      </w:r>
    </w:p>
    <w:p w14:paraId="6DE50128">
      <w:pPr>
        <w:spacing w:line="360" w:lineRule="auto"/>
        <w:ind w:firstLine="422" w:firstLineChars="200"/>
        <w:rPr>
          <w:b/>
          <w:color w:val="FF0000"/>
          <w:szCs w:val="21"/>
        </w:rPr>
      </w:pPr>
      <w:r>
        <w:rPr>
          <w:rFonts w:hint="eastAsia"/>
          <w:b/>
          <w:color w:val="FF0000"/>
          <w:szCs w:val="21"/>
        </w:rPr>
        <w:t>附：请提供代理人身份证扫描件（正反两面）；港澳台居民可提供来往通行证扫描件；非中国国籍管辖范围人员，可提供公安部门认可的身份证明材料扫描件。</w:t>
      </w:r>
    </w:p>
    <w:tbl>
      <w:tblPr>
        <w:tblStyle w:val="17"/>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4FD99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Pr>
          <w:p w14:paraId="08E51B36">
            <w:pPr>
              <w:jc w:val="center"/>
            </w:pPr>
            <w:r>
              <w:rPr>
                <w:rFonts w:hint="eastAsia" w:ascii="Times New Roman" w:eastAsia="宋体"/>
              </w:rPr>
              <w:t>证件扫描件正面</w:t>
            </w:r>
          </w:p>
          <w:p w14:paraId="0E805FFE">
            <w:pPr>
              <w:pStyle w:val="2"/>
              <w:jc w:val="center"/>
            </w:pPr>
          </w:p>
          <w:p w14:paraId="31911D63">
            <w:pPr>
              <w:pStyle w:val="13"/>
              <w:jc w:val="center"/>
            </w:pPr>
          </w:p>
        </w:tc>
        <w:tc>
          <w:tcPr>
            <w:tcW w:w="4265" w:type="dxa"/>
          </w:tcPr>
          <w:p w14:paraId="7748D0B0">
            <w:pPr>
              <w:jc w:val="center"/>
            </w:pPr>
            <w:r>
              <w:rPr>
                <w:rFonts w:hint="eastAsia" w:ascii="Times New Roman" w:eastAsia="宋体"/>
              </w:rPr>
              <w:t>证件扫描件反面</w:t>
            </w:r>
          </w:p>
          <w:p w14:paraId="711788EE">
            <w:pPr>
              <w:pStyle w:val="2"/>
              <w:jc w:val="center"/>
            </w:pPr>
          </w:p>
          <w:p w14:paraId="7056854E">
            <w:pPr>
              <w:pStyle w:val="13"/>
              <w:jc w:val="center"/>
            </w:pPr>
          </w:p>
        </w:tc>
      </w:tr>
    </w:tbl>
    <w:p w14:paraId="70E45AAB">
      <w:pPr>
        <w:tabs>
          <w:tab w:val="left" w:pos="651"/>
        </w:tabs>
        <w:snapToGrid w:val="0"/>
        <w:jc w:val="center"/>
        <w:rPr>
          <w:rFonts w:ascii="黑体" w:eastAsia="黑体"/>
          <w:kern w:val="0"/>
          <w:sz w:val="24"/>
          <w:szCs w:val="24"/>
        </w:rPr>
      </w:pPr>
    </w:p>
    <w:p w14:paraId="35E28245">
      <w:pPr>
        <w:tabs>
          <w:tab w:val="left" w:pos="651"/>
        </w:tabs>
        <w:snapToGrid w:val="0"/>
        <w:jc w:val="center"/>
        <w:rPr>
          <w:rFonts w:ascii="黑体" w:eastAsia="黑体"/>
          <w:kern w:val="0"/>
          <w:sz w:val="24"/>
          <w:szCs w:val="24"/>
        </w:rPr>
      </w:pPr>
    </w:p>
    <w:p w14:paraId="69F695D7">
      <w:pPr>
        <w:tabs>
          <w:tab w:val="left" w:pos="651"/>
        </w:tabs>
        <w:snapToGrid w:val="0"/>
        <w:jc w:val="center"/>
        <w:rPr>
          <w:rFonts w:ascii="黑体" w:eastAsia="黑体"/>
          <w:kern w:val="0"/>
          <w:sz w:val="24"/>
          <w:szCs w:val="24"/>
        </w:rPr>
      </w:pPr>
    </w:p>
    <w:p w14:paraId="611A66CB">
      <w:pPr>
        <w:tabs>
          <w:tab w:val="left" w:pos="651"/>
        </w:tabs>
        <w:snapToGrid w:val="0"/>
        <w:jc w:val="center"/>
        <w:rPr>
          <w:rFonts w:ascii="黑体" w:eastAsia="黑体"/>
          <w:kern w:val="0"/>
          <w:sz w:val="24"/>
          <w:szCs w:val="24"/>
        </w:rPr>
      </w:pPr>
    </w:p>
    <w:p w14:paraId="4C5EDF6A">
      <w:pPr>
        <w:keepNext w:val="0"/>
        <w:keepLines w:val="0"/>
        <w:pageBreakBefore w:val="0"/>
        <w:widowControl w:val="0"/>
        <w:tabs>
          <w:tab w:val="left" w:pos="651"/>
        </w:tabs>
        <w:kinsoku/>
        <w:wordWrap/>
        <w:overflowPunct/>
        <w:topLinePunct w:val="0"/>
        <w:autoSpaceDE/>
        <w:autoSpaceDN/>
        <w:bidi w:val="0"/>
        <w:adjustRightInd/>
        <w:snapToGrid w:val="0"/>
        <w:jc w:val="center"/>
        <w:textAlignment w:val="auto"/>
        <w:outlineLvl w:val="2"/>
        <w:rPr>
          <w:rFonts w:ascii="宋体" w:hAnsi="宋体" w:eastAsia="宋体" w:cs="Times New Roman"/>
          <w:b/>
          <w:bCs/>
          <w:kern w:val="0"/>
          <w:sz w:val="24"/>
          <w:szCs w:val="20"/>
        </w:rPr>
      </w:pPr>
      <w:r>
        <w:rPr>
          <w:rFonts w:hint="eastAsia" w:ascii="黑体" w:eastAsia="黑体"/>
          <w:kern w:val="0"/>
          <w:sz w:val="24"/>
          <w:szCs w:val="24"/>
        </w:rPr>
        <w:t>三、</w:t>
      </w:r>
      <w:bookmarkStart w:id="34" w:name="_Hlk72092634"/>
      <w:r>
        <w:rPr>
          <w:rFonts w:hint="eastAsia" w:ascii="黑体" w:eastAsia="黑体"/>
          <w:kern w:val="0"/>
          <w:sz w:val="24"/>
          <w:szCs w:val="24"/>
        </w:rPr>
        <w:t>实质性条款响应情况表</w:t>
      </w:r>
      <w:bookmarkEnd w:id="34"/>
    </w:p>
    <w:p w14:paraId="57338CA1">
      <w:pPr>
        <w:snapToGrid w:val="0"/>
        <w:rPr>
          <w:rFonts w:ascii="Arial" w:hAnsi="Arial" w:eastAsia="宋体" w:cs="Arial"/>
          <w:sz w:val="24"/>
          <w:szCs w:val="24"/>
        </w:rPr>
      </w:pPr>
      <w:r>
        <w:rPr>
          <w:rFonts w:hint="eastAsia" w:ascii="Arial" w:hAnsi="Arial" w:eastAsia="宋体" w:cs="Arial"/>
          <w:color w:val="000000"/>
          <w:sz w:val="24"/>
          <w:szCs w:val="24"/>
        </w:rPr>
        <w:t>投标单位（投标人）名称：</w:t>
      </w:r>
      <w:r>
        <w:rPr>
          <w:rFonts w:ascii="Arial" w:hAnsi="Arial" w:eastAsia="宋体" w:cs="Arial"/>
          <w:color w:val="000000"/>
          <w:sz w:val="24"/>
          <w:szCs w:val="24"/>
          <w:u w:val="single"/>
        </w:rPr>
        <w:t xml:space="preserve">                         </w:t>
      </w:r>
    </w:p>
    <w:p w14:paraId="09A22B80">
      <w:pPr>
        <w:snapToGrid w:val="0"/>
        <w:rPr>
          <w:rFonts w:cs="Times New Roman" w:asciiTheme="minorEastAsia" w:hAnsiTheme="minorEastAsia"/>
          <w:b/>
          <w:sz w:val="24"/>
          <w:szCs w:val="24"/>
        </w:rPr>
      </w:pPr>
    </w:p>
    <w:tbl>
      <w:tblPr>
        <w:tblStyle w:val="16"/>
        <w:tblW w:w="9403" w:type="dxa"/>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602"/>
        <w:gridCol w:w="3901"/>
        <w:gridCol w:w="2176"/>
        <w:gridCol w:w="1732"/>
        <w:gridCol w:w="992"/>
      </w:tblGrid>
      <w:tr w14:paraId="56681BE0">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529" w:hRule="atLeast"/>
          <w:jc w:val="center"/>
        </w:trPr>
        <w:tc>
          <w:tcPr>
            <w:tcW w:w="602" w:type="dxa"/>
            <w:vAlign w:val="center"/>
          </w:tcPr>
          <w:p w14:paraId="668CBD91">
            <w:pPr>
              <w:jc w:val="center"/>
              <w:rPr>
                <w:rFonts w:ascii="宋体" w:hAnsi="宋体" w:eastAsia="宋体" w:cs="Arial"/>
                <w:b/>
                <w:szCs w:val="21"/>
              </w:rPr>
            </w:pPr>
            <w:r>
              <w:rPr>
                <w:rFonts w:hint="eastAsia" w:ascii="宋体" w:hAnsi="宋体" w:eastAsia="宋体" w:cs="Arial"/>
                <w:b/>
                <w:szCs w:val="21"/>
              </w:rPr>
              <w:t>序号</w:t>
            </w:r>
          </w:p>
        </w:tc>
        <w:tc>
          <w:tcPr>
            <w:tcW w:w="3901" w:type="dxa"/>
            <w:vAlign w:val="center"/>
          </w:tcPr>
          <w:p w14:paraId="5FA77E8C">
            <w:pPr>
              <w:jc w:val="center"/>
              <w:rPr>
                <w:rFonts w:ascii="宋体" w:hAnsi="宋体" w:eastAsia="宋体" w:cs="Arial"/>
                <w:b/>
                <w:szCs w:val="21"/>
              </w:rPr>
            </w:pPr>
            <w:r>
              <w:rPr>
                <w:rFonts w:hint="eastAsia" w:ascii="宋体" w:hAnsi="宋体" w:eastAsia="宋体" w:cs="Arial"/>
                <w:b/>
                <w:szCs w:val="21"/>
              </w:rPr>
              <w:t>实质性条款具体内容</w:t>
            </w:r>
          </w:p>
        </w:tc>
        <w:tc>
          <w:tcPr>
            <w:tcW w:w="2176" w:type="dxa"/>
            <w:vAlign w:val="center"/>
          </w:tcPr>
          <w:p w14:paraId="398C4118">
            <w:pPr>
              <w:jc w:val="center"/>
              <w:rPr>
                <w:rFonts w:ascii="宋体" w:hAnsi="宋体" w:eastAsia="宋体" w:cs="Arial"/>
                <w:b/>
                <w:szCs w:val="21"/>
              </w:rPr>
            </w:pPr>
            <w:r>
              <w:rPr>
                <w:rFonts w:hint="eastAsia" w:ascii="宋体" w:hAnsi="宋体" w:eastAsia="宋体" w:cs="Arial"/>
                <w:b/>
                <w:szCs w:val="21"/>
              </w:rPr>
              <w:t>投标文件响应</w:t>
            </w:r>
          </w:p>
        </w:tc>
        <w:tc>
          <w:tcPr>
            <w:tcW w:w="1732" w:type="dxa"/>
          </w:tcPr>
          <w:p w14:paraId="50540F81">
            <w:pPr>
              <w:spacing w:before="156" w:beforeLines="50"/>
              <w:jc w:val="center"/>
              <w:rPr>
                <w:rFonts w:ascii="宋体" w:hAnsi="宋体" w:eastAsia="宋体" w:cs="Arial"/>
                <w:b/>
                <w:szCs w:val="21"/>
              </w:rPr>
            </w:pPr>
            <w:r>
              <w:rPr>
                <w:rFonts w:hint="eastAsia" w:ascii="宋体" w:hAnsi="宋体" w:eastAsia="宋体" w:cs="Arial"/>
                <w:b/>
                <w:szCs w:val="21"/>
              </w:rPr>
              <w:t>偏离情况</w:t>
            </w:r>
          </w:p>
        </w:tc>
        <w:tc>
          <w:tcPr>
            <w:tcW w:w="992" w:type="dxa"/>
            <w:vAlign w:val="center"/>
          </w:tcPr>
          <w:p w14:paraId="59C1167C">
            <w:pPr>
              <w:jc w:val="center"/>
              <w:rPr>
                <w:rFonts w:ascii="宋体" w:hAnsi="宋体" w:eastAsia="宋体" w:cs="Arial"/>
                <w:b/>
                <w:szCs w:val="21"/>
              </w:rPr>
            </w:pPr>
            <w:r>
              <w:rPr>
                <w:rFonts w:hint="eastAsia" w:ascii="宋体" w:hAnsi="宋体" w:eastAsia="宋体" w:cs="Arial"/>
                <w:b/>
                <w:szCs w:val="21"/>
              </w:rPr>
              <w:t>说明</w:t>
            </w:r>
          </w:p>
        </w:tc>
      </w:tr>
      <w:tr w14:paraId="3019DC22">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1060" w:hRule="atLeast"/>
          <w:jc w:val="center"/>
        </w:trPr>
        <w:tc>
          <w:tcPr>
            <w:tcW w:w="602" w:type="dxa"/>
            <w:vAlign w:val="center"/>
          </w:tcPr>
          <w:p w14:paraId="217B86F9">
            <w:pPr>
              <w:spacing w:line="300" w:lineRule="auto"/>
              <w:jc w:val="center"/>
              <w:rPr>
                <w:rFonts w:ascii="宋体" w:hAnsi="宋体" w:eastAsia="宋体" w:cs="Times New Roman"/>
                <w:b/>
                <w:color w:val="FF0000"/>
                <w:kern w:val="0"/>
                <w:szCs w:val="21"/>
              </w:rPr>
            </w:pPr>
            <w:r>
              <w:rPr>
                <w:rFonts w:hint="eastAsia" w:ascii="宋体" w:hAnsi="宋体" w:eastAsia="宋体" w:cs="Times New Roman"/>
                <w:b/>
                <w:color w:val="FF0000"/>
                <w:kern w:val="0"/>
                <w:szCs w:val="21"/>
              </w:rPr>
              <w:t>1</w:t>
            </w:r>
          </w:p>
        </w:tc>
        <w:tc>
          <w:tcPr>
            <w:tcW w:w="3901" w:type="dxa"/>
            <w:vAlign w:val="center"/>
          </w:tcPr>
          <w:p w14:paraId="1CCB9B90">
            <w:pPr>
              <w:spacing w:line="300" w:lineRule="auto"/>
              <w:jc w:val="center"/>
              <w:rPr>
                <w:rFonts w:ascii="宋体" w:hAnsi="宋体" w:eastAsia="宋体" w:cs="Times New Roman"/>
                <w:b/>
                <w:color w:val="FF0000"/>
                <w:kern w:val="0"/>
                <w:szCs w:val="21"/>
              </w:rPr>
            </w:pPr>
            <w:r>
              <w:rPr>
                <w:rFonts w:hint="eastAsia" w:ascii="宋体" w:hAnsi="宋体" w:eastAsia="宋体" w:cs="Times New Roman"/>
                <w:b/>
                <w:color w:val="FF0000"/>
                <w:kern w:val="0"/>
                <w:szCs w:val="21"/>
              </w:rPr>
              <w:t>本项目招标文件中所有带★号条款内容</w:t>
            </w:r>
          </w:p>
        </w:tc>
        <w:tc>
          <w:tcPr>
            <w:tcW w:w="2176" w:type="dxa"/>
            <w:vAlign w:val="center"/>
          </w:tcPr>
          <w:p w14:paraId="423C651B">
            <w:pPr>
              <w:spacing w:line="300" w:lineRule="auto"/>
              <w:jc w:val="center"/>
              <w:rPr>
                <w:rFonts w:ascii="宋体" w:hAnsi="宋体" w:eastAsia="宋体" w:cs="Times New Roman"/>
                <w:b/>
                <w:kern w:val="0"/>
                <w:szCs w:val="21"/>
              </w:rPr>
            </w:pPr>
            <w:r>
              <w:rPr>
                <w:rFonts w:hint="eastAsia" w:ascii="宋体" w:hAnsi="宋体" w:eastAsia="宋体" w:cs="Times New Roman"/>
                <w:b/>
                <w:kern w:val="0"/>
                <w:szCs w:val="21"/>
              </w:rPr>
              <w:t>完全响应</w:t>
            </w:r>
          </w:p>
        </w:tc>
        <w:tc>
          <w:tcPr>
            <w:tcW w:w="1732" w:type="dxa"/>
            <w:vAlign w:val="center"/>
          </w:tcPr>
          <w:p w14:paraId="3C503367">
            <w:pPr>
              <w:spacing w:line="300" w:lineRule="auto"/>
              <w:jc w:val="center"/>
              <w:rPr>
                <w:rFonts w:ascii="宋体" w:hAnsi="宋体" w:eastAsia="宋体" w:cs="Times New Roman"/>
                <w:b/>
                <w:kern w:val="0"/>
                <w:szCs w:val="21"/>
              </w:rPr>
            </w:pPr>
            <w:r>
              <w:rPr>
                <w:rFonts w:hint="eastAsia" w:ascii="宋体" w:hAnsi="宋体" w:eastAsia="宋体" w:cs="Times New Roman"/>
                <w:b/>
                <w:kern w:val="0"/>
                <w:szCs w:val="21"/>
              </w:rPr>
              <w:t>无偏离</w:t>
            </w:r>
          </w:p>
        </w:tc>
        <w:tc>
          <w:tcPr>
            <w:tcW w:w="992" w:type="dxa"/>
            <w:vAlign w:val="center"/>
          </w:tcPr>
          <w:p w14:paraId="5CEE6E1A">
            <w:pPr>
              <w:spacing w:line="300" w:lineRule="auto"/>
              <w:jc w:val="center"/>
              <w:rPr>
                <w:rFonts w:ascii="宋体" w:hAnsi="宋体" w:eastAsia="宋体" w:cs="Times New Roman"/>
                <w:b/>
                <w:color w:val="FF0000"/>
                <w:kern w:val="0"/>
                <w:szCs w:val="21"/>
              </w:rPr>
            </w:pPr>
          </w:p>
        </w:tc>
      </w:tr>
    </w:tbl>
    <w:p w14:paraId="3FB0E6C6">
      <w:pPr>
        <w:snapToGrid w:val="0"/>
        <w:rPr>
          <w:rFonts w:cs="Times New Roman" w:asciiTheme="minorEastAsia" w:hAnsiTheme="minorEastAsia"/>
          <w:sz w:val="24"/>
          <w:szCs w:val="24"/>
        </w:rPr>
      </w:pPr>
    </w:p>
    <w:p w14:paraId="79FA3209">
      <w:pPr>
        <w:snapToGrid w:val="0"/>
        <w:rPr>
          <w:rFonts w:cs="Times New Roman" w:asciiTheme="minorEastAsia" w:hAnsiTheme="minorEastAsia"/>
          <w:b/>
          <w:sz w:val="24"/>
          <w:szCs w:val="24"/>
        </w:rPr>
      </w:pPr>
      <w:r>
        <w:rPr>
          <w:rFonts w:hint="eastAsia" w:ascii="宋体" w:hAnsi="宋体" w:eastAsia="宋体" w:cs="Times New Roman"/>
          <w:b/>
          <w:sz w:val="24"/>
          <w:szCs w:val="24"/>
        </w:rPr>
        <w:t>填写说明：</w:t>
      </w:r>
    </w:p>
    <w:p w14:paraId="41AF03B9">
      <w:pPr>
        <w:spacing w:line="276" w:lineRule="auto"/>
        <w:ind w:firstLine="480" w:firstLineChars="200"/>
        <w:rPr>
          <w:rFonts w:ascii="宋体" w:hAnsi="宋体" w:cs="宋体"/>
          <w:bCs/>
          <w:sz w:val="24"/>
          <w:szCs w:val="24"/>
        </w:rPr>
      </w:pPr>
      <w:r>
        <w:rPr>
          <w:rFonts w:hint="eastAsia" w:ascii="宋体" w:hAnsi="宋体" w:cs="宋体"/>
          <w:bCs/>
          <w:sz w:val="24"/>
          <w:szCs w:val="24"/>
        </w:rPr>
        <w:t>1、上表所列各项均为不可负偏离条款。</w:t>
      </w:r>
    </w:p>
    <w:p w14:paraId="76857F3C">
      <w:pPr>
        <w:spacing w:line="276" w:lineRule="auto"/>
        <w:ind w:firstLine="480" w:firstLineChars="200"/>
        <w:rPr>
          <w:rFonts w:ascii="宋体" w:hAnsi="宋体" w:cs="宋体"/>
          <w:bCs/>
          <w:sz w:val="24"/>
          <w:szCs w:val="24"/>
        </w:rPr>
      </w:pPr>
      <w:r>
        <w:rPr>
          <w:rFonts w:hint="eastAsia" w:ascii="宋体" w:hAnsi="宋体" w:cs="宋体"/>
          <w:bCs/>
          <w:sz w:val="24"/>
          <w:szCs w:val="24"/>
        </w:rPr>
        <w:t>2、“投标文件响应”一栏应当详细填写投标人自身响应情况，而不能不合理照搬照抄招标文件实质性条款具体内容。</w:t>
      </w:r>
      <w:r>
        <w:rPr>
          <w:rFonts w:hint="eastAsia" w:ascii="宋体" w:hAnsi="宋体" w:cs="宋体"/>
          <w:b/>
          <w:bCs/>
          <w:sz w:val="24"/>
          <w:szCs w:val="24"/>
        </w:rPr>
        <w:t>如完全满足实质性条款具体内容可填写“完全响应”，除招标文件另有注明外，不强制要求逐条列出响应。</w:t>
      </w:r>
    </w:p>
    <w:p w14:paraId="0D283961">
      <w:pPr>
        <w:spacing w:line="276" w:lineRule="auto"/>
        <w:ind w:firstLine="480" w:firstLineChars="200"/>
        <w:rPr>
          <w:rFonts w:ascii="宋体" w:hAnsi="宋体" w:cs="宋体"/>
          <w:bCs/>
          <w:sz w:val="24"/>
          <w:szCs w:val="24"/>
        </w:rPr>
      </w:pPr>
      <w:r>
        <w:rPr>
          <w:rFonts w:hint="eastAsia" w:ascii="宋体" w:hAnsi="宋体" w:cs="宋体"/>
          <w:bCs/>
          <w:sz w:val="24"/>
          <w:szCs w:val="24"/>
        </w:rPr>
        <w:t>3、“偏离情况”一栏应填写</w:t>
      </w:r>
      <w:r>
        <w:rPr>
          <w:rFonts w:hint="eastAsia" w:ascii="宋体" w:hAnsi="宋体" w:cs="宋体"/>
          <w:sz w:val="24"/>
          <w:szCs w:val="24"/>
        </w:rPr>
        <w:t>“</w:t>
      </w:r>
      <w:r>
        <w:rPr>
          <w:rFonts w:hint="eastAsia" w:ascii="宋体" w:hAnsi="宋体" w:cs="宋体"/>
          <w:b/>
          <w:bCs/>
          <w:sz w:val="24"/>
          <w:szCs w:val="24"/>
        </w:rPr>
        <w:t>正偏离</w:t>
      </w:r>
      <w:r>
        <w:rPr>
          <w:rFonts w:hint="eastAsia" w:ascii="宋体" w:hAnsi="宋体" w:cs="宋体"/>
          <w:sz w:val="24"/>
          <w:szCs w:val="24"/>
        </w:rPr>
        <w:t>”或“</w:t>
      </w:r>
      <w:r>
        <w:rPr>
          <w:rFonts w:hint="eastAsia" w:ascii="宋体" w:hAnsi="宋体" w:cs="宋体"/>
          <w:b/>
          <w:bCs/>
          <w:sz w:val="24"/>
          <w:szCs w:val="24"/>
        </w:rPr>
        <w:t>负偏离</w:t>
      </w:r>
      <w:r>
        <w:rPr>
          <w:rFonts w:hint="eastAsia" w:ascii="宋体" w:hAnsi="宋体" w:cs="宋体"/>
          <w:sz w:val="24"/>
          <w:szCs w:val="24"/>
        </w:rPr>
        <w:t>”或“</w:t>
      </w:r>
      <w:r>
        <w:rPr>
          <w:rFonts w:hint="eastAsia" w:ascii="宋体" w:hAnsi="宋体" w:cs="宋体"/>
          <w:b/>
          <w:bCs/>
          <w:sz w:val="24"/>
          <w:szCs w:val="24"/>
        </w:rPr>
        <w:t>无偏离</w:t>
      </w:r>
      <w:r>
        <w:rPr>
          <w:rFonts w:hint="eastAsia" w:ascii="宋体" w:hAnsi="宋体" w:cs="宋体"/>
          <w:sz w:val="24"/>
          <w:szCs w:val="24"/>
        </w:rPr>
        <w:t>”</w:t>
      </w:r>
      <w:r>
        <w:rPr>
          <w:rFonts w:hint="eastAsia" w:ascii="宋体" w:hAnsi="宋体" w:cs="宋体"/>
          <w:bCs/>
          <w:sz w:val="24"/>
          <w:szCs w:val="24"/>
        </w:rPr>
        <w:t>，“正偏离”表示“投标响应优于实质性条款具体内容要求”，“负偏离”表示“投标响应不满足实质性条款具体内容要求”，“无偏离”表示“投标响应与实质性条款具体内容要求一致”。</w:t>
      </w:r>
    </w:p>
    <w:p w14:paraId="7BF07533">
      <w:pPr>
        <w:spacing w:line="276" w:lineRule="auto"/>
        <w:ind w:firstLine="480" w:firstLineChars="200"/>
        <w:rPr>
          <w:rFonts w:ascii="宋体" w:hAnsi="宋体" w:cs="宋体"/>
          <w:bCs/>
          <w:sz w:val="24"/>
          <w:szCs w:val="24"/>
        </w:rPr>
      </w:pPr>
      <w:r>
        <w:rPr>
          <w:rFonts w:hint="eastAsia" w:ascii="宋体" w:hAnsi="宋体" w:cs="宋体"/>
          <w:bCs/>
          <w:sz w:val="24"/>
          <w:szCs w:val="24"/>
        </w:rPr>
        <w:t>4、评审委员会有权对投标响应情况作出判断。</w:t>
      </w:r>
    </w:p>
    <w:p w14:paraId="1CCD6F2B">
      <w:pPr>
        <w:spacing w:line="276" w:lineRule="auto"/>
        <w:ind w:firstLine="480" w:firstLineChars="200"/>
        <w:rPr>
          <w:rFonts w:ascii="宋体" w:hAnsi="宋体" w:cs="宋体"/>
          <w:bCs/>
          <w:sz w:val="24"/>
          <w:szCs w:val="24"/>
        </w:rPr>
      </w:pPr>
      <w:r>
        <w:rPr>
          <w:rFonts w:hint="eastAsia" w:ascii="宋体" w:hAnsi="宋体" w:cs="宋体"/>
          <w:bCs/>
          <w:sz w:val="24"/>
          <w:szCs w:val="24"/>
        </w:rPr>
        <w:t>5、实质性响应条款“投标响应情况”与投标文件其它内容冲突的，以实质性响应条款“投标响应情况”为准。</w:t>
      </w:r>
    </w:p>
    <w:p w14:paraId="33494823">
      <w:pPr>
        <w:spacing w:line="276" w:lineRule="auto"/>
        <w:ind w:firstLine="480" w:firstLineChars="200"/>
        <w:rPr>
          <w:rFonts w:ascii="宋体" w:hAnsi="宋体" w:cs="宋体"/>
          <w:bCs/>
          <w:sz w:val="24"/>
          <w:szCs w:val="24"/>
        </w:rPr>
      </w:pPr>
      <w:r>
        <w:rPr>
          <w:rFonts w:hint="eastAsia" w:ascii="宋体" w:hAnsi="宋体" w:cs="宋体"/>
          <w:bCs/>
          <w:sz w:val="24"/>
          <w:szCs w:val="24"/>
        </w:rPr>
        <w:t>6、以上实质性条款中要求提供证明材料，需如实提供证明材料扫描件，在“说明”一栏中列明证明材料的位置，以便评审；未要求提供证明材料的，投标人可以不提供。</w:t>
      </w:r>
    </w:p>
    <w:p w14:paraId="68858446">
      <w:pPr>
        <w:rPr>
          <w:rFonts w:ascii="宋体" w:hAnsi="宋体" w:eastAsia="宋体" w:cs="Times New Roman"/>
          <w:b/>
          <w:bCs/>
          <w:kern w:val="0"/>
          <w:sz w:val="24"/>
          <w:szCs w:val="20"/>
        </w:rPr>
      </w:pPr>
      <w:r>
        <w:rPr>
          <w:rFonts w:hint="eastAsia" w:ascii="宋体" w:hAnsi="宋体" w:eastAsia="宋体" w:cs="Times New Roman"/>
          <w:b/>
          <w:bCs/>
          <w:kern w:val="0"/>
          <w:sz w:val="24"/>
          <w:szCs w:val="20"/>
        </w:rPr>
        <w:br w:type="page"/>
      </w:r>
    </w:p>
    <w:p w14:paraId="1733D264">
      <w:pPr>
        <w:pStyle w:val="5"/>
        <w:jc w:val="center"/>
        <w:rPr>
          <w:sz w:val="24"/>
        </w:rPr>
      </w:pPr>
      <w:r>
        <w:rPr>
          <w:rFonts w:hint="eastAsia" w:ascii="黑体" w:eastAsia="黑体"/>
          <w:b w:val="0"/>
          <w:bCs w:val="0"/>
          <w:sz w:val="24"/>
          <w:szCs w:val="20"/>
        </w:rPr>
        <w:t>四、商务要求偏离表</w:t>
      </w:r>
    </w:p>
    <w:tbl>
      <w:tblPr>
        <w:tblStyle w:val="16"/>
        <w:tblW w:w="90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7"/>
        <w:gridCol w:w="1233"/>
        <w:gridCol w:w="3117"/>
        <w:gridCol w:w="1749"/>
        <w:gridCol w:w="1133"/>
        <w:gridCol w:w="1011"/>
      </w:tblGrid>
      <w:tr w14:paraId="0DDFE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67" w:type="dxa"/>
            <w:noWrap w:val="0"/>
            <w:vAlign w:val="center"/>
          </w:tcPr>
          <w:p w14:paraId="30EF1072">
            <w:pPr>
              <w:jc w:val="center"/>
              <w:rPr>
                <w:b/>
                <w:highlight w:val="none"/>
              </w:rPr>
            </w:pPr>
            <w:r>
              <w:rPr>
                <w:rFonts w:hint="eastAsia"/>
                <w:b/>
                <w:highlight w:val="none"/>
              </w:rPr>
              <w:t>序号</w:t>
            </w:r>
          </w:p>
        </w:tc>
        <w:tc>
          <w:tcPr>
            <w:tcW w:w="1233" w:type="dxa"/>
            <w:noWrap w:val="0"/>
            <w:vAlign w:val="center"/>
          </w:tcPr>
          <w:p w14:paraId="19C4F949">
            <w:pPr>
              <w:jc w:val="center"/>
              <w:rPr>
                <w:b/>
                <w:highlight w:val="none"/>
              </w:rPr>
            </w:pPr>
            <w:r>
              <w:rPr>
                <w:rFonts w:hint="eastAsia"/>
                <w:b/>
                <w:highlight w:val="none"/>
              </w:rPr>
              <w:t>商务需求项</w:t>
            </w:r>
          </w:p>
        </w:tc>
        <w:tc>
          <w:tcPr>
            <w:tcW w:w="3117" w:type="dxa"/>
            <w:noWrap w:val="0"/>
            <w:vAlign w:val="center"/>
          </w:tcPr>
          <w:p w14:paraId="6A27C150">
            <w:pPr>
              <w:jc w:val="left"/>
              <w:rPr>
                <w:b/>
                <w:highlight w:val="none"/>
              </w:rPr>
            </w:pPr>
            <w:r>
              <w:rPr>
                <w:rFonts w:hint="eastAsia"/>
                <w:b/>
                <w:highlight w:val="none"/>
              </w:rPr>
              <w:t>招标商务需求</w:t>
            </w:r>
          </w:p>
        </w:tc>
        <w:tc>
          <w:tcPr>
            <w:tcW w:w="1749" w:type="dxa"/>
            <w:noWrap w:val="0"/>
            <w:vAlign w:val="center"/>
          </w:tcPr>
          <w:p w14:paraId="5929C102">
            <w:pPr>
              <w:jc w:val="center"/>
              <w:rPr>
                <w:rFonts w:hint="eastAsia"/>
                <w:b/>
                <w:highlight w:val="none"/>
              </w:rPr>
            </w:pPr>
            <w:r>
              <w:rPr>
                <w:rFonts w:hint="eastAsia"/>
                <w:b/>
                <w:highlight w:val="none"/>
              </w:rPr>
              <w:t>投标商务响应</w:t>
            </w:r>
          </w:p>
        </w:tc>
        <w:tc>
          <w:tcPr>
            <w:tcW w:w="1133" w:type="dxa"/>
            <w:noWrap w:val="0"/>
            <w:vAlign w:val="center"/>
          </w:tcPr>
          <w:p w14:paraId="055BD8F5">
            <w:pPr>
              <w:jc w:val="center"/>
              <w:rPr>
                <w:rFonts w:hint="eastAsia"/>
                <w:b/>
                <w:highlight w:val="none"/>
              </w:rPr>
            </w:pPr>
            <w:r>
              <w:rPr>
                <w:rFonts w:hint="eastAsia"/>
                <w:b/>
                <w:highlight w:val="none"/>
              </w:rPr>
              <w:t>偏离情况</w:t>
            </w:r>
          </w:p>
        </w:tc>
        <w:tc>
          <w:tcPr>
            <w:tcW w:w="1011" w:type="dxa"/>
            <w:noWrap w:val="0"/>
            <w:vAlign w:val="center"/>
          </w:tcPr>
          <w:p w14:paraId="737B6515">
            <w:pPr>
              <w:jc w:val="center"/>
              <w:rPr>
                <w:rFonts w:hint="eastAsia"/>
                <w:b/>
                <w:highlight w:val="none"/>
              </w:rPr>
            </w:pPr>
            <w:r>
              <w:rPr>
                <w:rFonts w:hint="eastAsia"/>
                <w:b/>
                <w:highlight w:val="none"/>
              </w:rPr>
              <w:t>说明</w:t>
            </w:r>
          </w:p>
        </w:tc>
      </w:tr>
      <w:tr w14:paraId="3DC80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9010" w:type="dxa"/>
            <w:gridSpan w:val="6"/>
            <w:shd w:val="clear" w:color="auto" w:fill="auto"/>
            <w:noWrap w:val="0"/>
            <w:vAlign w:val="top"/>
          </w:tcPr>
          <w:p w14:paraId="43C1FB11">
            <w:pPr>
              <w:jc w:val="left"/>
              <w:rPr>
                <w:rFonts w:hint="eastAsia" w:ascii="宋体" w:hAnsi="宋体" w:eastAsia="宋体" w:cs="宋体"/>
                <w:b/>
                <w:kern w:val="2"/>
                <w:sz w:val="22"/>
                <w:szCs w:val="22"/>
                <w:lang w:val="en-US" w:eastAsia="zh-CN" w:bidi="ar-SA"/>
              </w:rPr>
            </w:pPr>
            <w:r>
              <w:rPr>
                <w:rFonts w:hint="eastAsia" w:ascii="宋体" w:hAnsi="宋体" w:eastAsia="宋体" w:cs="宋体"/>
                <w:b/>
                <w:sz w:val="22"/>
                <w:szCs w:val="22"/>
              </w:rPr>
              <w:t>（一）免费保修期内售后服务要求</w:t>
            </w:r>
          </w:p>
        </w:tc>
      </w:tr>
      <w:tr w14:paraId="79C06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767" w:type="dxa"/>
            <w:shd w:val="clear" w:color="auto" w:fill="auto"/>
            <w:noWrap w:val="0"/>
            <w:vAlign w:val="center"/>
          </w:tcPr>
          <w:p w14:paraId="0CAACBAF">
            <w:pPr>
              <w:jc w:val="center"/>
              <w:rPr>
                <w:rFonts w:hint="eastAsia" w:ascii="宋体" w:hAnsi="宋体" w:eastAsia="宋体" w:cs="宋体"/>
                <w:b/>
                <w:kern w:val="2"/>
                <w:sz w:val="22"/>
                <w:szCs w:val="22"/>
                <w:lang w:val="en-US" w:eastAsia="zh-CN" w:bidi="ar-SA"/>
              </w:rPr>
            </w:pPr>
            <w:r>
              <w:rPr>
                <w:rFonts w:hint="eastAsia" w:ascii="宋体" w:hAnsi="宋体" w:eastAsia="宋体" w:cs="宋体"/>
                <w:b/>
                <w:sz w:val="22"/>
                <w:szCs w:val="22"/>
              </w:rPr>
              <w:t>1</w:t>
            </w:r>
          </w:p>
        </w:tc>
        <w:tc>
          <w:tcPr>
            <w:tcW w:w="1233" w:type="dxa"/>
            <w:shd w:val="clear" w:color="auto" w:fill="auto"/>
            <w:noWrap w:val="0"/>
            <w:vAlign w:val="center"/>
          </w:tcPr>
          <w:p w14:paraId="76E929AC">
            <w:pPr>
              <w:jc w:val="center"/>
              <w:rPr>
                <w:rFonts w:hint="eastAsia" w:ascii="宋体" w:hAnsi="宋体" w:eastAsia="宋体" w:cs="宋体"/>
                <w:kern w:val="2"/>
                <w:sz w:val="22"/>
                <w:szCs w:val="22"/>
                <w:lang w:val="en-US" w:eastAsia="zh-CN" w:bidi="ar-SA"/>
              </w:rPr>
            </w:pPr>
            <w:r>
              <w:rPr>
                <w:rFonts w:hint="eastAsia" w:ascii="宋体" w:hAnsi="宋体" w:eastAsia="宋体" w:cs="宋体"/>
                <w:sz w:val="22"/>
                <w:szCs w:val="22"/>
              </w:rPr>
              <w:t>免费保修期</w:t>
            </w:r>
          </w:p>
        </w:tc>
        <w:tc>
          <w:tcPr>
            <w:tcW w:w="3117" w:type="dxa"/>
            <w:shd w:val="clear" w:color="auto" w:fill="auto"/>
            <w:noWrap w:val="0"/>
            <w:vAlign w:val="top"/>
          </w:tcPr>
          <w:p w14:paraId="0369DE85">
            <w:pPr>
              <w:jc w:val="left"/>
              <w:rPr>
                <w:rFonts w:hint="eastAsia" w:ascii="宋体" w:hAnsi="宋体" w:eastAsia="宋体" w:cs="宋体"/>
                <w:b/>
                <w:kern w:val="2"/>
                <w:sz w:val="22"/>
                <w:szCs w:val="22"/>
                <w:lang w:val="en-US" w:eastAsia="zh-CN" w:bidi="ar-SA"/>
              </w:rPr>
            </w:pPr>
            <w:r>
              <w:rPr>
                <w:rFonts w:hint="eastAsia" w:ascii="宋体" w:hAnsi="宋体" w:eastAsia="宋体" w:cs="宋体"/>
                <w:sz w:val="22"/>
                <w:szCs w:val="22"/>
              </w:rPr>
              <w:t>★</w:t>
            </w:r>
            <w:r>
              <w:rPr>
                <w:rFonts w:hint="eastAsia" w:ascii="宋体" w:hAnsi="宋体" w:eastAsia="宋体" w:cs="宋体"/>
                <w:bCs/>
                <w:sz w:val="22"/>
                <w:szCs w:val="22"/>
              </w:rPr>
              <w:t>货物免费保修期至少</w:t>
            </w:r>
            <w:r>
              <w:rPr>
                <w:rFonts w:hint="eastAsia" w:ascii="宋体" w:hAnsi="宋体" w:eastAsia="宋体" w:cs="宋体"/>
                <w:bCs/>
                <w:sz w:val="22"/>
                <w:szCs w:val="22"/>
                <w:u w:val="single"/>
                <w:lang w:val="en-US" w:eastAsia="zh-CN"/>
              </w:rPr>
              <w:t>2</w:t>
            </w:r>
            <w:r>
              <w:rPr>
                <w:rFonts w:hint="eastAsia" w:ascii="宋体" w:hAnsi="宋体" w:eastAsia="宋体" w:cs="宋体"/>
                <w:bCs/>
                <w:sz w:val="22"/>
                <w:szCs w:val="22"/>
              </w:rPr>
              <w:t>年，时间自最终验收合格并交付使用之日起计算。</w:t>
            </w:r>
          </w:p>
        </w:tc>
        <w:tc>
          <w:tcPr>
            <w:tcW w:w="1749" w:type="dxa"/>
            <w:noWrap w:val="0"/>
            <w:vAlign w:val="center"/>
          </w:tcPr>
          <w:p w14:paraId="0C8D60D3">
            <w:pPr>
              <w:jc w:val="center"/>
              <w:rPr>
                <w:rFonts w:hint="eastAsia" w:ascii="宋体" w:hAnsi="宋体" w:cs="宋体"/>
                <w:b/>
                <w:bCs/>
                <w:color w:val="FF0000"/>
                <w:szCs w:val="21"/>
                <w:highlight w:val="none"/>
              </w:rPr>
            </w:pPr>
          </w:p>
        </w:tc>
        <w:tc>
          <w:tcPr>
            <w:tcW w:w="1133" w:type="dxa"/>
            <w:noWrap w:val="0"/>
            <w:vAlign w:val="center"/>
          </w:tcPr>
          <w:p w14:paraId="1F86349A">
            <w:pPr>
              <w:jc w:val="center"/>
              <w:rPr>
                <w:rFonts w:hint="eastAsia" w:ascii="宋体" w:hAnsi="宋体" w:cs="宋体"/>
                <w:b/>
                <w:bCs/>
                <w:color w:val="FF0000"/>
                <w:szCs w:val="21"/>
                <w:highlight w:val="none"/>
              </w:rPr>
            </w:pPr>
          </w:p>
        </w:tc>
        <w:tc>
          <w:tcPr>
            <w:tcW w:w="1011" w:type="dxa"/>
            <w:noWrap w:val="0"/>
            <w:vAlign w:val="center"/>
          </w:tcPr>
          <w:p w14:paraId="3AAE7EAB">
            <w:pPr>
              <w:jc w:val="center"/>
              <w:rPr>
                <w:rFonts w:hint="eastAsia" w:ascii="宋体" w:hAnsi="宋体" w:cs="宋体"/>
                <w:b/>
                <w:bCs/>
                <w:color w:val="FF0000"/>
                <w:szCs w:val="21"/>
                <w:highlight w:val="none"/>
              </w:rPr>
            </w:pPr>
            <w:r>
              <w:rPr>
                <w:rFonts w:hint="eastAsia" w:ascii="宋体" w:hAnsi="宋体" w:cs="宋体"/>
                <w:b/>
                <w:bCs/>
                <w:color w:val="FF0000"/>
                <w:szCs w:val="21"/>
                <w:highlight w:val="none"/>
              </w:rPr>
              <w:t>本条为实质性条款，若为负偏离作投标无效处理。</w:t>
            </w:r>
          </w:p>
        </w:tc>
      </w:tr>
      <w:tr w14:paraId="75BEF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767" w:type="dxa"/>
            <w:shd w:val="clear" w:color="auto" w:fill="auto"/>
            <w:noWrap w:val="0"/>
            <w:vAlign w:val="center"/>
          </w:tcPr>
          <w:p w14:paraId="5CD7F2FE">
            <w:pPr>
              <w:jc w:val="center"/>
              <w:rPr>
                <w:rFonts w:hint="eastAsia" w:ascii="宋体" w:hAnsi="宋体" w:eastAsia="宋体" w:cs="宋体"/>
                <w:b/>
                <w:kern w:val="2"/>
                <w:sz w:val="22"/>
                <w:szCs w:val="22"/>
                <w:lang w:val="en-US" w:eastAsia="zh-CN" w:bidi="ar-SA"/>
              </w:rPr>
            </w:pPr>
            <w:r>
              <w:rPr>
                <w:rFonts w:hint="eastAsia" w:ascii="宋体" w:hAnsi="宋体" w:eastAsia="宋体" w:cs="宋体"/>
                <w:b/>
                <w:sz w:val="22"/>
                <w:szCs w:val="22"/>
              </w:rPr>
              <w:t>2</w:t>
            </w:r>
          </w:p>
        </w:tc>
        <w:tc>
          <w:tcPr>
            <w:tcW w:w="1233" w:type="dxa"/>
            <w:shd w:val="clear" w:color="auto" w:fill="auto"/>
            <w:noWrap w:val="0"/>
            <w:vAlign w:val="top"/>
          </w:tcPr>
          <w:p w14:paraId="708889A1">
            <w:pPr>
              <w:jc w:val="center"/>
              <w:rPr>
                <w:rFonts w:hint="eastAsia" w:ascii="宋体" w:hAnsi="宋体" w:eastAsia="宋体" w:cs="宋体"/>
                <w:kern w:val="2"/>
                <w:sz w:val="22"/>
                <w:szCs w:val="22"/>
                <w:lang w:val="en-US" w:eastAsia="zh-CN" w:bidi="ar-SA"/>
              </w:rPr>
            </w:pPr>
            <w:r>
              <w:rPr>
                <w:rFonts w:hint="eastAsia" w:ascii="宋体" w:hAnsi="宋体" w:eastAsia="宋体" w:cs="宋体"/>
                <w:sz w:val="22"/>
                <w:szCs w:val="22"/>
              </w:rPr>
              <w:t>维修响应及故障解决时间</w:t>
            </w:r>
          </w:p>
        </w:tc>
        <w:tc>
          <w:tcPr>
            <w:tcW w:w="3117" w:type="dxa"/>
            <w:shd w:val="clear" w:color="auto" w:fill="auto"/>
            <w:noWrap w:val="0"/>
            <w:vAlign w:val="top"/>
          </w:tcPr>
          <w:p w14:paraId="547021C4">
            <w:pPr>
              <w:jc w:val="left"/>
              <w:rPr>
                <w:rFonts w:hint="eastAsia" w:ascii="宋体" w:hAnsi="宋体" w:eastAsia="宋体" w:cs="宋体"/>
                <w:b/>
                <w:kern w:val="2"/>
                <w:sz w:val="22"/>
                <w:szCs w:val="22"/>
                <w:lang w:val="en-US" w:eastAsia="zh-CN" w:bidi="ar-SA"/>
              </w:rPr>
            </w:pPr>
            <w:r>
              <w:rPr>
                <w:rFonts w:hint="eastAsia" w:ascii="宋体" w:hAnsi="宋体" w:eastAsia="宋体" w:cs="宋体"/>
                <w:bCs/>
                <w:sz w:val="22"/>
                <w:szCs w:val="22"/>
                <w:lang w:eastAsia="zh-CN"/>
              </w:rPr>
              <w:t>投标人承诺中标后，</w:t>
            </w:r>
            <w:r>
              <w:rPr>
                <w:rFonts w:hint="eastAsia" w:ascii="宋体" w:hAnsi="宋体" w:eastAsia="宋体" w:cs="宋体"/>
                <w:bCs/>
                <w:sz w:val="22"/>
                <w:szCs w:val="22"/>
              </w:rPr>
              <w:t>在保修期内，一旦发生质量问题，</w:t>
            </w:r>
            <w:r>
              <w:rPr>
                <w:rFonts w:hint="eastAsia" w:ascii="宋体" w:hAnsi="宋体" w:eastAsia="宋体" w:cs="宋体"/>
                <w:bCs/>
                <w:sz w:val="22"/>
                <w:szCs w:val="22"/>
                <w:lang w:eastAsia="zh-CN"/>
              </w:rPr>
              <w:t>投标人</w:t>
            </w:r>
            <w:r>
              <w:rPr>
                <w:rFonts w:hint="eastAsia" w:ascii="宋体" w:hAnsi="宋体" w:eastAsia="宋体" w:cs="宋体"/>
                <w:bCs/>
                <w:sz w:val="22"/>
                <w:szCs w:val="22"/>
              </w:rPr>
              <w:t>保证在接到通知24小时内赶到现场进行修理或更换。</w:t>
            </w:r>
          </w:p>
        </w:tc>
        <w:tc>
          <w:tcPr>
            <w:tcW w:w="1749" w:type="dxa"/>
            <w:noWrap w:val="0"/>
            <w:vAlign w:val="center"/>
          </w:tcPr>
          <w:p w14:paraId="5605DD2A">
            <w:pPr>
              <w:jc w:val="center"/>
              <w:rPr>
                <w:rFonts w:hint="eastAsia"/>
                <w:bCs/>
                <w:szCs w:val="21"/>
                <w:highlight w:val="none"/>
                <w:lang w:eastAsia="zh-CN"/>
              </w:rPr>
            </w:pPr>
          </w:p>
        </w:tc>
        <w:tc>
          <w:tcPr>
            <w:tcW w:w="1133" w:type="dxa"/>
            <w:noWrap w:val="0"/>
            <w:vAlign w:val="center"/>
          </w:tcPr>
          <w:p w14:paraId="395D58B2">
            <w:pPr>
              <w:jc w:val="center"/>
              <w:rPr>
                <w:rFonts w:hint="eastAsia"/>
                <w:bCs/>
                <w:szCs w:val="21"/>
                <w:highlight w:val="none"/>
                <w:lang w:eastAsia="zh-CN"/>
              </w:rPr>
            </w:pPr>
          </w:p>
        </w:tc>
        <w:tc>
          <w:tcPr>
            <w:tcW w:w="1011" w:type="dxa"/>
            <w:noWrap w:val="0"/>
            <w:vAlign w:val="center"/>
          </w:tcPr>
          <w:p w14:paraId="47A7BA6D">
            <w:pPr>
              <w:jc w:val="center"/>
              <w:rPr>
                <w:rFonts w:hint="eastAsia"/>
                <w:bCs/>
                <w:szCs w:val="21"/>
                <w:highlight w:val="none"/>
                <w:lang w:eastAsia="zh-CN"/>
              </w:rPr>
            </w:pPr>
          </w:p>
        </w:tc>
      </w:tr>
      <w:tr w14:paraId="79AE5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767" w:type="dxa"/>
            <w:shd w:val="clear" w:color="auto" w:fill="auto"/>
            <w:noWrap w:val="0"/>
            <w:vAlign w:val="center"/>
          </w:tcPr>
          <w:p w14:paraId="55C309DF">
            <w:pPr>
              <w:jc w:val="center"/>
              <w:rPr>
                <w:rFonts w:hint="eastAsia" w:ascii="宋体" w:hAnsi="宋体" w:eastAsia="宋体" w:cs="宋体"/>
                <w:b/>
                <w:kern w:val="2"/>
                <w:sz w:val="22"/>
                <w:szCs w:val="22"/>
                <w:lang w:val="en-US" w:eastAsia="zh-CN" w:bidi="ar-SA"/>
              </w:rPr>
            </w:pPr>
            <w:r>
              <w:rPr>
                <w:rFonts w:hint="eastAsia" w:ascii="宋体" w:hAnsi="宋体" w:eastAsia="宋体" w:cs="宋体"/>
                <w:b/>
                <w:sz w:val="22"/>
                <w:szCs w:val="22"/>
                <w:lang w:val="en-US" w:eastAsia="zh-CN"/>
              </w:rPr>
              <w:t>3</w:t>
            </w:r>
          </w:p>
        </w:tc>
        <w:tc>
          <w:tcPr>
            <w:tcW w:w="1233" w:type="dxa"/>
            <w:shd w:val="clear" w:color="auto" w:fill="auto"/>
            <w:noWrap w:val="0"/>
            <w:vAlign w:val="center"/>
          </w:tcPr>
          <w:p w14:paraId="7CEA96D4">
            <w:pPr>
              <w:jc w:val="center"/>
              <w:rPr>
                <w:rFonts w:hint="eastAsia" w:ascii="宋体" w:hAnsi="宋体" w:eastAsia="宋体" w:cs="宋体"/>
                <w:b/>
                <w:kern w:val="2"/>
                <w:sz w:val="22"/>
                <w:szCs w:val="22"/>
                <w:lang w:val="en-US" w:eastAsia="zh-CN" w:bidi="ar-SA"/>
              </w:rPr>
            </w:pPr>
            <w:r>
              <w:rPr>
                <w:rFonts w:hint="eastAsia" w:ascii="宋体" w:hAnsi="宋体" w:eastAsia="宋体" w:cs="宋体"/>
                <w:sz w:val="22"/>
                <w:szCs w:val="22"/>
              </w:rPr>
              <w:t>其他</w:t>
            </w:r>
          </w:p>
        </w:tc>
        <w:tc>
          <w:tcPr>
            <w:tcW w:w="3117" w:type="dxa"/>
            <w:shd w:val="clear" w:color="auto" w:fill="auto"/>
            <w:noWrap w:val="0"/>
            <w:vAlign w:val="center"/>
          </w:tcPr>
          <w:p w14:paraId="2A8FF61B">
            <w:pPr>
              <w:jc w:val="left"/>
              <w:rPr>
                <w:rFonts w:hint="eastAsia" w:ascii="宋体" w:hAnsi="宋体" w:eastAsia="宋体" w:cs="宋体"/>
                <w:b/>
                <w:kern w:val="2"/>
                <w:sz w:val="22"/>
                <w:szCs w:val="22"/>
                <w:lang w:val="en-US" w:eastAsia="zh-CN" w:bidi="ar-SA"/>
              </w:rPr>
            </w:pPr>
            <w:r>
              <w:rPr>
                <w:rFonts w:hint="eastAsia" w:ascii="宋体" w:hAnsi="宋体" w:eastAsia="宋体" w:cs="宋体"/>
                <w:bCs/>
                <w:sz w:val="22"/>
                <w:szCs w:val="22"/>
                <w:lang w:eastAsia="zh-CN"/>
              </w:rPr>
              <w:t>投标人中标后，</w:t>
            </w:r>
            <w:r>
              <w:rPr>
                <w:rFonts w:hint="eastAsia" w:ascii="宋体" w:hAnsi="宋体" w:eastAsia="宋体" w:cs="宋体"/>
                <w:bCs/>
                <w:sz w:val="22"/>
                <w:szCs w:val="22"/>
              </w:rPr>
              <w:t>应按其投标文件中的承诺，进行其他售后服务工作。</w:t>
            </w:r>
          </w:p>
        </w:tc>
        <w:tc>
          <w:tcPr>
            <w:tcW w:w="1749" w:type="dxa"/>
            <w:noWrap w:val="0"/>
            <w:vAlign w:val="center"/>
          </w:tcPr>
          <w:p w14:paraId="3BF67A35">
            <w:pPr>
              <w:jc w:val="center"/>
              <w:rPr>
                <w:rFonts w:hint="eastAsia"/>
                <w:bCs/>
                <w:szCs w:val="21"/>
                <w:highlight w:val="none"/>
                <w:lang w:eastAsia="zh-CN"/>
              </w:rPr>
            </w:pPr>
          </w:p>
        </w:tc>
        <w:tc>
          <w:tcPr>
            <w:tcW w:w="1133" w:type="dxa"/>
            <w:noWrap w:val="0"/>
            <w:vAlign w:val="center"/>
          </w:tcPr>
          <w:p w14:paraId="3FF9FFF8">
            <w:pPr>
              <w:jc w:val="center"/>
              <w:rPr>
                <w:rFonts w:hint="eastAsia"/>
                <w:bCs/>
                <w:szCs w:val="21"/>
                <w:highlight w:val="none"/>
                <w:lang w:eastAsia="zh-CN"/>
              </w:rPr>
            </w:pPr>
          </w:p>
        </w:tc>
        <w:tc>
          <w:tcPr>
            <w:tcW w:w="1011" w:type="dxa"/>
            <w:noWrap w:val="0"/>
            <w:vAlign w:val="center"/>
          </w:tcPr>
          <w:p w14:paraId="71CBB94A">
            <w:pPr>
              <w:jc w:val="center"/>
              <w:rPr>
                <w:rFonts w:hint="eastAsia"/>
                <w:bCs/>
                <w:szCs w:val="21"/>
                <w:highlight w:val="none"/>
                <w:lang w:eastAsia="zh-CN"/>
              </w:rPr>
            </w:pPr>
          </w:p>
        </w:tc>
      </w:tr>
      <w:tr w14:paraId="0400B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9010" w:type="dxa"/>
            <w:gridSpan w:val="6"/>
            <w:shd w:val="clear" w:color="auto" w:fill="auto"/>
            <w:noWrap w:val="0"/>
            <w:vAlign w:val="top"/>
          </w:tcPr>
          <w:p w14:paraId="76E0FF70">
            <w:pPr>
              <w:jc w:val="left"/>
              <w:rPr>
                <w:rFonts w:hint="eastAsia" w:ascii="宋体" w:hAnsi="宋体" w:eastAsia="宋体" w:cs="宋体"/>
                <w:b/>
                <w:kern w:val="2"/>
                <w:sz w:val="22"/>
                <w:szCs w:val="22"/>
                <w:lang w:val="en-US" w:eastAsia="zh-CN" w:bidi="ar-SA"/>
              </w:rPr>
            </w:pPr>
            <w:r>
              <w:rPr>
                <w:rFonts w:hint="eastAsia" w:ascii="宋体" w:hAnsi="宋体" w:eastAsia="宋体" w:cs="宋体"/>
                <w:b/>
                <w:sz w:val="22"/>
                <w:szCs w:val="22"/>
              </w:rPr>
              <w:t>（</w:t>
            </w:r>
            <w:r>
              <w:rPr>
                <w:rFonts w:hint="eastAsia" w:ascii="宋体" w:hAnsi="宋体" w:eastAsia="宋体" w:cs="宋体"/>
                <w:b/>
                <w:sz w:val="22"/>
                <w:szCs w:val="22"/>
                <w:lang w:eastAsia="zh-CN"/>
              </w:rPr>
              <w:t>二</w:t>
            </w:r>
            <w:r>
              <w:rPr>
                <w:rFonts w:hint="eastAsia" w:ascii="宋体" w:hAnsi="宋体" w:eastAsia="宋体" w:cs="宋体"/>
                <w:b/>
                <w:sz w:val="22"/>
                <w:szCs w:val="22"/>
              </w:rPr>
              <w:t>）其他商务要求</w:t>
            </w:r>
          </w:p>
        </w:tc>
      </w:tr>
      <w:tr w14:paraId="25AEB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767" w:type="dxa"/>
            <w:vMerge w:val="restart"/>
            <w:shd w:val="clear" w:color="auto" w:fill="auto"/>
            <w:noWrap w:val="0"/>
            <w:vAlign w:val="center"/>
          </w:tcPr>
          <w:p w14:paraId="3FF23FEA">
            <w:pPr>
              <w:jc w:val="center"/>
              <w:rPr>
                <w:rFonts w:hint="eastAsia" w:ascii="宋体" w:hAnsi="宋体" w:eastAsia="宋体" w:cs="宋体"/>
                <w:b/>
                <w:kern w:val="2"/>
                <w:sz w:val="22"/>
                <w:szCs w:val="22"/>
                <w:lang w:val="en-US" w:eastAsia="zh-CN" w:bidi="ar-SA"/>
              </w:rPr>
            </w:pPr>
            <w:r>
              <w:rPr>
                <w:rFonts w:hint="eastAsia" w:ascii="宋体" w:hAnsi="宋体" w:eastAsia="宋体" w:cs="宋体"/>
                <w:b/>
                <w:sz w:val="22"/>
                <w:szCs w:val="22"/>
              </w:rPr>
              <w:t>1</w:t>
            </w:r>
          </w:p>
          <w:p w14:paraId="54576C0A">
            <w:pPr>
              <w:jc w:val="center"/>
              <w:rPr>
                <w:b/>
                <w:highlight w:val="none"/>
              </w:rPr>
            </w:pPr>
          </w:p>
        </w:tc>
        <w:tc>
          <w:tcPr>
            <w:tcW w:w="1233" w:type="dxa"/>
            <w:vMerge w:val="restart"/>
            <w:shd w:val="clear" w:color="auto" w:fill="auto"/>
            <w:noWrap w:val="0"/>
            <w:vAlign w:val="center"/>
          </w:tcPr>
          <w:p w14:paraId="16556BD6">
            <w:pPr>
              <w:jc w:val="center"/>
              <w:rPr>
                <w:rFonts w:hint="eastAsia" w:ascii="宋体" w:hAnsi="宋体" w:eastAsia="宋体" w:cs="宋体"/>
                <w:kern w:val="2"/>
                <w:sz w:val="22"/>
                <w:szCs w:val="22"/>
                <w:lang w:val="en-US" w:eastAsia="zh-CN" w:bidi="ar-SA"/>
              </w:rPr>
            </w:pPr>
            <w:r>
              <w:rPr>
                <w:rFonts w:hint="eastAsia" w:ascii="宋体" w:hAnsi="宋体" w:eastAsia="宋体" w:cs="宋体"/>
                <w:sz w:val="22"/>
                <w:szCs w:val="22"/>
              </w:rPr>
              <w:t>关于交货</w:t>
            </w:r>
          </w:p>
          <w:p w14:paraId="1B091ACF">
            <w:pPr>
              <w:jc w:val="center"/>
              <w:rPr>
                <w:highlight w:val="none"/>
              </w:rPr>
            </w:pPr>
          </w:p>
        </w:tc>
        <w:tc>
          <w:tcPr>
            <w:tcW w:w="3117" w:type="dxa"/>
            <w:shd w:val="clear" w:color="auto" w:fill="auto"/>
            <w:noWrap w:val="0"/>
            <w:vAlign w:val="top"/>
          </w:tcPr>
          <w:p w14:paraId="38D21F71">
            <w:pPr>
              <w:jc w:val="left"/>
              <w:rPr>
                <w:rFonts w:hint="eastAsia" w:ascii="宋体" w:hAnsi="宋体" w:eastAsia="宋体" w:cs="宋体"/>
                <w:b/>
                <w:kern w:val="2"/>
                <w:sz w:val="22"/>
                <w:szCs w:val="22"/>
                <w:lang w:val="en-US" w:eastAsia="zh-CN" w:bidi="ar-SA"/>
              </w:rPr>
            </w:pPr>
            <w:r>
              <w:rPr>
                <w:rFonts w:hint="eastAsia" w:ascii="宋体" w:hAnsi="宋体" w:eastAsia="宋体" w:cs="宋体"/>
                <w:bCs/>
                <w:sz w:val="22"/>
                <w:szCs w:val="22"/>
              </w:rPr>
              <w:t>1.1</w:t>
            </w:r>
            <w:r>
              <w:rPr>
                <w:rFonts w:hint="eastAsia" w:ascii="宋体" w:hAnsi="宋体" w:eastAsia="宋体" w:cs="宋体"/>
                <w:sz w:val="22"/>
                <w:szCs w:val="22"/>
              </w:rPr>
              <w:t>★</w:t>
            </w:r>
            <w:r>
              <w:rPr>
                <w:rFonts w:hint="eastAsia" w:ascii="宋体" w:hAnsi="宋体" w:eastAsia="宋体" w:cs="宋体"/>
                <w:bCs/>
                <w:sz w:val="22"/>
                <w:szCs w:val="22"/>
              </w:rPr>
              <w:t>签订合同后</w:t>
            </w:r>
            <w:r>
              <w:rPr>
                <w:rFonts w:hint="eastAsia" w:ascii="宋体" w:hAnsi="宋体" w:eastAsia="宋体" w:cs="宋体"/>
                <w:bCs/>
                <w:sz w:val="22"/>
                <w:szCs w:val="22"/>
                <w:u w:val="single"/>
                <w:lang w:val="en-US" w:eastAsia="zh-CN"/>
              </w:rPr>
              <w:t>30</w:t>
            </w:r>
            <w:r>
              <w:rPr>
                <w:rFonts w:hint="eastAsia" w:ascii="宋体" w:hAnsi="宋体" w:eastAsia="宋体" w:cs="宋体"/>
                <w:bCs/>
                <w:sz w:val="22"/>
                <w:szCs w:val="22"/>
              </w:rPr>
              <w:t>天（日历日）内。</w:t>
            </w:r>
          </w:p>
        </w:tc>
        <w:tc>
          <w:tcPr>
            <w:tcW w:w="1749" w:type="dxa"/>
            <w:noWrap w:val="0"/>
            <w:vAlign w:val="center"/>
          </w:tcPr>
          <w:p w14:paraId="72741915">
            <w:pPr>
              <w:jc w:val="center"/>
              <w:rPr>
                <w:rFonts w:hint="eastAsia"/>
                <w:bCs/>
                <w:szCs w:val="21"/>
                <w:highlight w:val="none"/>
              </w:rPr>
            </w:pPr>
          </w:p>
        </w:tc>
        <w:tc>
          <w:tcPr>
            <w:tcW w:w="1133" w:type="dxa"/>
            <w:noWrap w:val="0"/>
            <w:vAlign w:val="center"/>
          </w:tcPr>
          <w:p w14:paraId="129908C9">
            <w:pPr>
              <w:jc w:val="center"/>
              <w:rPr>
                <w:rFonts w:hint="eastAsia"/>
                <w:bCs/>
                <w:szCs w:val="21"/>
                <w:highlight w:val="none"/>
              </w:rPr>
            </w:pPr>
          </w:p>
        </w:tc>
        <w:tc>
          <w:tcPr>
            <w:tcW w:w="1011" w:type="dxa"/>
            <w:noWrap w:val="0"/>
            <w:vAlign w:val="center"/>
          </w:tcPr>
          <w:p w14:paraId="786AB263">
            <w:pPr>
              <w:jc w:val="center"/>
              <w:rPr>
                <w:rFonts w:hint="eastAsia"/>
                <w:bCs/>
                <w:szCs w:val="21"/>
                <w:highlight w:val="none"/>
              </w:rPr>
            </w:pPr>
            <w:r>
              <w:rPr>
                <w:rFonts w:hint="eastAsia" w:ascii="宋体" w:hAnsi="宋体" w:cs="宋体"/>
                <w:b/>
                <w:bCs/>
                <w:color w:val="FF0000"/>
                <w:szCs w:val="21"/>
                <w:highlight w:val="none"/>
              </w:rPr>
              <w:t>本条为实质性条款，若为负偏离作投标无效处理。</w:t>
            </w:r>
          </w:p>
        </w:tc>
      </w:tr>
      <w:tr w14:paraId="0F98B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67" w:type="dxa"/>
            <w:vMerge w:val="continue"/>
            <w:noWrap w:val="0"/>
            <w:vAlign w:val="center"/>
          </w:tcPr>
          <w:p w14:paraId="0CCDA77A">
            <w:pPr>
              <w:jc w:val="center"/>
              <w:rPr>
                <w:b/>
                <w:highlight w:val="none"/>
              </w:rPr>
            </w:pPr>
          </w:p>
        </w:tc>
        <w:tc>
          <w:tcPr>
            <w:tcW w:w="1233" w:type="dxa"/>
            <w:vMerge w:val="continue"/>
            <w:noWrap w:val="0"/>
            <w:vAlign w:val="center"/>
          </w:tcPr>
          <w:p w14:paraId="185CDB56">
            <w:pPr>
              <w:jc w:val="center"/>
              <w:rPr>
                <w:highlight w:val="none"/>
              </w:rPr>
            </w:pPr>
          </w:p>
        </w:tc>
        <w:tc>
          <w:tcPr>
            <w:tcW w:w="3117" w:type="dxa"/>
            <w:shd w:val="clear" w:color="auto" w:fill="auto"/>
            <w:noWrap w:val="0"/>
            <w:vAlign w:val="top"/>
          </w:tcPr>
          <w:p w14:paraId="3F86E426">
            <w:pPr>
              <w:jc w:val="left"/>
              <w:rPr>
                <w:rFonts w:hint="eastAsia" w:ascii="宋体" w:hAnsi="宋体" w:eastAsia="宋体" w:cs="宋体"/>
                <w:bCs/>
                <w:kern w:val="2"/>
                <w:sz w:val="22"/>
                <w:szCs w:val="22"/>
                <w:lang w:val="en-US" w:eastAsia="zh-CN" w:bidi="ar-SA"/>
              </w:rPr>
            </w:pPr>
            <w:r>
              <w:rPr>
                <w:rFonts w:hint="eastAsia" w:ascii="宋体" w:hAnsi="宋体" w:eastAsia="宋体" w:cs="宋体"/>
                <w:bCs/>
                <w:sz w:val="22"/>
                <w:szCs w:val="22"/>
              </w:rPr>
              <w:t>1.2</w:t>
            </w:r>
            <w:r>
              <w:rPr>
                <w:rFonts w:hint="eastAsia" w:ascii="宋体" w:hAnsi="宋体" w:eastAsia="宋体" w:cs="宋体"/>
                <w:bCs/>
                <w:sz w:val="22"/>
                <w:szCs w:val="22"/>
                <w:lang w:eastAsia="zh-CN"/>
              </w:rPr>
              <w:t>投标人中标后，</w:t>
            </w:r>
            <w:r>
              <w:rPr>
                <w:rFonts w:hint="eastAsia" w:ascii="宋体" w:hAnsi="宋体" w:eastAsia="宋体" w:cs="宋体"/>
                <w:bCs/>
                <w:sz w:val="22"/>
                <w:szCs w:val="22"/>
              </w:rPr>
              <w:t>必须承担设备运输、安装调试、验收检测和提供设备操作说明书、图纸等其他类似的义务。</w:t>
            </w:r>
          </w:p>
        </w:tc>
        <w:tc>
          <w:tcPr>
            <w:tcW w:w="1749" w:type="dxa"/>
            <w:noWrap w:val="0"/>
            <w:vAlign w:val="center"/>
          </w:tcPr>
          <w:p w14:paraId="49D9D63A">
            <w:pPr>
              <w:jc w:val="center"/>
              <w:rPr>
                <w:rFonts w:hint="eastAsia"/>
                <w:bCs/>
                <w:szCs w:val="21"/>
                <w:highlight w:val="none"/>
              </w:rPr>
            </w:pPr>
          </w:p>
        </w:tc>
        <w:tc>
          <w:tcPr>
            <w:tcW w:w="1133" w:type="dxa"/>
            <w:noWrap w:val="0"/>
            <w:vAlign w:val="center"/>
          </w:tcPr>
          <w:p w14:paraId="3FAAE4A5">
            <w:pPr>
              <w:jc w:val="center"/>
              <w:rPr>
                <w:rFonts w:hint="eastAsia"/>
                <w:bCs/>
                <w:szCs w:val="21"/>
                <w:highlight w:val="none"/>
              </w:rPr>
            </w:pPr>
          </w:p>
        </w:tc>
        <w:tc>
          <w:tcPr>
            <w:tcW w:w="1011" w:type="dxa"/>
            <w:noWrap w:val="0"/>
            <w:vAlign w:val="center"/>
          </w:tcPr>
          <w:p w14:paraId="099AB29D">
            <w:pPr>
              <w:jc w:val="center"/>
              <w:rPr>
                <w:rFonts w:hint="eastAsia"/>
                <w:bCs/>
                <w:szCs w:val="21"/>
                <w:highlight w:val="none"/>
              </w:rPr>
            </w:pPr>
          </w:p>
        </w:tc>
      </w:tr>
      <w:tr w14:paraId="2ADD7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767" w:type="dxa"/>
            <w:vMerge w:val="restart"/>
            <w:shd w:val="clear" w:color="auto" w:fill="auto"/>
            <w:noWrap w:val="0"/>
            <w:vAlign w:val="center"/>
          </w:tcPr>
          <w:p w14:paraId="7224B24B">
            <w:pPr>
              <w:jc w:val="center"/>
              <w:rPr>
                <w:rFonts w:hint="eastAsia" w:ascii="宋体" w:hAnsi="宋体" w:eastAsia="宋体" w:cs="宋体"/>
                <w:b/>
                <w:kern w:val="2"/>
                <w:sz w:val="22"/>
                <w:szCs w:val="22"/>
                <w:lang w:val="en-US" w:eastAsia="zh-CN" w:bidi="ar-SA"/>
              </w:rPr>
            </w:pPr>
            <w:r>
              <w:rPr>
                <w:rFonts w:hint="eastAsia" w:ascii="宋体" w:hAnsi="宋体" w:eastAsia="宋体" w:cs="宋体"/>
                <w:b/>
                <w:sz w:val="22"/>
                <w:szCs w:val="22"/>
              </w:rPr>
              <w:t>2</w:t>
            </w:r>
          </w:p>
          <w:p w14:paraId="64EE0A59">
            <w:pPr>
              <w:jc w:val="center"/>
              <w:rPr>
                <w:b/>
                <w:highlight w:val="none"/>
              </w:rPr>
            </w:pPr>
          </w:p>
        </w:tc>
        <w:tc>
          <w:tcPr>
            <w:tcW w:w="1233" w:type="dxa"/>
            <w:vMerge w:val="restart"/>
            <w:shd w:val="clear" w:color="auto" w:fill="auto"/>
            <w:noWrap w:val="0"/>
            <w:vAlign w:val="center"/>
          </w:tcPr>
          <w:p w14:paraId="3586789E">
            <w:pPr>
              <w:jc w:val="center"/>
              <w:rPr>
                <w:rFonts w:hint="eastAsia" w:ascii="宋体" w:hAnsi="宋体" w:eastAsia="宋体" w:cs="宋体"/>
                <w:kern w:val="2"/>
                <w:sz w:val="22"/>
                <w:szCs w:val="22"/>
                <w:lang w:val="en-US" w:eastAsia="zh-CN" w:bidi="ar-SA"/>
              </w:rPr>
            </w:pPr>
            <w:r>
              <w:rPr>
                <w:rFonts w:hint="eastAsia" w:ascii="宋体" w:hAnsi="宋体" w:eastAsia="宋体" w:cs="宋体"/>
                <w:sz w:val="22"/>
                <w:szCs w:val="22"/>
              </w:rPr>
              <w:t>关于验收</w:t>
            </w:r>
          </w:p>
          <w:p w14:paraId="67C117BB">
            <w:pPr>
              <w:jc w:val="center"/>
              <w:rPr>
                <w:highlight w:val="none"/>
              </w:rPr>
            </w:pPr>
          </w:p>
        </w:tc>
        <w:tc>
          <w:tcPr>
            <w:tcW w:w="3117" w:type="dxa"/>
            <w:shd w:val="clear" w:color="auto" w:fill="auto"/>
            <w:noWrap w:val="0"/>
            <w:vAlign w:val="top"/>
          </w:tcPr>
          <w:p w14:paraId="439E73AF">
            <w:pPr>
              <w:spacing w:line="340" w:lineRule="exact"/>
              <w:jc w:val="left"/>
              <w:rPr>
                <w:rFonts w:hint="eastAsia" w:ascii="宋体" w:hAnsi="宋体" w:eastAsia="宋体" w:cs="宋体"/>
                <w:bCs/>
                <w:kern w:val="2"/>
                <w:sz w:val="22"/>
                <w:szCs w:val="22"/>
                <w:lang w:val="en-US" w:eastAsia="zh-CN" w:bidi="ar-SA"/>
              </w:rPr>
            </w:pPr>
            <w:r>
              <w:rPr>
                <w:rFonts w:hint="eastAsia" w:ascii="宋体" w:hAnsi="宋体" w:eastAsia="宋体" w:cs="宋体"/>
                <w:bCs/>
                <w:sz w:val="22"/>
                <w:szCs w:val="22"/>
              </w:rPr>
              <w:t>2.1</w:t>
            </w:r>
            <w:r>
              <w:rPr>
                <w:rFonts w:hint="eastAsia" w:ascii="宋体" w:hAnsi="宋体" w:eastAsia="宋体" w:cs="宋体"/>
                <w:bCs/>
                <w:sz w:val="22"/>
                <w:szCs w:val="22"/>
                <w:lang w:eastAsia="zh-CN"/>
              </w:rPr>
              <w:t>投标人中标后，其</w:t>
            </w:r>
            <w:r>
              <w:rPr>
                <w:rFonts w:hint="eastAsia" w:ascii="宋体" w:hAnsi="宋体" w:eastAsia="宋体" w:cs="宋体"/>
                <w:bCs/>
                <w:sz w:val="22"/>
                <w:szCs w:val="22"/>
              </w:rPr>
              <w:t>货物经过双方检验认可后，签署验收报告，产品保修期自验收合格之日起算，由</w:t>
            </w:r>
            <w:r>
              <w:rPr>
                <w:rFonts w:hint="eastAsia" w:ascii="宋体" w:hAnsi="宋体" w:eastAsia="宋体" w:cs="宋体"/>
                <w:bCs/>
                <w:sz w:val="22"/>
                <w:szCs w:val="22"/>
                <w:lang w:eastAsia="zh-CN"/>
              </w:rPr>
              <w:t>投标人</w:t>
            </w:r>
            <w:r>
              <w:rPr>
                <w:rFonts w:hint="eastAsia" w:ascii="宋体" w:hAnsi="宋体" w:eastAsia="宋体" w:cs="宋体"/>
                <w:bCs/>
                <w:sz w:val="22"/>
                <w:szCs w:val="22"/>
              </w:rPr>
              <w:t>提供产品保修文件。</w:t>
            </w:r>
          </w:p>
        </w:tc>
        <w:tc>
          <w:tcPr>
            <w:tcW w:w="1749" w:type="dxa"/>
            <w:noWrap w:val="0"/>
            <w:vAlign w:val="center"/>
          </w:tcPr>
          <w:p w14:paraId="3854BF9F">
            <w:pPr>
              <w:spacing w:line="340" w:lineRule="exact"/>
              <w:jc w:val="center"/>
              <w:rPr>
                <w:rFonts w:hint="eastAsia"/>
                <w:bCs/>
                <w:szCs w:val="21"/>
                <w:highlight w:val="none"/>
              </w:rPr>
            </w:pPr>
          </w:p>
        </w:tc>
        <w:tc>
          <w:tcPr>
            <w:tcW w:w="1133" w:type="dxa"/>
            <w:noWrap w:val="0"/>
            <w:vAlign w:val="center"/>
          </w:tcPr>
          <w:p w14:paraId="178DC889">
            <w:pPr>
              <w:spacing w:line="340" w:lineRule="exact"/>
              <w:jc w:val="center"/>
              <w:rPr>
                <w:rFonts w:hint="eastAsia"/>
                <w:bCs/>
                <w:szCs w:val="21"/>
                <w:highlight w:val="none"/>
              </w:rPr>
            </w:pPr>
          </w:p>
        </w:tc>
        <w:tc>
          <w:tcPr>
            <w:tcW w:w="1011" w:type="dxa"/>
            <w:noWrap w:val="0"/>
            <w:vAlign w:val="center"/>
          </w:tcPr>
          <w:p w14:paraId="70A40F24">
            <w:pPr>
              <w:spacing w:line="340" w:lineRule="exact"/>
              <w:jc w:val="center"/>
              <w:rPr>
                <w:rFonts w:hint="eastAsia"/>
                <w:bCs/>
                <w:szCs w:val="21"/>
                <w:highlight w:val="none"/>
              </w:rPr>
            </w:pPr>
          </w:p>
        </w:tc>
      </w:tr>
      <w:tr w14:paraId="208AD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767" w:type="dxa"/>
            <w:vMerge w:val="continue"/>
            <w:noWrap w:val="0"/>
            <w:vAlign w:val="center"/>
          </w:tcPr>
          <w:p w14:paraId="49EEF3C7">
            <w:pPr>
              <w:jc w:val="center"/>
              <w:rPr>
                <w:b/>
                <w:highlight w:val="none"/>
              </w:rPr>
            </w:pPr>
          </w:p>
        </w:tc>
        <w:tc>
          <w:tcPr>
            <w:tcW w:w="1233" w:type="dxa"/>
            <w:vMerge w:val="continue"/>
            <w:noWrap w:val="0"/>
            <w:vAlign w:val="center"/>
          </w:tcPr>
          <w:p w14:paraId="61BD470D">
            <w:pPr>
              <w:jc w:val="center"/>
              <w:rPr>
                <w:b/>
                <w:highlight w:val="none"/>
              </w:rPr>
            </w:pPr>
          </w:p>
        </w:tc>
        <w:tc>
          <w:tcPr>
            <w:tcW w:w="3117" w:type="dxa"/>
            <w:shd w:val="clear" w:color="auto" w:fill="auto"/>
            <w:noWrap w:val="0"/>
            <w:vAlign w:val="top"/>
          </w:tcPr>
          <w:p w14:paraId="004AD393">
            <w:pPr>
              <w:spacing w:line="340" w:lineRule="exact"/>
              <w:jc w:val="left"/>
              <w:rPr>
                <w:rFonts w:hint="eastAsia" w:ascii="宋体" w:hAnsi="宋体" w:eastAsia="宋体" w:cs="宋体"/>
                <w:bCs/>
                <w:sz w:val="22"/>
                <w:szCs w:val="22"/>
              </w:rPr>
            </w:pPr>
            <w:r>
              <w:rPr>
                <w:rFonts w:hint="eastAsia" w:ascii="宋体" w:hAnsi="宋体" w:eastAsia="宋体" w:cs="宋体"/>
                <w:bCs/>
                <w:sz w:val="22"/>
                <w:szCs w:val="22"/>
              </w:rPr>
              <w:t>2.2</w:t>
            </w:r>
            <w:r>
              <w:rPr>
                <w:rFonts w:hint="eastAsia" w:ascii="宋体" w:hAnsi="宋体" w:eastAsia="宋体" w:cs="宋体"/>
                <w:bCs/>
                <w:sz w:val="22"/>
                <w:szCs w:val="22"/>
                <w:lang w:eastAsia="zh-CN"/>
              </w:rPr>
              <w:t>投标人中标后，</w:t>
            </w:r>
            <w:r>
              <w:rPr>
                <w:rFonts w:hint="eastAsia" w:ascii="宋体" w:hAnsi="宋体" w:eastAsia="宋体" w:cs="宋体"/>
                <w:bCs/>
                <w:sz w:val="22"/>
                <w:szCs w:val="22"/>
              </w:rPr>
              <w:t>当满足以下条件时，采购人才向</w:t>
            </w:r>
            <w:r>
              <w:rPr>
                <w:rFonts w:hint="eastAsia" w:ascii="宋体" w:hAnsi="宋体" w:eastAsia="宋体" w:cs="宋体"/>
                <w:bCs/>
                <w:sz w:val="22"/>
                <w:szCs w:val="22"/>
                <w:lang w:eastAsia="zh-CN"/>
              </w:rPr>
              <w:t>投标人</w:t>
            </w:r>
            <w:r>
              <w:rPr>
                <w:rFonts w:hint="eastAsia" w:ascii="宋体" w:hAnsi="宋体" w:eastAsia="宋体" w:cs="宋体"/>
                <w:bCs/>
                <w:sz w:val="22"/>
                <w:szCs w:val="22"/>
              </w:rPr>
              <w:t>签发货物验收报告：</w:t>
            </w:r>
          </w:p>
          <w:p w14:paraId="4B7B2455">
            <w:pPr>
              <w:tabs>
                <w:tab w:val="left" w:pos="1260"/>
              </w:tabs>
              <w:spacing w:line="340" w:lineRule="exact"/>
              <w:jc w:val="left"/>
              <w:rPr>
                <w:rFonts w:hint="eastAsia" w:ascii="宋体" w:hAnsi="宋体" w:eastAsia="宋体" w:cs="宋体"/>
                <w:bCs/>
                <w:sz w:val="22"/>
                <w:szCs w:val="22"/>
              </w:rPr>
            </w:pPr>
            <w:r>
              <w:rPr>
                <w:rFonts w:hint="eastAsia" w:ascii="宋体" w:hAnsi="宋体" w:eastAsia="宋体" w:cs="宋体"/>
                <w:bCs/>
                <w:sz w:val="22"/>
                <w:szCs w:val="22"/>
              </w:rPr>
              <w:t>a</w:t>
            </w:r>
            <w:r>
              <w:rPr>
                <w:rFonts w:hint="eastAsia" w:ascii="宋体" w:hAnsi="宋体" w:eastAsia="宋体" w:cs="宋体"/>
                <w:bCs/>
                <w:sz w:val="22"/>
                <w:szCs w:val="22"/>
                <w:highlight w:val="none"/>
              </w:rPr>
              <w:t>、</w:t>
            </w:r>
            <w:r>
              <w:rPr>
                <w:rFonts w:hint="eastAsia" w:ascii="宋体" w:hAnsi="宋体" w:eastAsia="宋体" w:cs="宋体"/>
                <w:bCs/>
                <w:sz w:val="22"/>
                <w:szCs w:val="22"/>
                <w:lang w:eastAsia="zh-CN"/>
              </w:rPr>
              <w:t>投标人</w:t>
            </w:r>
            <w:r>
              <w:rPr>
                <w:rFonts w:hint="eastAsia" w:ascii="宋体" w:hAnsi="宋体" w:eastAsia="宋体" w:cs="宋体"/>
                <w:bCs/>
                <w:sz w:val="22"/>
                <w:szCs w:val="22"/>
              </w:rPr>
              <w:t>已按照合同规定提供了全部产品及完整的技术资料。</w:t>
            </w:r>
          </w:p>
          <w:p w14:paraId="0F842ECF">
            <w:pPr>
              <w:tabs>
                <w:tab w:val="left" w:pos="1260"/>
              </w:tabs>
              <w:spacing w:line="340" w:lineRule="exact"/>
              <w:jc w:val="left"/>
              <w:rPr>
                <w:rFonts w:hint="eastAsia" w:ascii="宋体" w:hAnsi="宋体" w:eastAsia="宋体" w:cs="宋体"/>
                <w:bCs/>
                <w:sz w:val="22"/>
                <w:szCs w:val="22"/>
              </w:rPr>
            </w:pPr>
            <w:r>
              <w:rPr>
                <w:rFonts w:hint="eastAsia" w:ascii="宋体" w:hAnsi="宋体" w:eastAsia="宋体" w:cs="宋体"/>
                <w:bCs/>
                <w:sz w:val="22"/>
                <w:szCs w:val="22"/>
              </w:rPr>
              <w:t>b</w:t>
            </w:r>
            <w:r>
              <w:rPr>
                <w:rFonts w:hint="eastAsia" w:ascii="宋体" w:hAnsi="宋体" w:eastAsia="宋体" w:cs="宋体"/>
                <w:bCs/>
                <w:sz w:val="22"/>
                <w:szCs w:val="22"/>
                <w:highlight w:val="none"/>
              </w:rPr>
              <w:t>、</w:t>
            </w:r>
            <w:r>
              <w:rPr>
                <w:rFonts w:hint="eastAsia" w:ascii="宋体" w:hAnsi="宋体" w:eastAsia="宋体" w:cs="宋体"/>
                <w:bCs/>
                <w:sz w:val="22"/>
                <w:szCs w:val="22"/>
              </w:rPr>
              <w:t>货物符合采购文件技术规格书的要求，性能满足要求。</w:t>
            </w:r>
          </w:p>
          <w:p w14:paraId="005F88A1">
            <w:pPr>
              <w:tabs>
                <w:tab w:val="left" w:pos="1260"/>
              </w:tabs>
              <w:spacing w:line="340" w:lineRule="exact"/>
              <w:jc w:val="left"/>
              <w:rPr>
                <w:rFonts w:hint="eastAsia" w:ascii="宋体" w:hAnsi="宋体" w:eastAsia="宋体" w:cs="宋体"/>
                <w:bCs/>
                <w:kern w:val="2"/>
                <w:sz w:val="22"/>
                <w:szCs w:val="22"/>
                <w:lang w:val="en-US" w:eastAsia="zh-CN" w:bidi="ar-SA"/>
              </w:rPr>
            </w:pPr>
            <w:r>
              <w:rPr>
                <w:rFonts w:hint="eastAsia" w:ascii="宋体" w:hAnsi="宋体" w:eastAsia="宋体" w:cs="宋体"/>
                <w:bCs/>
                <w:sz w:val="22"/>
                <w:szCs w:val="22"/>
              </w:rPr>
              <w:t>c</w:t>
            </w:r>
            <w:r>
              <w:rPr>
                <w:rFonts w:hint="eastAsia" w:ascii="宋体" w:hAnsi="宋体" w:eastAsia="宋体" w:cs="宋体"/>
                <w:bCs/>
                <w:sz w:val="22"/>
                <w:szCs w:val="22"/>
                <w:highlight w:val="none"/>
              </w:rPr>
              <w:t>、</w:t>
            </w:r>
            <w:r>
              <w:rPr>
                <w:rFonts w:hint="eastAsia" w:ascii="宋体" w:hAnsi="宋体" w:eastAsia="宋体" w:cs="宋体"/>
                <w:bCs/>
                <w:sz w:val="22"/>
                <w:szCs w:val="22"/>
              </w:rPr>
              <w:t>货物具备产品合格证。</w:t>
            </w:r>
          </w:p>
        </w:tc>
        <w:tc>
          <w:tcPr>
            <w:tcW w:w="1749" w:type="dxa"/>
            <w:noWrap w:val="0"/>
            <w:vAlign w:val="center"/>
          </w:tcPr>
          <w:p w14:paraId="0F6F344F">
            <w:pPr>
              <w:tabs>
                <w:tab w:val="left" w:pos="1260"/>
              </w:tabs>
              <w:spacing w:line="340" w:lineRule="exact"/>
              <w:jc w:val="center"/>
              <w:rPr>
                <w:bCs/>
                <w:szCs w:val="21"/>
                <w:highlight w:val="none"/>
              </w:rPr>
            </w:pPr>
          </w:p>
        </w:tc>
        <w:tc>
          <w:tcPr>
            <w:tcW w:w="1133" w:type="dxa"/>
            <w:noWrap w:val="0"/>
            <w:vAlign w:val="center"/>
          </w:tcPr>
          <w:p w14:paraId="1E44EBE8">
            <w:pPr>
              <w:tabs>
                <w:tab w:val="left" w:pos="1260"/>
              </w:tabs>
              <w:spacing w:line="340" w:lineRule="exact"/>
              <w:jc w:val="center"/>
              <w:rPr>
                <w:bCs/>
                <w:szCs w:val="21"/>
                <w:highlight w:val="none"/>
              </w:rPr>
            </w:pPr>
          </w:p>
        </w:tc>
        <w:tc>
          <w:tcPr>
            <w:tcW w:w="1011" w:type="dxa"/>
            <w:noWrap w:val="0"/>
            <w:vAlign w:val="center"/>
          </w:tcPr>
          <w:p w14:paraId="1606EEC5">
            <w:pPr>
              <w:tabs>
                <w:tab w:val="left" w:pos="1260"/>
              </w:tabs>
              <w:spacing w:line="340" w:lineRule="exact"/>
              <w:jc w:val="center"/>
              <w:rPr>
                <w:bCs/>
                <w:szCs w:val="21"/>
                <w:highlight w:val="none"/>
              </w:rPr>
            </w:pPr>
          </w:p>
        </w:tc>
      </w:tr>
      <w:tr w14:paraId="0EB83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767" w:type="dxa"/>
            <w:vMerge w:val="restart"/>
            <w:shd w:val="clear" w:color="auto" w:fill="auto"/>
            <w:noWrap w:val="0"/>
            <w:vAlign w:val="center"/>
          </w:tcPr>
          <w:p w14:paraId="146F2FAC">
            <w:pPr>
              <w:jc w:val="center"/>
              <w:rPr>
                <w:rFonts w:hint="eastAsia" w:ascii="宋体" w:hAnsi="宋体" w:eastAsia="宋体" w:cs="宋体"/>
                <w:bCs/>
                <w:kern w:val="2"/>
                <w:sz w:val="22"/>
                <w:szCs w:val="22"/>
                <w:lang w:val="en-US" w:eastAsia="zh-CN" w:bidi="ar-SA"/>
              </w:rPr>
            </w:pPr>
            <w:r>
              <w:rPr>
                <w:rFonts w:hint="eastAsia" w:ascii="宋体" w:hAnsi="宋体" w:eastAsia="宋体" w:cs="宋体"/>
                <w:bCs/>
                <w:sz w:val="22"/>
                <w:szCs w:val="22"/>
              </w:rPr>
              <w:t>3</w:t>
            </w:r>
          </w:p>
          <w:p w14:paraId="09EFAD32">
            <w:pPr>
              <w:jc w:val="center"/>
              <w:rPr>
                <w:rFonts w:hint="eastAsia"/>
                <w:bCs/>
                <w:highlight w:val="none"/>
              </w:rPr>
            </w:pPr>
          </w:p>
        </w:tc>
        <w:tc>
          <w:tcPr>
            <w:tcW w:w="1233" w:type="dxa"/>
            <w:vMerge w:val="restart"/>
            <w:shd w:val="clear" w:color="auto" w:fill="auto"/>
            <w:noWrap w:val="0"/>
            <w:vAlign w:val="center"/>
          </w:tcPr>
          <w:p w14:paraId="098EFCA4">
            <w:pPr>
              <w:jc w:val="center"/>
              <w:rPr>
                <w:rFonts w:hint="eastAsia" w:ascii="宋体" w:hAnsi="宋体" w:eastAsia="宋体" w:cs="宋体"/>
                <w:bCs/>
                <w:kern w:val="2"/>
                <w:sz w:val="22"/>
                <w:szCs w:val="22"/>
                <w:lang w:val="en-US" w:eastAsia="zh-CN" w:bidi="ar-SA"/>
              </w:rPr>
            </w:pPr>
            <w:r>
              <w:rPr>
                <w:rFonts w:hint="eastAsia" w:ascii="宋体" w:hAnsi="宋体" w:eastAsia="宋体" w:cs="宋体"/>
                <w:bCs/>
                <w:sz w:val="22"/>
                <w:szCs w:val="22"/>
              </w:rPr>
              <w:t>违约责任</w:t>
            </w:r>
          </w:p>
          <w:p w14:paraId="62F05BE9">
            <w:pPr>
              <w:jc w:val="center"/>
              <w:rPr>
                <w:rFonts w:hint="eastAsia"/>
                <w:bCs/>
                <w:highlight w:val="none"/>
              </w:rPr>
            </w:pPr>
          </w:p>
        </w:tc>
        <w:tc>
          <w:tcPr>
            <w:tcW w:w="3117" w:type="dxa"/>
            <w:shd w:val="clear" w:color="auto" w:fill="auto"/>
            <w:noWrap w:val="0"/>
            <w:vAlign w:val="top"/>
          </w:tcPr>
          <w:p w14:paraId="371E7A67">
            <w:pPr>
              <w:spacing w:line="340" w:lineRule="exact"/>
              <w:jc w:val="left"/>
              <w:rPr>
                <w:rFonts w:hint="eastAsia" w:ascii="宋体" w:hAnsi="宋体" w:eastAsia="宋体" w:cs="宋体"/>
                <w:bCs/>
                <w:kern w:val="2"/>
                <w:sz w:val="22"/>
                <w:szCs w:val="22"/>
                <w:lang w:val="en-US" w:eastAsia="zh-CN" w:bidi="ar-SA"/>
              </w:rPr>
            </w:pPr>
            <w:r>
              <w:rPr>
                <w:rFonts w:hint="eastAsia" w:ascii="宋体" w:hAnsi="宋体" w:eastAsia="宋体" w:cs="宋体"/>
                <w:sz w:val="22"/>
                <w:szCs w:val="22"/>
              </w:rPr>
              <w:t>3.1如</w:t>
            </w:r>
            <w:r>
              <w:rPr>
                <w:rFonts w:hint="eastAsia" w:ascii="宋体" w:hAnsi="宋体" w:eastAsia="宋体" w:cs="宋体"/>
                <w:bCs/>
                <w:sz w:val="22"/>
                <w:szCs w:val="22"/>
                <w:lang w:eastAsia="zh-CN"/>
              </w:rPr>
              <w:t>投标人中标后</w:t>
            </w:r>
            <w:r>
              <w:rPr>
                <w:rFonts w:hint="eastAsia" w:ascii="宋体" w:hAnsi="宋体" w:eastAsia="宋体" w:cs="宋体"/>
                <w:sz w:val="22"/>
                <w:szCs w:val="22"/>
              </w:rPr>
              <w:t>未按照投标文件中承诺的时间交货或提供服务，</w:t>
            </w:r>
            <w:r>
              <w:rPr>
                <w:rFonts w:hint="eastAsia" w:ascii="宋体" w:hAnsi="宋体" w:eastAsia="宋体" w:cs="宋体"/>
                <w:bCs/>
                <w:sz w:val="22"/>
                <w:szCs w:val="22"/>
                <w:lang w:eastAsia="zh-CN"/>
              </w:rPr>
              <w:t>投标人</w:t>
            </w:r>
            <w:r>
              <w:rPr>
                <w:rFonts w:hint="eastAsia" w:ascii="宋体" w:hAnsi="宋体" w:eastAsia="宋体" w:cs="宋体"/>
                <w:sz w:val="22"/>
                <w:szCs w:val="22"/>
              </w:rPr>
              <w:t>应承担延期交货和延期服务的违约责任，并赔偿采购人因此造成的实际经济损失，采购人有权终止合同。</w:t>
            </w:r>
          </w:p>
        </w:tc>
        <w:tc>
          <w:tcPr>
            <w:tcW w:w="1749" w:type="dxa"/>
            <w:noWrap w:val="0"/>
            <w:vAlign w:val="center"/>
          </w:tcPr>
          <w:p w14:paraId="1AC25450">
            <w:pPr>
              <w:spacing w:line="340" w:lineRule="exact"/>
              <w:jc w:val="center"/>
              <w:rPr>
                <w:rFonts w:hint="eastAsia"/>
                <w:highlight w:val="none"/>
              </w:rPr>
            </w:pPr>
          </w:p>
        </w:tc>
        <w:tc>
          <w:tcPr>
            <w:tcW w:w="1133" w:type="dxa"/>
            <w:noWrap w:val="0"/>
            <w:vAlign w:val="center"/>
          </w:tcPr>
          <w:p w14:paraId="116546EA">
            <w:pPr>
              <w:spacing w:line="340" w:lineRule="exact"/>
              <w:jc w:val="center"/>
              <w:rPr>
                <w:rFonts w:hint="eastAsia"/>
                <w:highlight w:val="none"/>
              </w:rPr>
            </w:pPr>
          </w:p>
        </w:tc>
        <w:tc>
          <w:tcPr>
            <w:tcW w:w="1011" w:type="dxa"/>
            <w:noWrap w:val="0"/>
            <w:vAlign w:val="center"/>
          </w:tcPr>
          <w:p w14:paraId="2AA641D0">
            <w:pPr>
              <w:spacing w:line="340" w:lineRule="exact"/>
              <w:jc w:val="center"/>
              <w:rPr>
                <w:rFonts w:hint="eastAsia"/>
                <w:highlight w:val="none"/>
              </w:rPr>
            </w:pPr>
          </w:p>
        </w:tc>
      </w:tr>
      <w:tr w14:paraId="556A9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767" w:type="dxa"/>
            <w:vMerge w:val="continue"/>
            <w:noWrap w:val="0"/>
            <w:vAlign w:val="center"/>
          </w:tcPr>
          <w:p w14:paraId="18B5A146">
            <w:pPr>
              <w:jc w:val="center"/>
              <w:rPr>
                <w:rFonts w:hint="eastAsia"/>
                <w:bCs/>
                <w:highlight w:val="none"/>
              </w:rPr>
            </w:pPr>
          </w:p>
        </w:tc>
        <w:tc>
          <w:tcPr>
            <w:tcW w:w="1233" w:type="dxa"/>
            <w:vMerge w:val="continue"/>
            <w:noWrap w:val="0"/>
            <w:vAlign w:val="center"/>
          </w:tcPr>
          <w:p w14:paraId="415E9477">
            <w:pPr>
              <w:jc w:val="center"/>
              <w:rPr>
                <w:rFonts w:hint="eastAsia"/>
                <w:bCs/>
                <w:highlight w:val="none"/>
              </w:rPr>
            </w:pPr>
          </w:p>
        </w:tc>
        <w:tc>
          <w:tcPr>
            <w:tcW w:w="3117" w:type="dxa"/>
            <w:shd w:val="clear" w:color="auto" w:fill="auto"/>
            <w:noWrap w:val="0"/>
            <w:vAlign w:val="top"/>
          </w:tcPr>
          <w:p w14:paraId="3AD7C280">
            <w:pPr>
              <w:spacing w:line="340" w:lineRule="exact"/>
              <w:jc w:val="left"/>
              <w:rPr>
                <w:rFonts w:hint="eastAsia" w:ascii="宋体" w:hAnsi="宋体" w:eastAsia="宋体" w:cs="宋体"/>
                <w:bCs/>
                <w:kern w:val="2"/>
                <w:sz w:val="22"/>
                <w:szCs w:val="22"/>
                <w:highlight w:val="none"/>
                <w:lang w:val="en-US" w:eastAsia="zh-CN" w:bidi="ar-SA"/>
              </w:rPr>
            </w:pPr>
            <w:r>
              <w:rPr>
                <w:rFonts w:hint="eastAsia" w:ascii="宋体" w:hAnsi="宋体" w:eastAsia="宋体" w:cs="宋体"/>
                <w:bCs/>
                <w:sz w:val="22"/>
                <w:szCs w:val="22"/>
                <w:highlight w:val="none"/>
              </w:rPr>
              <w:t>3.2</w:t>
            </w:r>
            <w:r>
              <w:rPr>
                <w:rFonts w:hint="eastAsia" w:ascii="宋体" w:hAnsi="宋体" w:eastAsia="宋体" w:cs="宋体"/>
                <w:bCs/>
                <w:sz w:val="22"/>
                <w:szCs w:val="22"/>
                <w:highlight w:val="none"/>
                <w:lang w:eastAsia="zh-CN"/>
              </w:rPr>
              <w:t>投标人中标后</w:t>
            </w:r>
            <w:r>
              <w:rPr>
                <w:rFonts w:hint="eastAsia" w:ascii="宋体" w:hAnsi="宋体" w:eastAsia="宋体" w:cs="宋体"/>
                <w:bCs/>
                <w:sz w:val="22"/>
                <w:szCs w:val="22"/>
                <w:highlight w:val="none"/>
              </w:rPr>
              <w:t>所交设备的品种、型号、规格、质量、功能、技术参数等方面不能实质性满足采购文件要求的，采购人有权拒绝收货，</w:t>
            </w:r>
            <w:r>
              <w:rPr>
                <w:rFonts w:hint="eastAsia" w:ascii="宋体" w:hAnsi="宋体" w:eastAsia="宋体" w:cs="宋体"/>
                <w:bCs/>
                <w:sz w:val="22"/>
                <w:szCs w:val="22"/>
                <w:highlight w:val="none"/>
                <w:lang w:eastAsia="zh-CN"/>
              </w:rPr>
              <w:t>投标人</w:t>
            </w:r>
            <w:r>
              <w:rPr>
                <w:rFonts w:hint="eastAsia" w:ascii="宋体" w:hAnsi="宋体" w:eastAsia="宋体" w:cs="宋体"/>
                <w:bCs/>
                <w:sz w:val="22"/>
                <w:szCs w:val="22"/>
                <w:highlight w:val="none"/>
              </w:rPr>
              <w:t>向采购人偿付项目采购金额【</w:t>
            </w:r>
            <w:r>
              <w:rPr>
                <w:rFonts w:hint="eastAsia" w:ascii="宋体" w:hAnsi="宋体" w:eastAsia="宋体" w:cs="宋体"/>
                <w:bCs/>
                <w:sz w:val="22"/>
                <w:szCs w:val="22"/>
                <w:highlight w:val="none"/>
                <w:lang w:val="en-US" w:eastAsia="zh-CN"/>
              </w:rPr>
              <w:t>10</w:t>
            </w:r>
            <w:r>
              <w:rPr>
                <w:rFonts w:hint="eastAsia" w:ascii="宋体" w:hAnsi="宋体" w:eastAsia="宋体" w:cs="宋体"/>
                <w:bCs/>
                <w:sz w:val="22"/>
                <w:szCs w:val="22"/>
                <w:highlight w:val="none"/>
              </w:rPr>
              <w:t>】% （10%以上20%以下）的违约金</w:t>
            </w:r>
            <w:r>
              <w:rPr>
                <w:rFonts w:hint="eastAsia" w:ascii="宋体" w:hAnsi="宋体" w:eastAsia="宋体" w:cs="宋体"/>
                <w:bCs/>
                <w:sz w:val="22"/>
                <w:szCs w:val="22"/>
                <w:highlight w:val="none"/>
                <w:lang w:val="en-US" w:eastAsia="zh-CN"/>
              </w:rPr>
              <w:t>并采取更换、补足等补救措施，致使逾期交付的，还应承担逾期交付的违约责任</w:t>
            </w:r>
            <w:r>
              <w:rPr>
                <w:rFonts w:hint="eastAsia" w:ascii="宋体" w:hAnsi="宋体" w:eastAsia="宋体" w:cs="宋体"/>
                <w:bCs/>
                <w:sz w:val="22"/>
                <w:szCs w:val="22"/>
                <w:highlight w:val="none"/>
              </w:rPr>
              <w:t xml:space="preserve">。 </w:t>
            </w:r>
          </w:p>
        </w:tc>
        <w:tc>
          <w:tcPr>
            <w:tcW w:w="1749" w:type="dxa"/>
            <w:noWrap w:val="0"/>
            <w:vAlign w:val="center"/>
          </w:tcPr>
          <w:p w14:paraId="5983C74D">
            <w:pPr>
              <w:spacing w:line="340" w:lineRule="exact"/>
              <w:jc w:val="center"/>
              <w:rPr>
                <w:rFonts w:hint="eastAsia" w:ascii="宋体" w:hAnsi="宋体" w:cs="宋体"/>
                <w:bCs/>
                <w:szCs w:val="21"/>
                <w:highlight w:val="none"/>
              </w:rPr>
            </w:pPr>
          </w:p>
        </w:tc>
        <w:tc>
          <w:tcPr>
            <w:tcW w:w="1133" w:type="dxa"/>
            <w:noWrap w:val="0"/>
            <w:vAlign w:val="center"/>
          </w:tcPr>
          <w:p w14:paraId="3B25C5BB">
            <w:pPr>
              <w:spacing w:line="340" w:lineRule="exact"/>
              <w:jc w:val="center"/>
              <w:rPr>
                <w:rFonts w:hint="eastAsia" w:ascii="宋体" w:hAnsi="宋体" w:cs="宋体"/>
                <w:bCs/>
                <w:szCs w:val="21"/>
                <w:highlight w:val="none"/>
              </w:rPr>
            </w:pPr>
          </w:p>
        </w:tc>
        <w:tc>
          <w:tcPr>
            <w:tcW w:w="1011" w:type="dxa"/>
            <w:noWrap w:val="0"/>
            <w:vAlign w:val="center"/>
          </w:tcPr>
          <w:p w14:paraId="3C169B6E">
            <w:pPr>
              <w:spacing w:line="340" w:lineRule="exact"/>
              <w:jc w:val="center"/>
              <w:rPr>
                <w:rFonts w:hint="eastAsia" w:ascii="宋体" w:hAnsi="宋体" w:cs="宋体"/>
                <w:bCs/>
                <w:szCs w:val="21"/>
                <w:highlight w:val="none"/>
              </w:rPr>
            </w:pPr>
          </w:p>
        </w:tc>
      </w:tr>
      <w:tr w14:paraId="64FB1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767" w:type="dxa"/>
            <w:vMerge w:val="continue"/>
            <w:noWrap w:val="0"/>
            <w:vAlign w:val="center"/>
          </w:tcPr>
          <w:p w14:paraId="21199E20">
            <w:pPr>
              <w:jc w:val="center"/>
              <w:rPr>
                <w:rFonts w:hint="eastAsia"/>
                <w:bCs/>
                <w:highlight w:val="none"/>
              </w:rPr>
            </w:pPr>
          </w:p>
        </w:tc>
        <w:tc>
          <w:tcPr>
            <w:tcW w:w="1233" w:type="dxa"/>
            <w:vMerge w:val="continue"/>
            <w:noWrap w:val="0"/>
            <w:vAlign w:val="center"/>
          </w:tcPr>
          <w:p w14:paraId="4E5F431E">
            <w:pPr>
              <w:jc w:val="center"/>
              <w:rPr>
                <w:rFonts w:hint="eastAsia"/>
                <w:bCs/>
                <w:highlight w:val="none"/>
              </w:rPr>
            </w:pPr>
          </w:p>
        </w:tc>
        <w:tc>
          <w:tcPr>
            <w:tcW w:w="3117" w:type="dxa"/>
            <w:shd w:val="clear" w:color="auto" w:fill="auto"/>
            <w:noWrap w:val="0"/>
            <w:vAlign w:val="top"/>
          </w:tcPr>
          <w:p w14:paraId="05C64BA8">
            <w:pPr>
              <w:spacing w:line="340" w:lineRule="exact"/>
              <w:jc w:val="left"/>
              <w:rPr>
                <w:rFonts w:hint="eastAsia" w:ascii="宋体" w:hAnsi="宋体" w:eastAsia="宋体" w:cs="宋体"/>
                <w:bCs/>
                <w:kern w:val="2"/>
                <w:sz w:val="22"/>
                <w:szCs w:val="22"/>
                <w:highlight w:val="none"/>
                <w:lang w:val="en-US" w:eastAsia="zh-CN" w:bidi="ar-SA"/>
              </w:rPr>
            </w:pPr>
            <w:r>
              <w:rPr>
                <w:rFonts w:hint="eastAsia" w:ascii="宋体" w:hAnsi="宋体" w:eastAsia="宋体" w:cs="宋体"/>
                <w:bCs/>
                <w:sz w:val="22"/>
                <w:szCs w:val="22"/>
                <w:highlight w:val="none"/>
              </w:rPr>
              <w:t>3.3</w:t>
            </w:r>
            <w:r>
              <w:rPr>
                <w:rFonts w:hint="eastAsia" w:ascii="宋体" w:hAnsi="宋体" w:eastAsia="宋体" w:cs="宋体"/>
                <w:bCs/>
                <w:sz w:val="22"/>
                <w:szCs w:val="22"/>
                <w:highlight w:val="none"/>
                <w:lang w:eastAsia="zh-CN"/>
              </w:rPr>
              <w:t>投标人中标后</w:t>
            </w:r>
            <w:r>
              <w:rPr>
                <w:rFonts w:hint="eastAsia" w:ascii="宋体" w:hAnsi="宋体" w:eastAsia="宋体" w:cs="宋体"/>
                <w:bCs/>
                <w:sz w:val="22"/>
                <w:szCs w:val="22"/>
                <w:highlight w:val="none"/>
              </w:rPr>
              <w:t>不能交付设备的，</w:t>
            </w:r>
            <w:r>
              <w:rPr>
                <w:rFonts w:hint="eastAsia" w:ascii="宋体" w:hAnsi="宋体" w:eastAsia="宋体" w:cs="宋体"/>
                <w:bCs/>
                <w:sz w:val="22"/>
                <w:szCs w:val="22"/>
                <w:highlight w:val="none"/>
                <w:lang w:eastAsia="zh-CN"/>
              </w:rPr>
              <w:t>投标人</w:t>
            </w:r>
            <w:r>
              <w:rPr>
                <w:rFonts w:hint="eastAsia" w:ascii="宋体" w:hAnsi="宋体" w:eastAsia="宋体" w:cs="宋体"/>
                <w:bCs/>
                <w:sz w:val="22"/>
                <w:szCs w:val="22"/>
                <w:highlight w:val="none"/>
              </w:rPr>
              <w:t>向采购人偿付项目采购金额【</w:t>
            </w:r>
            <w:r>
              <w:rPr>
                <w:rFonts w:hint="eastAsia" w:ascii="宋体" w:hAnsi="宋体" w:eastAsia="宋体" w:cs="宋体"/>
                <w:bCs/>
                <w:sz w:val="22"/>
                <w:szCs w:val="22"/>
                <w:highlight w:val="none"/>
                <w:lang w:val="en-US" w:eastAsia="zh-CN"/>
              </w:rPr>
              <w:t>10</w:t>
            </w:r>
            <w:r>
              <w:rPr>
                <w:rFonts w:hint="eastAsia" w:ascii="宋体" w:hAnsi="宋体" w:eastAsia="宋体" w:cs="宋体"/>
                <w:bCs/>
                <w:sz w:val="22"/>
                <w:szCs w:val="22"/>
                <w:highlight w:val="none"/>
              </w:rPr>
              <w:t>】%（10%以上20%以下）的违约金。</w:t>
            </w:r>
          </w:p>
        </w:tc>
        <w:tc>
          <w:tcPr>
            <w:tcW w:w="1749" w:type="dxa"/>
            <w:noWrap w:val="0"/>
            <w:vAlign w:val="center"/>
          </w:tcPr>
          <w:p w14:paraId="0A3639EA">
            <w:pPr>
              <w:spacing w:line="340" w:lineRule="exact"/>
              <w:jc w:val="center"/>
              <w:rPr>
                <w:rFonts w:hint="eastAsia" w:ascii="宋体" w:hAnsi="宋体" w:cs="宋体"/>
                <w:bCs/>
                <w:szCs w:val="21"/>
                <w:highlight w:val="none"/>
              </w:rPr>
            </w:pPr>
          </w:p>
        </w:tc>
        <w:tc>
          <w:tcPr>
            <w:tcW w:w="1133" w:type="dxa"/>
            <w:noWrap w:val="0"/>
            <w:vAlign w:val="center"/>
          </w:tcPr>
          <w:p w14:paraId="5F2830E5">
            <w:pPr>
              <w:spacing w:line="340" w:lineRule="exact"/>
              <w:jc w:val="center"/>
              <w:rPr>
                <w:rFonts w:hint="eastAsia" w:ascii="宋体" w:hAnsi="宋体" w:cs="宋体"/>
                <w:bCs/>
                <w:szCs w:val="21"/>
                <w:highlight w:val="none"/>
              </w:rPr>
            </w:pPr>
          </w:p>
        </w:tc>
        <w:tc>
          <w:tcPr>
            <w:tcW w:w="1011" w:type="dxa"/>
            <w:noWrap w:val="0"/>
            <w:vAlign w:val="center"/>
          </w:tcPr>
          <w:p w14:paraId="1CC754C8">
            <w:pPr>
              <w:spacing w:line="340" w:lineRule="exact"/>
              <w:jc w:val="center"/>
              <w:rPr>
                <w:rFonts w:hint="eastAsia" w:ascii="宋体" w:hAnsi="宋体" w:cs="宋体"/>
                <w:bCs/>
                <w:szCs w:val="21"/>
                <w:highlight w:val="none"/>
              </w:rPr>
            </w:pPr>
          </w:p>
        </w:tc>
      </w:tr>
      <w:tr w14:paraId="44676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767" w:type="dxa"/>
            <w:vMerge w:val="continue"/>
            <w:noWrap w:val="0"/>
            <w:vAlign w:val="center"/>
          </w:tcPr>
          <w:p w14:paraId="7642D7D0">
            <w:pPr>
              <w:jc w:val="center"/>
              <w:rPr>
                <w:rFonts w:hint="eastAsia"/>
                <w:bCs/>
                <w:highlight w:val="none"/>
              </w:rPr>
            </w:pPr>
          </w:p>
        </w:tc>
        <w:tc>
          <w:tcPr>
            <w:tcW w:w="1233" w:type="dxa"/>
            <w:vMerge w:val="continue"/>
            <w:noWrap w:val="0"/>
            <w:vAlign w:val="center"/>
          </w:tcPr>
          <w:p w14:paraId="77A2E06F">
            <w:pPr>
              <w:jc w:val="center"/>
              <w:rPr>
                <w:rFonts w:hint="eastAsia"/>
                <w:bCs/>
                <w:highlight w:val="none"/>
              </w:rPr>
            </w:pPr>
          </w:p>
        </w:tc>
        <w:tc>
          <w:tcPr>
            <w:tcW w:w="3117" w:type="dxa"/>
            <w:shd w:val="clear" w:color="auto" w:fill="auto"/>
            <w:noWrap w:val="0"/>
            <w:vAlign w:val="top"/>
          </w:tcPr>
          <w:p w14:paraId="17BE0EA5">
            <w:pPr>
              <w:spacing w:line="340" w:lineRule="exact"/>
              <w:jc w:val="left"/>
              <w:rPr>
                <w:rFonts w:hint="eastAsia" w:ascii="宋体" w:hAnsi="宋体" w:eastAsia="宋体" w:cs="宋体"/>
                <w:bCs/>
                <w:kern w:val="2"/>
                <w:sz w:val="22"/>
                <w:szCs w:val="22"/>
                <w:highlight w:val="none"/>
                <w:lang w:val="en-US" w:eastAsia="zh-CN" w:bidi="ar-SA"/>
              </w:rPr>
            </w:pPr>
            <w:r>
              <w:rPr>
                <w:rFonts w:hint="eastAsia" w:ascii="宋体" w:hAnsi="宋体" w:eastAsia="宋体" w:cs="宋体"/>
                <w:bCs/>
                <w:sz w:val="22"/>
                <w:szCs w:val="22"/>
                <w:highlight w:val="none"/>
              </w:rPr>
              <w:t>3.4</w:t>
            </w:r>
            <w:r>
              <w:rPr>
                <w:rFonts w:hint="eastAsia" w:ascii="宋体" w:hAnsi="宋体" w:eastAsia="宋体" w:cs="宋体"/>
                <w:bCs/>
                <w:sz w:val="22"/>
                <w:szCs w:val="22"/>
                <w:highlight w:val="none"/>
                <w:lang w:eastAsia="zh-CN"/>
              </w:rPr>
              <w:t>投标人中标后</w:t>
            </w:r>
            <w:r>
              <w:rPr>
                <w:rFonts w:hint="eastAsia" w:ascii="宋体" w:hAnsi="宋体" w:eastAsia="宋体" w:cs="宋体"/>
                <w:bCs/>
                <w:sz w:val="22"/>
                <w:szCs w:val="22"/>
                <w:highlight w:val="none"/>
              </w:rPr>
              <w:t>逾期交付货物的，每逾期1天，</w:t>
            </w:r>
            <w:r>
              <w:rPr>
                <w:rFonts w:hint="eastAsia" w:ascii="宋体" w:hAnsi="宋体" w:eastAsia="宋体" w:cs="宋体"/>
                <w:bCs/>
                <w:sz w:val="22"/>
                <w:szCs w:val="22"/>
                <w:highlight w:val="none"/>
                <w:lang w:eastAsia="zh-CN"/>
              </w:rPr>
              <w:t>投标人</w:t>
            </w:r>
            <w:r>
              <w:rPr>
                <w:rFonts w:hint="eastAsia" w:ascii="宋体" w:hAnsi="宋体" w:eastAsia="宋体" w:cs="宋体"/>
                <w:bCs/>
                <w:sz w:val="22"/>
                <w:szCs w:val="22"/>
                <w:highlight w:val="none"/>
              </w:rPr>
              <w:t>向采购人偿付</w:t>
            </w:r>
            <w:r>
              <w:rPr>
                <w:rFonts w:hint="eastAsia" w:ascii="宋体" w:hAnsi="宋体" w:eastAsia="宋体" w:cs="宋体"/>
                <w:bCs/>
                <w:sz w:val="22"/>
                <w:szCs w:val="22"/>
                <w:highlight w:val="none"/>
                <w:lang w:eastAsia="zh-CN"/>
              </w:rPr>
              <w:t>项目采购金</w:t>
            </w:r>
            <w:r>
              <w:rPr>
                <w:rFonts w:hint="eastAsia" w:ascii="宋体" w:hAnsi="宋体" w:eastAsia="宋体" w:cs="宋体"/>
                <w:bCs/>
                <w:sz w:val="22"/>
                <w:szCs w:val="22"/>
                <w:highlight w:val="none"/>
              </w:rPr>
              <w:t>额的【</w:t>
            </w:r>
            <w:r>
              <w:rPr>
                <w:rFonts w:hint="eastAsia" w:ascii="宋体" w:hAnsi="宋体" w:eastAsia="宋体" w:cs="宋体"/>
                <w:bCs/>
                <w:sz w:val="22"/>
                <w:szCs w:val="22"/>
                <w:highlight w:val="none"/>
                <w:lang w:val="en-US" w:eastAsia="zh-CN"/>
              </w:rPr>
              <w:t>1</w:t>
            </w:r>
            <w:r>
              <w:rPr>
                <w:rFonts w:hint="eastAsia" w:ascii="宋体" w:hAnsi="宋体" w:eastAsia="宋体" w:cs="宋体"/>
                <w:bCs/>
                <w:sz w:val="22"/>
                <w:szCs w:val="22"/>
                <w:highlight w:val="none"/>
              </w:rPr>
              <w:t>】‰（1‰以上5‰以下）的</w:t>
            </w:r>
            <w:r>
              <w:rPr>
                <w:rFonts w:hint="eastAsia" w:ascii="宋体" w:hAnsi="宋体" w:eastAsia="宋体" w:cs="宋体"/>
                <w:bCs/>
                <w:sz w:val="22"/>
                <w:szCs w:val="22"/>
                <w:highlight w:val="none"/>
                <w:lang w:val="en-US" w:eastAsia="zh-CN"/>
              </w:rPr>
              <w:t>违约</w:t>
            </w:r>
            <w:r>
              <w:rPr>
                <w:rFonts w:hint="eastAsia" w:ascii="宋体" w:hAnsi="宋体" w:eastAsia="宋体" w:cs="宋体"/>
                <w:bCs/>
                <w:sz w:val="22"/>
                <w:szCs w:val="22"/>
                <w:highlight w:val="none"/>
              </w:rPr>
              <w:t>金。如</w:t>
            </w:r>
            <w:r>
              <w:rPr>
                <w:rFonts w:hint="eastAsia" w:ascii="宋体" w:hAnsi="宋体" w:eastAsia="宋体" w:cs="宋体"/>
                <w:bCs/>
                <w:sz w:val="22"/>
                <w:szCs w:val="22"/>
                <w:highlight w:val="none"/>
                <w:lang w:eastAsia="zh-CN"/>
              </w:rPr>
              <w:t>投标人</w:t>
            </w:r>
            <w:r>
              <w:rPr>
                <w:rFonts w:hint="eastAsia" w:ascii="宋体" w:hAnsi="宋体" w:eastAsia="宋体" w:cs="宋体"/>
                <w:bCs/>
                <w:sz w:val="22"/>
                <w:szCs w:val="22"/>
                <w:highlight w:val="none"/>
              </w:rPr>
              <w:t>逾期交货达</w:t>
            </w:r>
            <w:r>
              <w:rPr>
                <w:rFonts w:hint="eastAsia" w:ascii="宋体" w:hAnsi="宋体" w:eastAsia="宋体" w:cs="宋体"/>
                <w:bCs/>
                <w:sz w:val="22"/>
                <w:szCs w:val="22"/>
                <w:highlight w:val="none"/>
                <w:u w:val="single"/>
                <w:lang w:val="en-US" w:eastAsia="zh-CN"/>
              </w:rPr>
              <w:t>20</w:t>
            </w:r>
            <w:r>
              <w:rPr>
                <w:rFonts w:hint="eastAsia" w:ascii="宋体" w:hAnsi="宋体" w:eastAsia="宋体" w:cs="宋体"/>
                <w:bCs/>
                <w:sz w:val="22"/>
                <w:szCs w:val="22"/>
                <w:highlight w:val="none"/>
              </w:rPr>
              <w:t>天，采购人有权解除合同。</w:t>
            </w:r>
          </w:p>
        </w:tc>
        <w:tc>
          <w:tcPr>
            <w:tcW w:w="1749" w:type="dxa"/>
            <w:noWrap w:val="0"/>
            <w:vAlign w:val="center"/>
          </w:tcPr>
          <w:p w14:paraId="3BB7B253">
            <w:pPr>
              <w:spacing w:line="340" w:lineRule="exact"/>
              <w:jc w:val="center"/>
              <w:rPr>
                <w:rFonts w:hint="eastAsia" w:ascii="宋体" w:hAnsi="宋体" w:cs="宋体"/>
                <w:bCs/>
                <w:szCs w:val="21"/>
                <w:highlight w:val="none"/>
              </w:rPr>
            </w:pPr>
          </w:p>
        </w:tc>
        <w:tc>
          <w:tcPr>
            <w:tcW w:w="1133" w:type="dxa"/>
            <w:noWrap w:val="0"/>
            <w:vAlign w:val="center"/>
          </w:tcPr>
          <w:p w14:paraId="1D4F6CED">
            <w:pPr>
              <w:spacing w:line="340" w:lineRule="exact"/>
              <w:jc w:val="center"/>
              <w:rPr>
                <w:rFonts w:hint="eastAsia" w:ascii="宋体" w:hAnsi="宋体" w:cs="宋体"/>
                <w:bCs/>
                <w:szCs w:val="21"/>
                <w:highlight w:val="none"/>
              </w:rPr>
            </w:pPr>
          </w:p>
        </w:tc>
        <w:tc>
          <w:tcPr>
            <w:tcW w:w="1011" w:type="dxa"/>
            <w:noWrap w:val="0"/>
            <w:vAlign w:val="center"/>
          </w:tcPr>
          <w:p w14:paraId="461503DA">
            <w:pPr>
              <w:spacing w:line="340" w:lineRule="exact"/>
              <w:jc w:val="center"/>
              <w:rPr>
                <w:rFonts w:hint="eastAsia" w:ascii="宋体" w:hAnsi="宋体" w:cs="宋体"/>
                <w:bCs/>
                <w:szCs w:val="21"/>
                <w:highlight w:val="none"/>
              </w:rPr>
            </w:pPr>
          </w:p>
        </w:tc>
      </w:tr>
      <w:tr w14:paraId="03908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767" w:type="dxa"/>
            <w:vMerge w:val="continue"/>
            <w:noWrap w:val="0"/>
            <w:vAlign w:val="center"/>
          </w:tcPr>
          <w:p w14:paraId="5E096051">
            <w:pPr>
              <w:jc w:val="center"/>
              <w:rPr>
                <w:rFonts w:hint="eastAsia"/>
                <w:bCs/>
                <w:highlight w:val="none"/>
              </w:rPr>
            </w:pPr>
          </w:p>
        </w:tc>
        <w:tc>
          <w:tcPr>
            <w:tcW w:w="1233" w:type="dxa"/>
            <w:vMerge w:val="continue"/>
            <w:noWrap w:val="0"/>
            <w:vAlign w:val="center"/>
          </w:tcPr>
          <w:p w14:paraId="12D1EB7D">
            <w:pPr>
              <w:jc w:val="center"/>
              <w:rPr>
                <w:bCs/>
                <w:highlight w:val="none"/>
              </w:rPr>
            </w:pPr>
          </w:p>
        </w:tc>
        <w:tc>
          <w:tcPr>
            <w:tcW w:w="3117" w:type="dxa"/>
            <w:shd w:val="clear" w:color="auto" w:fill="auto"/>
            <w:noWrap w:val="0"/>
            <w:vAlign w:val="top"/>
          </w:tcPr>
          <w:p w14:paraId="62D53A30">
            <w:pPr>
              <w:jc w:val="left"/>
              <w:rPr>
                <w:rFonts w:hint="eastAsia" w:ascii="宋体" w:hAnsi="宋体" w:eastAsia="宋体" w:cs="宋体"/>
                <w:b/>
                <w:kern w:val="2"/>
                <w:sz w:val="22"/>
                <w:szCs w:val="22"/>
                <w:lang w:val="en-US" w:eastAsia="zh-CN" w:bidi="ar-SA"/>
              </w:rPr>
            </w:pPr>
            <w:r>
              <w:rPr>
                <w:rFonts w:hint="eastAsia" w:ascii="宋体" w:hAnsi="宋体" w:eastAsia="宋体" w:cs="宋体"/>
                <w:bCs/>
                <w:sz w:val="22"/>
                <w:szCs w:val="22"/>
              </w:rPr>
              <w:t>3.5</w:t>
            </w:r>
            <w:r>
              <w:rPr>
                <w:rFonts w:hint="eastAsia" w:ascii="宋体" w:hAnsi="宋体" w:eastAsia="宋体" w:cs="宋体"/>
                <w:bCs/>
                <w:sz w:val="22"/>
                <w:szCs w:val="22"/>
                <w:lang w:eastAsia="zh-CN"/>
              </w:rPr>
              <w:t>投标人中标后，在其</w:t>
            </w:r>
            <w:r>
              <w:rPr>
                <w:rFonts w:hint="eastAsia" w:ascii="宋体" w:hAnsi="宋体" w:eastAsia="宋体" w:cs="宋体"/>
                <w:bCs/>
                <w:sz w:val="22"/>
                <w:szCs w:val="22"/>
              </w:rPr>
              <w:t>承诺的或国家规定的质量保证期内（取两者中最长的期限），如经</w:t>
            </w:r>
            <w:r>
              <w:rPr>
                <w:rFonts w:hint="eastAsia" w:ascii="宋体" w:hAnsi="宋体" w:eastAsia="宋体" w:cs="宋体"/>
                <w:bCs/>
                <w:sz w:val="22"/>
                <w:szCs w:val="22"/>
                <w:lang w:eastAsia="zh-CN"/>
              </w:rPr>
              <w:t>投标人</w:t>
            </w:r>
            <w:r>
              <w:rPr>
                <w:rFonts w:hint="eastAsia" w:ascii="宋体" w:hAnsi="宋体" w:eastAsia="宋体" w:cs="宋体"/>
                <w:bCs/>
                <w:sz w:val="22"/>
                <w:szCs w:val="22"/>
              </w:rPr>
              <w:t>两次维修或更换，货物仍不能达到采购文件要求及投标文件承诺的质量标准，采购人有权退货，</w:t>
            </w:r>
            <w:r>
              <w:rPr>
                <w:rFonts w:hint="eastAsia" w:ascii="宋体" w:hAnsi="宋体" w:eastAsia="宋体" w:cs="宋体"/>
                <w:bCs/>
                <w:sz w:val="22"/>
                <w:szCs w:val="22"/>
                <w:lang w:eastAsia="zh-CN"/>
              </w:rPr>
              <w:t>投标人</w:t>
            </w:r>
            <w:r>
              <w:rPr>
                <w:rFonts w:hint="eastAsia" w:ascii="宋体" w:hAnsi="宋体" w:eastAsia="宋体" w:cs="宋体"/>
                <w:bCs/>
                <w:sz w:val="22"/>
                <w:szCs w:val="22"/>
              </w:rPr>
              <w:t>应退回全部货款并赔偿采购人因此遭受的损失。</w:t>
            </w:r>
          </w:p>
        </w:tc>
        <w:tc>
          <w:tcPr>
            <w:tcW w:w="1749" w:type="dxa"/>
            <w:noWrap w:val="0"/>
            <w:vAlign w:val="center"/>
          </w:tcPr>
          <w:p w14:paraId="2DF0A64F">
            <w:pPr>
              <w:jc w:val="center"/>
              <w:rPr>
                <w:rFonts w:hint="eastAsia" w:ascii="宋体" w:hAnsi="宋体" w:cs="宋体"/>
                <w:bCs/>
                <w:highlight w:val="none"/>
              </w:rPr>
            </w:pPr>
          </w:p>
        </w:tc>
        <w:tc>
          <w:tcPr>
            <w:tcW w:w="1133" w:type="dxa"/>
            <w:noWrap w:val="0"/>
            <w:vAlign w:val="center"/>
          </w:tcPr>
          <w:p w14:paraId="45AD4FEC">
            <w:pPr>
              <w:jc w:val="center"/>
              <w:rPr>
                <w:rFonts w:hint="eastAsia" w:ascii="宋体" w:hAnsi="宋体" w:cs="宋体"/>
                <w:bCs/>
                <w:highlight w:val="none"/>
              </w:rPr>
            </w:pPr>
          </w:p>
        </w:tc>
        <w:tc>
          <w:tcPr>
            <w:tcW w:w="1011" w:type="dxa"/>
            <w:noWrap w:val="0"/>
            <w:vAlign w:val="center"/>
          </w:tcPr>
          <w:p w14:paraId="7B7A86F4">
            <w:pPr>
              <w:jc w:val="center"/>
              <w:rPr>
                <w:rFonts w:hint="eastAsia" w:ascii="宋体" w:hAnsi="宋体" w:cs="宋体"/>
                <w:bCs/>
                <w:highlight w:val="none"/>
              </w:rPr>
            </w:pPr>
          </w:p>
        </w:tc>
      </w:tr>
      <w:tr w14:paraId="7AE14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767" w:type="dxa"/>
            <w:vMerge w:val="continue"/>
            <w:noWrap w:val="0"/>
            <w:vAlign w:val="center"/>
          </w:tcPr>
          <w:p w14:paraId="6E752F3B">
            <w:pPr>
              <w:jc w:val="center"/>
              <w:rPr>
                <w:rFonts w:hint="eastAsia"/>
                <w:bCs/>
                <w:highlight w:val="none"/>
              </w:rPr>
            </w:pPr>
          </w:p>
        </w:tc>
        <w:tc>
          <w:tcPr>
            <w:tcW w:w="1233" w:type="dxa"/>
            <w:vMerge w:val="continue"/>
            <w:noWrap w:val="0"/>
            <w:vAlign w:val="center"/>
          </w:tcPr>
          <w:p w14:paraId="163F8382">
            <w:pPr>
              <w:jc w:val="center"/>
              <w:rPr>
                <w:bCs/>
                <w:highlight w:val="none"/>
              </w:rPr>
            </w:pPr>
          </w:p>
        </w:tc>
        <w:tc>
          <w:tcPr>
            <w:tcW w:w="3117" w:type="dxa"/>
            <w:shd w:val="clear" w:color="auto" w:fill="auto"/>
            <w:noWrap w:val="0"/>
            <w:vAlign w:val="top"/>
          </w:tcPr>
          <w:p w14:paraId="01D29D18">
            <w:pPr>
              <w:jc w:val="left"/>
              <w:rPr>
                <w:rFonts w:hint="eastAsia" w:ascii="宋体" w:hAnsi="宋体" w:eastAsia="宋体" w:cs="宋体"/>
                <w:b/>
                <w:kern w:val="2"/>
                <w:sz w:val="22"/>
                <w:szCs w:val="22"/>
                <w:lang w:val="en-US" w:eastAsia="zh-CN" w:bidi="ar-SA"/>
              </w:rPr>
            </w:pPr>
            <w:r>
              <w:rPr>
                <w:rFonts w:hint="eastAsia" w:ascii="宋体" w:hAnsi="宋体" w:eastAsia="宋体" w:cs="宋体"/>
                <w:bCs/>
                <w:sz w:val="22"/>
                <w:szCs w:val="22"/>
              </w:rPr>
              <w:t>3.6</w:t>
            </w:r>
            <w:r>
              <w:rPr>
                <w:rFonts w:hint="eastAsia" w:ascii="宋体" w:hAnsi="宋体" w:eastAsia="宋体" w:cs="宋体"/>
                <w:bCs/>
                <w:sz w:val="22"/>
                <w:szCs w:val="22"/>
                <w:lang w:eastAsia="zh-CN"/>
              </w:rPr>
              <w:t>投标人中标后</w:t>
            </w:r>
            <w:r>
              <w:rPr>
                <w:rFonts w:hint="eastAsia" w:ascii="宋体" w:hAnsi="宋体" w:eastAsia="宋体" w:cs="宋体"/>
                <w:bCs/>
                <w:sz w:val="22"/>
                <w:szCs w:val="22"/>
              </w:rPr>
              <w:t>在承担上述一项或多项违约责任后，仍应继续履行合同规定的义务（采购人解除合同的除外）。采购人未能及时追究</w:t>
            </w:r>
            <w:r>
              <w:rPr>
                <w:rFonts w:hint="eastAsia" w:ascii="宋体" w:hAnsi="宋体" w:eastAsia="宋体" w:cs="宋体"/>
                <w:bCs/>
                <w:sz w:val="22"/>
                <w:szCs w:val="22"/>
                <w:lang w:eastAsia="zh-CN"/>
              </w:rPr>
              <w:t>投标人</w:t>
            </w:r>
            <w:r>
              <w:rPr>
                <w:rFonts w:hint="eastAsia" w:ascii="宋体" w:hAnsi="宋体" w:eastAsia="宋体" w:cs="宋体"/>
                <w:bCs/>
                <w:sz w:val="22"/>
                <w:szCs w:val="22"/>
              </w:rPr>
              <w:t>的任何一项违约责任并不表明采购人放弃追究</w:t>
            </w:r>
            <w:r>
              <w:rPr>
                <w:rFonts w:hint="eastAsia" w:ascii="宋体" w:hAnsi="宋体" w:eastAsia="宋体" w:cs="宋体"/>
                <w:bCs/>
                <w:sz w:val="22"/>
                <w:szCs w:val="22"/>
                <w:lang w:eastAsia="zh-CN"/>
              </w:rPr>
              <w:t>投标人</w:t>
            </w:r>
            <w:r>
              <w:rPr>
                <w:rFonts w:hint="eastAsia" w:ascii="宋体" w:hAnsi="宋体" w:eastAsia="宋体" w:cs="宋体"/>
                <w:bCs/>
                <w:sz w:val="22"/>
                <w:szCs w:val="22"/>
              </w:rPr>
              <w:t>该项或其他违约责任。</w:t>
            </w:r>
          </w:p>
        </w:tc>
        <w:tc>
          <w:tcPr>
            <w:tcW w:w="1749" w:type="dxa"/>
            <w:noWrap w:val="0"/>
            <w:vAlign w:val="center"/>
          </w:tcPr>
          <w:p w14:paraId="4A457B0B">
            <w:pPr>
              <w:jc w:val="center"/>
              <w:rPr>
                <w:rFonts w:hint="eastAsia" w:ascii="宋体" w:hAnsi="宋体" w:cs="宋体"/>
                <w:bCs/>
                <w:highlight w:val="none"/>
              </w:rPr>
            </w:pPr>
          </w:p>
        </w:tc>
        <w:tc>
          <w:tcPr>
            <w:tcW w:w="1133" w:type="dxa"/>
            <w:noWrap w:val="0"/>
            <w:vAlign w:val="center"/>
          </w:tcPr>
          <w:p w14:paraId="61908968">
            <w:pPr>
              <w:jc w:val="center"/>
              <w:rPr>
                <w:rFonts w:hint="eastAsia" w:ascii="宋体" w:hAnsi="宋体" w:cs="宋体"/>
                <w:bCs/>
                <w:highlight w:val="none"/>
              </w:rPr>
            </w:pPr>
          </w:p>
        </w:tc>
        <w:tc>
          <w:tcPr>
            <w:tcW w:w="1011" w:type="dxa"/>
            <w:noWrap w:val="0"/>
            <w:vAlign w:val="center"/>
          </w:tcPr>
          <w:p w14:paraId="6BDBDC73">
            <w:pPr>
              <w:jc w:val="center"/>
              <w:rPr>
                <w:rFonts w:hint="eastAsia" w:ascii="宋体" w:hAnsi="宋体" w:cs="宋体"/>
                <w:bCs/>
                <w:highlight w:val="none"/>
              </w:rPr>
            </w:pPr>
          </w:p>
        </w:tc>
      </w:tr>
      <w:tr w14:paraId="0A8B1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767" w:type="dxa"/>
            <w:shd w:val="clear" w:color="auto" w:fill="auto"/>
            <w:noWrap w:val="0"/>
            <w:vAlign w:val="center"/>
          </w:tcPr>
          <w:p w14:paraId="1C3DDD54">
            <w:pPr>
              <w:jc w:val="center"/>
              <w:rPr>
                <w:rFonts w:hint="eastAsia" w:ascii="宋体" w:hAnsi="宋体" w:eastAsia="宋体" w:cs="宋体"/>
                <w:bCs/>
                <w:kern w:val="2"/>
                <w:sz w:val="22"/>
                <w:szCs w:val="22"/>
                <w:lang w:val="en-US" w:eastAsia="zh-CN" w:bidi="ar-SA"/>
              </w:rPr>
            </w:pPr>
            <w:r>
              <w:rPr>
                <w:rFonts w:hint="eastAsia" w:ascii="宋体" w:hAnsi="宋体" w:eastAsia="宋体" w:cs="宋体"/>
                <w:bCs/>
                <w:sz w:val="22"/>
                <w:szCs w:val="22"/>
              </w:rPr>
              <w:t>4</w:t>
            </w:r>
          </w:p>
        </w:tc>
        <w:tc>
          <w:tcPr>
            <w:tcW w:w="1233" w:type="dxa"/>
            <w:shd w:val="clear" w:color="auto" w:fill="auto"/>
            <w:noWrap w:val="0"/>
            <w:vAlign w:val="center"/>
          </w:tcPr>
          <w:p w14:paraId="13B5442D">
            <w:pPr>
              <w:jc w:val="center"/>
              <w:rPr>
                <w:rFonts w:hint="eastAsia" w:ascii="宋体" w:hAnsi="宋体" w:eastAsia="宋体" w:cs="宋体"/>
                <w:bCs/>
                <w:kern w:val="2"/>
                <w:sz w:val="22"/>
                <w:szCs w:val="22"/>
                <w:lang w:val="en-US" w:eastAsia="zh-CN" w:bidi="ar-SA"/>
              </w:rPr>
            </w:pPr>
            <w:r>
              <w:rPr>
                <w:rFonts w:hint="eastAsia" w:ascii="宋体" w:hAnsi="宋体" w:eastAsia="宋体" w:cs="宋体"/>
                <w:bCs/>
                <w:sz w:val="22"/>
                <w:szCs w:val="22"/>
              </w:rPr>
              <w:t>其他</w:t>
            </w:r>
          </w:p>
        </w:tc>
        <w:tc>
          <w:tcPr>
            <w:tcW w:w="3117" w:type="dxa"/>
            <w:shd w:val="clear" w:color="auto" w:fill="auto"/>
            <w:noWrap w:val="0"/>
            <w:vAlign w:val="top"/>
          </w:tcPr>
          <w:p w14:paraId="49328B0D">
            <w:pPr>
              <w:jc w:val="left"/>
              <w:rPr>
                <w:rFonts w:hint="eastAsia" w:ascii="宋体" w:hAnsi="宋体" w:eastAsia="宋体" w:cs="宋体"/>
                <w:bCs/>
                <w:kern w:val="2"/>
                <w:sz w:val="22"/>
                <w:szCs w:val="22"/>
                <w:lang w:val="en-US" w:eastAsia="zh-CN" w:bidi="ar-SA"/>
              </w:rPr>
            </w:pPr>
            <w:r>
              <w:rPr>
                <w:rFonts w:hint="eastAsia" w:ascii="宋体" w:hAnsi="宋体" w:eastAsia="宋体" w:cs="宋体"/>
                <w:bCs/>
                <w:sz w:val="22"/>
                <w:szCs w:val="22"/>
                <w:lang w:eastAsia="zh-CN"/>
              </w:rPr>
              <w:t>投标人中标后</w:t>
            </w:r>
            <w:r>
              <w:rPr>
                <w:rFonts w:hint="eastAsia" w:ascii="宋体" w:hAnsi="宋体" w:eastAsia="宋体" w:cs="宋体"/>
                <w:bCs/>
                <w:sz w:val="22"/>
                <w:szCs w:val="22"/>
              </w:rPr>
              <w:t>应按其投标文件中的承诺，进行其他售后服务工作。</w:t>
            </w:r>
          </w:p>
        </w:tc>
        <w:tc>
          <w:tcPr>
            <w:tcW w:w="1749" w:type="dxa"/>
            <w:noWrap w:val="0"/>
            <w:vAlign w:val="center"/>
          </w:tcPr>
          <w:p w14:paraId="47B5D044">
            <w:pPr>
              <w:jc w:val="center"/>
              <w:rPr>
                <w:rFonts w:hint="eastAsia" w:ascii="宋体" w:hAnsi="宋体" w:cs="宋体"/>
                <w:bCs/>
                <w:highlight w:val="none"/>
                <w:lang w:eastAsia="zh-CN"/>
              </w:rPr>
            </w:pPr>
          </w:p>
        </w:tc>
        <w:tc>
          <w:tcPr>
            <w:tcW w:w="1133" w:type="dxa"/>
            <w:noWrap w:val="0"/>
            <w:vAlign w:val="center"/>
          </w:tcPr>
          <w:p w14:paraId="2BE965B2">
            <w:pPr>
              <w:jc w:val="center"/>
              <w:rPr>
                <w:rFonts w:hint="eastAsia" w:ascii="宋体" w:hAnsi="宋体" w:cs="宋体"/>
                <w:bCs/>
                <w:highlight w:val="none"/>
                <w:lang w:eastAsia="zh-CN"/>
              </w:rPr>
            </w:pPr>
          </w:p>
        </w:tc>
        <w:tc>
          <w:tcPr>
            <w:tcW w:w="1011" w:type="dxa"/>
            <w:noWrap w:val="0"/>
            <w:vAlign w:val="center"/>
          </w:tcPr>
          <w:p w14:paraId="660A3C03">
            <w:pPr>
              <w:jc w:val="center"/>
              <w:rPr>
                <w:rFonts w:hint="eastAsia" w:ascii="宋体" w:hAnsi="宋体" w:cs="宋体"/>
                <w:bCs/>
                <w:highlight w:val="none"/>
                <w:lang w:eastAsia="zh-CN"/>
              </w:rPr>
            </w:pPr>
          </w:p>
        </w:tc>
      </w:tr>
      <w:tr w14:paraId="2B2A1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767" w:type="dxa"/>
            <w:shd w:val="clear" w:color="auto" w:fill="auto"/>
            <w:noWrap w:val="0"/>
            <w:vAlign w:val="center"/>
          </w:tcPr>
          <w:p w14:paraId="2655D7C2">
            <w:pPr>
              <w:jc w:val="center"/>
              <w:rPr>
                <w:rFonts w:hint="eastAsia" w:ascii="宋体" w:hAnsi="宋体" w:cs="宋体" w:eastAsiaTheme="minorEastAsia"/>
                <w:bCs/>
                <w:kern w:val="2"/>
                <w:sz w:val="22"/>
                <w:szCs w:val="22"/>
                <w:lang w:val="en-US" w:eastAsia="zh-CN" w:bidi="ar-SA"/>
              </w:rPr>
            </w:pPr>
            <w:r>
              <w:rPr>
                <w:rFonts w:hint="eastAsia"/>
                <w:lang w:val="en-US" w:eastAsia="zh-CN"/>
              </w:rPr>
              <w:t>5</w:t>
            </w:r>
          </w:p>
        </w:tc>
        <w:tc>
          <w:tcPr>
            <w:tcW w:w="1233" w:type="dxa"/>
            <w:shd w:val="clear" w:color="auto" w:fill="auto"/>
            <w:noWrap w:val="0"/>
            <w:vAlign w:val="center"/>
          </w:tcPr>
          <w:p w14:paraId="2C0FEFFD">
            <w:pPr>
              <w:jc w:val="center"/>
              <w:rPr>
                <w:rFonts w:hint="eastAsia" w:ascii="宋体" w:hAnsi="宋体" w:eastAsia="宋体" w:cs="宋体"/>
                <w:bCs/>
                <w:kern w:val="2"/>
                <w:sz w:val="22"/>
                <w:szCs w:val="22"/>
                <w:lang w:val="en-US" w:eastAsia="zh-CN" w:bidi="ar-SA"/>
              </w:rPr>
            </w:pPr>
            <w:r>
              <w:rPr>
                <w:rFonts w:hint="eastAsia" w:ascii="宋体" w:hAnsi="宋体" w:eastAsia="宋体" w:cs="Times New Roman"/>
                <w:b/>
                <w:bCs/>
                <w:color w:val="FF0000"/>
                <w:szCs w:val="21"/>
              </w:rPr>
              <w:t>★</w:t>
            </w:r>
            <w:r>
              <w:rPr>
                <w:rFonts w:hint="eastAsia" w:ascii="宋体" w:hAnsi="宋体" w:eastAsia="宋体" w:cs="宋体"/>
                <w:bCs/>
                <w:sz w:val="22"/>
                <w:szCs w:val="22"/>
              </w:rPr>
              <w:t>付款方式</w:t>
            </w:r>
          </w:p>
        </w:tc>
        <w:tc>
          <w:tcPr>
            <w:tcW w:w="3117" w:type="dxa"/>
            <w:shd w:val="clear" w:color="auto" w:fill="auto"/>
            <w:noWrap w:val="0"/>
            <w:vAlign w:val="top"/>
          </w:tcPr>
          <w:p w14:paraId="0ECF9085">
            <w:pPr>
              <w:jc w:val="left"/>
              <w:rPr>
                <w:rFonts w:hint="eastAsia" w:ascii="宋体" w:hAnsi="宋体" w:eastAsia="宋体" w:cs="宋体"/>
                <w:bCs/>
                <w:sz w:val="22"/>
                <w:szCs w:val="22"/>
              </w:rPr>
            </w:pPr>
            <w:r>
              <w:rPr>
                <w:rFonts w:hint="eastAsia" w:ascii="宋体" w:hAnsi="宋体" w:eastAsia="宋体" w:cs="宋体"/>
                <w:bCs/>
                <w:sz w:val="22"/>
                <w:szCs w:val="22"/>
              </w:rPr>
              <w:t>1、合同签订后</w:t>
            </w:r>
            <w:r>
              <w:rPr>
                <w:rFonts w:hint="eastAsia" w:ascii="宋体" w:hAnsi="宋体" w:eastAsia="宋体" w:cs="宋体"/>
                <w:bCs/>
                <w:sz w:val="22"/>
                <w:szCs w:val="22"/>
                <w:lang w:val="en-US" w:eastAsia="zh-CN"/>
              </w:rPr>
              <w:t>30</w:t>
            </w:r>
            <w:r>
              <w:rPr>
                <w:rFonts w:hint="eastAsia" w:ascii="宋体" w:hAnsi="宋体" w:eastAsia="宋体" w:cs="宋体"/>
                <w:bCs/>
                <w:sz w:val="22"/>
                <w:szCs w:val="22"/>
              </w:rPr>
              <w:t>个工作日内，采购人向中标供应商支付合同总价【</w:t>
            </w:r>
            <w:r>
              <w:rPr>
                <w:rFonts w:hint="eastAsia" w:ascii="宋体" w:hAnsi="宋体" w:eastAsia="宋体" w:cs="宋体"/>
                <w:bCs/>
                <w:sz w:val="22"/>
                <w:szCs w:val="22"/>
                <w:lang w:val="en-US" w:eastAsia="zh-CN"/>
              </w:rPr>
              <w:t>50</w:t>
            </w:r>
            <w:r>
              <w:rPr>
                <w:rFonts w:hint="eastAsia" w:ascii="宋体" w:hAnsi="宋体" w:eastAsia="宋体" w:cs="宋体"/>
                <w:bCs/>
                <w:sz w:val="22"/>
                <w:szCs w:val="22"/>
              </w:rPr>
              <w:t>】%的款项；</w:t>
            </w:r>
          </w:p>
          <w:p w14:paraId="340BE334">
            <w:pPr>
              <w:jc w:val="left"/>
              <w:rPr>
                <w:rFonts w:hint="eastAsia" w:ascii="宋体" w:hAnsi="宋体" w:eastAsia="宋体" w:cs="宋体"/>
                <w:bCs/>
                <w:sz w:val="22"/>
                <w:szCs w:val="22"/>
              </w:rPr>
            </w:pPr>
            <w:r>
              <w:rPr>
                <w:rFonts w:hint="eastAsia" w:ascii="宋体" w:hAnsi="宋体" w:eastAsia="宋体" w:cs="宋体"/>
                <w:bCs/>
                <w:sz w:val="22"/>
                <w:szCs w:val="22"/>
              </w:rPr>
              <w:t>2、全部货物送到采购人指定地点、完成安装并验收合格后</w:t>
            </w:r>
            <w:r>
              <w:rPr>
                <w:rFonts w:hint="eastAsia" w:ascii="宋体" w:hAnsi="宋体" w:eastAsia="宋体" w:cs="宋体"/>
                <w:bCs/>
                <w:sz w:val="22"/>
                <w:szCs w:val="22"/>
                <w:lang w:val="en-US" w:eastAsia="zh-CN"/>
              </w:rPr>
              <w:t>30</w:t>
            </w:r>
            <w:r>
              <w:rPr>
                <w:rFonts w:hint="eastAsia" w:ascii="宋体" w:hAnsi="宋体" w:eastAsia="宋体" w:cs="宋体"/>
                <w:bCs/>
                <w:sz w:val="22"/>
                <w:szCs w:val="22"/>
              </w:rPr>
              <w:t>个工作日内，采购人向中标供应商支付合同总价【</w:t>
            </w:r>
            <w:r>
              <w:rPr>
                <w:rFonts w:hint="eastAsia" w:ascii="宋体" w:hAnsi="宋体" w:eastAsia="宋体" w:cs="宋体"/>
                <w:bCs/>
                <w:sz w:val="22"/>
                <w:szCs w:val="22"/>
                <w:lang w:val="en-US" w:eastAsia="zh-CN"/>
              </w:rPr>
              <w:t>50</w:t>
            </w:r>
            <w:r>
              <w:rPr>
                <w:rFonts w:hint="eastAsia" w:ascii="宋体" w:hAnsi="宋体" w:eastAsia="宋体" w:cs="宋体"/>
                <w:bCs/>
                <w:sz w:val="22"/>
                <w:szCs w:val="22"/>
              </w:rPr>
              <w:t>】%的款项；</w:t>
            </w:r>
          </w:p>
          <w:p w14:paraId="7FE83FFA">
            <w:pPr>
              <w:jc w:val="left"/>
              <w:rPr>
                <w:rFonts w:hint="eastAsia" w:ascii="宋体" w:hAnsi="宋体" w:eastAsia="宋体" w:cs="宋体"/>
                <w:bCs/>
                <w:kern w:val="2"/>
                <w:sz w:val="22"/>
                <w:szCs w:val="22"/>
                <w:lang w:val="en-US" w:eastAsia="zh-CN" w:bidi="ar-SA"/>
              </w:rPr>
            </w:pPr>
            <w:r>
              <w:rPr>
                <w:rFonts w:hint="eastAsia" w:ascii="宋体" w:hAnsi="宋体" w:eastAsia="宋体" w:cs="宋体"/>
                <w:bCs/>
                <w:sz w:val="22"/>
                <w:szCs w:val="22"/>
              </w:rPr>
              <w:t>3、因财政资金拨款未到位而导致甲方未在约定期限内支付合同费用的，中标供应商不得要求采购人承担逾期付款的违约责任。每次付款前，中标供应商应需先提供相应额度的正规发票给采购人，以便办理支付手续。</w:t>
            </w:r>
          </w:p>
        </w:tc>
        <w:tc>
          <w:tcPr>
            <w:tcW w:w="1749" w:type="dxa"/>
            <w:noWrap w:val="0"/>
            <w:vAlign w:val="center"/>
          </w:tcPr>
          <w:p w14:paraId="23632764">
            <w:pPr>
              <w:jc w:val="center"/>
              <w:rPr>
                <w:rFonts w:hint="eastAsia" w:ascii="宋体" w:hAnsi="宋体" w:cs="宋体"/>
                <w:bCs/>
                <w:highlight w:val="none"/>
                <w:lang w:eastAsia="zh-CN"/>
              </w:rPr>
            </w:pPr>
          </w:p>
        </w:tc>
        <w:tc>
          <w:tcPr>
            <w:tcW w:w="1133" w:type="dxa"/>
            <w:noWrap w:val="0"/>
            <w:vAlign w:val="center"/>
          </w:tcPr>
          <w:p w14:paraId="749F5D6B">
            <w:pPr>
              <w:jc w:val="center"/>
              <w:rPr>
                <w:rFonts w:hint="eastAsia" w:ascii="宋体" w:hAnsi="宋体" w:cs="宋体"/>
                <w:bCs/>
                <w:highlight w:val="none"/>
                <w:lang w:eastAsia="zh-CN"/>
              </w:rPr>
            </w:pPr>
          </w:p>
        </w:tc>
        <w:tc>
          <w:tcPr>
            <w:tcW w:w="1011" w:type="dxa"/>
            <w:noWrap w:val="0"/>
            <w:vAlign w:val="center"/>
          </w:tcPr>
          <w:p w14:paraId="1FA8818F">
            <w:pPr>
              <w:jc w:val="center"/>
              <w:rPr>
                <w:rFonts w:hint="eastAsia" w:ascii="宋体" w:hAnsi="宋体" w:cs="宋体"/>
                <w:bCs/>
                <w:highlight w:val="none"/>
                <w:lang w:eastAsia="zh-CN"/>
              </w:rPr>
            </w:pPr>
            <w:r>
              <w:rPr>
                <w:rFonts w:hint="eastAsia" w:ascii="宋体" w:hAnsi="宋体" w:cs="宋体"/>
                <w:b/>
                <w:bCs/>
                <w:color w:val="FF0000"/>
                <w:szCs w:val="21"/>
                <w:highlight w:val="none"/>
              </w:rPr>
              <w:t>本条为实质性条款，若为负偏离作投标无效处理。</w:t>
            </w:r>
          </w:p>
        </w:tc>
      </w:tr>
    </w:tbl>
    <w:p w14:paraId="47912B46">
      <w:pPr>
        <w:ind w:firstLine="420" w:firstLineChars="200"/>
        <w:rPr>
          <w:bCs/>
          <w:szCs w:val="21"/>
        </w:rPr>
      </w:pPr>
      <w:r>
        <w:rPr>
          <w:rFonts w:hint="eastAsia"/>
          <w:bCs/>
          <w:szCs w:val="21"/>
        </w:rPr>
        <w:t>《商务要求偏离表》编制指引：</w:t>
      </w:r>
    </w:p>
    <w:p w14:paraId="4C5226A0">
      <w:pPr>
        <w:ind w:firstLine="420" w:firstLineChars="200"/>
        <w:rPr>
          <w:bCs/>
          <w:szCs w:val="21"/>
        </w:rPr>
      </w:pPr>
      <w:r>
        <w:rPr>
          <w:rFonts w:hint="eastAsia"/>
          <w:bCs/>
          <w:szCs w:val="21"/>
        </w:rPr>
        <w:t>1、商务要求偏离表的序号、商务需求项、招标商务要求等栏目对应“用户需求书”中的“商务要求”章节相关内容。</w:t>
      </w:r>
    </w:p>
    <w:p w14:paraId="67CE70AE">
      <w:pPr>
        <w:ind w:firstLine="420" w:firstLineChars="200"/>
        <w:rPr>
          <w:bCs/>
          <w:szCs w:val="21"/>
        </w:rPr>
      </w:pPr>
      <w:r>
        <w:rPr>
          <w:bCs/>
          <w:szCs w:val="21"/>
        </w:rPr>
        <w:t>2</w:t>
      </w:r>
      <w:r>
        <w:rPr>
          <w:rFonts w:hint="eastAsia"/>
          <w:bCs/>
          <w:szCs w:val="21"/>
        </w:rPr>
        <w:t>、“投标商务响应”一栏必须一一对照“招标商务要求”，详细填写自身响应情况，而不能不合理照搬照抄招标文件的商务要求，以体现具体响应情况。</w:t>
      </w:r>
    </w:p>
    <w:p w14:paraId="53B3DA5B">
      <w:pPr>
        <w:ind w:firstLine="420" w:firstLineChars="200"/>
        <w:rPr>
          <w:bCs/>
          <w:color w:val="FF0000"/>
          <w:szCs w:val="21"/>
        </w:rPr>
      </w:pPr>
      <w:r>
        <w:rPr>
          <w:bCs/>
          <w:szCs w:val="21"/>
        </w:rPr>
        <w:t>3</w:t>
      </w:r>
      <w:r>
        <w:rPr>
          <w:rFonts w:hint="eastAsia"/>
          <w:bCs/>
          <w:szCs w:val="21"/>
        </w:rPr>
        <w:t>、“偏离情况”一栏填写如实填写“正偏离”、“负偏离”或“无偏离”，其中：“正偏离”表示“投标响应优于招标商务要求”，“负偏离”表示“投标响应不满足招标商务要求”，“无偏离”表示“投标响应与招标商务要求一致”。</w:t>
      </w:r>
    </w:p>
    <w:p w14:paraId="4D353145">
      <w:pPr>
        <w:rPr>
          <w:bCs/>
          <w:szCs w:val="21"/>
        </w:rPr>
      </w:pPr>
      <w:r>
        <w:rPr>
          <w:rFonts w:hint="eastAsia"/>
          <w:bCs/>
          <w:szCs w:val="21"/>
        </w:rPr>
        <w:t>“投标商务响应”对比“招标商务要求”存在响应不全（包括未响应整项招标商务要求或者未响应一项招标商务要求的部分内容），均视为“负偏离”。</w:t>
      </w:r>
    </w:p>
    <w:p w14:paraId="60078E28">
      <w:pPr>
        <w:ind w:firstLine="420" w:firstLineChars="200"/>
        <w:rPr>
          <w:bCs/>
          <w:szCs w:val="21"/>
        </w:rPr>
      </w:pPr>
      <w:r>
        <w:rPr>
          <w:rFonts w:hint="eastAsia"/>
          <w:bCs/>
          <w:szCs w:val="21"/>
        </w:rPr>
        <w:t>4、带★号条款为不可偏离条款，如未响应或出现负偏离的，将作投标无效处理。</w:t>
      </w:r>
    </w:p>
    <w:p w14:paraId="777600EF">
      <w:pPr>
        <w:widowControl/>
        <w:jc w:val="left"/>
        <w:rPr>
          <w:rFonts w:ascii="宋体" w:hAnsi="宋体" w:eastAsia="宋体" w:cs="Times New Roman"/>
          <w:color w:val="FF0000"/>
          <w:sz w:val="32"/>
          <w:szCs w:val="32"/>
        </w:rPr>
      </w:pPr>
      <w:r>
        <w:rPr>
          <w:rFonts w:ascii="宋体" w:hAnsi="宋体" w:eastAsia="宋体" w:cs="Times New Roman"/>
          <w:color w:val="FF0000"/>
          <w:sz w:val="32"/>
          <w:szCs w:val="32"/>
        </w:rPr>
        <w:br w:type="page"/>
      </w:r>
    </w:p>
    <w:p w14:paraId="0DF84FC7">
      <w:pPr>
        <w:pStyle w:val="5"/>
        <w:jc w:val="center"/>
        <w:rPr>
          <w:sz w:val="24"/>
        </w:rPr>
      </w:pPr>
      <w:r>
        <w:rPr>
          <w:rFonts w:hint="eastAsia" w:ascii="黑体" w:eastAsia="黑体"/>
          <w:b w:val="0"/>
          <w:sz w:val="24"/>
          <w:szCs w:val="24"/>
        </w:rPr>
        <w:t>五、技术规格偏离表</w:t>
      </w:r>
    </w:p>
    <w:p w14:paraId="4DB4D071">
      <w:pPr>
        <w:rPr>
          <w:rFonts w:ascii="宋体" w:hAnsi="宋体" w:eastAsia="宋体" w:cs="Times New Roman"/>
          <w:b/>
          <w:color w:val="FF0000"/>
          <w:szCs w:val="21"/>
          <w:highlight w:val="yellow"/>
        </w:rPr>
      </w:pPr>
      <w:bookmarkStart w:id="35" w:name="_Hlk72095977"/>
      <w:r>
        <w:rPr>
          <w:rFonts w:hint="eastAsia" w:ascii="宋体" w:hAnsi="宋体" w:eastAsia="宋体" w:cs="Times New Roman"/>
          <w:b/>
          <w:color w:val="FF0000"/>
          <w:szCs w:val="21"/>
        </w:rPr>
        <w:t>1、带</w:t>
      </w:r>
      <w:r>
        <w:rPr>
          <w:rFonts w:hint="eastAsia" w:ascii="宋体" w:hAnsi="宋体" w:eastAsia="宋体" w:cs="Times New Roman"/>
          <w:b/>
          <w:bCs/>
          <w:color w:val="FF0000"/>
          <w:szCs w:val="21"/>
        </w:rPr>
        <w:t>★</w:t>
      </w:r>
      <w:r>
        <w:rPr>
          <w:rFonts w:hint="eastAsia" w:ascii="宋体" w:hAnsi="宋体" w:eastAsia="宋体" w:cs="Times New Roman"/>
          <w:b/>
          <w:color w:val="FF0000"/>
          <w:szCs w:val="21"/>
        </w:rPr>
        <w:t>号要求为不可偏离要求，如出现负偏离，将导致投标无效。带▲号参数为重要参数，其他参数（非▲号参数）为普通参数，如出现负偏离，将按照评分准则做扣分处理。</w:t>
      </w:r>
      <w:r>
        <w:rPr>
          <w:rFonts w:hint="eastAsia" w:ascii="宋体" w:hAnsi="宋体" w:eastAsia="宋体" w:cs="Times New Roman"/>
          <w:b/>
          <w:color w:val="FF0000"/>
          <w:szCs w:val="21"/>
          <w:highlight w:val="yellow"/>
        </w:rPr>
        <w:t>如注明要求提供相关佐证材料的，需以佐证材料作为是否偏离的依据。</w:t>
      </w:r>
    </w:p>
    <w:p w14:paraId="2744642C">
      <w:pPr>
        <w:spacing w:after="78"/>
        <w:jc w:val="left"/>
        <w:rPr>
          <w:rFonts w:ascii="Calibri" w:hAnsi="Calibri" w:eastAsia="宋体" w:cs="Times New Roman"/>
          <w:color w:val="FF0000"/>
          <w:szCs w:val="21"/>
        </w:rPr>
      </w:pPr>
      <w:r>
        <w:rPr>
          <w:rFonts w:hint="eastAsia" w:ascii="Calibri" w:hAnsi="Calibri" w:eastAsia="宋体" w:cs="Times New Roman"/>
          <w:color w:val="FF0000"/>
          <w:szCs w:val="21"/>
        </w:rPr>
        <w:t>2、所列的技术</w:t>
      </w:r>
      <w:r>
        <w:rPr>
          <w:rFonts w:ascii="Calibri" w:hAnsi="Calibri" w:eastAsia="宋体" w:cs="Times New Roman"/>
          <w:color w:val="FF0000"/>
          <w:szCs w:val="21"/>
        </w:rPr>
        <w:t>参数</w:t>
      </w:r>
      <w:r>
        <w:rPr>
          <w:rFonts w:hint="eastAsia" w:ascii="Calibri" w:hAnsi="Calibri" w:eastAsia="宋体" w:cs="Times New Roman"/>
          <w:color w:val="FF0000"/>
          <w:szCs w:val="21"/>
        </w:rPr>
        <w:t>需求中如出现品牌信息仅供参考，不作为参数要求，目的只为投标人更清楚地了解采购需求，投标人可提供其他品牌设备投标。</w:t>
      </w:r>
    </w:p>
    <w:p w14:paraId="1099A8CC">
      <w:pPr>
        <w:spacing w:after="78"/>
        <w:jc w:val="left"/>
        <w:rPr>
          <w:rFonts w:ascii="Calibri" w:hAnsi="Calibri" w:eastAsia="宋体" w:cs="Times New Roman"/>
          <w:color w:val="FF0000"/>
          <w:szCs w:val="21"/>
        </w:rPr>
      </w:pPr>
      <w:r>
        <w:rPr>
          <w:rFonts w:hint="eastAsia" w:ascii="Calibri" w:hAnsi="Calibri" w:eastAsia="宋体" w:cs="Times New Roman"/>
          <w:color w:val="FF0000"/>
          <w:szCs w:val="21"/>
        </w:rPr>
        <w:t>3、如有</w:t>
      </w:r>
      <w:r>
        <w:rPr>
          <w:rFonts w:ascii="Calibri" w:hAnsi="Calibri" w:eastAsia="宋体" w:cs="Times New Roman"/>
          <w:color w:val="FF0000"/>
          <w:szCs w:val="21"/>
        </w:rPr>
        <w:t>方案表述中有出现类似可实现、</w:t>
      </w:r>
      <w:r>
        <w:rPr>
          <w:rFonts w:hint="eastAsia" w:ascii="Calibri" w:hAnsi="Calibri" w:eastAsia="宋体" w:cs="Times New Roman"/>
          <w:color w:val="FF0000"/>
          <w:szCs w:val="21"/>
        </w:rPr>
        <w:t>实现</w:t>
      </w:r>
      <w:r>
        <w:rPr>
          <w:rFonts w:ascii="Calibri" w:hAnsi="Calibri" w:eastAsia="宋体" w:cs="Times New Roman"/>
          <w:color w:val="FF0000"/>
          <w:szCs w:val="21"/>
        </w:rPr>
        <w:t>、</w:t>
      </w:r>
      <w:r>
        <w:rPr>
          <w:rFonts w:hint="eastAsia" w:ascii="Calibri" w:hAnsi="Calibri" w:eastAsia="宋体" w:cs="Times New Roman"/>
          <w:color w:val="FF0000"/>
          <w:szCs w:val="21"/>
        </w:rPr>
        <w:t>可</w:t>
      </w:r>
      <w:r>
        <w:rPr>
          <w:rFonts w:ascii="Calibri" w:hAnsi="Calibri" w:eastAsia="宋体" w:cs="Times New Roman"/>
          <w:color w:val="FF0000"/>
          <w:szCs w:val="21"/>
        </w:rPr>
        <w:t>支持、支持</w:t>
      </w:r>
      <w:r>
        <w:rPr>
          <w:rFonts w:hint="eastAsia" w:ascii="Calibri" w:hAnsi="Calibri" w:eastAsia="宋体" w:cs="Times New Roman"/>
          <w:color w:val="FF0000"/>
          <w:szCs w:val="21"/>
        </w:rPr>
        <w:t>等</w:t>
      </w:r>
      <w:r>
        <w:rPr>
          <w:rFonts w:ascii="Calibri" w:hAnsi="Calibri" w:eastAsia="宋体" w:cs="Times New Roman"/>
          <w:color w:val="FF0000"/>
          <w:szCs w:val="21"/>
        </w:rPr>
        <w:t>描述的，均表示方案需要实现的功能或</w:t>
      </w:r>
      <w:r>
        <w:rPr>
          <w:rFonts w:hint="eastAsia" w:ascii="Calibri" w:hAnsi="Calibri" w:eastAsia="宋体" w:cs="Times New Roman"/>
          <w:color w:val="FF0000"/>
          <w:szCs w:val="21"/>
        </w:rPr>
        <w:t>应满足的</w:t>
      </w:r>
      <w:r>
        <w:rPr>
          <w:rFonts w:ascii="Calibri" w:hAnsi="Calibri" w:eastAsia="宋体" w:cs="Times New Roman"/>
          <w:color w:val="FF0000"/>
          <w:szCs w:val="21"/>
        </w:rPr>
        <w:t>要求，即项目在验收时无须增加其他</w:t>
      </w:r>
      <w:r>
        <w:rPr>
          <w:rFonts w:hint="eastAsia" w:ascii="Calibri" w:hAnsi="Calibri" w:eastAsia="宋体" w:cs="Times New Roman"/>
          <w:color w:val="FF0000"/>
          <w:szCs w:val="21"/>
        </w:rPr>
        <w:t>额外</w:t>
      </w:r>
      <w:r>
        <w:rPr>
          <w:rFonts w:ascii="Calibri" w:hAnsi="Calibri" w:eastAsia="宋体" w:cs="Times New Roman"/>
          <w:color w:val="FF0000"/>
          <w:szCs w:val="21"/>
        </w:rPr>
        <w:t>设备</w:t>
      </w:r>
      <w:r>
        <w:rPr>
          <w:rFonts w:hint="eastAsia" w:ascii="Calibri" w:hAnsi="Calibri" w:eastAsia="宋体" w:cs="Times New Roman"/>
          <w:color w:val="FF0000"/>
          <w:szCs w:val="21"/>
        </w:rPr>
        <w:t>或</w:t>
      </w:r>
      <w:r>
        <w:rPr>
          <w:rFonts w:ascii="Calibri" w:hAnsi="Calibri" w:eastAsia="宋体" w:cs="Times New Roman"/>
          <w:color w:val="FF0000"/>
          <w:szCs w:val="21"/>
        </w:rPr>
        <w:t>系统</w:t>
      </w:r>
      <w:r>
        <w:rPr>
          <w:rFonts w:hint="eastAsia" w:ascii="Calibri" w:hAnsi="Calibri" w:eastAsia="宋体" w:cs="Times New Roman"/>
          <w:color w:val="FF0000"/>
          <w:szCs w:val="21"/>
        </w:rPr>
        <w:t>，</w:t>
      </w:r>
      <w:r>
        <w:rPr>
          <w:rFonts w:ascii="Calibri" w:hAnsi="Calibri" w:eastAsia="宋体" w:cs="Times New Roman"/>
          <w:color w:val="FF0000"/>
          <w:szCs w:val="21"/>
        </w:rPr>
        <w:t>使用本项目中的设备或</w:t>
      </w:r>
      <w:r>
        <w:rPr>
          <w:rFonts w:hint="eastAsia" w:ascii="Calibri" w:hAnsi="Calibri" w:eastAsia="宋体" w:cs="Times New Roman"/>
          <w:color w:val="FF0000"/>
          <w:szCs w:val="21"/>
        </w:rPr>
        <w:t>系统</w:t>
      </w:r>
      <w:r>
        <w:rPr>
          <w:rFonts w:ascii="Calibri" w:hAnsi="Calibri" w:eastAsia="宋体" w:cs="Times New Roman"/>
          <w:color w:val="FF0000"/>
          <w:szCs w:val="21"/>
        </w:rPr>
        <w:t>即能实现</w:t>
      </w:r>
      <w:r>
        <w:rPr>
          <w:rFonts w:hint="eastAsia" w:ascii="Calibri" w:hAnsi="Calibri" w:eastAsia="宋体" w:cs="Times New Roman"/>
          <w:color w:val="FF0000"/>
          <w:szCs w:val="21"/>
        </w:rPr>
        <w:t>相应功能</w:t>
      </w:r>
      <w:r>
        <w:rPr>
          <w:rFonts w:ascii="Calibri" w:hAnsi="Calibri" w:eastAsia="宋体" w:cs="Times New Roman"/>
          <w:color w:val="FF0000"/>
          <w:szCs w:val="21"/>
        </w:rPr>
        <w:t>或</w:t>
      </w:r>
      <w:r>
        <w:rPr>
          <w:rFonts w:hint="eastAsia" w:ascii="Calibri" w:hAnsi="Calibri" w:eastAsia="宋体" w:cs="Times New Roman"/>
          <w:color w:val="FF0000"/>
          <w:szCs w:val="21"/>
        </w:rPr>
        <w:t>满足相关</w:t>
      </w:r>
      <w:r>
        <w:rPr>
          <w:rFonts w:ascii="Calibri" w:hAnsi="Calibri" w:eastAsia="宋体" w:cs="Times New Roman"/>
          <w:color w:val="FF0000"/>
          <w:szCs w:val="21"/>
        </w:rPr>
        <w:t>要求。</w:t>
      </w:r>
    </w:p>
    <w:p w14:paraId="10FDFDD2">
      <w:pPr>
        <w:spacing w:after="78"/>
        <w:jc w:val="left"/>
        <w:rPr>
          <w:rFonts w:ascii="Calibri" w:hAnsi="Calibri" w:eastAsia="宋体" w:cs="Times New Roman"/>
          <w:color w:val="FF0000"/>
          <w:szCs w:val="21"/>
        </w:rPr>
      </w:pPr>
      <w:r>
        <w:rPr>
          <w:rFonts w:ascii="Calibri" w:hAnsi="Calibri" w:eastAsia="宋体" w:cs="Times New Roman"/>
          <w:color w:val="FF0000"/>
          <w:szCs w:val="21"/>
        </w:rPr>
        <w:t>4、针对招标文件产品技术参数如涉及相关既定值、单向范围值、区间范围值的，投标技术参数响应方式举例说明如下：</w:t>
      </w:r>
    </w:p>
    <w:p w14:paraId="104BFC0F">
      <w:pPr>
        <w:spacing w:after="78"/>
        <w:jc w:val="left"/>
        <w:rPr>
          <w:rFonts w:ascii="Calibri" w:hAnsi="Calibri" w:eastAsia="宋体" w:cs="Times New Roman"/>
          <w:color w:val="FF0000"/>
          <w:szCs w:val="21"/>
        </w:rPr>
      </w:pPr>
      <w:r>
        <w:rPr>
          <w:rFonts w:ascii="Calibri" w:hAnsi="Calibri" w:eastAsia="宋体" w:cs="Times New Roman"/>
          <w:color w:val="FF0000"/>
          <w:szCs w:val="21"/>
        </w:rPr>
        <w:t>（1）涉及相关既定值的，例：招标技术参数要求值为“20L”，投标技术参数响应值与“20L”不一致的，均视为负偏离；</w:t>
      </w:r>
    </w:p>
    <w:p w14:paraId="09AA85D3">
      <w:pPr>
        <w:spacing w:after="78"/>
        <w:jc w:val="left"/>
        <w:rPr>
          <w:rFonts w:ascii="Calibri" w:hAnsi="Calibri" w:eastAsia="宋体" w:cs="Times New Roman"/>
          <w:color w:val="FF0000"/>
          <w:szCs w:val="21"/>
        </w:rPr>
      </w:pPr>
      <w:r>
        <w:rPr>
          <w:rFonts w:ascii="Calibri" w:hAnsi="Calibri" w:eastAsia="宋体" w:cs="Times New Roman"/>
          <w:color w:val="FF0000"/>
          <w:szCs w:val="21"/>
        </w:rPr>
        <w:t>（2）涉及相关单向范围值的，例：招标技术参数要求的单向范围值为“≥6m”，除有特别注明以外，投标技术参数响应值与招标技术参数要求范围值完全一致的（如响应为“≥6m”）或投标技术参数响应值大于招标技术参数要求范围值的（如响应为“≥5”或“＞5”等）或投标技术参数响应值为招标技术参数要求范围值内的任意值的（如响应为“7m”或“6.5m”等）均视为符合要求，投标技术参数响应值小于招标技术参数要求的（如响应为"＜6m"或“＜5m”或“5m”等）均视为负偏离；</w:t>
      </w:r>
    </w:p>
    <w:p w14:paraId="059B6CEF">
      <w:pPr>
        <w:spacing w:after="78"/>
        <w:jc w:val="left"/>
        <w:rPr>
          <w:rFonts w:ascii="Calibri" w:hAnsi="Calibri" w:eastAsia="宋体" w:cs="Times New Roman"/>
          <w:color w:val="FF0000"/>
          <w:szCs w:val="21"/>
        </w:rPr>
      </w:pPr>
      <w:r>
        <w:rPr>
          <w:rFonts w:ascii="Calibri" w:hAnsi="Calibri" w:eastAsia="宋体" w:cs="Times New Roman"/>
          <w:color w:val="FF0000"/>
          <w:szCs w:val="21"/>
        </w:rPr>
        <w:t>（3）涉及相关区间范围值的，例：招标技术参数要求的区间范围值为“0-20ML”，除有特别注明以外，投标技术参数响应值与招标技术参数要求范围值完全一致的（如响应为“0-20ML”）或投标技术参数响应值大于招标技术参数要求范围值的（如响应为“0-21ML”或“-1-20ML”或“0-25ML”等）均视为符合要求，投标技术参数响应值小于招标技术参数要求范围值的（如响应为“0-15ML”或“1-12ML ”或 “9-20ML”或“9ML” 等）均视为负偏离。</w:t>
      </w:r>
    </w:p>
    <w:tbl>
      <w:tblPr>
        <w:tblStyle w:val="16"/>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1"/>
        <w:gridCol w:w="546"/>
        <w:gridCol w:w="4659"/>
        <w:gridCol w:w="1048"/>
        <w:gridCol w:w="1284"/>
        <w:gridCol w:w="1284"/>
      </w:tblGrid>
      <w:tr w14:paraId="35CBD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256" w:type="pct"/>
            <w:noWrap w:val="0"/>
            <w:vAlign w:val="center"/>
          </w:tcPr>
          <w:p w14:paraId="35C198EC">
            <w:pPr>
              <w:jc w:val="center"/>
              <w:rPr>
                <w:rFonts w:hint="eastAsia" w:ascii="宋体" w:hAnsi="宋体" w:eastAsia="宋体" w:cs="宋体"/>
                <w:b/>
                <w:bCs/>
                <w:sz w:val="22"/>
                <w:szCs w:val="22"/>
              </w:rPr>
            </w:pPr>
            <w:r>
              <w:rPr>
                <w:rFonts w:hint="eastAsia" w:ascii="宋体" w:hAnsi="宋体" w:eastAsia="宋体" w:cs="宋体"/>
                <w:b/>
                <w:bCs/>
                <w:sz w:val="22"/>
                <w:szCs w:val="22"/>
              </w:rPr>
              <w:t>序号</w:t>
            </w:r>
          </w:p>
        </w:tc>
        <w:tc>
          <w:tcPr>
            <w:tcW w:w="254" w:type="pct"/>
            <w:noWrap w:val="0"/>
            <w:vAlign w:val="center"/>
          </w:tcPr>
          <w:p w14:paraId="204AB4E1">
            <w:pPr>
              <w:widowControl/>
              <w:jc w:val="center"/>
              <w:rPr>
                <w:rFonts w:hint="eastAsia" w:ascii="宋体" w:hAnsi="宋体" w:eastAsia="宋体" w:cs="宋体"/>
                <w:b/>
                <w:bCs/>
                <w:sz w:val="22"/>
                <w:szCs w:val="22"/>
              </w:rPr>
            </w:pPr>
            <w:r>
              <w:rPr>
                <w:rFonts w:hint="eastAsia" w:ascii="宋体" w:hAnsi="宋体" w:eastAsia="宋体" w:cs="宋体"/>
                <w:b/>
                <w:bCs/>
                <w:sz w:val="22"/>
                <w:szCs w:val="22"/>
              </w:rPr>
              <w:t>货物名称</w:t>
            </w:r>
          </w:p>
        </w:tc>
        <w:tc>
          <w:tcPr>
            <w:tcW w:w="2516" w:type="pct"/>
            <w:noWrap w:val="0"/>
            <w:vAlign w:val="center"/>
          </w:tcPr>
          <w:p w14:paraId="0A370A2D">
            <w:pPr>
              <w:jc w:val="center"/>
              <w:rPr>
                <w:rFonts w:hint="eastAsia" w:ascii="宋体" w:hAnsi="宋体" w:eastAsia="宋体" w:cs="宋体"/>
                <w:b/>
                <w:bCs/>
                <w:sz w:val="22"/>
                <w:szCs w:val="22"/>
              </w:rPr>
            </w:pPr>
            <w:r>
              <w:rPr>
                <w:rFonts w:hint="eastAsia" w:ascii="宋体" w:hAnsi="宋体" w:eastAsia="宋体" w:cs="宋体"/>
                <w:b/>
                <w:bCs/>
                <w:sz w:val="22"/>
                <w:szCs w:val="22"/>
              </w:rPr>
              <w:t>招标技术要求</w:t>
            </w:r>
          </w:p>
        </w:tc>
        <w:tc>
          <w:tcPr>
            <w:tcW w:w="572" w:type="pct"/>
            <w:noWrap w:val="0"/>
            <w:vAlign w:val="center"/>
          </w:tcPr>
          <w:p w14:paraId="08C7CBCA">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投标技术响应</w:t>
            </w:r>
          </w:p>
        </w:tc>
        <w:tc>
          <w:tcPr>
            <w:tcW w:w="699" w:type="pct"/>
            <w:noWrap w:val="0"/>
            <w:vAlign w:val="center"/>
          </w:tcPr>
          <w:p w14:paraId="77CE5492">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偏离情况</w:t>
            </w:r>
          </w:p>
        </w:tc>
        <w:tc>
          <w:tcPr>
            <w:tcW w:w="699" w:type="pct"/>
            <w:noWrap w:val="0"/>
            <w:vAlign w:val="center"/>
          </w:tcPr>
          <w:p w14:paraId="7626B215">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说明</w:t>
            </w:r>
          </w:p>
        </w:tc>
      </w:tr>
      <w:tr w14:paraId="3E1A3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256" w:type="pct"/>
            <w:shd w:val="clear" w:color="auto" w:fill="auto"/>
            <w:noWrap w:val="0"/>
            <w:vAlign w:val="center"/>
          </w:tcPr>
          <w:p w14:paraId="22E2394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254" w:type="pct"/>
            <w:shd w:val="clear" w:color="auto" w:fill="auto"/>
            <w:noWrap w:val="0"/>
            <w:vAlign w:val="center"/>
          </w:tcPr>
          <w:p w14:paraId="023C0F6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定制款单人沙发座</w:t>
            </w:r>
          </w:p>
        </w:tc>
        <w:tc>
          <w:tcPr>
            <w:tcW w:w="2516" w:type="pct"/>
            <w:shd w:val="clear" w:color="auto" w:fill="auto"/>
            <w:noWrap w:val="0"/>
            <w:vAlign w:val="center"/>
          </w:tcPr>
          <w:p w14:paraId="0D66B03C">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1、规格尺寸：550*550mm*400mm（±5mm）</w:t>
            </w:r>
          </w:p>
          <w:p w14:paraId="53BCF635">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2、框架：落叶松实木框架；</w:t>
            </w:r>
          </w:p>
          <w:p w14:paraId="2D436771">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3、填充：高密度海绵；</w:t>
            </w:r>
          </w:p>
          <w:p w14:paraId="48E75A17">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4、覆面：抗污PU皮饰面</w:t>
            </w:r>
          </w:p>
        </w:tc>
        <w:tc>
          <w:tcPr>
            <w:tcW w:w="572" w:type="pct"/>
            <w:noWrap w:val="0"/>
            <w:vAlign w:val="top"/>
          </w:tcPr>
          <w:p w14:paraId="60BF814C">
            <w:pPr>
              <w:jc w:val="left"/>
              <w:rPr>
                <w:rFonts w:hint="eastAsia" w:ascii="宋体" w:hAnsi="宋体" w:eastAsia="宋体" w:cs="宋体"/>
                <w:b/>
                <w:bCs w:val="0"/>
                <w:sz w:val="22"/>
                <w:szCs w:val="22"/>
                <w:lang w:val="en-US" w:eastAsia="zh-CN"/>
              </w:rPr>
            </w:pPr>
          </w:p>
        </w:tc>
        <w:tc>
          <w:tcPr>
            <w:tcW w:w="699" w:type="pct"/>
            <w:noWrap w:val="0"/>
            <w:vAlign w:val="top"/>
          </w:tcPr>
          <w:p w14:paraId="26393519">
            <w:pPr>
              <w:jc w:val="left"/>
              <w:rPr>
                <w:rFonts w:hint="eastAsia" w:ascii="宋体" w:hAnsi="宋体" w:eastAsia="宋体" w:cs="宋体"/>
                <w:b/>
                <w:bCs w:val="0"/>
                <w:sz w:val="22"/>
                <w:szCs w:val="22"/>
                <w:lang w:val="en-US" w:eastAsia="zh-CN"/>
              </w:rPr>
            </w:pPr>
          </w:p>
        </w:tc>
        <w:tc>
          <w:tcPr>
            <w:tcW w:w="699" w:type="pct"/>
            <w:noWrap w:val="0"/>
            <w:vAlign w:val="top"/>
          </w:tcPr>
          <w:p w14:paraId="4EA7DA3F">
            <w:pPr>
              <w:jc w:val="left"/>
              <w:rPr>
                <w:rFonts w:hint="eastAsia" w:ascii="宋体" w:hAnsi="宋体" w:eastAsia="宋体" w:cs="宋体"/>
                <w:b/>
                <w:bCs w:val="0"/>
                <w:sz w:val="22"/>
                <w:szCs w:val="22"/>
                <w:lang w:val="en-US" w:eastAsia="zh-CN"/>
              </w:rPr>
            </w:pPr>
          </w:p>
        </w:tc>
      </w:tr>
      <w:tr w14:paraId="5B47C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0" w:type="auto"/>
            <w:shd w:val="clear" w:color="auto" w:fill="auto"/>
            <w:vAlign w:val="center"/>
          </w:tcPr>
          <w:p w14:paraId="33D057D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w:t>
            </w:r>
          </w:p>
        </w:tc>
        <w:tc>
          <w:tcPr>
            <w:tcW w:w="0" w:type="auto"/>
            <w:shd w:val="clear" w:color="auto" w:fill="auto"/>
            <w:vAlign w:val="center"/>
          </w:tcPr>
          <w:p w14:paraId="15DBB92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定制款双人沙发座</w:t>
            </w:r>
          </w:p>
        </w:tc>
        <w:tc>
          <w:tcPr>
            <w:tcW w:w="0" w:type="auto"/>
            <w:shd w:val="clear" w:color="auto" w:fill="auto"/>
            <w:vAlign w:val="center"/>
          </w:tcPr>
          <w:p w14:paraId="360434A0">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1、规格尺寸：1100*550mm*400mm（±5mm）</w:t>
            </w:r>
          </w:p>
          <w:p w14:paraId="70DEE394">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2、框架：落叶松实木框架；</w:t>
            </w:r>
          </w:p>
          <w:p w14:paraId="6C9F4EC7">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3、填充：高密度海绵；</w:t>
            </w:r>
          </w:p>
          <w:p w14:paraId="3F5CE148">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4、覆面：抗污PU皮饰面</w:t>
            </w:r>
          </w:p>
        </w:tc>
        <w:tc>
          <w:tcPr>
            <w:tcW w:w="0" w:type="auto"/>
          </w:tcPr>
          <w:p w14:paraId="62FDF099">
            <w:pPr>
              <w:jc w:val="left"/>
              <w:rPr>
                <w:rFonts w:hint="eastAsia" w:ascii="宋体" w:hAnsi="宋体" w:eastAsia="宋体" w:cs="宋体"/>
                <w:b/>
                <w:bCs w:val="0"/>
                <w:sz w:val="22"/>
                <w:szCs w:val="22"/>
                <w:lang w:val="en-US" w:eastAsia="zh-CN"/>
              </w:rPr>
            </w:pPr>
          </w:p>
        </w:tc>
        <w:tc>
          <w:tcPr>
            <w:tcW w:w="0" w:type="auto"/>
          </w:tcPr>
          <w:p w14:paraId="4A1BC560">
            <w:pPr>
              <w:jc w:val="left"/>
              <w:rPr>
                <w:rFonts w:hint="eastAsia" w:ascii="宋体" w:hAnsi="宋体" w:eastAsia="宋体" w:cs="宋体"/>
                <w:b/>
                <w:bCs w:val="0"/>
                <w:sz w:val="22"/>
                <w:szCs w:val="22"/>
                <w:lang w:val="en-US" w:eastAsia="zh-CN"/>
              </w:rPr>
            </w:pPr>
          </w:p>
        </w:tc>
        <w:tc>
          <w:tcPr>
            <w:tcW w:w="0" w:type="auto"/>
          </w:tcPr>
          <w:p w14:paraId="3BE5B78C">
            <w:pPr>
              <w:jc w:val="left"/>
              <w:rPr>
                <w:rFonts w:hint="eastAsia" w:ascii="宋体" w:hAnsi="宋体" w:eastAsia="宋体" w:cs="宋体"/>
                <w:b/>
                <w:bCs w:val="0"/>
                <w:sz w:val="22"/>
                <w:szCs w:val="22"/>
                <w:lang w:val="en-US" w:eastAsia="zh-CN"/>
              </w:rPr>
            </w:pPr>
          </w:p>
        </w:tc>
      </w:tr>
      <w:tr w14:paraId="7E5CE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0" w:type="auto"/>
            <w:shd w:val="clear" w:color="auto" w:fill="auto"/>
            <w:vAlign w:val="center"/>
          </w:tcPr>
          <w:p w14:paraId="23BE99A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w:t>
            </w:r>
          </w:p>
        </w:tc>
        <w:tc>
          <w:tcPr>
            <w:tcW w:w="0" w:type="auto"/>
            <w:shd w:val="clear" w:color="auto" w:fill="auto"/>
            <w:vAlign w:val="center"/>
          </w:tcPr>
          <w:p w14:paraId="1D44CE6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定制款弧形沙发</w:t>
            </w:r>
          </w:p>
        </w:tc>
        <w:tc>
          <w:tcPr>
            <w:tcW w:w="0" w:type="auto"/>
            <w:shd w:val="clear" w:color="auto" w:fill="auto"/>
            <w:vAlign w:val="center"/>
          </w:tcPr>
          <w:p w14:paraId="42DBB2E0">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1、规格尺寸：φ2060*500mm*400mm（±5mm）</w:t>
            </w:r>
          </w:p>
          <w:p w14:paraId="1C1668C5">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2、框架：落叶松实木框架；</w:t>
            </w:r>
          </w:p>
          <w:p w14:paraId="251A7FE8">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3、填充：高密度海绵；</w:t>
            </w:r>
          </w:p>
          <w:p w14:paraId="50CE8412">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4、覆面：抗污PU皮饰面</w:t>
            </w:r>
          </w:p>
        </w:tc>
        <w:tc>
          <w:tcPr>
            <w:tcW w:w="0" w:type="auto"/>
          </w:tcPr>
          <w:p w14:paraId="7A73A74A">
            <w:pPr>
              <w:jc w:val="left"/>
              <w:rPr>
                <w:rFonts w:hint="eastAsia" w:ascii="宋体" w:hAnsi="宋体" w:eastAsia="宋体" w:cs="宋体"/>
                <w:b/>
                <w:bCs w:val="0"/>
                <w:sz w:val="22"/>
                <w:szCs w:val="22"/>
                <w:lang w:val="en-US" w:eastAsia="zh-CN"/>
              </w:rPr>
            </w:pPr>
          </w:p>
        </w:tc>
        <w:tc>
          <w:tcPr>
            <w:tcW w:w="0" w:type="auto"/>
          </w:tcPr>
          <w:p w14:paraId="4209038D">
            <w:pPr>
              <w:jc w:val="left"/>
              <w:rPr>
                <w:rFonts w:hint="eastAsia" w:ascii="宋体" w:hAnsi="宋体" w:eastAsia="宋体" w:cs="宋体"/>
                <w:b/>
                <w:bCs w:val="0"/>
                <w:sz w:val="22"/>
                <w:szCs w:val="22"/>
                <w:lang w:val="en-US" w:eastAsia="zh-CN"/>
              </w:rPr>
            </w:pPr>
          </w:p>
        </w:tc>
        <w:tc>
          <w:tcPr>
            <w:tcW w:w="0" w:type="auto"/>
          </w:tcPr>
          <w:p w14:paraId="15F6E38F">
            <w:pPr>
              <w:jc w:val="left"/>
              <w:rPr>
                <w:rFonts w:hint="eastAsia" w:ascii="宋体" w:hAnsi="宋体" w:eastAsia="宋体" w:cs="宋体"/>
                <w:b/>
                <w:bCs w:val="0"/>
                <w:sz w:val="22"/>
                <w:szCs w:val="22"/>
                <w:lang w:val="en-US" w:eastAsia="zh-CN"/>
              </w:rPr>
            </w:pPr>
          </w:p>
        </w:tc>
      </w:tr>
      <w:tr w14:paraId="7013F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0" w:type="auto"/>
            <w:shd w:val="clear" w:color="auto" w:fill="auto"/>
            <w:vAlign w:val="center"/>
          </w:tcPr>
          <w:p w14:paraId="330C76B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w:t>
            </w:r>
          </w:p>
        </w:tc>
        <w:tc>
          <w:tcPr>
            <w:tcW w:w="0" w:type="auto"/>
            <w:shd w:val="clear" w:color="auto" w:fill="auto"/>
            <w:vAlign w:val="center"/>
          </w:tcPr>
          <w:p w14:paraId="6F798D1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四角高凳</w:t>
            </w:r>
          </w:p>
        </w:tc>
        <w:tc>
          <w:tcPr>
            <w:tcW w:w="0" w:type="auto"/>
            <w:shd w:val="clear" w:color="auto" w:fill="auto"/>
            <w:vAlign w:val="center"/>
          </w:tcPr>
          <w:p w14:paraId="064C7330">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1、规格尺寸：750mm（凳面高度）总高：900mm（±5mm）</w:t>
            </w:r>
          </w:p>
          <w:p w14:paraId="79B40400">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2、材质：PP凳面，碳素钢脚架</w:t>
            </w:r>
          </w:p>
        </w:tc>
        <w:tc>
          <w:tcPr>
            <w:tcW w:w="0" w:type="auto"/>
          </w:tcPr>
          <w:p w14:paraId="7D68EC33">
            <w:pPr>
              <w:jc w:val="left"/>
              <w:rPr>
                <w:rFonts w:hint="eastAsia" w:ascii="宋体" w:hAnsi="宋体" w:eastAsia="宋体" w:cs="宋体"/>
                <w:b/>
                <w:bCs w:val="0"/>
                <w:sz w:val="22"/>
                <w:szCs w:val="22"/>
                <w:lang w:val="en-US" w:eastAsia="zh-CN"/>
              </w:rPr>
            </w:pPr>
          </w:p>
        </w:tc>
        <w:tc>
          <w:tcPr>
            <w:tcW w:w="0" w:type="auto"/>
          </w:tcPr>
          <w:p w14:paraId="22186B98">
            <w:pPr>
              <w:jc w:val="left"/>
              <w:rPr>
                <w:rFonts w:hint="eastAsia" w:ascii="宋体" w:hAnsi="宋体" w:eastAsia="宋体" w:cs="宋体"/>
                <w:b/>
                <w:bCs w:val="0"/>
                <w:sz w:val="22"/>
                <w:szCs w:val="22"/>
                <w:lang w:val="en-US" w:eastAsia="zh-CN"/>
              </w:rPr>
            </w:pPr>
          </w:p>
        </w:tc>
        <w:tc>
          <w:tcPr>
            <w:tcW w:w="0" w:type="auto"/>
          </w:tcPr>
          <w:p w14:paraId="615DFCDC">
            <w:pPr>
              <w:jc w:val="left"/>
              <w:rPr>
                <w:rFonts w:hint="eastAsia" w:ascii="宋体" w:hAnsi="宋体" w:eastAsia="宋体" w:cs="宋体"/>
                <w:b/>
                <w:bCs w:val="0"/>
                <w:sz w:val="22"/>
                <w:szCs w:val="22"/>
                <w:lang w:val="en-US" w:eastAsia="zh-CN"/>
              </w:rPr>
            </w:pPr>
          </w:p>
        </w:tc>
      </w:tr>
      <w:tr w14:paraId="09558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0" w:type="auto"/>
            <w:shd w:val="clear" w:color="auto" w:fill="auto"/>
            <w:vAlign w:val="center"/>
          </w:tcPr>
          <w:p w14:paraId="1A8C00D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w:t>
            </w:r>
          </w:p>
        </w:tc>
        <w:tc>
          <w:tcPr>
            <w:tcW w:w="0" w:type="auto"/>
            <w:shd w:val="clear" w:color="auto" w:fill="auto"/>
            <w:vAlign w:val="center"/>
          </w:tcPr>
          <w:p w14:paraId="542D008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靠背椅</w:t>
            </w:r>
          </w:p>
        </w:tc>
        <w:tc>
          <w:tcPr>
            <w:tcW w:w="0" w:type="auto"/>
            <w:shd w:val="clear" w:color="auto" w:fill="auto"/>
            <w:vAlign w:val="center"/>
          </w:tcPr>
          <w:p w14:paraId="61B1BEF5">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1、规格尺寸：350*350*500mm（±5mm）</w:t>
            </w:r>
          </w:p>
          <w:p w14:paraId="5538E9F0">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2、PP塑料靠背，PU皮海绵坐垫，人体工学曲线设计。</w:t>
            </w:r>
          </w:p>
          <w:p w14:paraId="1C74BC21">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3、升降采用气杆，升降杆为不锈钢材质。</w:t>
            </w:r>
          </w:p>
          <w:p w14:paraId="2035600A">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4、转椅脚轮尼龙塑料脚架。</w:t>
            </w:r>
          </w:p>
          <w:p w14:paraId="6C8ABC7A">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5、脚垫采用ABS材质。</w:t>
            </w:r>
          </w:p>
        </w:tc>
        <w:tc>
          <w:tcPr>
            <w:tcW w:w="0" w:type="auto"/>
          </w:tcPr>
          <w:p w14:paraId="08359134">
            <w:pPr>
              <w:jc w:val="left"/>
              <w:rPr>
                <w:rFonts w:hint="eastAsia" w:ascii="宋体" w:hAnsi="宋体" w:eastAsia="宋体" w:cs="宋体"/>
                <w:b/>
                <w:bCs w:val="0"/>
                <w:sz w:val="22"/>
                <w:szCs w:val="22"/>
                <w:lang w:val="en-US" w:eastAsia="zh-CN"/>
              </w:rPr>
            </w:pPr>
          </w:p>
        </w:tc>
        <w:tc>
          <w:tcPr>
            <w:tcW w:w="0" w:type="auto"/>
          </w:tcPr>
          <w:p w14:paraId="068E4B4A">
            <w:pPr>
              <w:jc w:val="left"/>
              <w:rPr>
                <w:rFonts w:hint="eastAsia" w:ascii="宋体" w:hAnsi="宋体" w:eastAsia="宋体" w:cs="宋体"/>
                <w:b/>
                <w:bCs w:val="0"/>
                <w:sz w:val="22"/>
                <w:szCs w:val="22"/>
                <w:lang w:val="en-US" w:eastAsia="zh-CN"/>
              </w:rPr>
            </w:pPr>
          </w:p>
        </w:tc>
        <w:tc>
          <w:tcPr>
            <w:tcW w:w="0" w:type="auto"/>
          </w:tcPr>
          <w:p w14:paraId="2A453E72">
            <w:pPr>
              <w:jc w:val="left"/>
              <w:rPr>
                <w:rFonts w:hint="eastAsia" w:ascii="宋体" w:hAnsi="宋体" w:eastAsia="宋体" w:cs="宋体"/>
                <w:b/>
                <w:bCs w:val="0"/>
                <w:sz w:val="22"/>
                <w:szCs w:val="22"/>
                <w:lang w:val="en-US" w:eastAsia="zh-CN"/>
              </w:rPr>
            </w:pPr>
          </w:p>
        </w:tc>
      </w:tr>
      <w:tr w14:paraId="05F71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0" w:type="auto"/>
            <w:shd w:val="clear" w:color="auto" w:fill="auto"/>
            <w:vAlign w:val="center"/>
          </w:tcPr>
          <w:p w14:paraId="4CB7F0D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w:t>
            </w:r>
          </w:p>
        </w:tc>
        <w:tc>
          <w:tcPr>
            <w:tcW w:w="0" w:type="auto"/>
            <w:shd w:val="clear" w:color="auto" w:fill="auto"/>
            <w:vAlign w:val="center"/>
          </w:tcPr>
          <w:p w14:paraId="1B332F0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讲台</w:t>
            </w:r>
          </w:p>
        </w:tc>
        <w:tc>
          <w:tcPr>
            <w:tcW w:w="0" w:type="auto"/>
            <w:shd w:val="clear" w:color="auto" w:fill="auto"/>
            <w:vAlign w:val="center"/>
          </w:tcPr>
          <w:p w14:paraId="654DFA71">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1、规格尺寸：1500*700mm*750mm（±5mm）</w:t>
            </w:r>
          </w:p>
          <w:p w14:paraId="252259C9">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2、面板：E0级环保板材，实木颗粒环保板。</w:t>
            </w:r>
          </w:p>
          <w:p w14:paraId="24B3E879">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3、桌脚：采用冷轧钢，表面环氧树脂静电粉末喷涂。</w:t>
            </w:r>
          </w:p>
        </w:tc>
        <w:tc>
          <w:tcPr>
            <w:tcW w:w="0" w:type="auto"/>
          </w:tcPr>
          <w:p w14:paraId="5ED54E58">
            <w:pPr>
              <w:jc w:val="left"/>
              <w:rPr>
                <w:rFonts w:hint="eastAsia" w:ascii="宋体" w:hAnsi="宋体" w:eastAsia="宋体" w:cs="宋体"/>
                <w:b/>
                <w:bCs w:val="0"/>
                <w:sz w:val="22"/>
                <w:szCs w:val="22"/>
                <w:lang w:val="en-US" w:eastAsia="zh-CN"/>
              </w:rPr>
            </w:pPr>
          </w:p>
        </w:tc>
        <w:tc>
          <w:tcPr>
            <w:tcW w:w="0" w:type="auto"/>
          </w:tcPr>
          <w:p w14:paraId="226EDBB4">
            <w:pPr>
              <w:jc w:val="left"/>
              <w:rPr>
                <w:rFonts w:hint="eastAsia" w:ascii="宋体" w:hAnsi="宋体" w:eastAsia="宋体" w:cs="宋体"/>
                <w:b/>
                <w:bCs w:val="0"/>
                <w:sz w:val="22"/>
                <w:szCs w:val="22"/>
                <w:lang w:val="en-US" w:eastAsia="zh-CN"/>
              </w:rPr>
            </w:pPr>
          </w:p>
        </w:tc>
        <w:tc>
          <w:tcPr>
            <w:tcW w:w="0" w:type="auto"/>
          </w:tcPr>
          <w:p w14:paraId="477B5590">
            <w:pPr>
              <w:jc w:val="left"/>
              <w:rPr>
                <w:rFonts w:hint="eastAsia" w:ascii="宋体" w:hAnsi="宋体" w:eastAsia="宋体" w:cs="宋体"/>
                <w:b/>
                <w:bCs w:val="0"/>
                <w:sz w:val="22"/>
                <w:szCs w:val="22"/>
                <w:lang w:val="en-US" w:eastAsia="zh-CN"/>
              </w:rPr>
            </w:pPr>
          </w:p>
        </w:tc>
      </w:tr>
      <w:tr w14:paraId="034FE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0" w:type="auto"/>
            <w:shd w:val="clear" w:color="auto" w:fill="auto"/>
            <w:vAlign w:val="center"/>
          </w:tcPr>
          <w:p w14:paraId="45D43A4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w:t>
            </w:r>
          </w:p>
        </w:tc>
        <w:tc>
          <w:tcPr>
            <w:tcW w:w="0" w:type="auto"/>
            <w:shd w:val="clear" w:color="auto" w:fill="auto"/>
            <w:vAlign w:val="center"/>
          </w:tcPr>
          <w:p w14:paraId="3FA4863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定制款单人桌</w:t>
            </w:r>
          </w:p>
        </w:tc>
        <w:tc>
          <w:tcPr>
            <w:tcW w:w="0" w:type="auto"/>
            <w:shd w:val="clear" w:color="auto" w:fill="auto"/>
            <w:vAlign w:val="center"/>
          </w:tcPr>
          <w:p w14:paraId="4C8D2489">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1、规格尺寸：650*500mm*750mm（±5mm）</w:t>
            </w:r>
          </w:p>
          <w:p w14:paraId="03F006AD">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2、台面：采用≥12mm厚抗倍特制作。</w:t>
            </w:r>
          </w:p>
          <w:p w14:paraId="7374E9BC">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3、支架：采用≥1.0mm厚冷轧钢管，表面经过酸洗、磷化防腐、除锈化处理后静电喷塑。</w:t>
            </w:r>
          </w:p>
          <w:p w14:paraId="341AD4E1">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4、桌脚：采用静音万向轮，可水平360°旋转，可以自由移动到任意位置。</w:t>
            </w:r>
          </w:p>
        </w:tc>
        <w:tc>
          <w:tcPr>
            <w:tcW w:w="0" w:type="auto"/>
          </w:tcPr>
          <w:p w14:paraId="66B14B9E">
            <w:pPr>
              <w:jc w:val="left"/>
              <w:rPr>
                <w:rFonts w:hint="eastAsia" w:ascii="宋体" w:hAnsi="宋体" w:eastAsia="宋体" w:cs="宋体"/>
                <w:b/>
                <w:bCs w:val="0"/>
                <w:sz w:val="22"/>
                <w:szCs w:val="22"/>
                <w:lang w:val="en-US" w:eastAsia="zh-CN"/>
              </w:rPr>
            </w:pPr>
          </w:p>
        </w:tc>
        <w:tc>
          <w:tcPr>
            <w:tcW w:w="0" w:type="auto"/>
          </w:tcPr>
          <w:p w14:paraId="5D77FB83">
            <w:pPr>
              <w:jc w:val="left"/>
              <w:rPr>
                <w:rFonts w:hint="eastAsia" w:ascii="宋体" w:hAnsi="宋体" w:eastAsia="宋体" w:cs="宋体"/>
                <w:b/>
                <w:bCs w:val="0"/>
                <w:sz w:val="22"/>
                <w:szCs w:val="22"/>
                <w:lang w:val="en-US" w:eastAsia="zh-CN"/>
              </w:rPr>
            </w:pPr>
          </w:p>
        </w:tc>
        <w:tc>
          <w:tcPr>
            <w:tcW w:w="0" w:type="auto"/>
          </w:tcPr>
          <w:p w14:paraId="6E673AC2">
            <w:pPr>
              <w:jc w:val="left"/>
              <w:rPr>
                <w:rFonts w:hint="eastAsia" w:ascii="宋体" w:hAnsi="宋体" w:eastAsia="宋体" w:cs="宋体"/>
                <w:b/>
                <w:bCs w:val="0"/>
                <w:sz w:val="22"/>
                <w:szCs w:val="22"/>
                <w:lang w:val="en-US" w:eastAsia="zh-CN"/>
              </w:rPr>
            </w:pPr>
          </w:p>
        </w:tc>
      </w:tr>
      <w:tr w14:paraId="332F9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0" w:type="auto"/>
            <w:shd w:val="clear" w:color="auto" w:fill="auto"/>
            <w:vAlign w:val="center"/>
          </w:tcPr>
          <w:p w14:paraId="779EBA6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w:t>
            </w:r>
          </w:p>
        </w:tc>
        <w:tc>
          <w:tcPr>
            <w:tcW w:w="0" w:type="auto"/>
            <w:shd w:val="clear" w:color="auto" w:fill="auto"/>
            <w:vAlign w:val="center"/>
          </w:tcPr>
          <w:p w14:paraId="3004A8D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定制款双人桌</w:t>
            </w:r>
          </w:p>
        </w:tc>
        <w:tc>
          <w:tcPr>
            <w:tcW w:w="0" w:type="auto"/>
            <w:shd w:val="clear" w:color="auto" w:fill="auto"/>
            <w:vAlign w:val="center"/>
          </w:tcPr>
          <w:p w14:paraId="6A197506">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1、规格尺寸：1300*500mm750mm（±5mm）</w:t>
            </w:r>
          </w:p>
          <w:p w14:paraId="6253C9D4">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2、台面：采用≥12mm厚抗倍特制作。</w:t>
            </w:r>
          </w:p>
          <w:p w14:paraId="14C09994">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3、支架：采用≥1.0mm厚冷轧钢管，表面经过酸洗、磷化防腐、除锈化处理后静电喷塑。</w:t>
            </w:r>
          </w:p>
          <w:p w14:paraId="74C0208C">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4、桌脚：采用静音万向轮，可水平360°旋转，可以自由移动到任意位置。</w:t>
            </w:r>
          </w:p>
        </w:tc>
        <w:tc>
          <w:tcPr>
            <w:tcW w:w="0" w:type="auto"/>
          </w:tcPr>
          <w:p w14:paraId="46FB7044">
            <w:pPr>
              <w:jc w:val="left"/>
              <w:rPr>
                <w:rFonts w:hint="eastAsia" w:ascii="宋体" w:hAnsi="宋体" w:eastAsia="宋体" w:cs="宋体"/>
                <w:b/>
                <w:bCs w:val="0"/>
                <w:sz w:val="22"/>
                <w:szCs w:val="22"/>
                <w:lang w:val="en-US" w:eastAsia="zh-CN"/>
              </w:rPr>
            </w:pPr>
          </w:p>
        </w:tc>
        <w:tc>
          <w:tcPr>
            <w:tcW w:w="0" w:type="auto"/>
          </w:tcPr>
          <w:p w14:paraId="0832AC5A">
            <w:pPr>
              <w:jc w:val="left"/>
              <w:rPr>
                <w:rFonts w:hint="eastAsia" w:ascii="宋体" w:hAnsi="宋体" w:eastAsia="宋体" w:cs="宋体"/>
                <w:b/>
                <w:bCs w:val="0"/>
                <w:sz w:val="22"/>
                <w:szCs w:val="22"/>
                <w:lang w:val="en-US" w:eastAsia="zh-CN"/>
              </w:rPr>
            </w:pPr>
          </w:p>
        </w:tc>
        <w:tc>
          <w:tcPr>
            <w:tcW w:w="0" w:type="auto"/>
          </w:tcPr>
          <w:p w14:paraId="6FD5D556">
            <w:pPr>
              <w:jc w:val="left"/>
              <w:rPr>
                <w:rFonts w:hint="eastAsia" w:ascii="宋体" w:hAnsi="宋体" w:eastAsia="宋体" w:cs="宋体"/>
                <w:b/>
                <w:bCs w:val="0"/>
                <w:sz w:val="22"/>
                <w:szCs w:val="22"/>
                <w:lang w:val="en-US" w:eastAsia="zh-CN"/>
              </w:rPr>
            </w:pPr>
          </w:p>
        </w:tc>
      </w:tr>
      <w:tr w14:paraId="28394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0" w:type="auto"/>
            <w:shd w:val="clear" w:color="auto" w:fill="auto"/>
            <w:vAlign w:val="center"/>
          </w:tcPr>
          <w:p w14:paraId="2CFC90C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w:t>
            </w:r>
          </w:p>
        </w:tc>
        <w:tc>
          <w:tcPr>
            <w:tcW w:w="0" w:type="auto"/>
            <w:shd w:val="clear" w:color="auto" w:fill="auto"/>
            <w:vAlign w:val="center"/>
          </w:tcPr>
          <w:p w14:paraId="4FE8090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定制款6人桌</w:t>
            </w:r>
          </w:p>
        </w:tc>
        <w:tc>
          <w:tcPr>
            <w:tcW w:w="0" w:type="auto"/>
            <w:shd w:val="clear" w:color="auto" w:fill="auto"/>
            <w:vAlign w:val="center"/>
          </w:tcPr>
          <w:p w14:paraId="6F9250D8">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1、规格尺寸：2400*1200mm*1000mm（±5mm）</w:t>
            </w:r>
          </w:p>
          <w:p w14:paraId="44A22CE0">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2、台面：采用≥12mm厚抗倍特制作。</w:t>
            </w:r>
          </w:p>
          <w:p w14:paraId="007DFC1F">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3、支架：采用≥1.0mm厚冷轧钢管，表面经过酸洗、磷化防腐、除锈化处理后静电喷塑。</w:t>
            </w:r>
          </w:p>
        </w:tc>
        <w:tc>
          <w:tcPr>
            <w:tcW w:w="0" w:type="auto"/>
          </w:tcPr>
          <w:p w14:paraId="3812DA1E">
            <w:pPr>
              <w:jc w:val="left"/>
              <w:rPr>
                <w:rFonts w:hint="eastAsia" w:ascii="宋体" w:hAnsi="宋体" w:eastAsia="宋体" w:cs="宋体"/>
                <w:b/>
                <w:bCs w:val="0"/>
                <w:sz w:val="22"/>
                <w:szCs w:val="22"/>
                <w:lang w:val="en-US" w:eastAsia="zh-CN"/>
              </w:rPr>
            </w:pPr>
          </w:p>
        </w:tc>
        <w:tc>
          <w:tcPr>
            <w:tcW w:w="0" w:type="auto"/>
          </w:tcPr>
          <w:p w14:paraId="68056150">
            <w:pPr>
              <w:jc w:val="left"/>
              <w:rPr>
                <w:rFonts w:hint="eastAsia" w:ascii="宋体" w:hAnsi="宋体" w:eastAsia="宋体" w:cs="宋体"/>
                <w:b/>
                <w:bCs w:val="0"/>
                <w:sz w:val="22"/>
                <w:szCs w:val="22"/>
                <w:lang w:val="en-US" w:eastAsia="zh-CN"/>
              </w:rPr>
            </w:pPr>
          </w:p>
        </w:tc>
        <w:tc>
          <w:tcPr>
            <w:tcW w:w="0" w:type="auto"/>
          </w:tcPr>
          <w:p w14:paraId="79F96810">
            <w:pPr>
              <w:jc w:val="left"/>
              <w:rPr>
                <w:rFonts w:hint="eastAsia" w:ascii="宋体" w:hAnsi="宋体" w:eastAsia="宋体" w:cs="宋体"/>
                <w:b/>
                <w:bCs w:val="0"/>
                <w:sz w:val="22"/>
                <w:szCs w:val="22"/>
                <w:lang w:val="en-US" w:eastAsia="zh-CN"/>
              </w:rPr>
            </w:pPr>
          </w:p>
        </w:tc>
      </w:tr>
      <w:tr w14:paraId="39FFC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0" w:type="auto"/>
            <w:shd w:val="clear" w:color="auto" w:fill="auto"/>
            <w:vAlign w:val="center"/>
          </w:tcPr>
          <w:p w14:paraId="2F084A0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w:t>
            </w:r>
          </w:p>
        </w:tc>
        <w:tc>
          <w:tcPr>
            <w:tcW w:w="0" w:type="auto"/>
            <w:shd w:val="clear" w:color="auto" w:fill="auto"/>
            <w:vAlign w:val="center"/>
          </w:tcPr>
          <w:p w14:paraId="5D9C053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边台</w:t>
            </w:r>
          </w:p>
        </w:tc>
        <w:tc>
          <w:tcPr>
            <w:tcW w:w="0" w:type="auto"/>
            <w:shd w:val="clear" w:color="auto" w:fill="auto"/>
            <w:vAlign w:val="center"/>
          </w:tcPr>
          <w:p w14:paraId="6DDF6DA5">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1、规格尺寸：1000*600*750mm（±5mm）。</w:t>
            </w:r>
          </w:p>
          <w:p w14:paraId="6DA835B1">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2、台面：E0级环保板材，实木颗粒环保板。</w:t>
            </w:r>
          </w:p>
          <w:p w14:paraId="24301956">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3、桌脚：采用冷轧钢。</w:t>
            </w:r>
          </w:p>
        </w:tc>
        <w:tc>
          <w:tcPr>
            <w:tcW w:w="0" w:type="auto"/>
          </w:tcPr>
          <w:p w14:paraId="3A7380E4">
            <w:pPr>
              <w:jc w:val="left"/>
              <w:rPr>
                <w:rFonts w:hint="eastAsia" w:ascii="宋体" w:hAnsi="宋体" w:eastAsia="宋体" w:cs="宋体"/>
                <w:b/>
                <w:bCs w:val="0"/>
                <w:sz w:val="22"/>
                <w:szCs w:val="22"/>
                <w:lang w:val="en-US" w:eastAsia="zh-CN"/>
              </w:rPr>
            </w:pPr>
          </w:p>
        </w:tc>
        <w:tc>
          <w:tcPr>
            <w:tcW w:w="0" w:type="auto"/>
          </w:tcPr>
          <w:p w14:paraId="291B31D9">
            <w:pPr>
              <w:jc w:val="left"/>
              <w:rPr>
                <w:rFonts w:hint="eastAsia" w:ascii="宋体" w:hAnsi="宋体" w:eastAsia="宋体" w:cs="宋体"/>
                <w:b/>
                <w:bCs w:val="0"/>
                <w:sz w:val="22"/>
                <w:szCs w:val="22"/>
                <w:lang w:val="en-US" w:eastAsia="zh-CN"/>
              </w:rPr>
            </w:pPr>
          </w:p>
        </w:tc>
        <w:tc>
          <w:tcPr>
            <w:tcW w:w="0" w:type="auto"/>
          </w:tcPr>
          <w:p w14:paraId="7CB347D4">
            <w:pPr>
              <w:jc w:val="left"/>
              <w:rPr>
                <w:rFonts w:hint="eastAsia" w:ascii="宋体" w:hAnsi="宋体" w:eastAsia="宋体" w:cs="宋体"/>
                <w:b/>
                <w:bCs w:val="0"/>
                <w:sz w:val="22"/>
                <w:szCs w:val="22"/>
                <w:lang w:val="en-US" w:eastAsia="zh-CN"/>
              </w:rPr>
            </w:pPr>
          </w:p>
        </w:tc>
      </w:tr>
      <w:tr w14:paraId="6C9B5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0" w:type="auto"/>
            <w:shd w:val="clear" w:color="auto" w:fill="auto"/>
            <w:vAlign w:val="center"/>
          </w:tcPr>
          <w:p w14:paraId="51F41CA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w:t>
            </w:r>
          </w:p>
        </w:tc>
        <w:tc>
          <w:tcPr>
            <w:tcW w:w="0" w:type="auto"/>
            <w:shd w:val="clear" w:color="auto" w:fill="auto"/>
            <w:vAlign w:val="center"/>
          </w:tcPr>
          <w:p w14:paraId="33FA68D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底柜</w:t>
            </w:r>
          </w:p>
        </w:tc>
        <w:tc>
          <w:tcPr>
            <w:tcW w:w="0" w:type="auto"/>
            <w:shd w:val="clear" w:color="auto" w:fill="auto"/>
            <w:vAlign w:val="center"/>
          </w:tcPr>
          <w:p w14:paraId="2DE4AEF5">
            <w:pPr>
              <w:keepNext w:val="0"/>
              <w:keepLines w:val="0"/>
              <w:pageBreakBefore w:val="0"/>
              <w:widowControl/>
              <w:numPr>
                <w:ilvl w:val="0"/>
                <w:numId w:val="3"/>
              </w:numPr>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规格：400*400*600mm（±5mm）</w:t>
            </w:r>
          </w:p>
          <w:p w14:paraId="3EEDAE01">
            <w:pPr>
              <w:keepNext w:val="0"/>
              <w:keepLines w:val="0"/>
              <w:pageBreakBefore w:val="0"/>
              <w:widowControl/>
              <w:numPr>
                <w:ilvl w:val="0"/>
                <w:numId w:val="3"/>
              </w:numPr>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柜体：采用冷轧钢，表面环氧树脂静电粉末喷涂。</w:t>
            </w:r>
          </w:p>
          <w:p w14:paraId="30E4628E">
            <w:pPr>
              <w:keepNext w:val="0"/>
              <w:keepLines w:val="0"/>
              <w:pageBreakBefore w:val="0"/>
              <w:widowControl/>
              <w:numPr>
                <w:ilvl w:val="0"/>
                <w:numId w:val="3"/>
              </w:numPr>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滑轨：三节钢珠滑轨，宽度42mm，总厚13mm,长度250mm；（±5mm）</w:t>
            </w:r>
          </w:p>
          <w:p w14:paraId="4031CC56">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4、材质：冷轧钢板，表面防锈处理。</w:t>
            </w:r>
          </w:p>
        </w:tc>
        <w:tc>
          <w:tcPr>
            <w:tcW w:w="0" w:type="auto"/>
          </w:tcPr>
          <w:p w14:paraId="66C72263">
            <w:pPr>
              <w:jc w:val="left"/>
              <w:rPr>
                <w:rFonts w:hint="eastAsia" w:ascii="宋体" w:hAnsi="宋体" w:eastAsia="宋体" w:cs="宋体"/>
                <w:b/>
                <w:bCs w:val="0"/>
                <w:sz w:val="22"/>
                <w:szCs w:val="22"/>
                <w:lang w:val="en-US" w:eastAsia="zh-CN"/>
              </w:rPr>
            </w:pPr>
          </w:p>
        </w:tc>
        <w:tc>
          <w:tcPr>
            <w:tcW w:w="0" w:type="auto"/>
          </w:tcPr>
          <w:p w14:paraId="653A1957">
            <w:pPr>
              <w:jc w:val="left"/>
              <w:rPr>
                <w:rFonts w:hint="eastAsia" w:ascii="宋体" w:hAnsi="宋体" w:eastAsia="宋体" w:cs="宋体"/>
                <w:b/>
                <w:bCs w:val="0"/>
                <w:sz w:val="22"/>
                <w:szCs w:val="22"/>
                <w:lang w:val="en-US" w:eastAsia="zh-CN"/>
              </w:rPr>
            </w:pPr>
          </w:p>
        </w:tc>
        <w:tc>
          <w:tcPr>
            <w:tcW w:w="0" w:type="auto"/>
          </w:tcPr>
          <w:p w14:paraId="5A3CD10B">
            <w:pPr>
              <w:jc w:val="left"/>
              <w:rPr>
                <w:rFonts w:hint="eastAsia" w:ascii="宋体" w:hAnsi="宋体" w:eastAsia="宋体" w:cs="宋体"/>
                <w:b/>
                <w:bCs w:val="0"/>
                <w:sz w:val="22"/>
                <w:szCs w:val="22"/>
                <w:lang w:val="en-US" w:eastAsia="zh-CN"/>
              </w:rPr>
            </w:pPr>
          </w:p>
        </w:tc>
      </w:tr>
      <w:tr w14:paraId="3D3FA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0" w:type="auto"/>
            <w:shd w:val="clear" w:color="auto" w:fill="auto"/>
            <w:vAlign w:val="center"/>
          </w:tcPr>
          <w:p w14:paraId="18CD17D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w:t>
            </w:r>
          </w:p>
        </w:tc>
        <w:tc>
          <w:tcPr>
            <w:tcW w:w="0" w:type="auto"/>
            <w:shd w:val="clear" w:color="auto" w:fill="auto"/>
            <w:vAlign w:val="center"/>
          </w:tcPr>
          <w:p w14:paraId="582DDD3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洞洞板</w:t>
            </w:r>
          </w:p>
        </w:tc>
        <w:tc>
          <w:tcPr>
            <w:tcW w:w="0" w:type="auto"/>
            <w:shd w:val="clear" w:color="auto" w:fill="auto"/>
            <w:vAlign w:val="center"/>
          </w:tcPr>
          <w:p w14:paraId="6D77B99A">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材质：钢板，板材厚度≥1mm</w:t>
            </w:r>
          </w:p>
        </w:tc>
        <w:tc>
          <w:tcPr>
            <w:tcW w:w="0" w:type="auto"/>
          </w:tcPr>
          <w:p w14:paraId="12D924E2">
            <w:pPr>
              <w:jc w:val="left"/>
              <w:rPr>
                <w:rFonts w:hint="eastAsia" w:ascii="宋体" w:hAnsi="宋体" w:eastAsia="宋体" w:cs="宋体"/>
                <w:b/>
                <w:bCs w:val="0"/>
                <w:sz w:val="22"/>
                <w:szCs w:val="22"/>
                <w:lang w:val="en-US" w:eastAsia="zh-CN"/>
              </w:rPr>
            </w:pPr>
          </w:p>
        </w:tc>
        <w:tc>
          <w:tcPr>
            <w:tcW w:w="0" w:type="auto"/>
          </w:tcPr>
          <w:p w14:paraId="76BFB4B4">
            <w:pPr>
              <w:jc w:val="left"/>
              <w:rPr>
                <w:rFonts w:hint="eastAsia" w:ascii="宋体" w:hAnsi="宋体" w:eastAsia="宋体" w:cs="宋体"/>
                <w:b/>
                <w:bCs w:val="0"/>
                <w:sz w:val="22"/>
                <w:szCs w:val="22"/>
                <w:lang w:val="en-US" w:eastAsia="zh-CN"/>
              </w:rPr>
            </w:pPr>
          </w:p>
        </w:tc>
        <w:tc>
          <w:tcPr>
            <w:tcW w:w="0" w:type="auto"/>
          </w:tcPr>
          <w:p w14:paraId="7654778A">
            <w:pPr>
              <w:jc w:val="left"/>
              <w:rPr>
                <w:rFonts w:hint="eastAsia" w:ascii="宋体" w:hAnsi="宋体" w:eastAsia="宋体" w:cs="宋体"/>
                <w:b/>
                <w:bCs w:val="0"/>
                <w:sz w:val="22"/>
                <w:szCs w:val="22"/>
                <w:lang w:val="en-US" w:eastAsia="zh-CN"/>
              </w:rPr>
            </w:pPr>
          </w:p>
        </w:tc>
      </w:tr>
      <w:tr w14:paraId="11860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0" w:type="auto"/>
            <w:shd w:val="clear" w:color="auto" w:fill="auto"/>
            <w:vAlign w:val="center"/>
          </w:tcPr>
          <w:p w14:paraId="0F990D0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w:t>
            </w:r>
          </w:p>
        </w:tc>
        <w:tc>
          <w:tcPr>
            <w:tcW w:w="0" w:type="auto"/>
            <w:shd w:val="clear" w:color="auto" w:fill="auto"/>
            <w:vAlign w:val="center"/>
          </w:tcPr>
          <w:p w14:paraId="452A134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墙面滑动电源</w:t>
            </w:r>
          </w:p>
        </w:tc>
        <w:tc>
          <w:tcPr>
            <w:tcW w:w="0" w:type="auto"/>
            <w:shd w:val="clear" w:color="auto" w:fill="auto"/>
            <w:vAlign w:val="center"/>
          </w:tcPr>
          <w:p w14:paraId="33A73207">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1、规格尺寸：1000mm*80mm（±5mm）</w:t>
            </w:r>
          </w:p>
          <w:p w14:paraId="2C54D024">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2、额定电压220V，额定电流16A，额定频率50Hz。                 </w:t>
            </w:r>
          </w:p>
          <w:p w14:paraId="3A45462A">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3、3个单点适配器，自由滑动，逆时针旋转断电，顺时针通电，大功率可以多电器同时使用。</w:t>
            </w:r>
          </w:p>
        </w:tc>
        <w:tc>
          <w:tcPr>
            <w:tcW w:w="0" w:type="auto"/>
          </w:tcPr>
          <w:p w14:paraId="11ECD40A">
            <w:pPr>
              <w:jc w:val="left"/>
              <w:rPr>
                <w:rFonts w:hint="eastAsia" w:ascii="宋体" w:hAnsi="宋体" w:eastAsia="宋体" w:cs="宋体"/>
                <w:b/>
                <w:bCs w:val="0"/>
                <w:sz w:val="22"/>
                <w:szCs w:val="22"/>
                <w:lang w:val="en-US" w:eastAsia="zh-CN"/>
              </w:rPr>
            </w:pPr>
          </w:p>
        </w:tc>
        <w:tc>
          <w:tcPr>
            <w:tcW w:w="0" w:type="auto"/>
          </w:tcPr>
          <w:p w14:paraId="29213A66">
            <w:pPr>
              <w:jc w:val="left"/>
              <w:rPr>
                <w:rFonts w:hint="eastAsia" w:ascii="宋体" w:hAnsi="宋体" w:eastAsia="宋体" w:cs="宋体"/>
                <w:b/>
                <w:bCs w:val="0"/>
                <w:sz w:val="22"/>
                <w:szCs w:val="22"/>
                <w:lang w:val="en-US" w:eastAsia="zh-CN"/>
              </w:rPr>
            </w:pPr>
          </w:p>
        </w:tc>
        <w:tc>
          <w:tcPr>
            <w:tcW w:w="0" w:type="auto"/>
          </w:tcPr>
          <w:p w14:paraId="445BE28C">
            <w:pPr>
              <w:jc w:val="left"/>
              <w:rPr>
                <w:rFonts w:hint="eastAsia" w:ascii="宋体" w:hAnsi="宋体" w:eastAsia="宋体" w:cs="宋体"/>
                <w:b/>
                <w:bCs w:val="0"/>
                <w:sz w:val="22"/>
                <w:szCs w:val="22"/>
                <w:lang w:val="en-US" w:eastAsia="zh-CN"/>
              </w:rPr>
            </w:pPr>
          </w:p>
        </w:tc>
      </w:tr>
      <w:tr w14:paraId="1A112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0" w:type="auto"/>
            <w:shd w:val="clear" w:color="auto" w:fill="auto"/>
            <w:vAlign w:val="center"/>
          </w:tcPr>
          <w:p w14:paraId="43F8535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14</w:t>
            </w:r>
          </w:p>
        </w:tc>
        <w:tc>
          <w:tcPr>
            <w:tcW w:w="0" w:type="auto"/>
            <w:shd w:val="clear" w:color="auto" w:fill="auto"/>
            <w:vAlign w:val="center"/>
          </w:tcPr>
          <w:p w14:paraId="2129B4C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高柜</w:t>
            </w:r>
          </w:p>
        </w:tc>
        <w:tc>
          <w:tcPr>
            <w:tcW w:w="0" w:type="auto"/>
            <w:shd w:val="clear" w:color="auto" w:fill="auto"/>
            <w:vAlign w:val="center"/>
          </w:tcPr>
          <w:p w14:paraId="2F4BC062">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1、规格尺寸：0.49m*0.6m*3m（±5mm）</w:t>
            </w:r>
          </w:p>
          <w:p w14:paraId="4F4425B7">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2、柜身：采用优质三聚氰胺双贴面板，板材断面选用优质PVC封边，粘力强、密封性好。</w:t>
            </w:r>
          </w:p>
          <w:p w14:paraId="22E859E3">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3、隔板：采用三聚氰胺板隔板。</w:t>
            </w:r>
          </w:p>
        </w:tc>
        <w:tc>
          <w:tcPr>
            <w:tcW w:w="0" w:type="auto"/>
          </w:tcPr>
          <w:p w14:paraId="6021F50A">
            <w:pPr>
              <w:jc w:val="left"/>
              <w:rPr>
                <w:rFonts w:hint="eastAsia" w:ascii="宋体" w:hAnsi="宋体" w:eastAsia="宋体" w:cs="宋体"/>
                <w:b/>
                <w:bCs w:val="0"/>
                <w:sz w:val="22"/>
                <w:szCs w:val="22"/>
                <w:lang w:val="en-US" w:eastAsia="zh-CN"/>
              </w:rPr>
            </w:pPr>
          </w:p>
        </w:tc>
        <w:tc>
          <w:tcPr>
            <w:tcW w:w="0" w:type="auto"/>
          </w:tcPr>
          <w:p w14:paraId="21032B11">
            <w:pPr>
              <w:jc w:val="left"/>
              <w:rPr>
                <w:rFonts w:hint="eastAsia" w:ascii="宋体" w:hAnsi="宋体" w:eastAsia="宋体" w:cs="宋体"/>
                <w:b/>
                <w:bCs w:val="0"/>
                <w:sz w:val="22"/>
                <w:szCs w:val="22"/>
                <w:lang w:val="en-US" w:eastAsia="zh-CN"/>
              </w:rPr>
            </w:pPr>
          </w:p>
        </w:tc>
        <w:tc>
          <w:tcPr>
            <w:tcW w:w="0" w:type="auto"/>
          </w:tcPr>
          <w:p w14:paraId="2B251332">
            <w:pPr>
              <w:jc w:val="left"/>
              <w:rPr>
                <w:rFonts w:hint="eastAsia" w:ascii="宋体" w:hAnsi="宋体" w:eastAsia="宋体" w:cs="宋体"/>
                <w:b/>
                <w:bCs w:val="0"/>
                <w:sz w:val="22"/>
                <w:szCs w:val="22"/>
                <w:lang w:val="en-US" w:eastAsia="zh-CN"/>
              </w:rPr>
            </w:pPr>
          </w:p>
        </w:tc>
      </w:tr>
      <w:tr w14:paraId="1B5C1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0" w:type="auto"/>
            <w:shd w:val="clear" w:color="auto" w:fill="auto"/>
            <w:vAlign w:val="center"/>
          </w:tcPr>
          <w:p w14:paraId="28AE9ED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w:t>
            </w:r>
          </w:p>
        </w:tc>
        <w:tc>
          <w:tcPr>
            <w:tcW w:w="0" w:type="auto"/>
            <w:shd w:val="clear" w:color="auto" w:fill="auto"/>
            <w:vAlign w:val="center"/>
          </w:tcPr>
          <w:p w14:paraId="0D45C9B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定制款墙面造型柜</w:t>
            </w:r>
          </w:p>
        </w:tc>
        <w:tc>
          <w:tcPr>
            <w:tcW w:w="0" w:type="auto"/>
            <w:shd w:val="clear" w:color="auto" w:fill="auto"/>
            <w:vAlign w:val="center"/>
          </w:tcPr>
          <w:p w14:paraId="176674ED">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1、规格尺寸：5.5*0.55*2.75m（±5mm）</w:t>
            </w:r>
          </w:p>
          <w:p w14:paraId="51D6C619">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2、柜体：采用≥18mm厚三聚氰胺双贴E0级板材。</w:t>
            </w:r>
          </w:p>
          <w:p w14:paraId="5F946CB0">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3、连接件：ABS三合一链接件。                                            </w:t>
            </w:r>
          </w:p>
          <w:p w14:paraId="21EFBD44">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4、铰链：材质：304不锈钢,厚度：≥2mm,关门方式：二段力液压缓冲,开门角度：95°～110°,缓冲方式：内置液压泵阻尼。                                                          </w:t>
            </w:r>
          </w:p>
          <w:p w14:paraId="2807339C">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5、洞洞板：钢板，板材厚度≥1mm</w:t>
            </w:r>
          </w:p>
        </w:tc>
        <w:tc>
          <w:tcPr>
            <w:tcW w:w="0" w:type="auto"/>
          </w:tcPr>
          <w:p w14:paraId="300B6E2B">
            <w:pPr>
              <w:jc w:val="left"/>
              <w:rPr>
                <w:rFonts w:hint="eastAsia" w:ascii="宋体" w:hAnsi="宋体" w:eastAsia="宋体" w:cs="宋体"/>
                <w:b/>
                <w:bCs w:val="0"/>
                <w:sz w:val="22"/>
                <w:szCs w:val="22"/>
                <w:lang w:val="en-US" w:eastAsia="zh-CN"/>
              </w:rPr>
            </w:pPr>
          </w:p>
        </w:tc>
        <w:tc>
          <w:tcPr>
            <w:tcW w:w="0" w:type="auto"/>
          </w:tcPr>
          <w:p w14:paraId="75B160DB">
            <w:pPr>
              <w:jc w:val="left"/>
              <w:rPr>
                <w:rFonts w:hint="eastAsia" w:ascii="宋体" w:hAnsi="宋体" w:eastAsia="宋体" w:cs="宋体"/>
                <w:b/>
                <w:bCs w:val="0"/>
                <w:sz w:val="22"/>
                <w:szCs w:val="22"/>
                <w:lang w:val="en-US" w:eastAsia="zh-CN"/>
              </w:rPr>
            </w:pPr>
          </w:p>
        </w:tc>
        <w:tc>
          <w:tcPr>
            <w:tcW w:w="0" w:type="auto"/>
          </w:tcPr>
          <w:p w14:paraId="358EB34A">
            <w:pPr>
              <w:jc w:val="left"/>
              <w:rPr>
                <w:rFonts w:hint="eastAsia" w:ascii="宋体" w:hAnsi="宋体" w:eastAsia="宋体" w:cs="宋体"/>
                <w:b/>
                <w:bCs w:val="0"/>
                <w:sz w:val="22"/>
                <w:szCs w:val="22"/>
                <w:lang w:val="en-US" w:eastAsia="zh-CN"/>
              </w:rPr>
            </w:pPr>
          </w:p>
        </w:tc>
      </w:tr>
      <w:tr w14:paraId="5873A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0" w:type="auto"/>
            <w:shd w:val="clear" w:color="auto" w:fill="auto"/>
            <w:vAlign w:val="center"/>
          </w:tcPr>
          <w:p w14:paraId="1557885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16</w:t>
            </w:r>
          </w:p>
        </w:tc>
        <w:tc>
          <w:tcPr>
            <w:tcW w:w="0" w:type="auto"/>
            <w:shd w:val="clear" w:color="auto" w:fill="auto"/>
            <w:vAlign w:val="center"/>
          </w:tcPr>
          <w:p w14:paraId="6EA901D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电源自动升降机构</w:t>
            </w:r>
          </w:p>
        </w:tc>
        <w:tc>
          <w:tcPr>
            <w:tcW w:w="0" w:type="auto"/>
            <w:shd w:val="clear" w:color="auto" w:fill="auto"/>
            <w:vAlign w:val="center"/>
          </w:tcPr>
          <w:p w14:paraId="2D7B5CD5">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1、规格尺寸：500*400*160mm（±5mm）</w:t>
            </w:r>
          </w:p>
          <w:p w14:paraId="078A1DFD">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b/>
                <w:kern w:val="0"/>
                <w:sz w:val="22"/>
                <w:szCs w:val="22"/>
                <w:highlight w:val="none"/>
              </w:rPr>
              <w:t>▲</w:t>
            </w:r>
            <w:r>
              <w:rPr>
                <w:rFonts w:hint="eastAsia" w:ascii="宋体" w:hAnsi="宋体" w:eastAsia="宋体" w:cs="宋体"/>
                <w:i w:val="0"/>
                <w:iCs w:val="0"/>
                <w:color w:val="000000"/>
                <w:kern w:val="0"/>
                <w:sz w:val="22"/>
                <w:szCs w:val="22"/>
                <w:highlight w:val="none"/>
                <w:u w:val="none"/>
                <w:lang w:val="en-US" w:eastAsia="zh-CN" w:bidi="ar"/>
              </w:rPr>
              <w:t>2、升降机构固定架：</w:t>
            </w:r>
          </w:p>
          <w:p w14:paraId="505CE087">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整体采用1mm的Q235结构钢制作，经激光雕刻机精细下料，数控折弯成型，氩弧焊焊接固定，焊接表面无焊渣，表面经环氧树脂粉末喷涂高温固化处理。</w:t>
            </w:r>
          </w:p>
          <w:p w14:paraId="668BCCD5">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3、吊杆：</w:t>
            </w:r>
          </w:p>
          <w:p w14:paraId="6510A6ED">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规格：直径≥50mm；整体采用厚≥1mm的无缝钢管制作，氩弧焊焊接固定；焊接表面光滑无焊渣，表面经环氧树脂粉末喷涂高温固化处理。</w:t>
            </w:r>
          </w:p>
          <w:p w14:paraId="41937567">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4、电机：采用金属齿轮，马达转子线圈，纯铜线圈电机的动力输出，转子部分采用纯铜组；锌合金压铸合金外壳。</w:t>
            </w:r>
          </w:p>
          <w:p w14:paraId="02417B22">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5、柔性电缆：导体材料：无氧纯铜；绝缘材料：特制环保弹性PVC；适用环境：-30℃-105℃。</w:t>
            </w:r>
          </w:p>
          <w:p w14:paraId="61419CA9">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6、电源系统具有垂直升降功能，使用时降下来，不用时升起，老师授课时不挡学生视线。</w:t>
            </w:r>
          </w:p>
        </w:tc>
        <w:tc>
          <w:tcPr>
            <w:tcW w:w="0" w:type="auto"/>
          </w:tcPr>
          <w:p w14:paraId="75F2D270">
            <w:pPr>
              <w:jc w:val="left"/>
              <w:rPr>
                <w:rFonts w:hint="eastAsia" w:ascii="宋体" w:hAnsi="宋体" w:eastAsia="宋体" w:cs="宋体"/>
                <w:b/>
                <w:bCs w:val="0"/>
                <w:sz w:val="22"/>
                <w:szCs w:val="22"/>
                <w:lang w:val="en-US" w:eastAsia="zh-CN"/>
              </w:rPr>
            </w:pPr>
          </w:p>
        </w:tc>
        <w:tc>
          <w:tcPr>
            <w:tcW w:w="0" w:type="auto"/>
          </w:tcPr>
          <w:p w14:paraId="4A401329">
            <w:pPr>
              <w:jc w:val="left"/>
              <w:rPr>
                <w:rFonts w:hint="eastAsia" w:ascii="宋体" w:hAnsi="宋体" w:eastAsia="宋体" w:cs="宋体"/>
                <w:b/>
                <w:bCs w:val="0"/>
                <w:sz w:val="22"/>
                <w:szCs w:val="22"/>
                <w:lang w:val="en-US" w:eastAsia="zh-CN"/>
              </w:rPr>
            </w:pPr>
          </w:p>
        </w:tc>
        <w:tc>
          <w:tcPr>
            <w:tcW w:w="0" w:type="auto"/>
          </w:tcPr>
          <w:p w14:paraId="7DF32FC3">
            <w:pPr>
              <w:jc w:val="left"/>
              <w:rPr>
                <w:rFonts w:hint="eastAsia" w:ascii="宋体" w:hAnsi="宋体" w:eastAsia="宋体" w:cs="宋体"/>
                <w:b/>
                <w:bCs w:val="0"/>
                <w:sz w:val="22"/>
                <w:szCs w:val="22"/>
                <w:lang w:val="en-US" w:eastAsia="zh-CN"/>
              </w:rPr>
            </w:pPr>
          </w:p>
        </w:tc>
      </w:tr>
      <w:tr w14:paraId="4006A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0" w:type="auto"/>
            <w:shd w:val="clear" w:color="auto" w:fill="auto"/>
            <w:vAlign w:val="center"/>
          </w:tcPr>
          <w:p w14:paraId="12B4E31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17</w:t>
            </w:r>
          </w:p>
        </w:tc>
        <w:tc>
          <w:tcPr>
            <w:tcW w:w="0" w:type="auto"/>
            <w:shd w:val="clear" w:color="auto" w:fill="auto"/>
            <w:vAlign w:val="center"/>
          </w:tcPr>
          <w:p w14:paraId="1F1085E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智能电源</w:t>
            </w:r>
          </w:p>
        </w:tc>
        <w:tc>
          <w:tcPr>
            <w:tcW w:w="0" w:type="auto"/>
            <w:shd w:val="clear" w:color="auto" w:fill="auto"/>
            <w:vAlign w:val="center"/>
          </w:tcPr>
          <w:p w14:paraId="788152F6">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1、低压直流电源：</w:t>
            </w:r>
          </w:p>
          <w:p w14:paraId="2D6678D1">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数码管：三位0.8英寸，高亮红，共阴极；直流输出：使用的LM2596芯片，使用低ESR的滤波电容；可输出：1.5V，3V，5V，12V。</w:t>
            </w:r>
          </w:p>
          <w:p w14:paraId="58ABBF92">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2、单相交流电源：输出220V，5A，内置防误触保护门，采用阻燃PC材质，使用高精度铜片。</w:t>
            </w:r>
          </w:p>
          <w:p w14:paraId="1D9BAAA0">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3、网络接口：接口：RJ45；类别：CAT5e；配备防尘盖，采用阻燃PC材质。</w:t>
            </w:r>
          </w:p>
          <w:p w14:paraId="71144B60">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4、USB接口：输入220V，输出5V，材质：阻燃塑件，内部/磷青铜部件。</w:t>
            </w:r>
          </w:p>
        </w:tc>
        <w:tc>
          <w:tcPr>
            <w:tcW w:w="0" w:type="auto"/>
          </w:tcPr>
          <w:p w14:paraId="16D97F8D">
            <w:pPr>
              <w:jc w:val="left"/>
              <w:rPr>
                <w:rFonts w:hint="eastAsia" w:ascii="宋体" w:hAnsi="宋体" w:eastAsia="宋体" w:cs="宋体"/>
                <w:b/>
                <w:bCs w:val="0"/>
                <w:sz w:val="22"/>
                <w:szCs w:val="22"/>
                <w:lang w:val="en-US" w:eastAsia="zh-CN"/>
              </w:rPr>
            </w:pPr>
          </w:p>
        </w:tc>
        <w:tc>
          <w:tcPr>
            <w:tcW w:w="0" w:type="auto"/>
          </w:tcPr>
          <w:p w14:paraId="4FCD8FF9">
            <w:pPr>
              <w:jc w:val="left"/>
              <w:rPr>
                <w:rFonts w:hint="eastAsia" w:ascii="宋体" w:hAnsi="宋体" w:eastAsia="宋体" w:cs="宋体"/>
                <w:b/>
                <w:bCs w:val="0"/>
                <w:sz w:val="22"/>
                <w:szCs w:val="22"/>
                <w:lang w:val="en-US" w:eastAsia="zh-CN"/>
              </w:rPr>
            </w:pPr>
          </w:p>
        </w:tc>
        <w:tc>
          <w:tcPr>
            <w:tcW w:w="0" w:type="auto"/>
          </w:tcPr>
          <w:p w14:paraId="35565450">
            <w:pPr>
              <w:jc w:val="left"/>
              <w:rPr>
                <w:rFonts w:hint="eastAsia" w:ascii="宋体" w:hAnsi="宋体" w:eastAsia="宋体" w:cs="宋体"/>
                <w:b/>
                <w:bCs w:val="0"/>
                <w:sz w:val="22"/>
                <w:szCs w:val="22"/>
                <w:lang w:val="en-US" w:eastAsia="zh-CN"/>
              </w:rPr>
            </w:pPr>
          </w:p>
        </w:tc>
      </w:tr>
      <w:tr w14:paraId="30777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0" w:type="auto"/>
            <w:shd w:val="clear" w:color="auto" w:fill="auto"/>
            <w:vAlign w:val="center"/>
          </w:tcPr>
          <w:p w14:paraId="162A739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18</w:t>
            </w:r>
          </w:p>
        </w:tc>
        <w:tc>
          <w:tcPr>
            <w:tcW w:w="0" w:type="auto"/>
            <w:shd w:val="clear" w:color="auto" w:fill="auto"/>
            <w:vAlign w:val="center"/>
          </w:tcPr>
          <w:p w14:paraId="35D51DA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智能照明</w:t>
            </w:r>
          </w:p>
        </w:tc>
        <w:tc>
          <w:tcPr>
            <w:tcW w:w="0" w:type="auto"/>
            <w:shd w:val="clear" w:color="auto" w:fill="auto"/>
            <w:vAlign w:val="center"/>
          </w:tcPr>
          <w:p w14:paraId="1CB0F0FF">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1、灯板：</w:t>
            </w:r>
          </w:p>
          <w:p w14:paraId="7F6CC940">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尺寸：直径不小于24.8cm，电源：输入电压AC170V-265V，50/60HZ；输出：DC120-190V，240mA±5mA，功率：24W，智能IC恒流驱动。</w:t>
            </w:r>
          </w:p>
          <w:p w14:paraId="17FC57C9">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2、导光板：</w:t>
            </w:r>
          </w:p>
          <w:p w14:paraId="3EB7F7BD">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采用磨砂透明均光板。</w:t>
            </w:r>
          </w:p>
          <w:p w14:paraId="3E3D02F8">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3、塑料内壳：</w:t>
            </w:r>
          </w:p>
          <w:p w14:paraId="7838F89E">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注塑模具一体成型。</w:t>
            </w:r>
          </w:p>
          <w:p w14:paraId="6856E5F9">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4、金属外壳：</w:t>
            </w:r>
          </w:p>
          <w:p w14:paraId="202AB437">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采用≥1.0mm，Q235结构钢旋压制作，表面经酸洗磷化处理，环氧树脂粉末静电喷涂、高温固化处理。</w:t>
            </w:r>
          </w:p>
        </w:tc>
        <w:tc>
          <w:tcPr>
            <w:tcW w:w="0" w:type="auto"/>
          </w:tcPr>
          <w:p w14:paraId="63EFC308">
            <w:pPr>
              <w:jc w:val="left"/>
              <w:rPr>
                <w:rFonts w:hint="eastAsia" w:ascii="宋体" w:hAnsi="宋体" w:eastAsia="宋体" w:cs="宋体"/>
                <w:b/>
                <w:bCs w:val="0"/>
                <w:sz w:val="22"/>
                <w:szCs w:val="22"/>
                <w:lang w:val="en-US" w:eastAsia="zh-CN"/>
              </w:rPr>
            </w:pPr>
          </w:p>
        </w:tc>
        <w:tc>
          <w:tcPr>
            <w:tcW w:w="0" w:type="auto"/>
          </w:tcPr>
          <w:p w14:paraId="2A2DD46B">
            <w:pPr>
              <w:jc w:val="left"/>
              <w:rPr>
                <w:rFonts w:hint="eastAsia" w:ascii="宋体" w:hAnsi="宋体" w:eastAsia="宋体" w:cs="宋体"/>
                <w:b/>
                <w:bCs w:val="0"/>
                <w:sz w:val="22"/>
                <w:szCs w:val="22"/>
                <w:lang w:val="en-US" w:eastAsia="zh-CN"/>
              </w:rPr>
            </w:pPr>
          </w:p>
        </w:tc>
        <w:tc>
          <w:tcPr>
            <w:tcW w:w="0" w:type="auto"/>
          </w:tcPr>
          <w:p w14:paraId="07B20DF0">
            <w:pPr>
              <w:jc w:val="left"/>
              <w:rPr>
                <w:rFonts w:hint="eastAsia" w:ascii="宋体" w:hAnsi="宋体" w:eastAsia="宋体" w:cs="宋体"/>
                <w:b/>
                <w:bCs w:val="0"/>
                <w:sz w:val="22"/>
                <w:szCs w:val="22"/>
                <w:lang w:val="en-US" w:eastAsia="zh-CN"/>
              </w:rPr>
            </w:pPr>
          </w:p>
        </w:tc>
      </w:tr>
      <w:tr w14:paraId="69C2B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0" w:type="auto"/>
            <w:shd w:val="clear" w:color="auto" w:fill="auto"/>
            <w:vAlign w:val="center"/>
          </w:tcPr>
          <w:p w14:paraId="1097C9A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19</w:t>
            </w:r>
          </w:p>
        </w:tc>
        <w:tc>
          <w:tcPr>
            <w:tcW w:w="0" w:type="auto"/>
            <w:shd w:val="clear" w:color="auto" w:fill="auto"/>
            <w:vAlign w:val="center"/>
          </w:tcPr>
          <w:p w14:paraId="1341258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智能控制柜</w:t>
            </w:r>
          </w:p>
        </w:tc>
        <w:tc>
          <w:tcPr>
            <w:tcW w:w="0" w:type="auto"/>
            <w:shd w:val="clear" w:color="auto" w:fill="auto"/>
            <w:vAlign w:val="center"/>
          </w:tcPr>
          <w:p w14:paraId="7DABD602">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1、规格尺寸：530mm*175mm*1060mm（±5mm）</w:t>
            </w:r>
          </w:p>
          <w:p w14:paraId="51168EC5">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kern w:val="0"/>
                <w:sz w:val="22"/>
                <w:szCs w:val="22"/>
                <w:highlight w:val="none"/>
              </w:rPr>
              <w:t>▲</w:t>
            </w:r>
            <w:r>
              <w:rPr>
                <w:rFonts w:hint="eastAsia" w:ascii="宋体" w:hAnsi="宋体" w:eastAsia="宋体" w:cs="宋体"/>
                <w:i w:val="0"/>
                <w:iCs w:val="0"/>
                <w:color w:val="000000"/>
                <w:kern w:val="0"/>
                <w:sz w:val="22"/>
                <w:szCs w:val="22"/>
                <w:highlight w:val="none"/>
                <w:u w:val="none"/>
                <w:lang w:val="en-US" w:eastAsia="zh-CN" w:bidi="ar"/>
              </w:rPr>
              <w:t>2、柜体采用≥1.2mm优质冷轧钢板，经激光雕刻机精细雕刻，数控折弯成型，表面经环氧树脂粉末</w:t>
            </w:r>
            <w:r>
              <w:rPr>
                <w:rFonts w:hint="eastAsia" w:ascii="宋体" w:hAnsi="宋体" w:eastAsia="宋体" w:cs="宋体"/>
                <w:i w:val="0"/>
                <w:iCs w:val="0"/>
                <w:color w:val="000000"/>
                <w:kern w:val="0"/>
                <w:sz w:val="22"/>
                <w:szCs w:val="22"/>
                <w:u w:val="none"/>
                <w:lang w:val="en-US" w:eastAsia="zh-CN" w:bidi="ar"/>
              </w:rPr>
              <w:t>喷涂高温固化处理等多重防护工艺。具有承重性能强、耐酸碱、耐腐蚀等优点。箱体两侧有散热开孔，高效散热，防止内部温度过高，有效降低箱体温度；浇注密封条防水防尘，密封效果好；可拆卸镀锌背板，便于拆卸维护；柜门上配有安全门锁。内置总电源开关1个，漏电保护器1套，工作指示灯系统1套，电源控制系统1套、照明控制系统1套。</w:t>
            </w:r>
          </w:p>
          <w:p w14:paraId="2AB81812">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1）触摸屏：≥10英寸高亮度TFT液晶显示屏（分辨率≥1024×600），四线电阻式触摸屏（分辨率≥4096×4096）。具备强大的图像显示和数据处理功能，丰富的通讯接口。工作电压：24±20%VDC；额定功率：6W；内存：256M；系统存储：128；CPU：M4核 800M Hz。可通过触摸屏实现电源、照明的启停和电源的升降等操作。</w:t>
            </w:r>
          </w:p>
          <w:p w14:paraId="2C45CA55">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2）电源控制：使用大功率接触器对整套系统进行供电。使用全铜线圈，吸合有力接触良好，使用银合金触点，导电性能强，内部使用32片铁片堆叠，性能稳定;使用优良的控制元器件，保证电源控制系统稳定运行。配合触摸屏可实现电源的批量或单独启停。</w:t>
            </w:r>
          </w:p>
          <w:p w14:paraId="2AA1B0CB">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（3）照明控制：使用接触器对照明进行整体控制，接触器线圈电压AC24-380V，操作频率1200次/小时，防护</w:t>
            </w:r>
            <w:r>
              <w:rPr>
                <w:rFonts w:hint="eastAsia" w:ascii="宋体" w:hAnsi="宋体" w:eastAsia="宋体" w:cs="宋体"/>
                <w:i w:val="0"/>
                <w:iCs w:val="0"/>
                <w:color w:val="auto"/>
                <w:kern w:val="0"/>
                <w:sz w:val="22"/>
                <w:szCs w:val="22"/>
                <w:u w:val="none"/>
                <w:lang w:val="en-US" w:eastAsia="zh-CN" w:bidi="ar"/>
              </w:rPr>
              <w:t>等级不低于IP20。配</w:t>
            </w:r>
            <w:r>
              <w:rPr>
                <w:rFonts w:hint="eastAsia" w:ascii="宋体" w:hAnsi="宋体" w:eastAsia="宋体" w:cs="宋体"/>
                <w:i w:val="0"/>
                <w:iCs w:val="0"/>
                <w:color w:val="000000"/>
                <w:kern w:val="0"/>
                <w:sz w:val="22"/>
                <w:szCs w:val="22"/>
                <w:u w:val="none"/>
                <w:lang w:val="en-US" w:eastAsia="zh-CN" w:bidi="ar"/>
              </w:rPr>
              <w:t>合触摸屏可实现照明系统的批量或单独控制。</w:t>
            </w:r>
          </w:p>
          <w:p w14:paraId="656CF81E">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（4）升降控制：使用可编程控制器进行控制，配合触摸屏可实现学生电压的批量或单独升降控制。</w:t>
            </w:r>
          </w:p>
        </w:tc>
        <w:tc>
          <w:tcPr>
            <w:tcW w:w="0" w:type="auto"/>
          </w:tcPr>
          <w:p w14:paraId="657923D2">
            <w:pPr>
              <w:jc w:val="left"/>
              <w:rPr>
                <w:rFonts w:hint="eastAsia" w:ascii="宋体" w:hAnsi="宋体" w:eastAsia="宋体" w:cs="宋体"/>
                <w:b/>
                <w:bCs w:val="0"/>
                <w:sz w:val="22"/>
                <w:szCs w:val="22"/>
                <w:lang w:val="en-US" w:eastAsia="zh-CN"/>
              </w:rPr>
            </w:pPr>
          </w:p>
        </w:tc>
        <w:tc>
          <w:tcPr>
            <w:tcW w:w="0" w:type="auto"/>
          </w:tcPr>
          <w:p w14:paraId="70411580">
            <w:pPr>
              <w:jc w:val="left"/>
              <w:rPr>
                <w:rFonts w:hint="eastAsia" w:ascii="宋体" w:hAnsi="宋体" w:eastAsia="宋体" w:cs="宋体"/>
                <w:b/>
                <w:bCs w:val="0"/>
                <w:sz w:val="22"/>
                <w:szCs w:val="22"/>
                <w:lang w:val="en-US" w:eastAsia="zh-CN"/>
              </w:rPr>
            </w:pPr>
          </w:p>
        </w:tc>
        <w:tc>
          <w:tcPr>
            <w:tcW w:w="0" w:type="auto"/>
          </w:tcPr>
          <w:p w14:paraId="19EAF02A">
            <w:pPr>
              <w:jc w:val="left"/>
              <w:rPr>
                <w:rFonts w:hint="eastAsia" w:ascii="宋体" w:hAnsi="宋体" w:eastAsia="宋体" w:cs="宋体"/>
                <w:b/>
                <w:bCs w:val="0"/>
                <w:sz w:val="22"/>
                <w:szCs w:val="22"/>
                <w:lang w:val="en-US" w:eastAsia="zh-CN"/>
              </w:rPr>
            </w:pPr>
          </w:p>
        </w:tc>
      </w:tr>
      <w:tr w14:paraId="1DCBA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0" w:type="auto"/>
            <w:shd w:val="clear" w:color="auto" w:fill="auto"/>
            <w:vAlign w:val="center"/>
          </w:tcPr>
          <w:p w14:paraId="7ABF143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w:t>
            </w:r>
          </w:p>
        </w:tc>
        <w:tc>
          <w:tcPr>
            <w:tcW w:w="0" w:type="auto"/>
            <w:shd w:val="clear" w:color="auto" w:fill="auto"/>
            <w:vAlign w:val="center"/>
          </w:tcPr>
          <w:p w14:paraId="59AFA16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LED卡扣灯具</w:t>
            </w:r>
          </w:p>
        </w:tc>
        <w:tc>
          <w:tcPr>
            <w:tcW w:w="0" w:type="auto"/>
            <w:shd w:val="clear" w:color="auto" w:fill="auto"/>
            <w:vAlign w:val="center"/>
          </w:tcPr>
          <w:p w14:paraId="1F465325">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1.人工安装</w:t>
            </w:r>
          </w:p>
          <w:p w14:paraId="6E4C8288">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2.订购≥600*600mmLED灯具</w:t>
            </w:r>
          </w:p>
          <w:p w14:paraId="637ADDEF">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3.光源：≥6000K（白光）功率：60W</w:t>
            </w:r>
          </w:p>
        </w:tc>
        <w:tc>
          <w:tcPr>
            <w:tcW w:w="0" w:type="auto"/>
          </w:tcPr>
          <w:p w14:paraId="03B78FEE">
            <w:pPr>
              <w:jc w:val="left"/>
              <w:rPr>
                <w:rFonts w:hint="eastAsia" w:ascii="宋体" w:hAnsi="宋体" w:eastAsia="宋体" w:cs="宋体"/>
                <w:b/>
                <w:bCs w:val="0"/>
                <w:sz w:val="22"/>
                <w:szCs w:val="22"/>
                <w:lang w:val="en-US" w:eastAsia="zh-CN"/>
              </w:rPr>
            </w:pPr>
          </w:p>
        </w:tc>
        <w:tc>
          <w:tcPr>
            <w:tcW w:w="0" w:type="auto"/>
          </w:tcPr>
          <w:p w14:paraId="0909DAD1">
            <w:pPr>
              <w:jc w:val="left"/>
              <w:rPr>
                <w:rFonts w:hint="eastAsia" w:ascii="宋体" w:hAnsi="宋体" w:eastAsia="宋体" w:cs="宋体"/>
                <w:b/>
                <w:bCs w:val="0"/>
                <w:sz w:val="22"/>
                <w:szCs w:val="22"/>
                <w:lang w:val="en-US" w:eastAsia="zh-CN"/>
              </w:rPr>
            </w:pPr>
          </w:p>
        </w:tc>
        <w:tc>
          <w:tcPr>
            <w:tcW w:w="0" w:type="auto"/>
          </w:tcPr>
          <w:p w14:paraId="10E99573">
            <w:pPr>
              <w:jc w:val="left"/>
              <w:rPr>
                <w:rFonts w:hint="eastAsia" w:ascii="宋体" w:hAnsi="宋体" w:eastAsia="宋体" w:cs="宋体"/>
                <w:b/>
                <w:bCs w:val="0"/>
                <w:sz w:val="22"/>
                <w:szCs w:val="22"/>
                <w:lang w:val="en-US" w:eastAsia="zh-CN"/>
              </w:rPr>
            </w:pPr>
          </w:p>
        </w:tc>
      </w:tr>
      <w:tr w14:paraId="0C751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0" w:type="auto"/>
            <w:shd w:val="clear" w:color="auto" w:fill="auto"/>
            <w:vAlign w:val="center"/>
          </w:tcPr>
          <w:p w14:paraId="27B568D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w:t>
            </w:r>
          </w:p>
        </w:tc>
        <w:tc>
          <w:tcPr>
            <w:tcW w:w="0" w:type="auto"/>
            <w:shd w:val="clear" w:color="auto" w:fill="auto"/>
            <w:vAlign w:val="center"/>
          </w:tcPr>
          <w:p w14:paraId="2C296F2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开关及插座面板</w:t>
            </w:r>
          </w:p>
        </w:tc>
        <w:tc>
          <w:tcPr>
            <w:tcW w:w="0" w:type="auto"/>
            <w:shd w:val="clear" w:color="auto" w:fill="auto"/>
            <w:vAlign w:val="center"/>
          </w:tcPr>
          <w:p w14:paraId="47BA1CC7">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人工安装及订购开关面板及插座</w:t>
            </w:r>
          </w:p>
        </w:tc>
        <w:tc>
          <w:tcPr>
            <w:tcW w:w="0" w:type="auto"/>
          </w:tcPr>
          <w:p w14:paraId="7D4369A8">
            <w:pPr>
              <w:jc w:val="left"/>
              <w:rPr>
                <w:rFonts w:hint="eastAsia" w:ascii="宋体" w:hAnsi="宋体" w:eastAsia="宋体" w:cs="宋体"/>
                <w:b/>
                <w:bCs w:val="0"/>
                <w:sz w:val="22"/>
                <w:szCs w:val="22"/>
                <w:lang w:val="en-US" w:eastAsia="zh-CN"/>
              </w:rPr>
            </w:pPr>
          </w:p>
        </w:tc>
        <w:tc>
          <w:tcPr>
            <w:tcW w:w="0" w:type="auto"/>
          </w:tcPr>
          <w:p w14:paraId="47D7EF80">
            <w:pPr>
              <w:jc w:val="left"/>
              <w:rPr>
                <w:rFonts w:hint="eastAsia" w:ascii="宋体" w:hAnsi="宋体" w:eastAsia="宋体" w:cs="宋体"/>
                <w:b/>
                <w:bCs w:val="0"/>
                <w:sz w:val="22"/>
                <w:szCs w:val="22"/>
                <w:lang w:val="en-US" w:eastAsia="zh-CN"/>
              </w:rPr>
            </w:pPr>
          </w:p>
        </w:tc>
        <w:tc>
          <w:tcPr>
            <w:tcW w:w="0" w:type="auto"/>
          </w:tcPr>
          <w:p w14:paraId="2C156C4A">
            <w:pPr>
              <w:jc w:val="left"/>
              <w:rPr>
                <w:rFonts w:hint="eastAsia" w:ascii="宋体" w:hAnsi="宋体" w:eastAsia="宋体" w:cs="宋体"/>
                <w:b/>
                <w:bCs w:val="0"/>
                <w:sz w:val="22"/>
                <w:szCs w:val="22"/>
                <w:lang w:val="en-US" w:eastAsia="zh-CN"/>
              </w:rPr>
            </w:pPr>
          </w:p>
        </w:tc>
      </w:tr>
      <w:tr w14:paraId="64858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0" w:type="auto"/>
            <w:shd w:val="clear" w:color="auto" w:fill="auto"/>
            <w:vAlign w:val="center"/>
          </w:tcPr>
          <w:p w14:paraId="44AC36F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w:t>
            </w:r>
          </w:p>
        </w:tc>
        <w:tc>
          <w:tcPr>
            <w:tcW w:w="0" w:type="auto"/>
            <w:shd w:val="clear" w:color="auto" w:fill="auto"/>
            <w:vAlign w:val="center"/>
          </w:tcPr>
          <w:p w14:paraId="3D657ED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环境提升</w:t>
            </w:r>
          </w:p>
        </w:tc>
        <w:tc>
          <w:tcPr>
            <w:tcW w:w="0" w:type="auto"/>
            <w:shd w:val="clear" w:color="auto" w:fill="auto"/>
            <w:vAlign w:val="center"/>
          </w:tcPr>
          <w:p w14:paraId="6F98F7EC">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1、规格：面积：≥106㎡</w:t>
            </w:r>
          </w:p>
          <w:p w14:paraId="6F8EB8BA">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2、布电：放线弹线，布管穿线，ZC-BVR国标6㎡.4㎡.2.5㎡阻燃电线，满足现场需求.</w:t>
            </w:r>
          </w:p>
          <w:p w14:paraId="31BEE041">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3、布网：1、使用超六类网线。外被采用环保PVC胶料，满足现场需求.。</w:t>
            </w:r>
          </w:p>
          <w:p w14:paraId="76B43CB4">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4、铝扣板吊顶：≥600*600*0.8mm穿孔铝扣板及龙骨</w:t>
            </w:r>
          </w:p>
          <w:p w14:paraId="1C8D07B0">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5、墙面粉刷及造型：刮腻子、刷乳胶漆，墙面造型采用≥2440*1220*9厘B1级阻燃板、≥2440*1220*9厘石膏板等材料；</w:t>
            </w:r>
          </w:p>
          <w:p w14:paraId="7EF00B26">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6、临时措施：地面保护及防尘保护膜等以及临时接电接水及脚手架租赁</w:t>
            </w:r>
          </w:p>
          <w:p w14:paraId="2DD9B804">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7、垃圾清运。</w:t>
            </w:r>
          </w:p>
        </w:tc>
        <w:tc>
          <w:tcPr>
            <w:tcW w:w="0" w:type="auto"/>
          </w:tcPr>
          <w:p w14:paraId="2BE5E5AB">
            <w:pPr>
              <w:jc w:val="left"/>
              <w:rPr>
                <w:rFonts w:hint="eastAsia" w:ascii="宋体" w:hAnsi="宋体" w:eastAsia="宋体" w:cs="宋体"/>
                <w:b/>
                <w:bCs w:val="0"/>
                <w:sz w:val="22"/>
                <w:szCs w:val="22"/>
                <w:lang w:val="en-US" w:eastAsia="zh-CN"/>
              </w:rPr>
            </w:pPr>
          </w:p>
        </w:tc>
        <w:tc>
          <w:tcPr>
            <w:tcW w:w="0" w:type="auto"/>
          </w:tcPr>
          <w:p w14:paraId="1A9A6D98">
            <w:pPr>
              <w:jc w:val="left"/>
              <w:rPr>
                <w:rFonts w:hint="eastAsia" w:ascii="宋体" w:hAnsi="宋体" w:eastAsia="宋体" w:cs="宋体"/>
                <w:b/>
                <w:bCs w:val="0"/>
                <w:sz w:val="22"/>
                <w:szCs w:val="22"/>
                <w:lang w:val="en-US" w:eastAsia="zh-CN"/>
              </w:rPr>
            </w:pPr>
          </w:p>
        </w:tc>
        <w:tc>
          <w:tcPr>
            <w:tcW w:w="0" w:type="auto"/>
          </w:tcPr>
          <w:p w14:paraId="39F07221">
            <w:pPr>
              <w:jc w:val="left"/>
              <w:rPr>
                <w:rFonts w:hint="eastAsia" w:ascii="宋体" w:hAnsi="宋体" w:eastAsia="宋体" w:cs="宋体"/>
                <w:b/>
                <w:bCs w:val="0"/>
                <w:sz w:val="22"/>
                <w:szCs w:val="22"/>
                <w:lang w:val="en-US" w:eastAsia="zh-CN"/>
              </w:rPr>
            </w:pPr>
          </w:p>
        </w:tc>
      </w:tr>
    </w:tbl>
    <w:p w14:paraId="3762A8C5">
      <w:pPr>
        <w:rPr>
          <w:szCs w:val="21"/>
        </w:rPr>
      </w:pPr>
      <w:r>
        <w:rPr>
          <w:rFonts w:hint="eastAsia"/>
          <w:szCs w:val="21"/>
        </w:rPr>
        <w:t>证明资料【如有的话，提供的证明资料应统一编号（排序），格式自定】</w:t>
      </w:r>
      <w:bookmarkEnd w:id="35"/>
      <w:r>
        <w:rPr>
          <w:rFonts w:hint="eastAsia"/>
          <w:szCs w:val="21"/>
        </w:rPr>
        <w:t>：</w:t>
      </w:r>
    </w:p>
    <w:p w14:paraId="6C9662BC">
      <w:pPr>
        <w:rPr>
          <w:b/>
          <w:szCs w:val="21"/>
        </w:rPr>
      </w:pPr>
    </w:p>
    <w:p w14:paraId="4DA87EC6">
      <w:pPr>
        <w:ind w:firstLine="420" w:firstLineChars="200"/>
        <w:rPr>
          <w:bCs/>
          <w:szCs w:val="21"/>
        </w:rPr>
      </w:pPr>
      <w:r>
        <w:rPr>
          <w:rFonts w:hint="eastAsia"/>
          <w:bCs/>
          <w:szCs w:val="21"/>
        </w:rPr>
        <w:t>《技术要求偏离表》编制指引：</w:t>
      </w:r>
    </w:p>
    <w:p w14:paraId="6A85DA9E">
      <w:pPr>
        <w:ind w:firstLine="420" w:firstLineChars="200"/>
        <w:rPr>
          <w:bCs/>
          <w:szCs w:val="21"/>
        </w:rPr>
      </w:pPr>
      <w:r>
        <w:rPr>
          <w:rFonts w:hint="eastAsia"/>
          <w:bCs/>
          <w:szCs w:val="21"/>
        </w:rPr>
        <w:t>1、技术要求偏离表的序号、货物名称、招标技术要求等栏目</w:t>
      </w:r>
      <w:bookmarkStart w:id="36" w:name="_Hlk72094407"/>
      <w:r>
        <w:rPr>
          <w:rFonts w:hint="eastAsia"/>
          <w:bCs/>
          <w:szCs w:val="21"/>
        </w:rPr>
        <w:t>对应“用户需求书”中的“技术要求”章节</w:t>
      </w:r>
      <w:bookmarkEnd w:id="36"/>
      <w:r>
        <w:rPr>
          <w:rFonts w:hint="eastAsia"/>
          <w:bCs/>
          <w:szCs w:val="21"/>
        </w:rPr>
        <w:t>相关内容。</w:t>
      </w:r>
    </w:p>
    <w:p w14:paraId="7D82EB9C">
      <w:pPr>
        <w:pStyle w:val="14"/>
        <w:spacing w:beforeAutospacing="0" w:afterAutospacing="0"/>
        <w:ind w:firstLine="420" w:firstLineChars="200"/>
        <w:jc w:val="both"/>
        <w:rPr>
          <w:rFonts w:ascii="Times New Roman" w:hAnsi="Times New Roman" w:eastAsia="宋体" w:cs="Times New Roman"/>
          <w:bCs/>
          <w:color w:val="FF0000"/>
          <w:sz w:val="21"/>
          <w:szCs w:val="21"/>
        </w:rPr>
      </w:pPr>
      <w:r>
        <w:rPr>
          <w:bCs/>
          <w:sz w:val="21"/>
          <w:szCs w:val="21"/>
        </w:rPr>
        <w:t>2</w:t>
      </w:r>
      <w:r>
        <w:rPr>
          <w:rFonts w:hint="eastAsia"/>
          <w:bCs/>
          <w:sz w:val="21"/>
          <w:szCs w:val="21"/>
        </w:rPr>
        <w:t>、“投标技术响应”一栏必须一一对照“招标技术要求”，详细填写投标人自身投标货物的具体参数，而不能不合理照搬照抄招标文件的技术要求，以体现具体响应情况。</w:t>
      </w:r>
      <w:r>
        <w:rPr>
          <w:rFonts w:hint="eastAsia" w:ascii="Times New Roman" w:hAnsi="Times New Roman" w:eastAsia="宋体" w:cs="Times New Roman"/>
          <w:bCs/>
          <w:color w:val="FF0000"/>
          <w:sz w:val="21"/>
          <w:szCs w:val="21"/>
        </w:rPr>
        <w:t>“投标技术响应”必须与</w:t>
      </w:r>
      <w:r>
        <w:rPr>
          <w:rFonts w:hint="eastAsia" w:cs="Times New Roman"/>
          <w:bCs/>
          <w:color w:val="FF0000"/>
          <w:sz w:val="21"/>
          <w:szCs w:val="21"/>
        </w:rPr>
        <w:t>所投产品</w:t>
      </w:r>
      <w:r>
        <w:rPr>
          <w:rFonts w:hint="eastAsia" w:ascii="Times New Roman" w:hAnsi="Times New Roman" w:eastAsia="宋体" w:cs="Times New Roman"/>
          <w:bCs/>
          <w:color w:val="FF0000"/>
          <w:sz w:val="21"/>
          <w:szCs w:val="21"/>
        </w:rPr>
        <w:t>客观实际保持一致，响应不实且情节严重的，经查实，将依法记入供应商诚信档案或受到行政处罚。</w:t>
      </w:r>
    </w:p>
    <w:p w14:paraId="082E18CD">
      <w:pPr>
        <w:ind w:firstLine="420" w:firstLineChars="200"/>
        <w:rPr>
          <w:rFonts w:ascii="Times New Roman" w:hAnsi="Times New Roman" w:eastAsia="宋体" w:cs="Times New Roman"/>
          <w:bCs/>
          <w:color w:val="FF0000"/>
          <w:szCs w:val="21"/>
        </w:rPr>
      </w:pPr>
      <w:r>
        <w:rPr>
          <w:bCs/>
          <w:szCs w:val="21"/>
        </w:rPr>
        <w:t>3</w:t>
      </w:r>
      <w:r>
        <w:rPr>
          <w:rFonts w:hint="eastAsia"/>
          <w:bCs/>
          <w:szCs w:val="21"/>
        </w:rPr>
        <w:t>、</w:t>
      </w:r>
      <w:bookmarkStart w:id="37" w:name="_Hlk72158270"/>
      <w:r>
        <w:rPr>
          <w:rFonts w:hint="eastAsia"/>
          <w:bCs/>
          <w:szCs w:val="21"/>
        </w:rPr>
        <w:t>“偏离情况”</w:t>
      </w:r>
      <w:bookmarkEnd w:id="37"/>
      <w:r>
        <w:rPr>
          <w:rFonts w:hint="eastAsia"/>
          <w:bCs/>
          <w:szCs w:val="21"/>
        </w:rPr>
        <w:t>一栏填写如实填写“正偏离”、“负偏离”或“无偏离”，其中：</w:t>
      </w:r>
      <w:bookmarkStart w:id="38" w:name="_Hlk72093866"/>
      <w:r>
        <w:rPr>
          <w:rFonts w:hint="eastAsia"/>
          <w:bCs/>
          <w:szCs w:val="21"/>
        </w:rPr>
        <w:t>“正偏离”表示“投标响应优于招标技术要求”，“负偏离”表示“投标响应不满足招标技术要求”，“无偏离”表示“投标响应与招标技术要求一致”</w:t>
      </w:r>
      <w:bookmarkEnd w:id="38"/>
      <w:r>
        <w:rPr>
          <w:rFonts w:hint="eastAsia"/>
          <w:bCs/>
          <w:szCs w:val="21"/>
        </w:rPr>
        <w:t>。“投标技术响应”对比“招标技术要求”存在响应不全（包括未响应整项招标技术要求或者未响应一项招标技术要求的部分内容），均视为“负偏离”。带★号条款为不可负偏离条款，不作为评分准则中的评分内容</w:t>
      </w:r>
      <w:r>
        <w:rPr>
          <w:rFonts w:hint="eastAsia" w:eastAsia="宋体"/>
          <w:bCs/>
          <w:szCs w:val="21"/>
        </w:rPr>
        <w:t>，</w:t>
      </w:r>
      <w:r>
        <w:rPr>
          <w:rFonts w:hint="eastAsia"/>
          <w:bCs/>
          <w:szCs w:val="21"/>
        </w:rPr>
        <w:t>如未响应或出现负偏离的，将做投标无效处理。</w:t>
      </w:r>
      <w:r>
        <w:rPr>
          <w:rFonts w:hint="eastAsia" w:ascii="Times New Roman" w:hAnsi="Times New Roman" w:eastAsia="宋体" w:cs="Times New Roman"/>
          <w:bCs/>
          <w:color w:val="FF0000"/>
          <w:szCs w:val="21"/>
        </w:rPr>
        <w:t>“偏离情况”必须与所投产品客观实际保持一致，响应不实且情节严重的，经查实，将依法记入供应商诚信档案或受到行政处罚。</w:t>
      </w:r>
    </w:p>
    <w:p w14:paraId="1B084E5D">
      <w:pPr>
        <w:ind w:firstLine="420" w:firstLineChars="200"/>
        <w:rPr>
          <w:bCs/>
          <w:szCs w:val="21"/>
        </w:rPr>
      </w:pPr>
      <w:r>
        <w:rPr>
          <w:bCs/>
          <w:szCs w:val="21"/>
        </w:rPr>
        <w:t>4</w:t>
      </w:r>
      <w:r>
        <w:rPr>
          <w:rFonts w:hint="eastAsia"/>
          <w:bCs/>
          <w:szCs w:val="21"/>
        </w:rPr>
        <w:t>、未要求提供证明资料的招标技术要求，可以不提供证明资料（如实响应即可）。</w:t>
      </w:r>
    </w:p>
    <w:p w14:paraId="29A9C557">
      <w:pPr>
        <w:ind w:firstLine="420" w:firstLineChars="200"/>
        <w:rPr>
          <w:bCs/>
          <w:szCs w:val="21"/>
        </w:rPr>
      </w:pPr>
      <w:r>
        <w:rPr>
          <w:rFonts w:hint="eastAsia"/>
          <w:bCs/>
          <w:szCs w:val="21"/>
        </w:rPr>
        <w:t>5、</w:t>
      </w:r>
      <w:bookmarkStart w:id="39" w:name="_Hlk72096106"/>
      <w:r>
        <w:rPr>
          <w:rFonts w:hint="eastAsia"/>
          <w:bCs/>
          <w:szCs w:val="21"/>
        </w:rPr>
        <w:t>证明资料条款响应要求</w:t>
      </w:r>
      <w:bookmarkEnd w:id="39"/>
      <w:r>
        <w:rPr>
          <w:rFonts w:hint="eastAsia"/>
          <w:bCs/>
          <w:szCs w:val="21"/>
        </w:rPr>
        <w:t>：要求提供证明资料（且已对证明资料的形式、内容作出明确要求）进行响应的条款，应当在“说明”一栏中列明是否提供了符合要求的证明资料，以及所提供证明资料在表后“证明资料”中的编号（位置）,以便评审；</w:t>
      </w:r>
      <w:bookmarkStart w:id="40" w:name="_Hlk73558782"/>
      <w:r>
        <w:rPr>
          <w:rFonts w:hint="eastAsia"/>
          <w:bCs/>
          <w:szCs w:val="21"/>
        </w:rPr>
        <w:t>此类条款应严格依照要求的形式、内容提供证明资料，如未提供证明资料（或：证明资料的形式、内容等不符合要求；证明资料显示不符合招标技术要求；证明资料模糊不清无法判断或未显示是否满足招标技术要求），</w:t>
      </w:r>
      <w:bookmarkStart w:id="41" w:name="_Hlk73558164"/>
      <w:r>
        <w:rPr>
          <w:rFonts w:hint="eastAsia"/>
          <w:bCs/>
          <w:szCs w:val="21"/>
        </w:rPr>
        <w:t>且投标人在“偏离情况”一栏响应为“正偏离”或“无偏离”的，经评审委员会认定，将判定为负偏离。</w:t>
      </w:r>
      <w:bookmarkEnd w:id="40"/>
      <w:bookmarkEnd w:id="41"/>
    </w:p>
    <w:p w14:paraId="1B04C1EF">
      <w:pPr>
        <w:ind w:firstLine="420" w:firstLineChars="200"/>
        <w:rPr>
          <w:bCs/>
          <w:szCs w:val="21"/>
        </w:rPr>
      </w:pPr>
      <w:r>
        <w:rPr>
          <w:rFonts w:hint="eastAsia"/>
          <w:bCs/>
          <w:szCs w:val="21"/>
        </w:rPr>
        <w:t>6、</w:t>
      </w:r>
      <w:bookmarkStart w:id="42" w:name="_Hlk72096137"/>
      <w:r>
        <w:rPr>
          <w:rFonts w:hint="eastAsia"/>
          <w:bCs/>
          <w:szCs w:val="21"/>
        </w:rPr>
        <w:t>表后“证明资料”部分内容的编制</w:t>
      </w:r>
      <w:bookmarkEnd w:id="42"/>
      <w:r>
        <w:rPr>
          <w:rFonts w:hint="eastAsia"/>
          <w:bCs/>
          <w:szCs w:val="21"/>
        </w:rPr>
        <w:t>：提供的所有证明资料应当统一编号（排序），且证明资料的编号（顺序）、数量和名称（形式）均应与“说明”一栏所填内容保持一致（一一对应），以便评审委员会查看。</w:t>
      </w:r>
      <w:bookmarkStart w:id="43" w:name="_Hlk73558180"/>
      <w:r>
        <w:rPr>
          <w:rFonts w:hint="eastAsia"/>
          <w:bCs/>
          <w:szCs w:val="21"/>
        </w:rPr>
        <w:t>未按照招标文件要求在表后放置证明材料的供应商将承担不利后果，经评审委员会认定，相关技术要求将判定为负偏离。</w:t>
      </w:r>
      <w:bookmarkEnd w:id="43"/>
    </w:p>
    <w:p w14:paraId="10D652C1">
      <w:pPr>
        <w:ind w:firstLine="420" w:firstLineChars="200"/>
        <w:rPr>
          <w:bCs/>
          <w:szCs w:val="21"/>
        </w:rPr>
      </w:pPr>
      <w:r>
        <w:rPr>
          <w:rFonts w:hint="eastAsia"/>
          <w:bCs/>
          <w:szCs w:val="21"/>
        </w:rPr>
        <w:t>7、</w:t>
      </w:r>
      <w:bookmarkStart w:id="44" w:name="_Hlk72096176"/>
      <w:r>
        <w:rPr>
          <w:rFonts w:hint="eastAsia"/>
          <w:bCs/>
          <w:szCs w:val="21"/>
        </w:rPr>
        <w:t>证明资料的形式及其它具体要求</w:t>
      </w:r>
      <w:bookmarkEnd w:id="44"/>
      <w:r>
        <w:rPr>
          <w:rFonts w:hint="eastAsia"/>
          <w:bCs/>
          <w:szCs w:val="21"/>
        </w:rPr>
        <w:t>：</w:t>
      </w:r>
    </w:p>
    <w:p w14:paraId="4EA79774">
      <w:pPr>
        <w:ind w:firstLine="420" w:firstLineChars="200"/>
        <w:rPr>
          <w:bCs/>
          <w:szCs w:val="21"/>
        </w:rPr>
      </w:pPr>
      <w:r>
        <w:rPr>
          <w:rFonts w:hint="eastAsia"/>
          <w:bCs/>
          <w:szCs w:val="21"/>
        </w:rPr>
        <w:t>（1）除照片、图片（截图）及不需加盖公章的文字说明（技术说明）外，其它证明资料均要求为原件扫描件；</w:t>
      </w:r>
    </w:p>
    <w:p w14:paraId="77FBCE67">
      <w:pPr>
        <w:ind w:firstLine="420" w:firstLineChars="200"/>
        <w:rPr>
          <w:bCs/>
          <w:szCs w:val="21"/>
        </w:rPr>
      </w:pPr>
      <w:r>
        <w:rPr>
          <w:rFonts w:hint="eastAsia"/>
          <w:bCs/>
          <w:szCs w:val="21"/>
        </w:rPr>
        <w:t>（2）提供证明资料的形式包括但不限于：a.制造商公布（出具）的产品说明书、产品彩页；b.我国政府机构出具的产品检验和核准证件等；c.第三方机构出具的检测（检验、测试）报告、认证证书等；已对证明资料的形式、内容作出具体要求的，必须严格按要求的形式、内容提供证明资料；</w:t>
      </w:r>
    </w:p>
    <w:p w14:paraId="0F3B2698">
      <w:pPr>
        <w:ind w:firstLine="420" w:firstLineChars="200"/>
        <w:rPr>
          <w:bCs/>
          <w:szCs w:val="21"/>
        </w:rPr>
      </w:pPr>
      <w:r>
        <w:rPr>
          <w:rFonts w:hint="eastAsia"/>
          <w:bCs/>
          <w:szCs w:val="21"/>
        </w:rPr>
        <w:t>（3）产品说明书或彩页应为制造商公布（出具）的中文产品说明书或彩页；提供外文说明书或彩页的，必须同时提供加盖制造商公章的对应中文翻译说明，评标依据以中文翻译内容为准，外文说明书或彩页仅供参考；产品说明书或彩页的尺寸和清晰度应该能够在电脑上被阅读、识别和判断；</w:t>
      </w:r>
    </w:p>
    <w:p w14:paraId="243A7FD0">
      <w:pPr>
        <w:ind w:firstLine="420" w:firstLineChars="200"/>
        <w:rPr>
          <w:bCs/>
          <w:szCs w:val="21"/>
        </w:rPr>
      </w:pPr>
      <w:r>
        <w:rPr>
          <w:rFonts w:hint="eastAsia"/>
          <w:bCs/>
          <w:szCs w:val="21"/>
        </w:rPr>
        <w:t>我国政府机构出具的产品检验和核准证件应为证件正面、背面和附件标注的全部具体内容；产品检验和核准证件的尺寸和清晰度应该能够在电脑上被阅读、识别和判断；</w:t>
      </w:r>
    </w:p>
    <w:p w14:paraId="35234560">
      <w:pPr>
        <w:ind w:firstLine="420" w:firstLineChars="200"/>
        <w:rPr>
          <w:bCs/>
          <w:szCs w:val="21"/>
        </w:rPr>
      </w:pPr>
      <w:r>
        <w:rPr>
          <w:rFonts w:hint="eastAsia"/>
          <w:bCs/>
          <w:szCs w:val="21"/>
        </w:rPr>
        <w:t>第三方机构出具的检测（检验、测试）报告、认证（证明）证书应为中文报告或证书；提供外文报告或证书的，必须同时提供对应的中文翻译文字说明，评标依据以中文翻译文字说明内容为准，外文报告或证书仅供参考；报告或证书的尺寸和清晰度应该能够在电脑上被阅读、识别和判断；</w:t>
      </w:r>
    </w:p>
    <w:p w14:paraId="0A8C81BE">
      <w:pPr>
        <w:ind w:firstLine="420" w:firstLineChars="200"/>
        <w:rPr>
          <w:bCs/>
          <w:szCs w:val="21"/>
        </w:rPr>
      </w:pPr>
      <w:r>
        <w:rPr>
          <w:rFonts w:hint="eastAsia"/>
          <w:bCs/>
          <w:szCs w:val="21"/>
        </w:rPr>
        <w:t>其它证明资料的形式要求参照以上要求执行；</w:t>
      </w:r>
    </w:p>
    <w:p w14:paraId="14707C05">
      <w:pPr>
        <w:ind w:firstLine="420" w:firstLineChars="200"/>
        <w:rPr>
          <w:bCs/>
          <w:szCs w:val="21"/>
        </w:rPr>
      </w:pPr>
      <w:r>
        <w:rPr>
          <w:rFonts w:hint="eastAsia"/>
          <w:bCs/>
          <w:szCs w:val="21"/>
        </w:rPr>
        <w:t>（4）证明资料均要求原件备查。</w:t>
      </w:r>
    </w:p>
    <w:p w14:paraId="43D1045C">
      <w:pPr>
        <w:ind w:firstLine="420" w:firstLineChars="200"/>
        <w:rPr>
          <w:bCs/>
          <w:szCs w:val="21"/>
        </w:rPr>
      </w:pPr>
      <w:r>
        <w:rPr>
          <w:rFonts w:hint="eastAsia"/>
          <w:bCs/>
          <w:szCs w:val="21"/>
        </w:rPr>
        <w:t>8、其它注意事项：</w:t>
      </w:r>
    </w:p>
    <w:p w14:paraId="3615F739">
      <w:pPr>
        <w:ind w:firstLine="420" w:firstLineChars="200"/>
        <w:rPr>
          <w:bCs/>
          <w:szCs w:val="21"/>
        </w:rPr>
      </w:pPr>
      <w:r>
        <w:rPr>
          <w:rFonts w:hint="eastAsia"/>
          <w:bCs/>
          <w:szCs w:val="21"/>
        </w:rPr>
        <w:t>（1）评审委员会有权对投标人的响应情况作出判断（评审结论）；</w:t>
      </w:r>
    </w:p>
    <w:p w14:paraId="6F4E403C">
      <w:pPr>
        <w:ind w:firstLine="420" w:firstLineChars="200"/>
        <w:rPr>
          <w:bCs/>
          <w:szCs w:val="21"/>
        </w:rPr>
      </w:pPr>
      <w:r>
        <w:rPr>
          <w:rFonts w:hint="eastAsia"/>
          <w:bCs/>
          <w:szCs w:val="21"/>
        </w:rPr>
        <w:t>（2）</w:t>
      </w:r>
      <w:bookmarkStart w:id="45" w:name="_Hlk72158213"/>
      <w:r>
        <w:rPr>
          <w:rFonts w:hint="eastAsia"/>
          <w:bCs/>
          <w:szCs w:val="21"/>
        </w:rPr>
        <w:t>评审委员会有权对以谋取中标为目的的技术规格模糊响应（如有意不合理照搬照抄招标文件的技术要求）或虚假响应予以认定，并视情况经</w:t>
      </w:r>
      <w:r>
        <w:rPr>
          <w:rFonts w:eastAsia="宋体"/>
          <w:kern w:val="2"/>
          <w:sz w:val="21"/>
          <w:szCs w:val="21"/>
          <w:lang w:eastAsia="zh-CN"/>
        </w:rPr>
        <w:t>招标（采购）代理机构</w:t>
      </w:r>
      <w:r>
        <w:rPr>
          <w:rFonts w:hint="eastAsia"/>
          <w:bCs/>
          <w:szCs w:val="21"/>
        </w:rPr>
        <w:t>报主管部门进行处理。</w:t>
      </w:r>
      <w:bookmarkEnd w:id="45"/>
    </w:p>
    <w:p w14:paraId="6972F93B">
      <w:pPr>
        <w:ind w:firstLine="482" w:firstLineChars="200"/>
        <w:rPr>
          <w:b/>
          <w:sz w:val="24"/>
        </w:rPr>
      </w:pPr>
    </w:p>
    <w:p w14:paraId="07D7591D">
      <w:pPr>
        <w:rPr>
          <w:sz w:val="24"/>
        </w:rPr>
      </w:pPr>
      <w:r>
        <w:rPr>
          <w:rFonts w:ascii="宋体" w:hAnsi="宋体" w:eastAsia="宋体" w:cs="Times New Roman"/>
          <w:color w:val="FF0000"/>
          <w:sz w:val="32"/>
          <w:szCs w:val="32"/>
        </w:rPr>
        <w:br w:type="page"/>
      </w:r>
    </w:p>
    <w:p w14:paraId="2D970275">
      <w:pPr>
        <w:widowControl/>
        <w:jc w:val="center"/>
        <w:outlineLvl w:val="2"/>
        <w:rPr>
          <w:rFonts w:ascii="黑体" w:hAnsi="宋体" w:eastAsia="黑体"/>
          <w:kern w:val="0"/>
          <w:sz w:val="24"/>
          <w:szCs w:val="20"/>
        </w:rPr>
      </w:pPr>
      <w:r>
        <w:rPr>
          <w:rFonts w:hint="eastAsia" w:ascii="黑体" w:eastAsia="黑体"/>
          <w:sz w:val="24"/>
          <w:szCs w:val="20"/>
        </w:rPr>
        <w:t>六、</w:t>
      </w:r>
      <w:r>
        <w:rPr>
          <w:rFonts w:hint="eastAsia" w:ascii="黑体" w:hAnsi="宋体" w:eastAsia="黑体"/>
          <w:kern w:val="0"/>
          <w:sz w:val="24"/>
          <w:szCs w:val="20"/>
        </w:rPr>
        <w:t>政府采购违法行为风险知悉确认书</w:t>
      </w:r>
    </w:p>
    <w:p w14:paraId="2B745FBD">
      <w:pPr>
        <w:widowControl/>
        <w:jc w:val="center"/>
        <w:rPr>
          <w:rFonts w:ascii="黑体" w:hAnsi="宋体" w:eastAsia="黑体"/>
          <w:kern w:val="0"/>
          <w:sz w:val="24"/>
          <w:szCs w:val="20"/>
        </w:rPr>
      </w:pPr>
    </w:p>
    <w:p w14:paraId="1E7D2076">
      <w:pPr>
        <w:ind w:firstLine="420" w:firstLineChars="200"/>
      </w:pPr>
      <w:r>
        <w:rPr>
          <w:rFonts w:hint="eastAsia"/>
        </w:rPr>
        <w:t>本公司在投标前已充分知悉以下情形为参与政府采购活动时的重大风险事项，并承诺已对下述风险提示事项重点排查，做到严谨、诚信、依法依规参与政府采购活动。</w:t>
      </w:r>
    </w:p>
    <w:p w14:paraId="5716F3A2">
      <w:pPr>
        <w:ind w:firstLine="422" w:firstLineChars="200"/>
        <w:rPr>
          <w:b/>
        </w:rPr>
      </w:pPr>
      <w:r>
        <w:rPr>
          <w:rFonts w:hint="eastAsia"/>
          <w:b/>
        </w:rPr>
        <w:t>一、本公司已充分知悉“隐瞒真实情况，提供虚假资料”的法定情形，相关情形包括但不限于：</w:t>
      </w:r>
    </w:p>
    <w:p w14:paraId="64BD8233">
      <w:pPr>
        <w:ind w:firstLine="420" w:firstLineChars="200"/>
      </w:pPr>
      <w:r>
        <w:rPr>
          <w:rFonts w:hint="eastAsia"/>
        </w:rPr>
        <w:t>（一）通过转让或者租借等方式从其他单位获取资格或者资质证书投标的。</w:t>
      </w:r>
    </w:p>
    <w:p w14:paraId="18CED22B">
      <w:pPr>
        <w:ind w:firstLine="420" w:firstLineChars="200"/>
      </w:pPr>
      <w:r>
        <w:rPr>
          <w:rFonts w:hint="eastAsia"/>
        </w:rPr>
        <w:t>（二）由其他单位或者其他单位负责人在投标供应商编制的投标文件上加盖印章或者签字的。</w:t>
      </w:r>
    </w:p>
    <w:p w14:paraId="1C581EAF">
      <w:pPr>
        <w:ind w:firstLine="420" w:firstLineChars="200"/>
      </w:pPr>
      <w:r>
        <w:rPr>
          <w:rFonts w:hint="eastAsia"/>
        </w:rPr>
        <w:t>（三）项目负责人或者主要技术人员不是本单位人员的。</w:t>
      </w:r>
    </w:p>
    <w:p w14:paraId="7F178A53">
      <w:pPr>
        <w:ind w:firstLine="420" w:firstLineChars="200"/>
      </w:pPr>
      <w:r>
        <w:rPr>
          <w:rFonts w:hint="eastAsia"/>
        </w:rPr>
        <w:t>（四）投标保证金不是从投标供应商基本账户转出的。</w:t>
      </w:r>
    </w:p>
    <w:p w14:paraId="4D7A99E1">
      <w:pPr>
        <w:ind w:firstLine="420" w:firstLineChars="200"/>
      </w:pPr>
      <w:r>
        <w:rPr>
          <w:rFonts w:hint="eastAsia"/>
        </w:rPr>
        <w:t>（五）其他隐瞒真实情况、提供虚假资料的行为。</w:t>
      </w:r>
    </w:p>
    <w:p w14:paraId="4DBB35F5">
      <w:pPr>
        <w:ind w:firstLine="422" w:firstLineChars="200"/>
        <w:rPr>
          <w:b/>
        </w:rPr>
      </w:pPr>
      <w:r>
        <w:rPr>
          <w:rFonts w:hint="eastAsia"/>
          <w:b/>
        </w:rPr>
        <w:t>二、本公司已充分知悉“与其他采购参加人串通投标”的法定情形，相关情形包括但不限于：</w:t>
      </w:r>
    </w:p>
    <w:p w14:paraId="56FBD8FE">
      <w:pPr>
        <w:ind w:firstLine="420" w:firstLineChars="200"/>
      </w:pPr>
      <w:r>
        <w:rPr>
          <w:rFonts w:hint="eastAsia"/>
        </w:rPr>
        <w:t>（一）投标供应商之间相互约定给予未中标的供应商利益补偿。</w:t>
      </w:r>
    </w:p>
    <w:p w14:paraId="45406269">
      <w:pPr>
        <w:ind w:firstLine="420" w:firstLineChars="200"/>
      </w:pPr>
      <w:r>
        <w:rPr>
          <w:rFonts w:hint="eastAsia"/>
        </w:rPr>
        <w:t>（二）不同投标供应商的法定代表人、主要经营负责人、项目投标授权代表人、项目负责人、主要技术人员为同一人、属同一单位或者在同一单位缴纳社会保险。</w:t>
      </w:r>
    </w:p>
    <w:p w14:paraId="520AA7A3">
      <w:pPr>
        <w:ind w:firstLine="420" w:firstLineChars="200"/>
      </w:pPr>
      <w:r>
        <w:rPr>
          <w:rFonts w:hint="eastAsia"/>
        </w:rPr>
        <w:t>（三）不同投标供应商的投标文件由同一单位或者同一人编制，或者由同一人分阶段参与编制的。</w:t>
      </w:r>
    </w:p>
    <w:p w14:paraId="2179AF01">
      <w:pPr>
        <w:ind w:firstLine="420" w:firstLineChars="200"/>
      </w:pPr>
      <w:r>
        <w:rPr>
          <w:rFonts w:hint="eastAsia"/>
        </w:rPr>
        <w:t>（四）不同投标供应商的投标文件或部分投标文件相互混装。</w:t>
      </w:r>
    </w:p>
    <w:p w14:paraId="5CF519B8">
      <w:pPr>
        <w:ind w:firstLine="420" w:firstLineChars="200"/>
      </w:pPr>
      <w:r>
        <w:rPr>
          <w:rFonts w:hint="eastAsia"/>
        </w:rPr>
        <w:t>（五）不同投标供应商的投标文件内容存在非正常一致。</w:t>
      </w:r>
    </w:p>
    <w:p w14:paraId="7D610ACE">
      <w:pPr>
        <w:ind w:firstLine="420" w:firstLineChars="200"/>
      </w:pPr>
      <w:r>
        <w:rPr>
          <w:rFonts w:hint="eastAsia"/>
        </w:rPr>
        <w:t>（六）由同一单位工作人员为两家以上（含两家）供应商进行同一项投标活动的。</w:t>
      </w:r>
    </w:p>
    <w:p w14:paraId="51DA7FE2">
      <w:pPr>
        <w:ind w:firstLine="420" w:firstLineChars="200"/>
      </w:pPr>
      <w:r>
        <w:rPr>
          <w:rFonts w:hint="eastAsia"/>
        </w:rPr>
        <w:t>（七）不同投标人的投标报价呈规律性差异。</w:t>
      </w:r>
    </w:p>
    <w:p w14:paraId="36D25CE2">
      <w:pPr>
        <w:ind w:firstLine="420" w:firstLineChars="200"/>
      </w:pPr>
      <w:r>
        <w:rPr>
          <w:rFonts w:hint="eastAsia"/>
        </w:rPr>
        <w:t>（八）不同投标人的投标保证金从同一单位或者个人的账户转出。</w:t>
      </w:r>
    </w:p>
    <w:p w14:paraId="3DD80584">
      <w:pPr>
        <w:ind w:firstLine="420" w:firstLineChars="200"/>
      </w:pPr>
      <w:r>
        <w:rPr>
          <w:rFonts w:hint="eastAsia"/>
        </w:rPr>
        <w:t>（九）主管部门依照法律、法规认定的其他情形。</w:t>
      </w:r>
    </w:p>
    <w:p w14:paraId="54A5C352">
      <w:pPr>
        <w:ind w:firstLine="422" w:firstLineChars="200"/>
        <w:rPr>
          <w:b/>
        </w:rPr>
      </w:pPr>
      <w:r>
        <w:rPr>
          <w:rFonts w:hint="eastAsia"/>
          <w:b/>
        </w:rPr>
        <w:t>三、本公司已充分知悉下列情形所对应的法律风险，并在投标前已对相关风险事项进行排查。</w:t>
      </w:r>
    </w:p>
    <w:p w14:paraId="379AB29A">
      <w:pPr>
        <w:ind w:firstLine="420" w:firstLineChars="200"/>
        <w:rPr>
          <w:b/>
        </w:rPr>
      </w:pPr>
      <w:r>
        <w:rPr>
          <w:rFonts w:hint="eastAsia"/>
        </w:rPr>
        <w:t>（一）对于从其他主体获取的投标资料，供应商应审慎核查，确保投标资料的真实性。</w:t>
      </w:r>
      <w:r>
        <w:rPr>
          <w:rFonts w:hint="eastAsia"/>
          <w:b/>
        </w:rPr>
        <w:t>如主管部门查实投标文件中存在虚假资料的，无论相关资料是否由第三方或本公司员工提供，均不影响主管部门对供应商存在“隐瞒真实情况，提供虚假资料”违法行为的认定。</w:t>
      </w:r>
    </w:p>
    <w:p w14:paraId="6D3BE182">
      <w:pPr>
        <w:ind w:firstLine="420" w:firstLineChars="200"/>
      </w:pPr>
      <w:r>
        <w:rPr>
          <w:rFonts w:hint="eastAsia"/>
        </w:rPr>
        <w:t>（二）对于涉及国家机关出具的公文、证件、证明材料等文件，一旦涉嫌虚假，经查实，主管部门将依法从严处理，并移送有关部门追究法律责任；涉嫌犯罪的，主管部门将一并移送司法机关追究法律责任。</w:t>
      </w:r>
    </w:p>
    <w:p w14:paraId="4BEA29F6">
      <w:pPr>
        <w:ind w:firstLine="420" w:firstLineChars="200"/>
      </w:pPr>
      <w:r>
        <w:rPr>
          <w:rFonts w:hint="eastAsia"/>
        </w:rPr>
        <w:t>（三）对于涉及安全生产、特种作业、抢险救灾、防疫等政府采购项目，供应商实施提供虚假资料、串通投标等违法行为的，主管部门将依法从严处理。</w:t>
      </w:r>
    </w:p>
    <w:p w14:paraId="3D13342C">
      <w:pPr>
        <w:ind w:firstLine="420" w:firstLineChars="200"/>
      </w:pPr>
      <w:r>
        <w:rPr>
          <w:rFonts w:hint="eastAsia"/>
        </w:rPr>
        <w:t>（四）供应商应严格规范项目授权代表、员工参与招标投标的行为，加强对投标文件的审核。项目授权代表、员工编制、上传投标文件等行为违反政府采购法律法规或招标文件要求的，投标供应商应当依法承担相应法律责任。</w:t>
      </w:r>
    </w:p>
    <w:p w14:paraId="6418ECB2">
      <w:pPr>
        <w:ind w:firstLine="420" w:firstLineChars="200"/>
      </w:pPr>
      <w:r>
        <w:rPr>
          <w:rFonts w:hint="eastAsia"/>
        </w:rPr>
        <w:t>（五）供应商对投标电子密钥负有妥善保管、及时变更和续期等主体责任。供应商使用电子密钥在深圳政府采购网站进行的活动，均具有法律效力，须承担相应的法律后果。供应商擅自将投标密钥出借他人使用所造成的法律后果，由供应商自行承担。</w:t>
      </w:r>
    </w:p>
    <w:p w14:paraId="672712A0">
      <w:pPr>
        <w:ind w:firstLine="420" w:firstLineChars="200"/>
      </w:pPr>
      <w:r>
        <w:rPr>
          <w:rFonts w:hint="eastAsia"/>
        </w:rPr>
        <w:t>（六）单位负责人为同一人或者存在直接控股、管理关系的不同供应商，不得参加同一合同项下的政府采购活动。相关情形如查实，依法作投标无效处理；涉嫌串通投标等违法行为的，主管部门将依法调查处理。</w:t>
      </w:r>
    </w:p>
    <w:p w14:paraId="71E16768">
      <w:pPr>
        <w:ind w:firstLine="422" w:firstLineChars="200"/>
        <w:rPr>
          <w:b/>
        </w:rPr>
      </w:pPr>
      <w:r>
        <w:rPr>
          <w:rFonts w:hint="eastAsia"/>
          <w:b/>
        </w:rPr>
        <w:t>四、本公司已充分知悉政府采购违法、违规行为的法律后果。</w:t>
      </w:r>
    </w:p>
    <w:p w14:paraId="7814C4E7">
      <w:pPr>
        <w:ind w:firstLine="420" w:firstLineChars="200"/>
      </w:pPr>
      <w:r>
        <w:rPr>
          <w:rFonts w:hint="eastAsia"/>
        </w:rPr>
        <w:t>经查实，若投标供应商存在政府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14:paraId="022959E0">
      <w:pPr>
        <w:ind w:firstLine="420" w:firstLineChars="200"/>
      </w:pPr>
      <w:r>
        <w:rPr>
          <w:rFonts w:hint="eastAsia"/>
          <w:highlight w:val="yellow"/>
        </w:rPr>
        <w:t>以下文字请投标供应商抄写并确认：“本公司已仔细阅读《政府采购违法行为风险知悉确认书》，充分知悉违法行为的法律后果，并承诺将严谨、诚信、依法依规参与政府采购活动”。</w:t>
      </w:r>
    </w:p>
    <w:tbl>
      <w:tblPr>
        <w:tblStyle w:val="34"/>
        <w:tblW w:w="8529" w:type="dxa"/>
        <w:tblInd w:w="0"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29"/>
      </w:tblGrid>
      <w:tr w14:paraId="00086F50">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8529" w:type="dxa"/>
            <w:tcBorders>
              <w:top w:val="nil"/>
              <w:left w:val="nil"/>
              <w:bottom w:val="single" w:color="000000" w:sz="8" w:space="0"/>
              <w:right w:val="nil"/>
            </w:tcBorders>
          </w:tcPr>
          <w:p w14:paraId="218E2222">
            <w:pPr>
              <w:autoSpaceDE w:val="0"/>
              <w:autoSpaceDN w:val="0"/>
              <w:spacing w:line="400" w:lineRule="exact"/>
              <w:ind w:firstLine="1866"/>
              <w:rPr>
                <w:rFonts w:ascii="宋体" w:hAnsi="宋体"/>
                <w:spacing w:val="-4"/>
                <w:kern w:val="0"/>
                <w:szCs w:val="21"/>
              </w:rPr>
            </w:pPr>
          </w:p>
        </w:tc>
      </w:tr>
      <w:tr w14:paraId="612F43A7">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tcPr>
          <w:p w14:paraId="765E746F">
            <w:pPr>
              <w:autoSpaceDE w:val="0"/>
              <w:autoSpaceDN w:val="0"/>
              <w:spacing w:line="400" w:lineRule="exact"/>
              <w:ind w:firstLine="1866"/>
              <w:rPr>
                <w:rFonts w:ascii="宋体" w:hAnsi="宋体"/>
                <w:spacing w:val="-4"/>
                <w:kern w:val="0"/>
                <w:szCs w:val="21"/>
              </w:rPr>
            </w:pPr>
          </w:p>
        </w:tc>
      </w:tr>
      <w:tr w14:paraId="5FC23637">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PrEx>
        <w:tc>
          <w:tcPr>
            <w:tcW w:w="8529" w:type="dxa"/>
            <w:tcBorders>
              <w:top w:val="single" w:color="000000" w:sz="8" w:space="0"/>
              <w:left w:val="nil"/>
              <w:bottom w:val="single" w:color="000000" w:sz="8" w:space="0"/>
              <w:right w:val="nil"/>
            </w:tcBorders>
          </w:tcPr>
          <w:p w14:paraId="1D139DCE">
            <w:pPr>
              <w:autoSpaceDE w:val="0"/>
              <w:autoSpaceDN w:val="0"/>
              <w:spacing w:line="400" w:lineRule="exact"/>
              <w:ind w:firstLine="1866"/>
              <w:rPr>
                <w:rFonts w:ascii="宋体" w:hAnsi="宋体"/>
                <w:spacing w:val="-4"/>
                <w:kern w:val="0"/>
                <w:szCs w:val="21"/>
              </w:rPr>
            </w:pPr>
          </w:p>
        </w:tc>
      </w:tr>
      <w:tr w14:paraId="24B1C921">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PrEx>
        <w:tc>
          <w:tcPr>
            <w:tcW w:w="8529" w:type="dxa"/>
            <w:tcBorders>
              <w:top w:val="single" w:color="000000" w:sz="8" w:space="0"/>
              <w:left w:val="nil"/>
              <w:bottom w:val="single" w:color="auto" w:sz="8" w:space="0"/>
              <w:right w:val="nil"/>
            </w:tcBorders>
          </w:tcPr>
          <w:p w14:paraId="5F0DFF5C">
            <w:pPr>
              <w:autoSpaceDE w:val="0"/>
              <w:autoSpaceDN w:val="0"/>
              <w:spacing w:line="400" w:lineRule="exact"/>
              <w:ind w:firstLine="1866"/>
              <w:rPr>
                <w:rFonts w:ascii="宋体" w:hAnsi="宋体"/>
                <w:spacing w:val="-4"/>
                <w:kern w:val="0"/>
                <w:szCs w:val="21"/>
              </w:rPr>
            </w:pPr>
          </w:p>
        </w:tc>
      </w:tr>
    </w:tbl>
    <w:p w14:paraId="624A410D">
      <w:pPr>
        <w:widowControl/>
        <w:wordWrap w:val="0"/>
        <w:autoSpaceDE w:val="0"/>
        <w:autoSpaceDN w:val="0"/>
        <w:spacing w:line="400" w:lineRule="exact"/>
        <w:ind w:right="808" w:firstLine="404" w:firstLineChars="200"/>
        <w:jc w:val="right"/>
        <w:rPr>
          <w:rFonts w:ascii="宋体" w:hAnsi="宋体"/>
          <w:spacing w:val="-4"/>
          <w:kern w:val="0"/>
          <w:szCs w:val="21"/>
          <w:u w:val="single"/>
        </w:rPr>
      </w:pPr>
      <w:r>
        <w:rPr>
          <w:rFonts w:hint="eastAsia" w:ascii="宋体" w:hAnsi="宋体"/>
          <w:spacing w:val="-4"/>
          <w:kern w:val="0"/>
          <w:szCs w:val="21"/>
        </w:rPr>
        <w:t>负责人/投标授权代表签名：</w:t>
      </w:r>
      <w:r>
        <w:rPr>
          <w:rFonts w:hint="eastAsia" w:ascii="宋体" w:hAnsi="宋体"/>
          <w:spacing w:val="-4"/>
          <w:kern w:val="0"/>
          <w:szCs w:val="21"/>
          <w:u w:val="single"/>
        </w:rPr>
        <w:t xml:space="preserve">              </w:t>
      </w:r>
    </w:p>
    <w:p w14:paraId="5B736534">
      <w:pPr>
        <w:widowControl/>
        <w:wordWrap w:val="0"/>
        <w:autoSpaceDE w:val="0"/>
        <w:autoSpaceDN w:val="0"/>
        <w:spacing w:line="400" w:lineRule="exact"/>
        <w:ind w:right="808" w:firstLine="404" w:firstLineChars="200"/>
        <w:jc w:val="right"/>
        <w:rPr>
          <w:rFonts w:ascii="宋体" w:hAnsi="宋体"/>
          <w:spacing w:val="-4"/>
          <w:kern w:val="0"/>
          <w:szCs w:val="21"/>
          <w:u w:val="single"/>
        </w:rPr>
      </w:pPr>
      <w:r>
        <w:rPr>
          <w:rFonts w:hint="eastAsia" w:ascii="宋体" w:hAnsi="宋体"/>
          <w:spacing w:val="-4"/>
          <w:kern w:val="0"/>
          <w:szCs w:val="21"/>
        </w:rPr>
        <w:t>知悉人（公章）：</w:t>
      </w:r>
      <w:r>
        <w:rPr>
          <w:rFonts w:hint="eastAsia" w:ascii="宋体" w:hAnsi="宋体"/>
          <w:spacing w:val="-4"/>
          <w:kern w:val="0"/>
          <w:szCs w:val="21"/>
          <w:u w:val="single"/>
        </w:rPr>
        <w:t xml:space="preserve">              </w:t>
      </w:r>
    </w:p>
    <w:p w14:paraId="32DFE56D">
      <w:pPr>
        <w:widowControl/>
        <w:wordWrap w:val="0"/>
        <w:autoSpaceDE w:val="0"/>
        <w:autoSpaceDN w:val="0"/>
        <w:spacing w:line="400" w:lineRule="exact"/>
        <w:ind w:right="808" w:firstLine="404" w:firstLineChars="200"/>
        <w:jc w:val="right"/>
        <w:rPr>
          <w:rFonts w:ascii="宋体" w:hAnsi="宋体"/>
          <w:spacing w:val="-4"/>
          <w:kern w:val="0"/>
          <w:szCs w:val="21"/>
          <w:u w:val="single"/>
        </w:rPr>
      </w:pPr>
      <w:r>
        <w:rPr>
          <w:rFonts w:hint="eastAsia" w:ascii="宋体" w:hAnsi="宋体"/>
          <w:spacing w:val="-4"/>
          <w:kern w:val="0"/>
          <w:szCs w:val="21"/>
        </w:rPr>
        <w:t xml:space="preserve">     日期：</w:t>
      </w:r>
      <w:r>
        <w:rPr>
          <w:rFonts w:hint="eastAsia" w:ascii="宋体" w:hAnsi="宋体"/>
          <w:spacing w:val="-4"/>
          <w:kern w:val="0"/>
          <w:szCs w:val="21"/>
          <w:u w:val="single"/>
        </w:rPr>
        <w:t xml:space="preserve">              </w:t>
      </w:r>
    </w:p>
    <w:p w14:paraId="00730D0A">
      <w:pPr>
        <w:widowControl/>
        <w:wordWrap w:val="0"/>
        <w:autoSpaceDE w:val="0"/>
        <w:autoSpaceDN w:val="0"/>
        <w:spacing w:line="400" w:lineRule="exact"/>
        <w:ind w:right="1414" w:firstLine="404" w:firstLineChars="200"/>
        <w:jc w:val="right"/>
        <w:rPr>
          <w:rFonts w:ascii="宋体" w:hAnsi="宋体"/>
          <w:spacing w:val="-4"/>
          <w:kern w:val="0"/>
          <w:szCs w:val="21"/>
        </w:rPr>
      </w:pPr>
      <w:r>
        <w:rPr>
          <w:rFonts w:hint="eastAsia" w:ascii="宋体" w:hAnsi="宋体"/>
          <w:spacing w:val="-4"/>
          <w:kern w:val="0"/>
          <w:szCs w:val="21"/>
        </w:rPr>
        <w:t xml:space="preserve">     </w:t>
      </w:r>
    </w:p>
    <w:p w14:paraId="313FA3C5">
      <w:pPr>
        <w:widowControl/>
        <w:autoSpaceDE w:val="0"/>
        <w:autoSpaceDN w:val="0"/>
        <w:spacing w:line="400" w:lineRule="exact"/>
        <w:ind w:firstLine="406" w:firstLineChars="200"/>
        <w:jc w:val="left"/>
        <w:rPr>
          <w:rFonts w:ascii="宋体" w:hAnsi="宋体"/>
          <w:b/>
          <w:bCs/>
          <w:color w:val="FF0000"/>
          <w:spacing w:val="-4"/>
          <w:kern w:val="0"/>
          <w:szCs w:val="21"/>
        </w:rPr>
      </w:pPr>
      <w:r>
        <w:rPr>
          <w:rFonts w:hint="eastAsia" w:ascii="宋体" w:hAnsi="宋体"/>
          <w:b/>
          <w:bCs/>
          <w:color w:val="FF0000"/>
          <w:spacing w:val="-4"/>
          <w:kern w:val="0"/>
          <w:szCs w:val="21"/>
        </w:rPr>
        <w:t>注：</w:t>
      </w:r>
    </w:p>
    <w:p w14:paraId="31EDFE9B">
      <w:pPr>
        <w:widowControl/>
        <w:autoSpaceDE w:val="0"/>
        <w:autoSpaceDN w:val="0"/>
        <w:spacing w:line="400" w:lineRule="exact"/>
        <w:ind w:firstLine="406" w:firstLineChars="200"/>
        <w:jc w:val="left"/>
        <w:rPr>
          <w:rFonts w:ascii="宋体" w:hAnsi="宋体"/>
          <w:b/>
          <w:bCs/>
          <w:color w:val="FF0000"/>
          <w:spacing w:val="-4"/>
          <w:kern w:val="0"/>
          <w:szCs w:val="21"/>
        </w:rPr>
      </w:pPr>
      <w:r>
        <w:rPr>
          <w:rFonts w:hint="eastAsia" w:ascii="宋体" w:hAnsi="宋体"/>
          <w:b/>
          <w:bCs/>
          <w:color w:val="FF0000"/>
          <w:spacing w:val="-4"/>
          <w:kern w:val="0"/>
          <w:szCs w:val="21"/>
        </w:rPr>
        <w:t>1.</w:t>
      </w:r>
      <w:r>
        <w:rPr>
          <w:rFonts w:hint="eastAsia"/>
        </w:rPr>
        <w:t xml:space="preserve"> </w:t>
      </w:r>
      <w:r>
        <w:rPr>
          <w:rFonts w:hint="eastAsia" w:ascii="宋体" w:hAnsi="宋体"/>
          <w:b/>
          <w:bCs/>
          <w:color w:val="FF0000"/>
          <w:spacing w:val="-4"/>
          <w:kern w:val="0"/>
          <w:szCs w:val="21"/>
        </w:rPr>
        <w:t>根据《深圳市财政局关于采购文件增加风险告知有关事项的通知》（深财购〔2022〕22 号），该风险知悉确认书用于对供应商违法行为的警示，不作为供应商资格性审查及符合性审查条件。</w:t>
      </w:r>
    </w:p>
    <w:p w14:paraId="44392B32">
      <w:pPr>
        <w:widowControl/>
        <w:autoSpaceDE w:val="0"/>
        <w:autoSpaceDN w:val="0"/>
        <w:spacing w:line="400" w:lineRule="exact"/>
        <w:ind w:firstLine="406" w:firstLineChars="200"/>
        <w:jc w:val="left"/>
        <w:rPr>
          <w:rFonts w:ascii="宋体" w:hAnsi="宋体"/>
          <w:color w:val="FF0000"/>
          <w:spacing w:val="-4"/>
          <w:kern w:val="0"/>
          <w:szCs w:val="21"/>
        </w:rPr>
      </w:pPr>
      <w:r>
        <w:rPr>
          <w:rFonts w:hint="eastAsia" w:ascii="宋体" w:hAnsi="宋体"/>
          <w:b/>
          <w:bCs/>
          <w:color w:val="FF0000"/>
          <w:spacing w:val="-4"/>
          <w:kern w:val="0"/>
          <w:szCs w:val="21"/>
        </w:rPr>
        <w:t>2.投标供应商负责人或投标授权代表签字</w:t>
      </w:r>
      <w:r>
        <w:rPr>
          <w:rFonts w:hint="eastAsia" w:ascii="宋体" w:hAnsi="宋体"/>
          <w:b/>
          <w:bCs/>
          <w:color w:val="FF0000"/>
          <w:spacing w:val="-4"/>
          <w:kern w:val="0"/>
          <w:szCs w:val="21"/>
          <w:highlight w:val="yellow"/>
        </w:rPr>
        <w:t>并加盖单位公章</w:t>
      </w:r>
      <w:r>
        <w:rPr>
          <w:rFonts w:hint="eastAsia" w:ascii="宋体" w:hAnsi="宋体"/>
          <w:b/>
          <w:bCs/>
          <w:color w:val="FF0000"/>
          <w:spacing w:val="-4"/>
          <w:kern w:val="0"/>
          <w:szCs w:val="21"/>
        </w:rPr>
        <w:t>后，扫描上传至投标文件一并提交。</w:t>
      </w:r>
    </w:p>
    <w:p w14:paraId="401F34D3">
      <w:pPr>
        <w:widowControl/>
        <w:autoSpaceDE w:val="0"/>
        <w:autoSpaceDN w:val="0"/>
        <w:spacing w:line="400" w:lineRule="exact"/>
        <w:ind w:right="1414" w:firstLine="480" w:firstLineChars="200"/>
        <w:jc w:val="right"/>
        <w:rPr>
          <w:kern w:val="0"/>
          <w:sz w:val="24"/>
        </w:rPr>
      </w:pPr>
    </w:p>
    <w:p w14:paraId="27E2C677">
      <w:pPr>
        <w:widowControl/>
        <w:autoSpaceDE w:val="0"/>
        <w:autoSpaceDN w:val="0"/>
        <w:spacing w:line="400" w:lineRule="exact"/>
        <w:ind w:right="1414" w:firstLine="480" w:firstLineChars="200"/>
        <w:jc w:val="right"/>
        <w:rPr>
          <w:kern w:val="0"/>
          <w:sz w:val="24"/>
        </w:rPr>
      </w:pPr>
    </w:p>
    <w:p w14:paraId="2632BA75">
      <w:pPr>
        <w:widowControl/>
        <w:autoSpaceDE w:val="0"/>
        <w:autoSpaceDN w:val="0"/>
        <w:spacing w:line="400" w:lineRule="exact"/>
        <w:ind w:right="1414" w:firstLine="480" w:firstLineChars="200"/>
        <w:jc w:val="left"/>
        <w:rPr>
          <w:kern w:val="0"/>
          <w:sz w:val="24"/>
        </w:rPr>
      </w:pPr>
    </w:p>
    <w:p w14:paraId="54D79667">
      <w:pPr>
        <w:widowControl/>
        <w:spacing w:line="480" w:lineRule="auto"/>
        <w:jc w:val="center"/>
        <w:outlineLvl w:val="2"/>
        <w:rPr>
          <w:rFonts w:ascii="黑体" w:hAnsi="黑体" w:eastAsia="黑体" w:cs="黑体"/>
        </w:rPr>
      </w:pPr>
      <w:r>
        <w:rPr>
          <w:rFonts w:hint="eastAsia" w:ascii="黑体" w:hAnsi="黑体" w:eastAsia="黑体" w:cs="黑体"/>
          <w:sz w:val="24"/>
          <w:szCs w:val="24"/>
        </w:rPr>
        <w:t>七、技术保障措施</w:t>
      </w:r>
    </w:p>
    <w:p w14:paraId="379A2590">
      <w:pPr>
        <w:widowControl/>
        <w:spacing w:line="480" w:lineRule="auto"/>
        <w:jc w:val="center"/>
        <w:outlineLvl w:val="2"/>
        <w:rPr>
          <w:rFonts w:hint="eastAsia" w:ascii="黑体" w:hAnsi="宋体" w:eastAsia="黑体"/>
          <w:kern w:val="0"/>
          <w:sz w:val="24"/>
          <w:szCs w:val="20"/>
          <w:lang w:val="en-US" w:eastAsia="zh-CN"/>
        </w:rPr>
      </w:pPr>
      <w:r>
        <w:rPr>
          <w:rFonts w:hint="eastAsia" w:ascii="黑体" w:hAnsi="宋体" w:eastAsia="黑体"/>
          <w:kern w:val="0"/>
          <w:sz w:val="24"/>
          <w:szCs w:val="20"/>
        </w:rPr>
        <w:t>八、技术人员</w:t>
      </w:r>
    </w:p>
    <w:p w14:paraId="073DAEFD">
      <w:pPr>
        <w:widowControl/>
        <w:spacing w:line="480" w:lineRule="auto"/>
        <w:jc w:val="center"/>
        <w:outlineLvl w:val="2"/>
        <w:rPr>
          <w:rFonts w:ascii="黑体" w:hAnsi="黑体" w:eastAsia="黑体" w:cs="黑体"/>
          <w:kern w:val="0"/>
          <w:sz w:val="24"/>
          <w:szCs w:val="20"/>
        </w:rPr>
      </w:pPr>
      <w:r>
        <w:rPr>
          <w:rFonts w:hint="eastAsia" w:ascii="黑体" w:hAnsi="宋体" w:eastAsia="黑体"/>
          <w:kern w:val="0"/>
          <w:sz w:val="24"/>
          <w:szCs w:val="20"/>
          <w:lang w:val="en-US" w:eastAsia="zh-CN"/>
        </w:rPr>
        <w:t>九、检测报告</w:t>
      </w:r>
    </w:p>
    <w:p w14:paraId="7FE6498B">
      <w:pPr>
        <w:widowControl/>
        <w:spacing w:line="480" w:lineRule="auto"/>
        <w:jc w:val="center"/>
        <w:outlineLvl w:val="2"/>
        <w:rPr>
          <w:rFonts w:hint="eastAsia" w:ascii="黑体" w:hAnsi="黑体" w:eastAsia="黑体" w:cs="黑体"/>
          <w:kern w:val="0"/>
          <w:sz w:val="24"/>
          <w:szCs w:val="20"/>
        </w:rPr>
      </w:pPr>
      <w:r>
        <w:rPr>
          <w:rFonts w:hint="eastAsia" w:ascii="黑体" w:hAnsi="黑体" w:eastAsia="黑体" w:cs="黑体"/>
          <w:kern w:val="0"/>
          <w:sz w:val="24"/>
          <w:szCs w:val="20"/>
          <w:lang w:val="en-US" w:eastAsia="zh-CN"/>
        </w:rPr>
        <w:t>十</w:t>
      </w:r>
      <w:r>
        <w:rPr>
          <w:rFonts w:hint="eastAsia" w:ascii="黑体" w:hAnsi="黑体" w:eastAsia="黑体" w:cs="黑体"/>
          <w:kern w:val="0"/>
          <w:sz w:val="24"/>
          <w:szCs w:val="20"/>
        </w:rPr>
        <w:t>、效果图</w:t>
      </w:r>
    </w:p>
    <w:p w14:paraId="313590F6">
      <w:pPr>
        <w:widowControl/>
        <w:spacing w:line="480" w:lineRule="auto"/>
        <w:jc w:val="center"/>
        <w:outlineLvl w:val="2"/>
        <w:rPr>
          <w:rFonts w:hint="eastAsia" w:ascii="黑体" w:hAnsi="黑体" w:eastAsia="黑体" w:cs="黑体"/>
          <w:kern w:val="0"/>
          <w:sz w:val="24"/>
          <w:szCs w:val="20"/>
        </w:rPr>
      </w:pPr>
      <w:r>
        <w:rPr>
          <w:rFonts w:hint="eastAsia" w:ascii="黑体" w:hAnsi="黑体" w:eastAsia="黑体" w:cs="黑体"/>
          <w:kern w:val="0"/>
          <w:sz w:val="24"/>
          <w:szCs w:val="20"/>
          <w:lang w:eastAsia="zh-CN"/>
        </w:rPr>
        <w:t>十一、售后服务</w:t>
      </w:r>
    </w:p>
    <w:p w14:paraId="2ABF974F">
      <w:pPr>
        <w:widowControl/>
        <w:spacing w:line="480" w:lineRule="auto"/>
        <w:jc w:val="center"/>
        <w:outlineLvl w:val="2"/>
        <w:rPr>
          <w:rFonts w:hint="eastAsia" w:ascii="黑体" w:hAnsi="黑体" w:eastAsia="黑体" w:cs="黑体"/>
          <w:kern w:val="0"/>
          <w:sz w:val="24"/>
          <w:szCs w:val="20"/>
        </w:rPr>
      </w:pPr>
      <w:r>
        <w:rPr>
          <w:rFonts w:hint="eastAsia" w:ascii="黑体" w:hAnsi="黑体" w:eastAsia="黑体" w:cs="黑体"/>
          <w:kern w:val="0"/>
          <w:sz w:val="24"/>
          <w:szCs w:val="20"/>
          <w:lang w:eastAsia="zh-CN"/>
        </w:rPr>
        <w:t>十二、同类项目业绩</w:t>
      </w:r>
    </w:p>
    <w:p w14:paraId="5193F856">
      <w:pPr>
        <w:widowControl/>
        <w:spacing w:line="480" w:lineRule="auto"/>
        <w:jc w:val="center"/>
        <w:outlineLvl w:val="2"/>
        <w:rPr>
          <w:rFonts w:hint="eastAsia" w:ascii="黑体" w:hAnsi="黑体" w:eastAsia="黑体" w:cs="黑体"/>
          <w:kern w:val="0"/>
          <w:sz w:val="24"/>
          <w:szCs w:val="20"/>
          <w:lang w:eastAsia="zh-CN"/>
        </w:rPr>
      </w:pPr>
    </w:p>
    <w:p w14:paraId="3B5217D0">
      <w:pPr>
        <w:widowControl/>
        <w:spacing w:line="240" w:lineRule="auto"/>
        <w:jc w:val="left"/>
        <w:outlineLvl w:val="9"/>
        <w:rPr>
          <w:rFonts w:hint="eastAsia" w:ascii="黑体" w:hAnsi="宋体" w:eastAsia="黑体"/>
          <w:kern w:val="0"/>
          <w:sz w:val="24"/>
          <w:szCs w:val="20"/>
          <w:lang w:val="en-US" w:eastAsia="zh-CN"/>
        </w:rPr>
      </w:pPr>
      <w:r>
        <w:rPr>
          <w:rFonts w:hint="eastAsia" w:ascii="黑体" w:hAnsi="宋体" w:eastAsia="黑体"/>
          <w:kern w:val="0"/>
          <w:sz w:val="24"/>
          <w:szCs w:val="20"/>
          <w:lang w:val="en-US" w:eastAsia="zh-CN"/>
        </w:rPr>
        <w:br w:type="page"/>
      </w:r>
    </w:p>
    <w:p w14:paraId="5AA1329B">
      <w:pPr>
        <w:widowControl/>
        <w:spacing w:line="480" w:lineRule="auto"/>
        <w:jc w:val="center"/>
        <w:outlineLvl w:val="2"/>
        <w:rPr>
          <w:rFonts w:hint="eastAsia" w:ascii="黑体" w:hAnsi="宋体" w:eastAsia="黑体"/>
          <w:kern w:val="0"/>
          <w:sz w:val="24"/>
          <w:szCs w:val="20"/>
          <w:lang w:val="en-US" w:eastAsia="zh-CN"/>
        </w:rPr>
      </w:pPr>
    </w:p>
    <w:p w14:paraId="362A5232">
      <w:pPr>
        <w:widowControl/>
        <w:spacing w:line="480" w:lineRule="auto"/>
        <w:jc w:val="center"/>
        <w:outlineLvl w:val="2"/>
        <w:rPr>
          <w:rFonts w:hint="eastAsia" w:ascii="黑体" w:hAnsi="黑体" w:eastAsia="黑体" w:cs="黑体"/>
          <w:kern w:val="0"/>
          <w:sz w:val="24"/>
          <w:szCs w:val="20"/>
          <w:lang w:val="en-US" w:eastAsia="zh-CN"/>
        </w:rPr>
      </w:pPr>
      <w:r>
        <w:rPr>
          <w:rFonts w:hint="eastAsia" w:ascii="黑体" w:hAnsi="黑体" w:eastAsia="黑体" w:cs="黑体"/>
          <w:kern w:val="0"/>
          <w:sz w:val="24"/>
          <w:szCs w:val="20"/>
          <w:lang w:eastAsia="zh-CN"/>
        </w:rPr>
        <w:t>十三、</w:t>
      </w:r>
      <w:r>
        <w:rPr>
          <w:rFonts w:hint="eastAsia" w:ascii="黑体" w:hAnsi="黑体" w:eastAsia="黑体" w:cs="黑体"/>
          <w:kern w:val="0"/>
          <w:sz w:val="24"/>
          <w:szCs w:val="20"/>
        </w:rPr>
        <w:t>诚信承诺函</w:t>
      </w:r>
    </w:p>
    <w:p w14:paraId="3D9D7A50">
      <w:pPr>
        <w:spacing w:line="360" w:lineRule="auto"/>
        <w:rPr>
          <w:rFonts w:ascii="宋体" w:hAnsi="宋体" w:cs="宋体"/>
          <w:color w:val="000000"/>
          <w:sz w:val="22"/>
          <w:szCs w:val="22"/>
        </w:rPr>
      </w:pPr>
      <w:r>
        <w:rPr>
          <w:rFonts w:hint="eastAsia" w:ascii="宋体" w:hAnsi="宋体" w:cs="宋体"/>
          <w:color w:val="000000"/>
          <w:sz w:val="22"/>
          <w:szCs w:val="22"/>
        </w:rPr>
        <w:t>致：深圳市东海国际招标有限公司</w:t>
      </w:r>
    </w:p>
    <w:p w14:paraId="64F1AC6C">
      <w:pPr>
        <w:spacing w:line="360" w:lineRule="auto"/>
        <w:ind w:firstLine="440" w:firstLineChars="200"/>
        <w:rPr>
          <w:rFonts w:ascii="宋体" w:hAnsi="宋体" w:cs="宋体"/>
          <w:color w:val="000000"/>
          <w:sz w:val="22"/>
          <w:szCs w:val="22"/>
        </w:rPr>
      </w:pPr>
      <w:r>
        <w:rPr>
          <w:rFonts w:hint="eastAsia" w:ascii="宋体" w:hAnsi="宋体" w:cs="宋体"/>
          <w:color w:val="000000"/>
          <w:sz w:val="22"/>
          <w:szCs w:val="22"/>
        </w:rPr>
        <w:t>我公司承诺，在政府采购招标投标活动中无下列行为：</w:t>
      </w:r>
    </w:p>
    <w:p w14:paraId="60B643C1">
      <w:pPr>
        <w:tabs>
          <w:tab w:val="left" w:pos="567"/>
        </w:tabs>
        <w:spacing w:line="360" w:lineRule="auto"/>
        <w:ind w:left="420"/>
        <w:jc w:val="left"/>
        <w:rPr>
          <w:rFonts w:ascii="宋体" w:hAnsi="宋体" w:cs="宋体"/>
          <w:color w:val="000000"/>
          <w:sz w:val="22"/>
          <w:szCs w:val="22"/>
        </w:rPr>
      </w:pPr>
      <w:r>
        <w:rPr>
          <w:rFonts w:hint="eastAsia" w:ascii="宋体" w:hAnsi="宋体" w:cs="宋体"/>
          <w:color w:val="000000"/>
          <w:sz w:val="22"/>
          <w:szCs w:val="22"/>
        </w:rPr>
        <w:t>（一）被纪检监察部门立案调查，违法违规事实成立的；</w:t>
      </w:r>
    </w:p>
    <w:p w14:paraId="29EC1ADC">
      <w:pPr>
        <w:tabs>
          <w:tab w:val="left" w:pos="567"/>
        </w:tabs>
        <w:spacing w:line="360" w:lineRule="auto"/>
        <w:ind w:left="420"/>
        <w:jc w:val="left"/>
        <w:rPr>
          <w:rFonts w:ascii="宋体" w:hAnsi="宋体" w:cs="宋体"/>
          <w:color w:val="000000"/>
          <w:sz w:val="22"/>
          <w:szCs w:val="22"/>
        </w:rPr>
      </w:pPr>
      <w:r>
        <w:rPr>
          <w:rFonts w:hint="eastAsia" w:ascii="宋体" w:hAnsi="宋体" w:cs="宋体"/>
          <w:color w:val="000000"/>
          <w:sz w:val="22"/>
          <w:szCs w:val="22"/>
        </w:rPr>
        <w:t>（二）未按本条例规定签订、履行采购合同，造成严重后果的；</w:t>
      </w:r>
    </w:p>
    <w:p w14:paraId="14AA9CDD">
      <w:pPr>
        <w:tabs>
          <w:tab w:val="left" w:pos="567"/>
        </w:tabs>
        <w:spacing w:line="360" w:lineRule="auto"/>
        <w:ind w:left="420"/>
        <w:jc w:val="left"/>
        <w:rPr>
          <w:rFonts w:ascii="宋体" w:hAnsi="宋体" w:cs="宋体"/>
          <w:color w:val="000000"/>
          <w:sz w:val="22"/>
          <w:szCs w:val="22"/>
        </w:rPr>
      </w:pPr>
      <w:r>
        <w:rPr>
          <w:rFonts w:hint="eastAsia" w:ascii="宋体" w:hAnsi="宋体" w:cs="宋体"/>
          <w:color w:val="000000"/>
          <w:sz w:val="22"/>
          <w:szCs w:val="22"/>
        </w:rPr>
        <w:t>（三）隐瞒真实情况，提供虚假资料的；</w:t>
      </w:r>
    </w:p>
    <w:p w14:paraId="2C8DA4B5">
      <w:pPr>
        <w:tabs>
          <w:tab w:val="left" w:pos="567"/>
        </w:tabs>
        <w:spacing w:line="360" w:lineRule="auto"/>
        <w:ind w:left="420"/>
        <w:jc w:val="left"/>
        <w:rPr>
          <w:rFonts w:ascii="宋体" w:hAnsi="宋体" w:cs="宋体"/>
          <w:color w:val="000000"/>
          <w:sz w:val="22"/>
          <w:szCs w:val="22"/>
        </w:rPr>
      </w:pPr>
      <w:r>
        <w:rPr>
          <w:rFonts w:hint="eastAsia" w:ascii="宋体" w:hAnsi="宋体" w:cs="宋体"/>
          <w:color w:val="000000"/>
          <w:sz w:val="22"/>
          <w:szCs w:val="22"/>
        </w:rPr>
        <w:t>（四）以非法手段排斥其他供应商参与竞争的；</w:t>
      </w:r>
    </w:p>
    <w:p w14:paraId="2D10019D">
      <w:pPr>
        <w:tabs>
          <w:tab w:val="left" w:pos="567"/>
        </w:tabs>
        <w:spacing w:line="360" w:lineRule="auto"/>
        <w:ind w:left="420"/>
        <w:jc w:val="left"/>
        <w:rPr>
          <w:rFonts w:ascii="宋体" w:hAnsi="宋体" w:cs="宋体"/>
          <w:color w:val="000000"/>
          <w:sz w:val="22"/>
          <w:szCs w:val="22"/>
        </w:rPr>
      </w:pPr>
      <w:r>
        <w:rPr>
          <w:rFonts w:hint="eastAsia" w:ascii="宋体" w:hAnsi="宋体" w:cs="宋体"/>
          <w:color w:val="000000"/>
          <w:sz w:val="22"/>
          <w:szCs w:val="22"/>
        </w:rPr>
        <w:t>（五）与其他采购参加人串通投标的；</w:t>
      </w:r>
    </w:p>
    <w:p w14:paraId="07A77CF2">
      <w:pPr>
        <w:tabs>
          <w:tab w:val="left" w:pos="567"/>
        </w:tabs>
        <w:spacing w:line="360" w:lineRule="auto"/>
        <w:ind w:left="420"/>
        <w:jc w:val="left"/>
        <w:rPr>
          <w:rFonts w:ascii="宋体" w:hAnsi="宋体" w:cs="宋体"/>
          <w:color w:val="000000"/>
          <w:sz w:val="22"/>
          <w:szCs w:val="22"/>
        </w:rPr>
      </w:pPr>
      <w:r>
        <w:rPr>
          <w:rFonts w:hint="eastAsia" w:ascii="宋体" w:hAnsi="宋体" w:cs="宋体"/>
          <w:color w:val="000000"/>
          <w:sz w:val="22"/>
          <w:szCs w:val="22"/>
        </w:rPr>
        <w:t xml:space="preserve">（六）在采购活动中应当回避而未回避的； </w:t>
      </w:r>
    </w:p>
    <w:p w14:paraId="153B34AA">
      <w:pPr>
        <w:tabs>
          <w:tab w:val="left" w:pos="567"/>
        </w:tabs>
        <w:spacing w:line="360" w:lineRule="auto"/>
        <w:ind w:left="420"/>
        <w:jc w:val="left"/>
        <w:rPr>
          <w:rFonts w:ascii="宋体" w:hAnsi="宋体" w:cs="宋体"/>
          <w:color w:val="000000"/>
          <w:sz w:val="22"/>
          <w:szCs w:val="22"/>
        </w:rPr>
      </w:pPr>
      <w:r>
        <w:rPr>
          <w:rFonts w:hint="eastAsia" w:ascii="宋体" w:hAnsi="宋体" w:cs="宋体"/>
          <w:color w:val="000000"/>
          <w:sz w:val="22"/>
          <w:szCs w:val="22"/>
        </w:rPr>
        <w:t xml:space="preserve">（七）恶意投诉的； </w:t>
      </w:r>
    </w:p>
    <w:p w14:paraId="008000AB">
      <w:pPr>
        <w:tabs>
          <w:tab w:val="left" w:pos="567"/>
        </w:tabs>
        <w:spacing w:line="360" w:lineRule="auto"/>
        <w:ind w:left="420"/>
        <w:jc w:val="left"/>
        <w:rPr>
          <w:rFonts w:ascii="宋体" w:hAnsi="宋体" w:cs="宋体"/>
          <w:color w:val="000000"/>
          <w:sz w:val="22"/>
          <w:szCs w:val="22"/>
        </w:rPr>
      </w:pPr>
      <w:r>
        <w:rPr>
          <w:rFonts w:hint="eastAsia" w:ascii="宋体" w:hAnsi="宋体" w:cs="宋体"/>
          <w:color w:val="000000"/>
          <w:sz w:val="22"/>
          <w:szCs w:val="22"/>
        </w:rPr>
        <w:t xml:space="preserve">（八）向采购项目相关人行贿或者提供其他不当利益的； </w:t>
      </w:r>
    </w:p>
    <w:p w14:paraId="313E8920">
      <w:pPr>
        <w:tabs>
          <w:tab w:val="left" w:pos="567"/>
        </w:tabs>
        <w:spacing w:line="360" w:lineRule="auto"/>
        <w:ind w:left="420"/>
        <w:jc w:val="left"/>
        <w:rPr>
          <w:rFonts w:ascii="宋体" w:hAnsi="宋体" w:cs="宋体"/>
          <w:color w:val="000000"/>
          <w:sz w:val="22"/>
          <w:szCs w:val="22"/>
        </w:rPr>
      </w:pPr>
      <w:r>
        <w:rPr>
          <w:rFonts w:hint="eastAsia" w:ascii="宋体" w:hAnsi="宋体" w:cs="宋体"/>
          <w:color w:val="000000"/>
          <w:sz w:val="22"/>
          <w:szCs w:val="22"/>
        </w:rPr>
        <w:t>（九）阻碍、抗拒主管部门监督检查的；</w:t>
      </w:r>
    </w:p>
    <w:p w14:paraId="64F2E09D">
      <w:pPr>
        <w:tabs>
          <w:tab w:val="left" w:pos="567"/>
        </w:tabs>
        <w:spacing w:line="360" w:lineRule="auto"/>
        <w:ind w:left="420"/>
        <w:jc w:val="left"/>
        <w:rPr>
          <w:rFonts w:ascii="宋体" w:hAnsi="宋体" w:cs="宋体"/>
          <w:color w:val="000000"/>
          <w:sz w:val="22"/>
          <w:szCs w:val="22"/>
        </w:rPr>
      </w:pPr>
      <w:r>
        <w:rPr>
          <w:rFonts w:hint="eastAsia" w:ascii="宋体" w:hAnsi="宋体" w:cs="宋体"/>
          <w:color w:val="000000"/>
          <w:sz w:val="22"/>
          <w:szCs w:val="22"/>
        </w:rPr>
        <w:t>（十）履约检查不合格或者评价为差的；</w:t>
      </w:r>
    </w:p>
    <w:p w14:paraId="023AFDF4">
      <w:pPr>
        <w:tabs>
          <w:tab w:val="left" w:pos="567"/>
        </w:tabs>
        <w:spacing w:line="360" w:lineRule="auto"/>
        <w:ind w:left="420"/>
        <w:jc w:val="left"/>
        <w:rPr>
          <w:rFonts w:ascii="宋体" w:hAnsi="宋体" w:cs="宋体"/>
          <w:color w:val="000000"/>
          <w:sz w:val="22"/>
          <w:szCs w:val="22"/>
        </w:rPr>
      </w:pPr>
      <w:r>
        <w:rPr>
          <w:rFonts w:hint="eastAsia" w:ascii="宋体" w:hAnsi="宋体" w:cs="宋体"/>
          <w:color w:val="000000"/>
          <w:sz w:val="22"/>
          <w:szCs w:val="22"/>
        </w:rPr>
        <w:t xml:space="preserve">（十一）参与本项目投标前三年内，在经营活动中有重大违法记录； </w:t>
      </w:r>
    </w:p>
    <w:p w14:paraId="6D142BAB">
      <w:pPr>
        <w:tabs>
          <w:tab w:val="left" w:pos="567"/>
        </w:tabs>
        <w:spacing w:line="360" w:lineRule="auto"/>
        <w:ind w:left="420"/>
        <w:jc w:val="left"/>
        <w:rPr>
          <w:rFonts w:ascii="宋体" w:hAnsi="宋体" w:cs="宋体"/>
          <w:color w:val="000000"/>
          <w:sz w:val="22"/>
          <w:szCs w:val="22"/>
        </w:rPr>
      </w:pPr>
      <w:r>
        <w:rPr>
          <w:rFonts w:hint="eastAsia" w:ascii="宋体" w:hAnsi="宋体" w:cs="宋体"/>
          <w:color w:val="000000"/>
          <w:sz w:val="22"/>
          <w:szCs w:val="22"/>
        </w:rPr>
        <w:t>（十二）参与本项目政府采购活动时存在处于被有关部门禁止参与政府采购活动且在有效期内的情况；</w:t>
      </w:r>
    </w:p>
    <w:p w14:paraId="68DF9421">
      <w:pPr>
        <w:spacing w:line="360" w:lineRule="auto"/>
        <w:ind w:firstLine="440" w:firstLineChars="200"/>
        <w:rPr>
          <w:rFonts w:ascii="宋体" w:hAnsi="宋体" w:cs="宋体"/>
          <w:color w:val="000000"/>
          <w:sz w:val="22"/>
          <w:szCs w:val="22"/>
        </w:rPr>
      </w:pPr>
      <w:r>
        <w:rPr>
          <w:rFonts w:hint="eastAsia" w:ascii="宋体" w:hAnsi="宋体" w:cs="宋体"/>
          <w:color w:val="000000"/>
          <w:sz w:val="22"/>
          <w:szCs w:val="22"/>
        </w:rPr>
        <w:t>（十三）主管部门认定的其他情形。</w:t>
      </w:r>
    </w:p>
    <w:p w14:paraId="4D9B36F6">
      <w:pPr>
        <w:spacing w:line="360" w:lineRule="auto"/>
        <w:ind w:firstLine="440" w:firstLineChars="200"/>
        <w:rPr>
          <w:rFonts w:ascii="宋体" w:hAnsi="宋体" w:cs="宋体"/>
          <w:color w:val="000000"/>
          <w:sz w:val="22"/>
          <w:szCs w:val="22"/>
        </w:rPr>
      </w:pPr>
      <w:r>
        <w:rPr>
          <w:rFonts w:hint="eastAsia" w:ascii="宋体" w:hAnsi="宋体" w:cs="宋体"/>
          <w:color w:val="000000"/>
          <w:sz w:val="22"/>
          <w:szCs w:val="22"/>
        </w:rPr>
        <w:t>如我司在开标日前三年内存在上述行为超出法定追诉时效未被追诉、或者上述情节轻微未给予禁止参加政府采购的行政处罚，我司自愿承担虚假应标以及其他一切不利的法律后果。</w:t>
      </w:r>
    </w:p>
    <w:p w14:paraId="192EF36E">
      <w:pPr>
        <w:spacing w:line="360" w:lineRule="auto"/>
        <w:ind w:firstLine="440" w:firstLineChars="200"/>
        <w:rPr>
          <w:rFonts w:ascii="宋体" w:hAnsi="宋体" w:cs="宋体"/>
          <w:color w:val="000000"/>
          <w:sz w:val="22"/>
          <w:szCs w:val="22"/>
        </w:rPr>
      </w:pPr>
      <w:r>
        <w:rPr>
          <w:rFonts w:hint="eastAsia" w:ascii="宋体" w:hAnsi="宋体" w:cs="宋体"/>
          <w:color w:val="000000"/>
          <w:sz w:val="22"/>
          <w:szCs w:val="22"/>
        </w:rPr>
        <w:t>特此承诺。</w:t>
      </w:r>
    </w:p>
    <w:p w14:paraId="67AB2578">
      <w:pPr>
        <w:spacing w:line="360" w:lineRule="auto"/>
        <w:ind w:firstLine="480" w:firstLineChars="200"/>
        <w:rPr>
          <w:rFonts w:ascii="宋体" w:hAnsi="宋体" w:cs="宋体"/>
          <w:color w:val="000000"/>
          <w:sz w:val="24"/>
        </w:rPr>
      </w:pPr>
    </w:p>
    <w:p w14:paraId="03625C14">
      <w:pPr>
        <w:spacing w:line="360" w:lineRule="auto"/>
        <w:rPr>
          <w:color w:val="000000"/>
          <w:sz w:val="22"/>
          <w:szCs w:val="22"/>
        </w:rPr>
      </w:pPr>
      <w:r>
        <w:rPr>
          <w:rFonts w:hint="eastAsia" w:ascii="宋体" w:hAnsi="宋体"/>
          <w:color w:val="000000"/>
          <w:sz w:val="22"/>
          <w:szCs w:val="22"/>
          <w:lang w:val="zh-CN"/>
        </w:rPr>
        <w:t>法定代表人（</w:t>
      </w:r>
      <w:r>
        <w:rPr>
          <w:rFonts w:hint="eastAsia" w:ascii="宋体" w:hAnsi="宋体"/>
          <w:color w:val="000000"/>
          <w:sz w:val="22"/>
          <w:szCs w:val="22"/>
        </w:rPr>
        <w:t>单位负责人</w:t>
      </w:r>
      <w:r>
        <w:rPr>
          <w:rFonts w:hint="eastAsia" w:ascii="宋体" w:hAnsi="宋体"/>
          <w:color w:val="000000"/>
          <w:sz w:val="22"/>
          <w:szCs w:val="22"/>
          <w:lang w:val="zh-CN"/>
        </w:rPr>
        <w:t>）或其授权代表</w:t>
      </w:r>
      <w:r>
        <w:rPr>
          <w:rFonts w:hint="eastAsia"/>
          <w:color w:val="000000"/>
          <w:sz w:val="22"/>
          <w:szCs w:val="22"/>
        </w:rPr>
        <w:t xml:space="preserve">：                   </w:t>
      </w:r>
    </w:p>
    <w:p w14:paraId="413A08B0">
      <w:pPr>
        <w:spacing w:line="360" w:lineRule="auto"/>
        <w:rPr>
          <w:color w:val="000000"/>
          <w:sz w:val="22"/>
          <w:szCs w:val="22"/>
        </w:rPr>
      </w:pPr>
      <w:r>
        <w:rPr>
          <w:rFonts w:hint="eastAsia"/>
          <w:color w:val="000000"/>
          <w:sz w:val="22"/>
          <w:szCs w:val="22"/>
        </w:rPr>
        <w:t xml:space="preserve">投标人名称：                        </w:t>
      </w:r>
    </w:p>
    <w:p w14:paraId="70C83F0C">
      <w:pPr>
        <w:spacing w:line="360" w:lineRule="auto"/>
        <w:rPr>
          <w:rFonts w:hint="eastAsia"/>
          <w:color w:val="000000"/>
          <w:sz w:val="22"/>
          <w:szCs w:val="22"/>
        </w:rPr>
      </w:pPr>
      <w:r>
        <w:rPr>
          <w:rFonts w:hint="eastAsia"/>
          <w:color w:val="000000"/>
          <w:sz w:val="22"/>
          <w:szCs w:val="22"/>
        </w:rPr>
        <w:t>日期：   年   月   日</w:t>
      </w:r>
    </w:p>
    <w:p w14:paraId="1C4622CC">
      <w:pPr>
        <w:spacing w:line="240" w:lineRule="auto"/>
        <w:rPr>
          <w:rFonts w:hint="eastAsia"/>
          <w:color w:val="000000"/>
          <w:sz w:val="22"/>
          <w:szCs w:val="22"/>
        </w:rPr>
      </w:pPr>
      <w:r>
        <w:rPr>
          <w:rFonts w:hint="eastAsia"/>
          <w:color w:val="000000"/>
          <w:sz w:val="22"/>
          <w:szCs w:val="22"/>
        </w:rPr>
        <w:br w:type="page"/>
      </w:r>
    </w:p>
    <w:p w14:paraId="3A4E2FA9">
      <w:pPr>
        <w:spacing w:line="360" w:lineRule="auto"/>
        <w:rPr>
          <w:rFonts w:hint="eastAsia"/>
          <w:color w:val="000000"/>
          <w:sz w:val="22"/>
          <w:szCs w:val="22"/>
        </w:rPr>
      </w:pPr>
    </w:p>
    <w:p w14:paraId="56F3C429">
      <w:pPr>
        <w:pStyle w:val="4"/>
        <w:rPr>
          <w:rFonts w:hint="eastAsia"/>
          <w:lang w:val="en-US" w:eastAsia="zh-CN"/>
        </w:rPr>
      </w:pPr>
    </w:p>
    <w:p w14:paraId="21F2BBA2">
      <w:pPr>
        <w:widowControl/>
        <w:spacing w:line="480" w:lineRule="auto"/>
        <w:jc w:val="center"/>
        <w:outlineLvl w:val="2"/>
        <w:rPr>
          <w:rFonts w:hint="eastAsia" w:ascii="黑体" w:hAnsi="宋体" w:eastAsia="黑体"/>
          <w:kern w:val="0"/>
          <w:sz w:val="24"/>
          <w:szCs w:val="20"/>
        </w:rPr>
      </w:pPr>
      <w:r>
        <w:rPr>
          <w:rFonts w:hint="eastAsia" w:ascii="黑体" w:hAnsi="宋体" w:eastAsia="黑体"/>
          <w:kern w:val="0"/>
          <w:sz w:val="24"/>
          <w:szCs w:val="20"/>
          <w:lang w:val="en-US" w:eastAsia="zh-CN"/>
        </w:rPr>
        <w:t>十四、</w:t>
      </w:r>
      <w:r>
        <w:rPr>
          <w:rFonts w:hint="eastAsia" w:ascii="黑体" w:hAnsi="黑体" w:eastAsia="黑体" w:cs="黑体"/>
          <w:kern w:val="0"/>
          <w:sz w:val="24"/>
          <w:szCs w:val="20"/>
        </w:rPr>
        <w:t>投标人认为需要加</w:t>
      </w:r>
      <w:r>
        <w:rPr>
          <w:rFonts w:hint="eastAsia" w:ascii="黑体" w:hAnsi="宋体" w:eastAsia="黑体"/>
          <w:kern w:val="0"/>
          <w:sz w:val="24"/>
          <w:szCs w:val="20"/>
        </w:rPr>
        <w:t>以说明的其他内容（格式自定）</w:t>
      </w:r>
    </w:p>
    <w:p w14:paraId="4DC5DC63">
      <w:pPr>
        <w:rPr>
          <w:rFonts w:hint="eastAsia" w:ascii="黑体" w:hAnsi="宋体" w:eastAsia="黑体"/>
          <w:kern w:val="0"/>
          <w:sz w:val="24"/>
          <w:szCs w:val="20"/>
        </w:rPr>
      </w:pPr>
      <w:r>
        <w:rPr>
          <w:rFonts w:hint="eastAsia" w:ascii="黑体" w:hAnsi="宋体" w:eastAsia="黑体"/>
          <w:kern w:val="0"/>
          <w:sz w:val="24"/>
          <w:szCs w:val="20"/>
        </w:rPr>
        <w:br w:type="page"/>
      </w:r>
    </w:p>
    <w:p w14:paraId="71BE570B">
      <w:pPr>
        <w:pStyle w:val="49"/>
      </w:pPr>
    </w:p>
    <w:p w14:paraId="7B38AEBD">
      <w:pPr>
        <w:rPr>
          <w:rFonts w:ascii="宋体" w:hAnsi="宋体" w:eastAsia="宋体" w:cs="Times New Roman"/>
          <w:b/>
          <w:bCs/>
          <w:kern w:val="0"/>
          <w:sz w:val="28"/>
          <w:szCs w:val="28"/>
        </w:rPr>
      </w:pPr>
    </w:p>
    <w:p w14:paraId="05217D7C">
      <w:pPr>
        <w:keepNext/>
        <w:keepLines/>
        <w:adjustRightInd w:val="0"/>
        <w:spacing w:before="260" w:after="260"/>
        <w:jc w:val="center"/>
        <w:textAlignment w:val="baseline"/>
        <w:outlineLvl w:val="1"/>
        <w:rPr>
          <w:rFonts w:ascii="宋体" w:hAnsi="宋体" w:eastAsia="宋体" w:cs="Times New Roman"/>
          <w:b/>
          <w:bCs/>
          <w:kern w:val="0"/>
          <w:sz w:val="28"/>
          <w:szCs w:val="28"/>
        </w:rPr>
      </w:pPr>
      <w:r>
        <w:rPr>
          <w:rFonts w:hint="eastAsia" w:ascii="宋体" w:hAnsi="宋体" w:eastAsia="宋体" w:cs="Times New Roman"/>
          <w:b/>
          <w:bCs/>
          <w:kern w:val="0"/>
          <w:sz w:val="28"/>
          <w:szCs w:val="28"/>
        </w:rPr>
        <w:t>第五章  合同条款及格式</w:t>
      </w:r>
    </w:p>
    <w:p w14:paraId="660BC6AC">
      <w:pPr>
        <w:jc w:val="center"/>
        <w:rPr>
          <w:b/>
          <w:sz w:val="24"/>
        </w:rPr>
      </w:pPr>
      <w:r>
        <w:rPr>
          <w:rFonts w:hint="eastAsia"/>
          <w:b/>
          <w:sz w:val="24"/>
        </w:rPr>
        <w:t>有专业类别的格式合同范本请选择相应的合同</w:t>
      </w:r>
    </w:p>
    <w:p w14:paraId="2EF7D9E6">
      <w:pPr>
        <w:jc w:val="center"/>
        <w:rPr>
          <w:b/>
          <w:sz w:val="24"/>
        </w:rPr>
      </w:pPr>
      <w:r>
        <w:rPr>
          <w:rFonts w:hint="eastAsia"/>
          <w:b/>
          <w:sz w:val="24"/>
        </w:rPr>
        <w:t>（仅供参考，采购单位需填写项目关键信息和违约责任条款）</w:t>
      </w:r>
    </w:p>
    <w:p w14:paraId="5B290BE6">
      <w:pPr>
        <w:jc w:val="left"/>
        <w:rPr>
          <w:szCs w:val="21"/>
        </w:rPr>
      </w:pPr>
      <w:r>
        <w:rPr>
          <w:rFonts w:hint="eastAsia"/>
          <w:szCs w:val="21"/>
        </w:rPr>
        <w:t>采购人：</w:t>
      </w:r>
      <w:r>
        <w:rPr>
          <w:rFonts w:hint="eastAsia"/>
          <w:szCs w:val="21"/>
          <w:u w:val="single"/>
        </w:rPr>
        <w:t xml:space="preserve">           </w:t>
      </w:r>
    </w:p>
    <w:p w14:paraId="06F265D3">
      <w:pPr>
        <w:jc w:val="left"/>
        <w:rPr>
          <w:szCs w:val="21"/>
        </w:rPr>
      </w:pPr>
      <w:r>
        <w:rPr>
          <w:rFonts w:hint="eastAsia"/>
          <w:szCs w:val="21"/>
        </w:rPr>
        <w:t>供应商：</w:t>
      </w:r>
      <w:r>
        <w:rPr>
          <w:rFonts w:hint="eastAsia"/>
          <w:szCs w:val="21"/>
          <w:u w:val="single"/>
        </w:rPr>
        <w:t xml:space="preserve">           </w:t>
      </w:r>
    </w:p>
    <w:p w14:paraId="3834A065">
      <w:pPr>
        <w:jc w:val="left"/>
        <w:rPr>
          <w:sz w:val="24"/>
        </w:rPr>
      </w:pPr>
    </w:p>
    <w:p w14:paraId="301E3E64">
      <w:pPr>
        <w:spacing w:line="360" w:lineRule="auto"/>
        <w:ind w:firstLine="560"/>
        <w:jc w:val="left"/>
        <w:rPr>
          <w:szCs w:val="21"/>
        </w:rPr>
      </w:pPr>
      <w:r>
        <w:rPr>
          <w:rFonts w:hint="eastAsia"/>
          <w:szCs w:val="21"/>
        </w:rPr>
        <w:t>根据深圳市</w:t>
      </w:r>
      <w:r>
        <w:rPr>
          <w:rFonts w:hint="eastAsia" w:ascii="宋体" w:hAnsi="宋体" w:cs="宋体"/>
          <w:szCs w:val="21"/>
        </w:rPr>
        <w:t>****</w:t>
      </w:r>
      <w:r>
        <w:rPr>
          <w:rFonts w:hint="eastAsia"/>
          <w:szCs w:val="21"/>
          <w:u w:val="single"/>
        </w:rPr>
        <w:t xml:space="preserve">        </w:t>
      </w:r>
      <w:r>
        <w:rPr>
          <w:rFonts w:hint="eastAsia"/>
          <w:szCs w:val="21"/>
        </w:rPr>
        <w:t>号采购项目的投标结果，由</w:t>
      </w:r>
      <w:r>
        <w:rPr>
          <w:rFonts w:hint="eastAsia"/>
          <w:szCs w:val="21"/>
          <w:u w:val="single"/>
        </w:rPr>
        <w:t xml:space="preserve">       </w:t>
      </w:r>
      <w:r>
        <w:rPr>
          <w:rFonts w:hint="eastAsia"/>
          <w:szCs w:val="21"/>
        </w:rPr>
        <w:t>单位为中标方。按照有关规定，经深圳市</w:t>
      </w:r>
      <w:r>
        <w:rPr>
          <w:rFonts w:hint="eastAsia"/>
          <w:szCs w:val="21"/>
          <w:u w:val="single"/>
        </w:rPr>
        <w:t xml:space="preserve">           </w:t>
      </w:r>
      <w:r>
        <w:rPr>
          <w:rFonts w:hint="eastAsia"/>
          <w:szCs w:val="21"/>
        </w:rPr>
        <w:t>（以下简称甲方）和</w:t>
      </w:r>
      <w:r>
        <w:rPr>
          <w:rFonts w:hint="eastAsia"/>
          <w:szCs w:val="21"/>
          <w:u w:val="single"/>
        </w:rPr>
        <w:t xml:space="preserve">           </w:t>
      </w:r>
      <w:r>
        <w:rPr>
          <w:rFonts w:hint="eastAsia"/>
          <w:szCs w:val="21"/>
        </w:rPr>
        <w:t>单位（以下简称乙方）协商，达成以下合同条款：</w:t>
      </w:r>
    </w:p>
    <w:p w14:paraId="180890C0">
      <w:pPr>
        <w:spacing w:line="360" w:lineRule="auto"/>
        <w:ind w:firstLine="560"/>
        <w:jc w:val="left"/>
        <w:rPr>
          <w:b/>
          <w:szCs w:val="21"/>
        </w:rPr>
      </w:pPr>
      <w:r>
        <w:rPr>
          <w:rFonts w:hint="eastAsia"/>
          <w:b/>
          <w:szCs w:val="21"/>
        </w:rPr>
        <w:t>第一条  合同标的</w:t>
      </w:r>
    </w:p>
    <w:p w14:paraId="30FF188C">
      <w:pPr>
        <w:spacing w:line="360" w:lineRule="auto"/>
        <w:ind w:firstLine="560"/>
        <w:jc w:val="left"/>
        <w:rPr>
          <w:szCs w:val="21"/>
        </w:rPr>
      </w:pPr>
      <w:r>
        <w:rPr>
          <w:rFonts w:hint="eastAsia"/>
          <w:szCs w:val="21"/>
        </w:rPr>
        <w:t>乙方根据甲方需求提供下列货物：</w:t>
      </w:r>
    </w:p>
    <w:p w14:paraId="6896E510">
      <w:pPr>
        <w:spacing w:line="360" w:lineRule="auto"/>
        <w:ind w:firstLine="560"/>
        <w:jc w:val="left"/>
        <w:rPr>
          <w:szCs w:val="21"/>
        </w:rPr>
      </w:pPr>
      <w:r>
        <w:rPr>
          <w:rFonts w:hint="eastAsia"/>
          <w:szCs w:val="21"/>
        </w:rPr>
        <w:t>货物名称、规格及数量详见</w:t>
      </w:r>
      <w:r>
        <w:rPr>
          <w:rFonts w:hint="eastAsia"/>
          <w:b/>
          <w:szCs w:val="21"/>
          <w:u w:val="single"/>
        </w:rPr>
        <w:t xml:space="preserve">                  </w:t>
      </w:r>
      <w:r>
        <w:rPr>
          <w:rFonts w:hint="eastAsia"/>
          <w:szCs w:val="21"/>
        </w:rPr>
        <w:t>。</w:t>
      </w:r>
    </w:p>
    <w:p w14:paraId="7DC86F00">
      <w:pPr>
        <w:spacing w:line="360" w:lineRule="auto"/>
        <w:ind w:firstLine="560"/>
        <w:jc w:val="left"/>
        <w:rPr>
          <w:b/>
          <w:szCs w:val="21"/>
        </w:rPr>
      </w:pPr>
      <w:r>
        <w:rPr>
          <w:rFonts w:hint="eastAsia"/>
          <w:b/>
          <w:szCs w:val="21"/>
        </w:rPr>
        <w:t>第二条  合同价款</w:t>
      </w:r>
    </w:p>
    <w:p w14:paraId="3E82C9E7">
      <w:pPr>
        <w:spacing w:line="360" w:lineRule="auto"/>
        <w:ind w:firstLine="560"/>
        <w:jc w:val="left"/>
        <w:rPr>
          <w:szCs w:val="21"/>
        </w:rPr>
      </w:pPr>
      <w:r>
        <w:rPr>
          <w:rFonts w:hint="eastAsia"/>
          <w:szCs w:val="21"/>
        </w:rPr>
        <w:t>本合同项下总价款为</w:t>
      </w:r>
      <w:r>
        <w:rPr>
          <w:rFonts w:hint="eastAsia"/>
          <w:szCs w:val="21"/>
          <w:u w:val="single"/>
        </w:rPr>
        <w:t xml:space="preserve">              </w:t>
      </w:r>
      <w:r>
        <w:rPr>
          <w:rFonts w:hint="eastAsia"/>
          <w:szCs w:val="21"/>
        </w:rPr>
        <w:t>（大写）人民币，分项价款详见</w:t>
      </w:r>
      <w:r>
        <w:rPr>
          <w:rFonts w:hint="eastAsia"/>
          <w:b/>
          <w:szCs w:val="21"/>
          <w:u w:val="single"/>
        </w:rPr>
        <w:t xml:space="preserve">          </w:t>
      </w:r>
      <w:r>
        <w:rPr>
          <w:rFonts w:hint="eastAsia"/>
          <w:szCs w:val="21"/>
        </w:rPr>
        <w:t>。本合同总价款已包括乙方为履行本合同义务所发生的一切费用，系固定不变价格，且不随通货膨胀的影响而波动。</w:t>
      </w:r>
    </w:p>
    <w:p w14:paraId="2218FFCE">
      <w:pPr>
        <w:spacing w:line="360" w:lineRule="auto"/>
        <w:ind w:firstLine="560"/>
        <w:jc w:val="left"/>
        <w:rPr>
          <w:b/>
          <w:szCs w:val="21"/>
        </w:rPr>
      </w:pPr>
      <w:r>
        <w:rPr>
          <w:rFonts w:hint="eastAsia"/>
          <w:b/>
          <w:szCs w:val="21"/>
        </w:rPr>
        <w:t>第三条  权利保证</w:t>
      </w:r>
    </w:p>
    <w:p w14:paraId="7C73C8FE">
      <w:pPr>
        <w:spacing w:line="360" w:lineRule="auto"/>
        <w:ind w:firstLine="560"/>
        <w:jc w:val="left"/>
        <w:rPr>
          <w:rFonts w:ascii="宋体" w:hAnsi="宋体"/>
          <w:szCs w:val="21"/>
        </w:rPr>
      </w:pPr>
      <w:r>
        <w:rPr>
          <w:rFonts w:hint="eastAsia" w:ascii="宋体" w:hAnsi="宋体"/>
          <w:szCs w:val="21"/>
        </w:rPr>
        <w:t>乙方保证甲方在使用本合同项下货物或货物的任何一部分时，不会产生因第三方提出的包括但不限于侵犯其专利权、商标权、工业设计权等知识产权和侵犯其所有权、抵押权等物权及其他权利而引发的纠纷。如有纠纷，乙方应承担全部责任。</w:t>
      </w:r>
    </w:p>
    <w:p w14:paraId="237026FB">
      <w:pPr>
        <w:spacing w:line="360" w:lineRule="auto"/>
        <w:ind w:firstLine="560"/>
        <w:jc w:val="left"/>
        <w:rPr>
          <w:b/>
          <w:szCs w:val="21"/>
        </w:rPr>
      </w:pPr>
      <w:r>
        <w:rPr>
          <w:rFonts w:hint="eastAsia"/>
          <w:b/>
          <w:szCs w:val="21"/>
        </w:rPr>
        <w:t>第四条  质量保证</w:t>
      </w:r>
    </w:p>
    <w:p w14:paraId="60465260">
      <w:pPr>
        <w:spacing w:line="360" w:lineRule="auto"/>
        <w:ind w:firstLine="560"/>
        <w:jc w:val="left"/>
        <w:rPr>
          <w:rFonts w:ascii="宋体" w:hAnsi="宋体"/>
          <w:szCs w:val="21"/>
        </w:rPr>
      </w:pPr>
      <w:r>
        <w:rPr>
          <w:rFonts w:hint="eastAsia" w:ascii="宋体" w:hAnsi="宋体"/>
          <w:szCs w:val="21"/>
        </w:rPr>
        <w:t>1、乙方所提供的货物的技术规格符合采购文件规定的技术规格，货物符合中华人民共和国的设计和制造生产标准或行业标准。</w:t>
      </w:r>
    </w:p>
    <w:p w14:paraId="4A78B5BE">
      <w:pPr>
        <w:spacing w:line="360" w:lineRule="auto"/>
        <w:ind w:firstLine="560"/>
        <w:jc w:val="left"/>
        <w:rPr>
          <w:rFonts w:ascii="宋体" w:hAnsi="宋体"/>
          <w:szCs w:val="21"/>
        </w:rPr>
      </w:pPr>
      <w:r>
        <w:rPr>
          <w:rFonts w:hint="eastAsia" w:ascii="宋体" w:hAnsi="宋体"/>
          <w:szCs w:val="21"/>
        </w:rPr>
        <w:t>2、乙方应保证货物是全新、未使用过的原装合格正品（包括零部件），并完全符合甲方要求的质量、规格和性能的要求。如货物安装或配置了软件的，乙方保证相关软件均为正版软件。</w:t>
      </w:r>
    </w:p>
    <w:p w14:paraId="32CBF6D6">
      <w:pPr>
        <w:spacing w:line="360" w:lineRule="auto"/>
        <w:ind w:firstLine="560"/>
        <w:jc w:val="left"/>
        <w:rPr>
          <w:rFonts w:ascii="宋体" w:hAnsi="宋体"/>
          <w:szCs w:val="21"/>
        </w:rPr>
      </w:pPr>
      <w:r>
        <w:rPr>
          <w:rFonts w:hint="eastAsia" w:ascii="宋体" w:hAnsi="宋体"/>
          <w:szCs w:val="21"/>
        </w:rPr>
        <w:t>3、乙方保证交货时一并提供货物的质量合格凭证或文件。</w:t>
      </w:r>
    </w:p>
    <w:p w14:paraId="3DD5F969">
      <w:pPr>
        <w:spacing w:line="360" w:lineRule="auto"/>
        <w:jc w:val="left"/>
        <w:rPr>
          <w:rFonts w:ascii="宋体" w:hAnsi="宋体"/>
          <w:szCs w:val="21"/>
        </w:rPr>
      </w:pPr>
    </w:p>
    <w:p w14:paraId="3CDB49F9">
      <w:pPr>
        <w:spacing w:line="360" w:lineRule="auto"/>
        <w:ind w:firstLine="560"/>
        <w:jc w:val="left"/>
        <w:rPr>
          <w:b/>
          <w:szCs w:val="21"/>
        </w:rPr>
      </w:pPr>
      <w:r>
        <w:rPr>
          <w:rFonts w:hint="eastAsia"/>
          <w:b/>
          <w:szCs w:val="21"/>
        </w:rPr>
        <w:t>第五条  交货和验收</w:t>
      </w:r>
    </w:p>
    <w:p w14:paraId="4B1246D3">
      <w:pPr>
        <w:spacing w:line="360" w:lineRule="auto"/>
        <w:ind w:firstLine="560"/>
        <w:jc w:val="left"/>
        <w:rPr>
          <w:rFonts w:ascii="宋体" w:hAnsi="宋体"/>
          <w:szCs w:val="21"/>
        </w:rPr>
      </w:pPr>
      <w:r>
        <w:rPr>
          <w:rFonts w:hint="eastAsia" w:ascii="宋体" w:hAnsi="宋体"/>
          <w:szCs w:val="21"/>
        </w:rPr>
        <w:t>1、乙方应按照本合同或招投标文件规定的时间和方式向甲方交付货物，交货地点由甲方指定。因交货产生的费用由乙方自行承担。</w:t>
      </w:r>
    </w:p>
    <w:p w14:paraId="213BA2D6">
      <w:pPr>
        <w:spacing w:line="360" w:lineRule="auto"/>
        <w:ind w:firstLine="560"/>
        <w:jc w:val="left"/>
        <w:rPr>
          <w:rFonts w:ascii="宋体" w:hAnsi="宋体"/>
          <w:szCs w:val="21"/>
        </w:rPr>
      </w:pPr>
      <w:r>
        <w:rPr>
          <w:rFonts w:hint="eastAsia" w:ascii="宋体" w:hAnsi="宋体"/>
          <w:szCs w:val="21"/>
        </w:rPr>
        <w:t>2、乙方交付的货物应当完全符合招投标文件所规定的货物、数量、质量和规格要求。乙方提供的货物不符合招投标文件和合同规定的，甲方有权拒收货物，由此引起的风险，由乙方承担。</w:t>
      </w:r>
    </w:p>
    <w:p w14:paraId="284AA7E0">
      <w:pPr>
        <w:spacing w:line="360" w:lineRule="auto"/>
        <w:ind w:firstLine="560"/>
        <w:jc w:val="left"/>
        <w:rPr>
          <w:rFonts w:ascii="宋体" w:hAnsi="宋体"/>
          <w:szCs w:val="21"/>
        </w:rPr>
      </w:pPr>
      <w:r>
        <w:rPr>
          <w:rFonts w:hint="eastAsia" w:ascii="宋体" w:hAnsi="宋体"/>
          <w:szCs w:val="21"/>
        </w:rPr>
        <w:t>3、乙方应将所提供货物的使用说明书、原厂保修卡等附随资料和附随配件、工具等交付给甲方；乙方不能完整交付货物及本款规定的单证和工具的，视为未按合同约定交货，乙方负责补齐，因此导致逾期交付的，由乙方承担相关的违约责任。</w:t>
      </w:r>
    </w:p>
    <w:p w14:paraId="454FA4CD">
      <w:pPr>
        <w:spacing w:line="360" w:lineRule="auto"/>
        <w:ind w:firstLine="560"/>
        <w:jc w:val="left"/>
        <w:rPr>
          <w:rFonts w:ascii="宋体" w:hAnsi="宋体"/>
          <w:szCs w:val="21"/>
        </w:rPr>
      </w:pPr>
      <w:r>
        <w:rPr>
          <w:rFonts w:hint="eastAsia" w:ascii="宋体" w:hAnsi="宋体"/>
          <w:szCs w:val="21"/>
        </w:rPr>
        <w:t>4、甲方应当在到货后的</w:t>
      </w:r>
      <w:r>
        <w:rPr>
          <w:rFonts w:hint="eastAsia" w:ascii="宋体" w:hAnsi="宋体"/>
          <w:szCs w:val="21"/>
          <w:u w:val="single"/>
        </w:rPr>
        <w:t xml:space="preserve">       </w:t>
      </w:r>
      <w:r>
        <w:rPr>
          <w:rFonts w:hint="eastAsia" w:ascii="宋体" w:hAnsi="宋体"/>
          <w:szCs w:val="21"/>
        </w:rPr>
        <w:t>个工作日内对货物进行验收；需要乙方对货物或系统进行安装调试的，甲方应在货物安装调试完毕后的</w:t>
      </w:r>
      <w:r>
        <w:rPr>
          <w:rFonts w:hint="eastAsia" w:ascii="宋体" w:hAnsi="宋体"/>
          <w:szCs w:val="21"/>
          <w:u w:val="single"/>
        </w:rPr>
        <w:t xml:space="preserve">       </w:t>
      </w:r>
      <w:r>
        <w:rPr>
          <w:rFonts w:hint="eastAsia" w:ascii="宋体" w:hAnsi="宋体"/>
          <w:szCs w:val="21"/>
        </w:rPr>
        <w:t>个工作日内进行质量验收。</w:t>
      </w:r>
    </w:p>
    <w:p w14:paraId="7F0E45E1">
      <w:pPr>
        <w:spacing w:line="360" w:lineRule="auto"/>
        <w:ind w:firstLine="560"/>
        <w:jc w:val="left"/>
        <w:rPr>
          <w:b/>
          <w:szCs w:val="21"/>
        </w:rPr>
      </w:pPr>
      <w:r>
        <w:rPr>
          <w:rFonts w:hint="eastAsia"/>
          <w:b/>
          <w:szCs w:val="21"/>
        </w:rPr>
        <w:t>第六条  保修及其他服务</w:t>
      </w:r>
    </w:p>
    <w:p w14:paraId="2162FDCC">
      <w:pPr>
        <w:spacing w:line="360" w:lineRule="auto"/>
        <w:ind w:firstLine="560"/>
        <w:jc w:val="left"/>
        <w:rPr>
          <w:rFonts w:ascii="宋体" w:hAnsi="宋体"/>
          <w:szCs w:val="21"/>
        </w:rPr>
      </w:pPr>
      <w:r>
        <w:rPr>
          <w:rFonts w:hint="eastAsia" w:ascii="宋体" w:hAnsi="宋体"/>
          <w:szCs w:val="21"/>
        </w:rPr>
        <w:t>1、乙方应按照国家有关法律法规规章和“三包”规定和采购文件的要求及乙方在投标文件的相关承诺提供保修及其他服务。</w:t>
      </w:r>
    </w:p>
    <w:p w14:paraId="547749AE">
      <w:pPr>
        <w:spacing w:line="360" w:lineRule="auto"/>
        <w:ind w:firstLine="560"/>
        <w:jc w:val="left"/>
        <w:rPr>
          <w:rFonts w:ascii="宋体" w:hAnsi="宋体"/>
          <w:szCs w:val="21"/>
        </w:rPr>
      </w:pPr>
      <w:r>
        <w:rPr>
          <w:rFonts w:hint="eastAsia" w:ascii="宋体" w:hAnsi="宋体"/>
          <w:szCs w:val="21"/>
        </w:rPr>
        <w:t>2、</w:t>
      </w:r>
      <w:r>
        <w:rPr>
          <w:rFonts w:ascii="宋体" w:hAnsi="宋体"/>
          <w:szCs w:val="21"/>
        </w:rPr>
        <w:t>保修期内，乙方负责对其提供的货物进行维修和系统维护，不再收取任何费用。</w:t>
      </w:r>
      <w:r>
        <w:rPr>
          <w:rFonts w:hint="eastAsia" w:ascii="宋体" w:hAnsi="宋体"/>
          <w:szCs w:val="21"/>
        </w:rPr>
        <w:t>所有货物保修服务方式均为乙方上门保修，即由乙方派员到货物使用现场维修，由此产生的一切费用均由乙方承担。保修期后的货物维护另行协商。</w:t>
      </w:r>
    </w:p>
    <w:p w14:paraId="208D14F3">
      <w:pPr>
        <w:spacing w:line="360" w:lineRule="auto"/>
        <w:ind w:firstLine="560"/>
        <w:jc w:val="left"/>
        <w:rPr>
          <w:b/>
          <w:szCs w:val="21"/>
        </w:rPr>
      </w:pPr>
      <w:r>
        <w:rPr>
          <w:rFonts w:hint="eastAsia"/>
          <w:b/>
          <w:szCs w:val="21"/>
        </w:rPr>
        <w:t>第七条  履约保证金</w:t>
      </w:r>
    </w:p>
    <w:p w14:paraId="5793FEA8">
      <w:pPr>
        <w:spacing w:line="360" w:lineRule="auto"/>
        <w:ind w:firstLine="560"/>
        <w:jc w:val="left"/>
        <w:rPr>
          <w:rFonts w:ascii="宋体" w:hAnsi="宋体"/>
          <w:szCs w:val="21"/>
        </w:rPr>
      </w:pPr>
      <w:r>
        <w:rPr>
          <w:rFonts w:hint="eastAsia" w:ascii="宋体" w:hAnsi="宋体"/>
          <w:szCs w:val="21"/>
        </w:rPr>
        <w:t>1、乙方应在签订本合同之日，向甲方或甲方指定的机构提交履约保证金_________元。</w:t>
      </w:r>
    </w:p>
    <w:p w14:paraId="46BB68CD">
      <w:pPr>
        <w:spacing w:line="360" w:lineRule="auto"/>
        <w:ind w:firstLine="560"/>
        <w:jc w:val="left"/>
        <w:rPr>
          <w:rFonts w:ascii="宋体" w:hAnsi="宋体"/>
          <w:szCs w:val="21"/>
        </w:rPr>
      </w:pPr>
      <w:r>
        <w:rPr>
          <w:rFonts w:hint="eastAsia" w:ascii="宋体" w:hAnsi="宋体"/>
          <w:szCs w:val="21"/>
        </w:rPr>
        <w:t>2、如乙方未能履行合同规定的义务，甲方有权从履约保证金中取得补偿。</w:t>
      </w:r>
    </w:p>
    <w:p w14:paraId="3F128DB4">
      <w:pPr>
        <w:spacing w:line="360" w:lineRule="auto"/>
        <w:ind w:firstLine="560"/>
        <w:jc w:val="left"/>
        <w:rPr>
          <w:rFonts w:ascii="宋体" w:hAnsi="宋体"/>
          <w:szCs w:val="21"/>
        </w:rPr>
      </w:pPr>
      <w:r>
        <w:rPr>
          <w:rFonts w:hint="eastAsia" w:ascii="宋体" w:hAnsi="宋体"/>
          <w:szCs w:val="21"/>
        </w:rPr>
        <w:t>3、甲方在乙方履行完毕本合同项下全部义务后______天内无息退还乙方。</w:t>
      </w:r>
    </w:p>
    <w:p w14:paraId="66B57E02">
      <w:pPr>
        <w:spacing w:line="360" w:lineRule="auto"/>
        <w:ind w:firstLine="560"/>
        <w:jc w:val="left"/>
        <w:rPr>
          <w:rFonts w:ascii="宋体" w:hAnsi="宋体"/>
          <w:szCs w:val="21"/>
        </w:rPr>
      </w:pPr>
    </w:p>
    <w:p w14:paraId="5A498A02">
      <w:pPr>
        <w:spacing w:line="360" w:lineRule="auto"/>
        <w:ind w:firstLine="560"/>
        <w:jc w:val="left"/>
        <w:rPr>
          <w:rFonts w:hint="eastAsia"/>
          <w:b/>
          <w:szCs w:val="21"/>
        </w:rPr>
      </w:pPr>
      <w:r>
        <w:rPr>
          <w:rFonts w:hint="eastAsia"/>
          <w:b/>
          <w:szCs w:val="21"/>
        </w:rPr>
        <w:t>第八条   付款方式</w:t>
      </w:r>
    </w:p>
    <w:p w14:paraId="04A3E69B">
      <w:pPr>
        <w:spacing w:line="360" w:lineRule="auto"/>
        <w:ind w:firstLine="560"/>
        <w:jc w:val="left"/>
        <w:rPr>
          <w:rFonts w:hint="eastAsia"/>
          <w:szCs w:val="21"/>
        </w:rPr>
      </w:pPr>
      <w:r>
        <w:rPr>
          <w:rFonts w:hint="eastAsia"/>
          <w:szCs w:val="21"/>
        </w:rPr>
        <w:t>按照招标文件规定的付款方式进行支付。</w:t>
      </w:r>
    </w:p>
    <w:p w14:paraId="568F6E84">
      <w:pPr>
        <w:spacing w:line="360" w:lineRule="auto"/>
        <w:ind w:firstLine="560"/>
        <w:jc w:val="left"/>
        <w:rPr>
          <w:b/>
          <w:szCs w:val="21"/>
        </w:rPr>
      </w:pPr>
      <w:r>
        <w:rPr>
          <w:rFonts w:hint="eastAsia"/>
          <w:b/>
          <w:szCs w:val="21"/>
        </w:rPr>
        <w:t>第九条    违约责任</w:t>
      </w:r>
    </w:p>
    <w:p w14:paraId="71DC9676">
      <w:pPr>
        <w:spacing w:line="360" w:lineRule="auto"/>
        <w:ind w:firstLine="560"/>
        <w:jc w:val="left"/>
        <w:rPr>
          <w:rFonts w:ascii="宋体" w:hAnsi="宋体"/>
          <w:szCs w:val="21"/>
        </w:rPr>
      </w:pPr>
      <w:r>
        <w:rPr>
          <w:rFonts w:hint="eastAsia" w:ascii="宋体" w:hAnsi="宋体"/>
          <w:szCs w:val="21"/>
        </w:rPr>
        <w:t>１、甲方无正当理由拒收货物、拒付货物款的，由甲方向乙方偿付合同总价的【】%违约金。</w:t>
      </w:r>
    </w:p>
    <w:p w14:paraId="37016F6B">
      <w:pPr>
        <w:spacing w:line="360" w:lineRule="auto"/>
        <w:ind w:firstLine="560"/>
        <w:jc w:val="left"/>
        <w:rPr>
          <w:rFonts w:ascii="宋体" w:hAnsi="宋体"/>
          <w:szCs w:val="21"/>
        </w:rPr>
      </w:pPr>
      <w:r>
        <w:rPr>
          <w:rFonts w:hint="eastAsia" w:ascii="宋体" w:hAnsi="宋体"/>
          <w:szCs w:val="21"/>
        </w:rPr>
        <w:t>２、甲方未按合同规定的期限向乙方支付货款的，每逾期1天甲方向乙方偿付欠款总额的【】‰滞纳金，但累计滞纳金总额不超过欠款总额的【】% 。</w:t>
      </w:r>
    </w:p>
    <w:p w14:paraId="51899821">
      <w:pPr>
        <w:spacing w:line="360" w:lineRule="auto"/>
        <w:ind w:firstLine="560"/>
        <w:jc w:val="left"/>
        <w:rPr>
          <w:rFonts w:ascii="宋体" w:hAnsi="宋体"/>
          <w:szCs w:val="21"/>
        </w:rPr>
      </w:pPr>
      <w:r>
        <w:rPr>
          <w:rFonts w:hint="eastAsia" w:ascii="宋体" w:hAnsi="宋体"/>
          <w:szCs w:val="21"/>
        </w:rPr>
        <w:t>３、</w:t>
      </w:r>
      <w:r>
        <w:rPr>
          <w:rFonts w:ascii="宋体" w:hAnsi="宋体"/>
          <w:szCs w:val="21"/>
        </w:rPr>
        <w:t>乙方逾期交付货物的，每逾期1天，乙方向甲方偿付逾期交货部分货款总额的</w:t>
      </w:r>
      <w:r>
        <w:rPr>
          <w:rFonts w:hint="eastAsia" w:ascii="宋体" w:hAnsi="宋体"/>
          <w:szCs w:val="21"/>
        </w:rPr>
        <w:t>【】</w:t>
      </w:r>
      <w:r>
        <w:rPr>
          <w:rFonts w:ascii="宋体" w:hAnsi="宋体"/>
          <w:szCs w:val="21"/>
        </w:rPr>
        <w:t>‰的滞纳金</w:t>
      </w:r>
      <w:r>
        <w:rPr>
          <w:rFonts w:hint="eastAsia" w:ascii="宋体" w:hAnsi="宋体"/>
          <w:szCs w:val="21"/>
        </w:rPr>
        <w:t>。如乙方逾期交货达</w:t>
      </w:r>
      <w:r>
        <w:rPr>
          <w:rFonts w:hint="eastAsia" w:ascii="宋体" w:hAnsi="宋体"/>
          <w:szCs w:val="21"/>
          <w:u w:val="single"/>
        </w:rPr>
        <w:t xml:space="preserve">    </w:t>
      </w:r>
      <w:r>
        <w:rPr>
          <w:rFonts w:hint="eastAsia" w:ascii="宋体" w:hAnsi="宋体"/>
          <w:szCs w:val="21"/>
        </w:rPr>
        <w:t>天，甲方有权解除合同，履约保证金不予退回，同时乙方应向甲方支付合同总价【】％的违约金。</w:t>
      </w:r>
    </w:p>
    <w:p w14:paraId="5F2981D4">
      <w:pPr>
        <w:spacing w:line="360" w:lineRule="auto"/>
        <w:ind w:firstLine="560"/>
        <w:jc w:val="left"/>
        <w:rPr>
          <w:rFonts w:ascii="宋体" w:hAnsi="宋体"/>
          <w:szCs w:val="21"/>
        </w:rPr>
      </w:pPr>
      <w:r>
        <w:rPr>
          <w:rFonts w:hint="eastAsia" w:ascii="宋体" w:hAnsi="宋体"/>
          <w:szCs w:val="21"/>
        </w:rPr>
        <w:t>4、乙方所交付的货物品种、型号、规格不符合合同规定的，甲方有权拒收。甲方拒收的，乙方应向甲方支付货款总额【】%的违约金。</w:t>
      </w:r>
    </w:p>
    <w:p w14:paraId="392E0FBB">
      <w:pPr>
        <w:spacing w:line="360" w:lineRule="auto"/>
        <w:ind w:firstLine="560"/>
        <w:jc w:val="left"/>
        <w:rPr>
          <w:rFonts w:ascii="宋体" w:hAnsi="宋体"/>
          <w:szCs w:val="21"/>
        </w:rPr>
      </w:pPr>
      <w:r>
        <w:rPr>
          <w:rFonts w:hint="eastAsia" w:ascii="宋体" w:hAnsi="宋体"/>
          <w:szCs w:val="21"/>
        </w:rPr>
        <w:t>5、在乙方承诺的或国家规定的质量保证期内（取两者中最长的期限），</w:t>
      </w:r>
      <w:r>
        <w:rPr>
          <w:rFonts w:ascii="宋体" w:hAnsi="宋体"/>
          <w:szCs w:val="21"/>
        </w:rPr>
        <w:t>如经乙方两次维修</w:t>
      </w:r>
      <w:r>
        <w:rPr>
          <w:rFonts w:hint="eastAsia" w:ascii="宋体" w:hAnsi="宋体"/>
          <w:szCs w:val="21"/>
        </w:rPr>
        <w:t>或更换</w:t>
      </w:r>
      <w:r>
        <w:rPr>
          <w:rFonts w:ascii="宋体" w:hAnsi="宋体"/>
          <w:szCs w:val="21"/>
        </w:rPr>
        <w:t>，货物仍不能达到合同约定</w:t>
      </w:r>
      <w:r>
        <w:rPr>
          <w:rFonts w:hint="eastAsia" w:ascii="宋体" w:hAnsi="宋体"/>
          <w:szCs w:val="21"/>
        </w:rPr>
        <w:t>的</w:t>
      </w:r>
      <w:r>
        <w:rPr>
          <w:rFonts w:ascii="宋体" w:hAnsi="宋体"/>
          <w:szCs w:val="21"/>
        </w:rPr>
        <w:t>质量标准，甲方有权退货，乙方</w:t>
      </w:r>
      <w:r>
        <w:rPr>
          <w:rFonts w:hint="eastAsia" w:ascii="宋体" w:hAnsi="宋体"/>
          <w:szCs w:val="21"/>
        </w:rPr>
        <w:t>应</w:t>
      </w:r>
      <w:r>
        <w:rPr>
          <w:rFonts w:ascii="宋体" w:hAnsi="宋体"/>
          <w:szCs w:val="21"/>
        </w:rPr>
        <w:t>退回全部货款</w:t>
      </w:r>
      <w:r>
        <w:rPr>
          <w:rFonts w:hint="eastAsia" w:ascii="宋体" w:hAnsi="宋体"/>
          <w:szCs w:val="21"/>
        </w:rPr>
        <w:t>并</w:t>
      </w:r>
      <w:r>
        <w:rPr>
          <w:rFonts w:ascii="宋体" w:hAnsi="宋体"/>
          <w:szCs w:val="21"/>
        </w:rPr>
        <w:t>赔偿甲方因此遭受的损失。</w:t>
      </w:r>
    </w:p>
    <w:p w14:paraId="69A1E337">
      <w:pPr>
        <w:spacing w:line="360" w:lineRule="auto"/>
        <w:ind w:firstLine="560"/>
        <w:jc w:val="left"/>
        <w:rPr>
          <w:rFonts w:ascii="宋体" w:hAnsi="宋体"/>
          <w:szCs w:val="21"/>
        </w:rPr>
      </w:pPr>
      <w:r>
        <w:rPr>
          <w:rFonts w:hint="eastAsia" w:ascii="宋体" w:hAnsi="宋体"/>
          <w:szCs w:val="21"/>
        </w:rPr>
        <w:t>6、乙方未履行本合同项下的其他义务或违反其在投标文件中的相关承诺的，应按合同总价款的【】%向甲方承担违约责任。</w:t>
      </w:r>
    </w:p>
    <w:p w14:paraId="426A5973">
      <w:pPr>
        <w:spacing w:line="360" w:lineRule="auto"/>
        <w:ind w:firstLine="560"/>
        <w:jc w:val="left"/>
        <w:rPr>
          <w:rFonts w:ascii="宋体" w:hAnsi="宋体"/>
          <w:szCs w:val="21"/>
        </w:rPr>
      </w:pPr>
      <w:r>
        <w:rPr>
          <w:rFonts w:hint="eastAsia" w:ascii="宋体" w:hAnsi="宋体"/>
          <w:szCs w:val="21"/>
        </w:rPr>
        <w:t>7、乙方在承担上述一项或多项违约责任后，仍应继续履行合同规定的义务（甲方解除合同的除外）。甲方未能及时追究乙方的任何一项违约责任并不表明甲方放弃追究乙方该项或其他违约责任。</w:t>
      </w:r>
    </w:p>
    <w:p w14:paraId="7E15906D">
      <w:pPr>
        <w:spacing w:line="360" w:lineRule="auto"/>
        <w:ind w:firstLine="560"/>
        <w:jc w:val="left"/>
        <w:rPr>
          <w:b/>
          <w:szCs w:val="21"/>
        </w:rPr>
      </w:pPr>
      <w:r>
        <w:rPr>
          <w:rFonts w:hint="eastAsia"/>
          <w:b/>
          <w:szCs w:val="21"/>
        </w:rPr>
        <w:t>第十条    合同的变更和终止</w:t>
      </w:r>
    </w:p>
    <w:p w14:paraId="10D6C49F">
      <w:pPr>
        <w:spacing w:line="360" w:lineRule="auto"/>
        <w:ind w:firstLine="560"/>
        <w:jc w:val="left"/>
        <w:rPr>
          <w:rFonts w:ascii="宋体" w:hAnsi="宋体"/>
          <w:szCs w:val="21"/>
          <w:highlight w:val="none"/>
        </w:rPr>
      </w:pPr>
      <w:r>
        <w:rPr>
          <w:rFonts w:hint="eastAsia" w:ascii="宋体" w:hAnsi="宋体"/>
          <w:szCs w:val="21"/>
        </w:rPr>
        <w:t>除《中华人民共和国政府采购法》第４９条、第５０条第二款规定的情形外，本合同一经签订，甲乙双方不得擅自变更、</w:t>
      </w:r>
      <w:r>
        <w:rPr>
          <w:rFonts w:hint="eastAsia" w:ascii="宋体" w:hAnsi="宋体"/>
          <w:szCs w:val="21"/>
          <w:highlight w:val="none"/>
        </w:rPr>
        <w:t>中止或终止合同。</w:t>
      </w:r>
    </w:p>
    <w:p w14:paraId="5DF7D82B">
      <w:pPr>
        <w:spacing w:line="360" w:lineRule="auto"/>
        <w:ind w:firstLine="560"/>
        <w:jc w:val="left"/>
        <w:rPr>
          <w:b/>
          <w:szCs w:val="21"/>
        </w:rPr>
      </w:pPr>
      <w:r>
        <w:rPr>
          <w:rFonts w:hint="eastAsia"/>
          <w:b/>
          <w:szCs w:val="21"/>
        </w:rPr>
        <w:t>第十一条   争议的解决</w:t>
      </w:r>
    </w:p>
    <w:p w14:paraId="58F22EDD">
      <w:pPr>
        <w:spacing w:line="360" w:lineRule="auto"/>
        <w:ind w:firstLine="560"/>
        <w:jc w:val="left"/>
        <w:rPr>
          <w:rFonts w:ascii="宋体" w:hAnsi="宋体"/>
          <w:szCs w:val="21"/>
        </w:rPr>
      </w:pPr>
      <w:r>
        <w:rPr>
          <w:rFonts w:hint="eastAsia" w:ascii="宋体" w:hAnsi="宋体"/>
          <w:szCs w:val="21"/>
        </w:rPr>
        <w:t>1、因货物的质量问题发生争议的，应当邀请国家认可的质量检测机构对货物质量进行鉴定。货物符合标准的，鉴定费由甲方承担；货物不符合质量标准的，鉴定费由乙方承担。</w:t>
      </w:r>
    </w:p>
    <w:p w14:paraId="189D6676">
      <w:pPr>
        <w:spacing w:line="360" w:lineRule="auto"/>
        <w:ind w:firstLine="560"/>
        <w:jc w:val="left"/>
        <w:rPr>
          <w:rFonts w:ascii="宋体" w:hAnsi="宋体"/>
          <w:szCs w:val="21"/>
        </w:rPr>
      </w:pPr>
      <w:r>
        <w:rPr>
          <w:rFonts w:hint="eastAsia" w:ascii="宋体" w:hAnsi="宋体"/>
          <w:szCs w:val="21"/>
        </w:rPr>
        <w:t>2、因履行本合同引起的或与本合同有关的争议，甲、乙双方应首先通过友好协商解决，如果协商不能解决争议，则向甲方所在地有管辖权的人民法院提起诉讼；</w:t>
      </w:r>
    </w:p>
    <w:p w14:paraId="55767172">
      <w:pPr>
        <w:spacing w:line="360" w:lineRule="auto"/>
        <w:ind w:firstLine="560"/>
        <w:jc w:val="left"/>
        <w:rPr>
          <w:b/>
          <w:szCs w:val="21"/>
        </w:rPr>
      </w:pPr>
      <w:r>
        <w:rPr>
          <w:rFonts w:hint="eastAsia"/>
          <w:b/>
          <w:szCs w:val="21"/>
        </w:rPr>
        <w:t>第十二条   合同生效及其他</w:t>
      </w:r>
    </w:p>
    <w:p w14:paraId="76528352">
      <w:pPr>
        <w:spacing w:line="360" w:lineRule="auto"/>
        <w:ind w:firstLine="560"/>
        <w:jc w:val="left"/>
        <w:rPr>
          <w:rFonts w:hint="eastAsia" w:ascii="宋体" w:hAnsi="宋体"/>
          <w:szCs w:val="21"/>
        </w:rPr>
      </w:pPr>
      <w:r>
        <w:rPr>
          <w:rFonts w:hint="eastAsia" w:ascii="宋体" w:hAnsi="宋体"/>
          <w:szCs w:val="21"/>
        </w:rPr>
        <w:t>1、下列文件均为本合同的重要组成部分：</w:t>
      </w:r>
    </w:p>
    <w:p w14:paraId="5A72A58D">
      <w:pPr>
        <w:spacing w:line="360" w:lineRule="auto"/>
        <w:ind w:firstLine="560"/>
        <w:jc w:val="left"/>
        <w:rPr>
          <w:rFonts w:hint="eastAsia" w:ascii="宋体" w:hAnsi="宋体"/>
          <w:szCs w:val="21"/>
        </w:rPr>
      </w:pPr>
      <w:r>
        <w:rPr>
          <w:rFonts w:hint="eastAsia" w:ascii="宋体" w:hAnsi="宋体"/>
          <w:szCs w:val="21"/>
        </w:rPr>
        <w:t>（1）本项目的采购文件、答疑及补充通知；</w:t>
      </w:r>
    </w:p>
    <w:p w14:paraId="2C08A6D5">
      <w:pPr>
        <w:spacing w:line="360" w:lineRule="auto"/>
        <w:ind w:firstLine="560"/>
        <w:jc w:val="left"/>
        <w:rPr>
          <w:rFonts w:hint="eastAsia" w:ascii="宋体" w:hAnsi="宋体"/>
          <w:szCs w:val="21"/>
        </w:rPr>
      </w:pPr>
      <w:r>
        <w:rPr>
          <w:rFonts w:hint="eastAsia" w:ascii="宋体" w:hAnsi="宋体"/>
          <w:szCs w:val="21"/>
        </w:rPr>
        <w:t>（2）本项目中标的投标文件；</w:t>
      </w:r>
    </w:p>
    <w:p w14:paraId="2067F5B5">
      <w:pPr>
        <w:spacing w:line="360" w:lineRule="auto"/>
        <w:ind w:firstLine="560"/>
        <w:jc w:val="left"/>
        <w:rPr>
          <w:rFonts w:ascii="宋体" w:hAnsi="宋体"/>
          <w:szCs w:val="21"/>
        </w:rPr>
      </w:pPr>
      <w:r>
        <w:rPr>
          <w:rFonts w:hint="eastAsia" w:ascii="宋体" w:hAnsi="宋体"/>
          <w:szCs w:val="21"/>
        </w:rPr>
        <w:t>（3）本合同执行中共同签署的补充与修正文件。</w:t>
      </w:r>
    </w:p>
    <w:p w14:paraId="16BF3FF8">
      <w:pPr>
        <w:pStyle w:val="2"/>
        <w:rPr>
          <w:rFonts w:hint="eastAsia"/>
        </w:rPr>
      </w:pPr>
      <w:r>
        <w:rPr>
          <w:rFonts w:hint="eastAsia"/>
        </w:rPr>
        <w:t xml:space="preserve">   </w:t>
      </w:r>
      <w:r>
        <w:rPr>
          <w:rFonts w:hint="eastAsia" w:ascii="宋体" w:hAnsi="宋体"/>
          <w:b w:val="0"/>
          <w:sz w:val="21"/>
          <w:szCs w:val="21"/>
        </w:rPr>
        <w:t xml:space="preserve"> 以上文件互为补充，如果出现内容冲突的情况，为准的优先顺序为（2）、（1）、（3）。</w:t>
      </w:r>
    </w:p>
    <w:p w14:paraId="66E01E57">
      <w:pPr>
        <w:spacing w:line="360" w:lineRule="auto"/>
        <w:ind w:firstLine="560"/>
        <w:jc w:val="left"/>
        <w:rPr>
          <w:rFonts w:hint="eastAsia" w:ascii="宋体" w:hAnsi="宋体"/>
          <w:szCs w:val="21"/>
        </w:rPr>
      </w:pPr>
      <w:r>
        <w:rPr>
          <w:rFonts w:hint="eastAsia" w:ascii="宋体" w:hAnsi="宋体"/>
          <w:szCs w:val="21"/>
        </w:rPr>
        <w:t>2、本合同一式___份，甲、乙方双方各执份，具有同等法律效力。本合同自双方</w:t>
      </w:r>
      <w:r>
        <w:rPr>
          <w:rFonts w:hint="eastAsia" w:ascii="宋体" w:hAnsi="宋体"/>
          <w:szCs w:val="21"/>
          <w:highlight w:val="none"/>
        </w:rPr>
        <w:t>法人代表</w:t>
      </w:r>
      <w:r>
        <w:rPr>
          <w:rFonts w:hint="eastAsia" w:ascii="宋体" w:hAnsi="宋体"/>
          <w:szCs w:val="21"/>
        </w:rPr>
        <w:t>签字（盖章）认可之日起生效。</w:t>
      </w:r>
    </w:p>
    <w:p w14:paraId="443184AE">
      <w:pPr>
        <w:spacing w:line="360" w:lineRule="auto"/>
        <w:ind w:firstLine="560"/>
        <w:jc w:val="left"/>
        <w:rPr>
          <w:rFonts w:hint="eastAsia" w:ascii="宋体" w:hAnsi="宋体"/>
          <w:szCs w:val="21"/>
        </w:rPr>
      </w:pPr>
      <w:r>
        <w:rPr>
          <w:rFonts w:hint="eastAsia" w:ascii="宋体" w:hAnsi="宋体"/>
          <w:szCs w:val="21"/>
        </w:rPr>
        <w:t>3、本合同未尽事宜，双方友好协商，达成解决方案，经双方签字后，可作为本合同的有效附件。</w:t>
      </w:r>
    </w:p>
    <w:p w14:paraId="435B82BE">
      <w:pPr>
        <w:spacing w:line="360" w:lineRule="auto"/>
        <w:ind w:firstLine="560"/>
        <w:jc w:val="left"/>
        <w:rPr>
          <w:rFonts w:ascii="宋体" w:hAnsi="宋体"/>
          <w:szCs w:val="21"/>
        </w:rPr>
      </w:pPr>
      <w:r>
        <w:rPr>
          <w:rFonts w:hint="eastAsia" w:ascii="宋体" w:hAnsi="宋体"/>
          <w:szCs w:val="21"/>
        </w:rPr>
        <w:t>本合同未尽事宜，双方友好协商，达成解决方案，经双方签字后，可作为本合同的有效附件。</w:t>
      </w:r>
    </w:p>
    <w:p w14:paraId="11041CC1">
      <w:pPr>
        <w:spacing w:line="360" w:lineRule="auto"/>
        <w:ind w:firstLine="560"/>
        <w:jc w:val="left"/>
        <w:rPr>
          <w:rFonts w:ascii="宋体" w:hAnsi="宋体"/>
          <w:szCs w:val="21"/>
        </w:rPr>
      </w:pPr>
      <w:r>
        <w:rPr>
          <w:rFonts w:hint="eastAsia" w:ascii="宋体" w:hAnsi="宋体"/>
          <w:szCs w:val="21"/>
        </w:rPr>
        <w:t>甲方（采购人）：   （盖章）       乙方（供应商）：    （盖章）</w:t>
      </w:r>
    </w:p>
    <w:p w14:paraId="592925F1">
      <w:pPr>
        <w:spacing w:line="360" w:lineRule="auto"/>
        <w:ind w:firstLine="560"/>
        <w:jc w:val="left"/>
        <w:rPr>
          <w:rFonts w:ascii="宋体" w:hAnsi="宋体"/>
          <w:szCs w:val="21"/>
        </w:rPr>
      </w:pPr>
      <w:r>
        <w:rPr>
          <w:rFonts w:hint="eastAsia" w:ascii="宋体" w:hAnsi="宋体"/>
          <w:szCs w:val="21"/>
        </w:rPr>
        <w:t xml:space="preserve">法定代表人：                     法定代表人： </w:t>
      </w:r>
    </w:p>
    <w:p w14:paraId="408FF1B8">
      <w:pPr>
        <w:spacing w:line="360" w:lineRule="auto"/>
        <w:ind w:firstLine="560"/>
        <w:jc w:val="left"/>
        <w:rPr>
          <w:rFonts w:ascii="宋体" w:hAnsi="宋体"/>
          <w:szCs w:val="21"/>
        </w:rPr>
      </w:pPr>
      <w:r>
        <w:rPr>
          <w:rFonts w:hint="eastAsia" w:ascii="宋体" w:hAnsi="宋体"/>
          <w:szCs w:val="21"/>
        </w:rPr>
        <w:t>委托代理人：                     委托代理人：</w:t>
      </w:r>
    </w:p>
    <w:p w14:paraId="5FEA2A2B">
      <w:pPr>
        <w:ind w:firstLine="525" w:firstLineChars="250"/>
        <w:rPr>
          <w:rFonts w:hint="eastAsia" w:ascii="宋体" w:hAnsi="宋体"/>
          <w:szCs w:val="21"/>
        </w:rPr>
      </w:pPr>
      <w:r>
        <w:rPr>
          <w:rFonts w:hint="eastAsia" w:ascii="宋体" w:hAnsi="宋体"/>
          <w:szCs w:val="21"/>
        </w:rPr>
        <w:t>日期：   年     月    日         日期：   年     月    日</w:t>
      </w:r>
    </w:p>
    <w:p w14:paraId="5760519C">
      <w:pPr>
        <w:rPr>
          <w:rFonts w:hint="eastAsia" w:ascii="宋体" w:hAnsi="宋体"/>
          <w:szCs w:val="21"/>
        </w:rPr>
      </w:pPr>
      <w:r>
        <w:rPr>
          <w:rFonts w:hint="eastAsia" w:ascii="宋体" w:hAnsi="宋体"/>
          <w:szCs w:val="21"/>
        </w:rPr>
        <w:br w:type="page"/>
      </w:r>
    </w:p>
    <w:p w14:paraId="43F9F187">
      <w:pPr>
        <w:pStyle w:val="49"/>
        <w:rPr>
          <w:rFonts w:hint="eastAsia"/>
        </w:rPr>
      </w:pPr>
    </w:p>
    <w:p w14:paraId="15B28277">
      <w:pPr>
        <w:ind w:firstLine="527" w:firstLineChars="250"/>
        <w:rPr>
          <w:rFonts w:ascii="宋体" w:hAnsi="宋体"/>
          <w:b/>
          <w:szCs w:val="21"/>
        </w:rPr>
      </w:pPr>
    </w:p>
    <w:p w14:paraId="3AC7041F">
      <w:pPr>
        <w:keepNext/>
        <w:keepLines/>
        <w:adjustRightInd w:val="0"/>
        <w:snapToGrid w:val="0"/>
        <w:spacing w:before="156" w:beforeLines="50" w:line="360" w:lineRule="auto"/>
        <w:jc w:val="center"/>
        <w:outlineLvl w:val="1"/>
        <w:rPr>
          <w:rFonts w:ascii="黑体" w:hAnsi="黑体" w:eastAsia="黑体" w:cs="Times New Roman"/>
          <w:b/>
          <w:bCs/>
          <w:sz w:val="28"/>
          <w:szCs w:val="28"/>
        </w:rPr>
      </w:pPr>
      <w:bookmarkStart w:id="46" w:name="_Toc27624"/>
      <w:r>
        <w:rPr>
          <w:rFonts w:hint="eastAsia" w:ascii="黑体" w:hAnsi="黑体" w:eastAsia="黑体" w:cs="Times New Roman"/>
          <w:sz w:val="28"/>
          <w:szCs w:val="28"/>
        </w:rPr>
        <w:t>第二节 政府采购合同通用条款</w:t>
      </w:r>
      <w:bookmarkEnd w:id="46"/>
    </w:p>
    <w:p w14:paraId="71A6F2F8">
      <w:pPr>
        <w:tabs>
          <w:tab w:val="left" w:pos="8820"/>
          <w:tab w:val="left" w:pos="9345"/>
          <w:tab w:val="left" w:pos="9765"/>
        </w:tabs>
        <w:adjustRightInd w:val="0"/>
        <w:snapToGrid w:val="0"/>
        <w:spacing w:line="400" w:lineRule="exact"/>
        <w:jc w:val="left"/>
        <w:rPr>
          <w:rFonts w:ascii="宋体" w:hAnsi="宋体" w:eastAsia="宋体"/>
          <w:b/>
          <w:bCs/>
          <w:sz w:val="24"/>
        </w:rPr>
      </w:pPr>
      <w:r>
        <w:rPr>
          <w:rFonts w:hint="eastAsia" w:ascii="宋体" w:hAnsi="宋体" w:eastAsia="宋体"/>
          <w:b/>
          <w:sz w:val="24"/>
        </w:rPr>
        <w:t xml:space="preserve">1. </w:t>
      </w:r>
      <w:r>
        <w:rPr>
          <w:rFonts w:hint="eastAsia" w:ascii="宋体" w:hAnsi="宋体" w:eastAsia="宋体"/>
          <w:b/>
          <w:bCs/>
          <w:sz w:val="24"/>
        </w:rPr>
        <w:t>定义</w:t>
      </w:r>
    </w:p>
    <w:p w14:paraId="6D8CA541">
      <w:pPr>
        <w:autoSpaceDE w:val="0"/>
        <w:autoSpaceDN w:val="0"/>
        <w:adjustRightInd w:val="0"/>
        <w:snapToGrid w:val="0"/>
        <w:spacing w:line="400" w:lineRule="exact"/>
        <w:ind w:firstLine="420" w:firstLineChars="200"/>
        <w:jc w:val="left"/>
        <w:rPr>
          <w:rFonts w:ascii="宋体" w:hAnsi="宋体" w:eastAsia="宋体"/>
          <w:color w:val="000000"/>
          <w:szCs w:val="21"/>
        </w:rPr>
      </w:pPr>
      <w:r>
        <w:rPr>
          <w:rFonts w:hint="eastAsia" w:ascii="宋体" w:hAnsi="宋体" w:eastAsia="宋体"/>
          <w:color w:val="000000"/>
          <w:szCs w:val="21"/>
        </w:rPr>
        <w:t>1.1合同当事人</w:t>
      </w:r>
    </w:p>
    <w:p w14:paraId="5B5D8795">
      <w:pPr>
        <w:autoSpaceDE w:val="0"/>
        <w:autoSpaceDN w:val="0"/>
        <w:adjustRightInd w:val="0"/>
        <w:snapToGrid w:val="0"/>
        <w:spacing w:line="400" w:lineRule="exact"/>
        <w:ind w:firstLine="420" w:firstLineChars="200"/>
        <w:jc w:val="left"/>
        <w:rPr>
          <w:rFonts w:ascii="宋体" w:hAnsi="宋体" w:eastAsia="宋体"/>
          <w:szCs w:val="21"/>
        </w:rPr>
      </w:pPr>
      <w:r>
        <w:rPr>
          <w:rFonts w:hint="eastAsia" w:ascii="宋体" w:hAnsi="宋体" w:eastAsia="宋体"/>
          <w:szCs w:val="21"/>
        </w:rPr>
        <w:t>（1）采购人（以下称甲方）是指使用财政性资金，通过政府采购方式向供应商购买货物及其相关服务的国家机关、事业单位、团体组织。</w:t>
      </w:r>
    </w:p>
    <w:p w14:paraId="26E751C4">
      <w:pPr>
        <w:autoSpaceDE w:val="0"/>
        <w:autoSpaceDN w:val="0"/>
        <w:adjustRightInd w:val="0"/>
        <w:snapToGrid w:val="0"/>
        <w:spacing w:line="400" w:lineRule="exact"/>
        <w:ind w:firstLine="420" w:firstLineChars="200"/>
        <w:jc w:val="left"/>
        <w:rPr>
          <w:rFonts w:ascii="宋体" w:hAnsi="宋体" w:eastAsia="宋体"/>
          <w:szCs w:val="21"/>
        </w:rPr>
      </w:pPr>
      <w:r>
        <w:rPr>
          <w:rFonts w:hint="eastAsia" w:ascii="宋体" w:hAnsi="宋体" w:eastAsia="宋体"/>
          <w:szCs w:val="21"/>
        </w:rPr>
        <w:t>（2）供应商（以下称乙方）是指参加政府采购活动并且中标（成交），向采购人提供合同约定的货物及其相关服务的法人、非法人组织或者自然人。</w:t>
      </w:r>
    </w:p>
    <w:p w14:paraId="72BA5F00">
      <w:pPr>
        <w:autoSpaceDE w:val="0"/>
        <w:autoSpaceDN w:val="0"/>
        <w:adjustRightInd w:val="0"/>
        <w:snapToGrid w:val="0"/>
        <w:spacing w:line="400" w:lineRule="exact"/>
        <w:ind w:firstLine="420" w:firstLineChars="200"/>
        <w:jc w:val="left"/>
        <w:rPr>
          <w:rFonts w:ascii="宋体" w:hAnsi="宋体" w:eastAsia="宋体"/>
          <w:szCs w:val="21"/>
        </w:rPr>
      </w:pPr>
      <w:r>
        <w:rPr>
          <w:rFonts w:hint="eastAsia" w:ascii="宋体" w:hAnsi="宋体" w:eastAsia="宋体"/>
          <w:szCs w:val="21"/>
        </w:rPr>
        <w:t>（3）其他合同主体是指除采购人和供应商以外，</w:t>
      </w:r>
      <w:r>
        <w:rPr>
          <w:rFonts w:hint="eastAsia" w:ascii="宋体" w:hAnsi="宋体" w:eastAsia="宋体" w:cs="宋体"/>
          <w:bCs/>
          <w:color w:val="000000"/>
          <w:szCs w:val="21"/>
        </w:rPr>
        <w:t>依法参与合同缔结或履行，享有权利、承担义务的合同当事人</w:t>
      </w:r>
      <w:r>
        <w:rPr>
          <w:rFonts w:hint="eastAsia" w:ascii="宋体" w:hAnsi="宋体" w:eastAsia="宋体"/>
          <w:szCs w:val="21"/>
        </w:rPr>
        <w:t>。</w:t>
      </w:r>
    </w:p>
    <w:p w14:paraId="50819F7C">
      <w:pPr>
        <w:tabs>
          <w:tab w:val="left" w:pos="570"/>
          <w:tab w:val="left" w:pos="9240"/>
          <w:tab w:val="left" w:pos="9555"/>
        </w:tabs>
        <w:adjustRightInd w:val="0"/>
        <w:snapToGrid w:val="0"/>
        <w:spacing w:line="400" w:lineRule="exact"/>
        <w:ind w:firstLine="420" w:firstLineChars="200"/>
        <w:jc w:val="left"/>
        <w:rPr>
          <w:rFonts w:ascii="宋体" w:hAnsi="宋体" w:eastAsia="宋体"/>
          <w:szCs w:val="21"/>
        </w:rPr>
      </w:pPr>
      <w:r>
        <w:rPr>
          <w:rFonts w:hint="eastAsia" w:ascii="宋体" w:hAnsi="宋体" w:eastAsia="宋体"/>
          <w:szCs w:val="21"/>
        </w:rPr>
        <w:t>1.2本合同下列术语应解释为：</w:t>
      </w:r>
    </w:p>
    <w:p w14:paraId="0F448BF6">
      <w:pPr>
        <w:adjustRightInd w:val="0"/>
        <w:snapToGrid w:val="0"/>
        <w:spacing w:line="400" w:lineRule="exact"/>
        <w:ind w:firstLine="420" w:firstLineChars="200"/>
        <w:jc w:val="left"/>
        <w:rPr>
          <w:rFonts w:ascii="宋体" w:hAnsi="宋体" w:eastAsia="宋体"/>
          <w:szCs w:val="21"/>
        </w:rPr>
      </w:pPr>
      <w:r>
        <w:rPr>
          <w:rFonts w:hint="eastAsia" w:ascii="宋体" w:hAnsi="宋体" w:eastAsia="宋体"/>
          <w:szCs w:val="21"/>
        </w:rPr>
        <w:t>（1）“合同”系指</w:t>
      </w:r>
      <w:r>
        <w:rPr>
          <w:rFonts w:hint="eastAsia" w:ascii="宋体" w:hAnsi="宋体" w:eastAsia="宋体" w:cs="宋体"/>
          <w:bCs/>
          <w:color w:val="000000"/>
          <w:szCs w:val="21"/>
        </w:rPr>
        <w:t>合同当事人意思表示达成一致的任何协议，包括签署的</w:t>
      </w:r>
      <w:r>
        <w:rPr>
          <w:rFonts w:hint="eastAsia" w:ascii="宋体" w:hAnsi="宋体" w:eastAsia="宋体"/>
          <w:szCs w:val="21"/>
        </w:rPr>
        <w:t>政府采购合同协议书及其变更、补充协议，政府采购合同专用条款，政府采购合同通用条款，中标（成交）通知书，投标（响应）文件，采购文件，有关技术文件和图纸，以及</w:t>
      </w:r>
      <w:r>
        <w:rPr>
          <w:rFonts w:hint="eastAsia" w:ascii="宋体" w:hAnsi="宋体" w:eastAsia="宋体" w:cs="宋体"/>
          <w:color w:val="000000"/>
          <w:szCs w:val="21"/>
        </w:rPr>
        <w:t>国家法律、行政法规和规章制度规定或合同约定的作为合同组成部分的其他文件</w:t>
      </w:r>
      <w:r>
        <w:rPr>
          <w:rFonts w:hint="eastAsia" w:ascii="宋体" w:hAnsi="宋体" w:eastAsia="宋体"/>
          <w:szCs w:val="21"/>
        </w:rPr>
        <w:t>。</w:t>
      </w:r>
    </w:p>
    <w:p w14:paraId="19EE385E">
      <w:pPr>
        <w:tabs>
          <w:tab w:val="left" w:pos="570"/>
          <w:tab w:val="left" w:pos="9240"/>
          <w:tab w:val="left" w:pos="9555"/>
        </w:tabs>
        <w:adjustRightInd w:val="0"/>
        <w:snapToGrid w:val="0"/>
        <w:spacing w:line="400" w:lineRule="exact"/>
        <w:ind w:firstLine="420" w:firstLineChars="200"/>
        <w:jc w:val="left"/>
        <w:rPr>
          <w:rFonts w:ascii="宋体" w:hAnsi="宋体" w:eastAsia="宋体"/>
          <w:szCs w:val="21"/>
        </w:rPr>
      </w:pPr>
      <w:r>
        <w:rPr>
          <w:rFonts w:hint="eastAsia" w:ascii="宋体" w:hAnsi="宋体" w:eastAsia="宋体"/>
          <w:szCs w:val="21"/>
        </w:rPr>
        <w:t>（2）“合同价款”系指根据本合同规定乙方在全面履行合同义务后甲方应支付给乙方的价款。</w:t>
      </w:r>
    </w:p>
    <w:p w14:paraId="5C87D991">
      <w:pPr>
        <w:tabs>
          <w:tab w:val="left" w:pos="570"/>
          <w:tab w:val="left" w:pos="9240"/>
          <w:tab w:val="left" w:pos="9555"/>
        </w:tabs>
        <w:adjustRightInd w:val="0"/>
        <w:snapToGrid w:val="0"/>
        <w:spacing w:line="400" w:lineRule="exact"/>
        <w:ind w:firstLine="420" w:firstLineChars="200"/>
        <w:jc w:val="left"/>
        <w:rPr>
          <w:rFonts w:ascii="宋体" w:hAnsi="宋体" w:eastAsia="宋体"/>
          <w:color w:val="000000"/>
          <w:szCs w:val="21"/>
        </w:rPr>
      </w:pPr>
      <w:r>
        <w:rPr>
          <w:rFonts w:hint="eastAsia" w:ascii="宋体" w:hAnsi="宋体" w:eastAsia="宋体"/>
          <w:szCs w:val="21"/>
        </w:rPr>
        <w:t>（3）“货物”系指乙方根据本合同规定须向甲方提供的各种形态和种类的物品，包括原材料、设备、产品（</w:t>
      </w:r>
      <w:r>
        <w:rPr>
          <w:rFonts w:hint="eastAsia" w:ascii="宋体" w:hAnsi="宋体" w:eastAsia="宋体"/>
          <w:color w:val="000000"/>
          <w:szCs w:val="21"/>
        </w:rPr>
        <w:t>包括软件）及相关的其备品备件、工具、手册及</w:t>
      </w:r>
      <w:r>
        <w:rPr>
          <w:rFonts w:ascii="宋体" w:hAnsi="宋体" w:eastAsia="宋体"/>
          <w:color w:val="000000"/>
          <w:szCs w:val="21"/>
          <w:lang w:val="en"/>
        </w:rPr>
        <w:t>其他</w:t>
      </w:r>
      <w:r>
        <w:rPr>
          <w:rFonts w:hint="eastAsia" w:ascii="宋体" w:hAnsi="宋体" w:eastAsia="宋体"/>
          <w:color w:val="000000"/>
          <w:szCs w:val="21"/>
        </w:rPr>
        <w:t>技术资料和材料等。</w:t>
      </w:r>
    </w:p>
    <w:p w14:paraId="2DF1C5E3">
      <w:pPr>
        <w:adjustRightInd w:val="0"/>
        <w:snapToGrid w:val="0"/>
        <w:spacing w:line="400" w:lineRule="exact"/>
        <w:ind w:firstLine="420" w:firstLineChars="200"/>
        <w:jc w:val="left"/>
        <w:rPr>
          <w:rFonts w:ascii="宋体" w:hAnsi="宋体" w:eastAsia="宋体"/>
          <w:color w:val="000000"/>
          <w:szCs w:val="21"/>
          <w:highlight w:val="yellow"/>
        </w:rPr>
      </w:pPr>
      <w:r>
        <w:rPr>
          <w:rFonts w:hint="eastAsia" w:ascii="宋体" w:hAnsi="宋体" w:eastAsia="宋体"/>
          <w:color w:val="000000"/>
          <w:szCs w:val="21"/>
        </w:rPr>
        <w:t>（4）“</w:t>
      </w:r>
      <w:r>
        <w:rPr>
          <w:rFonts w:hint="eastAsia" w:ascii="宋体" w:hAnsi="宋体" w:eastAsia="宋体"/>
          <w:szCs w:val="21"/>
        </w:rPr>
        <w:t>相关</w:t>
      </w:r>
      <w:r>
        <w:rPr>
          <w:rFonts w:hint="eastAsia" w:ascii="宋体" w:hAnsi="宋体" w:eastAsia="宋体"/>
          <w:color w:val="000000"/>
          <w:szCs w:val="21"/>
        </w:rPr>
        <w:t>服务”系指根据合同规定，乙方应提供的与货物有关的技术、管理和</w:t>
      </w:r>
      <w:r>
        <w:rPr>
          <w:rFonts w:ascii="宋体" w:hAnsi="宋体" w:eastAsia="宋体"/>
          <w:color w:val="000000"/>
          <w:szCs w:val="21"/>
          <w:lang w:val="en"/>
        </w:rPr>
        <w:t>其他</w:t>
      </w:r>
      <w:r>
        <w:rPr>
          <w:rFonts w:hint="eastAsia" w:ascii="宋体" w:hAnsi="宋体" w:eastAsia="宋体"/>
          <w:color w:val="000000"/>
          <w:szCs w:val="21"/>
        </w:rPr>
        <w:t>服务，包括但不限于：管理和质量保证、运输、保险、检验、现场准备、安装、集成、调试、培训、维修、废弃处置、技术支持等以及合同中规定乙方应承担的</w:t>
      </w:r>
      <w:r>
        <w:rPr>
          <w:rFonts w:ascii="宋体" w:hAnsi="宋体" w:eastAsia="宋体"/>
          <w:color w:val="000000"/>
          <w:szCs w:val="21"/>
          <w:lang w:val="en"/>
        </w:rPr>
        <w:t>其他</w:t>
      </w:r>
      <w:r>
        <w:rPr>
          <w:rFonts w:hint="eastAsia" w:ascii="宋体" w:hAnsi="宋体" w:eastAsia="宋体"/>
          <w:color w:val="000000"/>
          <w:szCs w:val="21"/>
        </w:rPr>
        <w:t>义务。</w:t>
      </w:r>
    </w:p>
    <w:p w14:paraId="68A28670">
      <w:pPr>
        <w:adjustRightInd w:val="0"/>
        <w:snapToGrid w:val="0"/>
        <w:spacing w:line="400" w:lineRule="exact"/>
        <w:ind w:firstLine="420" w:firstLineChars="200"/>
        <w:jc w:val="left"/>
        <w:rPr>
          <w:rFonts w:ascii="宋体" w:hAnsi="宋体" w:eastAsia="宋体"/>
          <w:color w:val="000000"/>
          <w:szCs w:val="21"/>
          <w:highlight w:val="yellow"/>
        </w:rPr>
      </w:pPr>
      <w:r>
        <w:rPr>
          <w:rFonts w:hint="eastAsia" w:ascii="宋体" w:hAnsi="宋体" w:eastAsia="宋体"/>
          <w:color w:val="000000"/>
          <w:szCs w:val="21"/>
        </w:rPr>
        <w:t>（5）“分包”系指中标（成交）供应商按采购文件、投标（响应）文件的规定，根据分包意向协议，将中标（成交）项目中的部分履约内容，分给具有相应资质条件的供应商履行合同的行为。</w:t>
      </w:r>
    </w:p>
    <w:p w14:paraId="23FFC56F">
      <w:pPr>
        <w:tabs>
          <w:tab w:val="left" w:pos="570"/>
          <w:tab w:val="left" w:pos="9240"/>
          <w:tab w:val="left" w:pos="9555"/>
        </w:tabs>
        <w:adjustRightInd w:val="0"/>
        <w:snapToGrid w:val="0"/>
        <w:spacing w:line="400" w:lineRule="exact"/>
        <w:ind w:firstLine="420" w:firstLineChars="200"/>
        <w:jc w:val="left"/>
        <w:rPr>
          <w:rFonts w:ascii="宋体" w:hAnsi="宋体" w:eastAsia="宋体"/>
          <w:color w:val="000000"/>
          <w:szCs w:val="21"/>
        </w:rPr>
      </w:pPr>
      <w:r>
        <w:rPr>
          <w:rFonts w:hint="eastAsia" w:ascii="宋体" w:hAnsi="宋体" w:eastAsia="宋体"/>
          <w:color w:val="000000"/>
          <w:szCs w:val="21"/>
        </w:rPr>
        <w:t>（6）</w:t>
      </w:r>
      <w:r>
        <w:rPr>
          <w:rFonts w:hint="eastAsia" w:ascii="宋体" w:hAnsi="宋体" w:eastAsia="宋体"/>
          <w:szCs w:val="21"/>
        </w:rPr>
        <w:t>“联合体”系指由两个以上的自然人、法人或者非法人组织组成，以一个供应商的身份共同参加政府采购的主体</w:t>
      </w:r>
      <w:r>
        <w:rPr>
          <w:rFonts w:hint="eastAsia" w:ascii="宋体" w:hAnsi="宋体" w:eastAsia="宋体"/>
          <w:color w:val="000000"/>
          <w:szCs w:val="21"/>
        </w:rPr>
        <w:t>。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eastAsia="宋体"/>
          <w:b/>
          <w:bCs/>
          <w:color w:val="000000"/>
          <w:szCs w:val="21"/>
        </w:rPr>
        <w:t>政府采购合同专用条款</w:t>
      </w:r>
      <w:r>
        <w:rPr>
          <w:rFonts w:hint="eastAsia" w:ascii="宋体" w:hAnsi="宋体" w:eastAsia="宋体"/>
          <w:color w:val="000000"/>
          <w:szCs w:val="21"/>
        </w:rPr>
        <w:t>】。</w:t>
      </w:r>
    </w:p>
    <w:p w14:paraId="1847547E">
      <w:pPr>
        <w:tabs>
          <w:tab w:val="left" w:pos="570"/>
          <w:tab w:val="left" w:pos="9240"/>
          <w:tab w:val="left" w:pos="9555"/>
        </w:tabs>
        <w:adjustRightInd w:val="0"/>
        <w:snapToGrid w:val="0"/>
        <w:spacing w:line="400" w:lineRule="exact"/>
        <w:ind w:firstLine="420" w:firstLineChars="200"/>
        <w:jc w:val="left"/>
        <w:rPr>
          <w:rFonts w:ascii="宋体" w:hAnsi="宋体" w:eastAsia="宋体"/>
          <w:color w:val="000000"/>
          <w:szCs w:val="21"/>
        </w:rPr>
      </w:pPr>
      <w:r>
        <w:rPr>
          <w:rFonts w:hint="eastAsia" w:ascii="宋体" w:hAnsi="宋体" w:eastAsia="宋体"/>
          <w:color w:val="000000"/>
          <w:szCs w:val="21"/>
        </w:rPr>
        <w:t>（7）其他术语解释，见【</w:t>
      </w:r>
      <w:r>
        <w:rPr>
          <w:rFonts w:hint="eastAsia" w:ascii="宋体" w:hAnsi="宋体" w:eastAsia="宋体"/>
          <w:b/>
          <w:bCs/>
          <w:color w:val="000000"/>
          <w:szCs w:val="21"/>
        </w:rPr>
        <w:t>政府采购合同专用条款</w:t>
      </w:r>
      <w:r>
        <w:rPr>
          <w:rFonts w:hint="eastAsia" w:ascii="宋体" w:hAnsi="宋体" w:eastAsia="宋体"/>
          <w:color w:val="000000"/>
          <w:szCs w:val="21"/>
        </w:rPr>
        <w:t>】。</w:t>
      </w:r>
    </w:p>
    <w:p w14:paraId="6F50CBB2">
      <w:pPr>
        <w:numPr>
          <w:ilvl w:val="0"/>
          <w:numId w:val="8"/>
        </w:numPr>
        <w:autoSpaceDE w:val="0"/>
        <w:autoSpaceDN w:val="0"/>
        <w:adjustRightInd w:val="0"/>
        <w:snapToGrid w:val="0"/>
        <w:spacing w:line="400" w:lineRule="exact"/>
        <w:jc w:val="left"/>
        <w:rPr>
          <w:rFonts w:ascii="宋体" w:hAnsi="宋体" w:eastAsia="宋体"/>
          <w:b/>
          <w:bCs/>
          <w:color w:val="000000"/>
          <w:sz w:val="24"/>
        </w:rPr>
      </w:pPr>
      <w:r>
        <w:rPr>
          <w:rFonts w:hint="eastAsia" w:ascii="宋体" w:hAnsi="宋体" w:eastAsia="宋体"/>
          <w:b/>
          <w:color w:val="000000"/>
          <w:sz w:val="24"/>
        </w:rPr>
        <w:t>合同标的及金额</w:t>
      </w:r>
    </w:p>
    <w:p w14:paraId="18F4B7BD">
      <w:pPr>
        <w:autoSpaceDE w:val="0"/>
        <w:autoSpaceDN w:val="0"/>
        <w:adjustRightInd w:val="0"/>
        <w:snapToGrid w:val="0"/>
        <w:spacing w:line="400" w:lineRule="exact"/>
        <w:ind w:firstLine="420" w:firstLineChars="200"/>
        <w:jc w:val="left"/>
        <w:rPr>
          <w:rFonts w:ascii="宋体" w:hAnsi="宋体" w:eastAsia="宋体"/>
          <w:b/>
          <w:bCs/>
          <w:i/>
          <w:iCs/>
          <w:color w:val="000000"/>
          <w:szCs w:val="21"/>
        </w:rPr>
      </w:pPr>
      <w:r>
        <w:rPr>
          <w:rFonts w:hint="eastAsia" w:ascii="宋体" w:hAnsi="宋体" w:eastAsia="宋体"/>
          <w:color w:val="000000"/>
          <w:szCs w:val="21"/>
        </w:rPr>
        <w:t>2.1 合同标的及金额应与中标（成交）结果一致。乙方为履行本合同而发生的所有费用均应包含在合同价款中，甲方不再另行支付</w:t>
      </w:r>
      <w:r>
        <w:rPr>
          <w:rFonts w:ascii="宋体" w:hAnsi="宋体" w:eastAsia="宋体"/>
          <w:color w:val="000000"/>
          <w:szCs w:val="21"/>
          <w:lang w:val="en"/>
        </w:rPr>
        <w:t>其他</w:t>
      </w:r>
      <w:r>
        <w:rPr>
          <w:rFonts w:hint="eastAsia" w:ascii="宋体" w:hAnsi="宋体" w:eastAsia="宋体"/>
          <w:color w:val="000000"/>
          <w:szCs w:val="21"/>
        </w:rPr>
        <w:t>任何费用。</w:t>
      </w:r>
    </w:p>
    <w:p w14:paraId="4630D419">
      <w:pPr>
        <w:adjustRightInd w:val="0"/>
        <w:snapToGrid w:val="0"/>
        <w:spacing w:line="400" w:lineRule="exact"/>
        <w:jc w:val="left"/>
        <w:rPr>
          <w:rFonts w:ascii="宋体" w:hAnsi="宋体" w:eastAsia="宋体"/>
          <w:b/>
          <w:color w:val="000000"/>
          <w:sz w:val="24"/>
        </w:rPr>
      </w:pPr>
      <w:r>
        <w:rPr>
          <w:rFonts w:hint="eastAsia" w:ascii="宋体" w:hAnsi="宋体" w:eastAsia="宋体"/>
          <w:b/>
          <w:color w:val="000000"/>
          <w:sz w:val="24"/>
        </w:rPr>
        <w:t>3. 履行合同的时间、地点和方式</w:t>
      </w:r>
    </w:p>
    <w:p w14:paraId="75D8E95F">
      <w:pPr>
        <w:autoSpaceDE w:val="0"/>
        <w:autoSpaceDN w:val="0"/>
        <w:adjustRightInd w:val="0"/>
        <w:snapToGrid w:val="0"/>
        <w:spacing w:line="400" w:lineRule="exact"/>
        <w:ind w:firstLine="420" w:firstLineChars="200"/>
        <w:jc w:val="left"/>
        <w:rPr>
          <w:rFonts w:ascii="宋体" w:hAnsi="宋体" w:eastAsia="宋体"/>
          <w:color w:val="000000"/>
          <w:szCs w:val="21"/>
        </w:rPr>
      </w:pPr>
      <w:r>
        <w:rPr>
          <w:rFonts w:hint="eastAsia" w:ascii="宋体" w:hAnsi="宋体" w:eastAsia="宋体"/>
          <w:color w:val="000000"/>
          <w:szCs w:val="21"/>
        </w:rPr>
        <w:t xml:space="preserve">3.1 </w:t>
      </w:r>
      <w:r>
        <w:rPr>
          <w:rFonts w:hint="eastAsia" w:ascii="宋体" w:hAnsi="宋体" w:eastAsia="宋体" w:cs="宋体"/>
          <w:szCs w:val="21"/>
        </w:rPr>
        <w:t>乙方应当在约定的时间、地点，按照约定方式履行合同。</w:t>
      </w:r>
    </w:p>
    <w:p w14:paraId="6EC1C27E">
      <w:pPr>
        <w:autoSpaceDE w:val="0"/>
        <w:autoSpaceDN w:val="0"/>
        <w:adjustRightInd w:val="0"/>
        <w:snapToGrid w:val="0"/>
        <w:spacing w:line="400" w:lineRule="exact"/>
        <w:jc w:val="left"/>
        <w:rPr>
          <w:rFonts w:ascii="宋体" w:hAnsi="宋体" w:eastAsia="宋体"/>
          <w:b/>
          <w:bCs/>
          <w:color w:val="000000"/>
          <w:sz w:val="24"/>
        </w:rPr>
      </w:pPr>
      <w:r>
        <w:rPr>
          <w:rFonts w:hint="eastAsia" w:ascii="宋体" w:hAnsi="宋体" w:eastAsia="宋体"/>
          <w:b/>
          <w:bCs/>
          <w:color w:val="000000"/>
          <w:sz w:val="24"/>
        </w:rPr>
        <w:t>4. 甲方的权利和义务</w:t>
      </w:r>
    </w:p>
    <w:p w14:paraId="2DF37E97">
      <w:pPr>
        <w:autoSpaceDE w:val="0"/>
        <w:autoSpaceDN w:val="0"/>
        <w:adjustRightInd w:val="0"/>
        <w:snapToGrid w:val="0"/>
        <w:spacing w:line="400" w:lineRule="exact"/>
        <w:ind w:firstLine="420" w:firstLineChars="200"/>
        <w:jc w:val="left"/>
        <w:rPr>
          <w:rFonts w:ascii="宋体" w:hAnsi="宋体" w:eastAsia="宋体"/>
          <w:color w:val="000000"/>
          <w:szCs w:val="21"/>
        </w:rPr>
      </w:pPr>
      <w:r>
        <w:rPr>
          <w:rFonts w:hint="eastAsia" w:ascii="宋体" w:hAnsi="宋体" w:eastAsia="宋体"/>
          <w:color w:val="000000"/>
          <w:szCs w:val="21"/>
        </w:rPr>
        <w:t>4.1</w:t>
      </w:r>
      <w:r>
        <w:rPr>
          <w:rFonts w:ascii="宋体" w:hAnsi="宋体" w:eastAsia="宋体"/>
          <w:color w:val="000000"/>
          <w:szCs w:val="21"/>
        </w:rPr>
        <w:t xml:space="preserve"> 签署合同后，甲方</w:t>
      </w:r>
      <w:r>
        <w:rPr>
          <w:rFonts w:hint="eastAsia" w:ascii="宋体" w:hAnsi="宋体" w:eastAsia="宋体"/>
          <w:color w:val="000000"/>
          <w:szCs w:val="21"/>
        </w:rPr>
        <w:t>应</w:t>
      </w:r>
      <w:r>
        <w:rPr>
          <w:rFonts w:ascii="宋体" w:hAnsi="宋体" w:eastAsia="宋体"/>
          <w:color w:val="000000"/>
          <w:szCs w:val="21"/>
        </w:rPr>
        <w:t>确定</w:t>
      </w:r>
      <w:r>
        <w:rPr>
          <w:rFonts w:hint="eastAsia" w:ascii="宋体" w:hAnsi="宋体" w:eastAsia="宋体"/>
          <w:color w:val="000000"/>
          <w:szCs w:val="21"/>
        </w:rPr>
        <w:t>项目负责人（或项目联系人）</w:t>
      </w:r>
      <w:r>
        <w:rPr>
          <w:rFonts w:ascii="宋体" w:hAnsi="宋体" w:eastAsia="宋体"/>
          <w:color w:val="000000"/>
          <w:szCs w:val="21"/>
        </w:rPr>
        <w:t>，负责与本合同有关的事务。</w:t>
      </w:r>
      <w:r>
        <w:rPr>
          <w:rFonts w:hint="eastAsia" w:ascii="宋体" w:hAnsi="宋体" w:eastAsia="宋体"/>
          <w:color w:val="000000"/>
          <w:szCs w:val="21"/>
        </w:rPr>
        <w:t>甲方有权对乙方的履约行为进行检查，并</w:t>
      </w:r>
      <w:r>
        <w:rPr>
          <w:rFonts w:ascii="宋体" w:hAnsi="宋体" w:eastAsia="宋体"/>
          <w:color w:val="000000"/>
          <w:szCs w:val="21"/>
        </w:rPr>
        <w:t>及时确认乙方提交的事项</w:t>
      </w:r>
      <w:r>
        <w:rPr>
          <w:rFonts w:hint="eastAsia" w:ascii="宋体" w:hAnsi="宋体" w:eastAsia="宋体"/>
          <w:color w:val="000000"/>
          <w:szCs w:val="21"/>
        </w:rPr>
        <w:t>。甲方应当</w:t>
      </w:r>
      <w:r>
        <w:rPr>
          <w:rFonts w:ascii="宋体" w:hAnsi="宋体" w:eastAsia="宋体"/>
          <w:color w:val="000000"/>
          <w:szCs w:val="21"/>
        </w:rPr>
        <w:t>配合乙方完成</w:t>
      </w:r>
      <w:r>
        <w:rPr>
          <w:rFonts w:hint="eastAsia" w:ascii="宋体" w:hAnsi="宋体" w:eastAsia="宋体"/>
          <w:color w:val="000000"/>
          <w:szCs w:val="21"/>
        </w:rPr>
        <w:t>相关项目</w:t>
      </w:r>
      <w:r>
        <w:rPr>
          <w:rFonts w:ascii="宋体" w:hAnsi="宋体" w:eastAsia="宋体"/>
          <w:color w:val="000000"/>
          <w:szCs w:val="21"/>
        </w:rPr>
        <w:t>实施工作。</w:t>
      </w:r>
    </w:p>
    <w:p w14:paraId="27528FC8">
      <w:pPr>
        <w:autoSpaceDE w:val="0"/>
        <w:autoSpaceDN w:val="0"/>
        <w:adjustRightInd w:val="0"/>
        <w:snapToGrid w:val="0"/>
        <w:spacing w:line="400" w:lineRule="exact"/>
        <w:ind w:firstLine="420" w:firstLineChars="200"/>
        <w:jc w:val="left"/>
        <w:rPr>
          <w:rFonts w:ascii="宋体" w:hAnsi="宋体" w:eastAsia="宋体"/>
          <w:color w:val="000000"/>
          <w:szCs w:val="21"/>
        </w:rPr>
      </w:pPr>
      <w:r>
        <w:rPr>
          <w:rFonts w:hint="eastAsia" w:ascii="宋体" w:hAnsi="宋体" w:eastAsia="宋体"/>
          <w:color w:val="000000"/>
          <w:szCs w:val="21"/>
        </w:rPr>
        <w:t xml:space="preserve">4.2 </w:t>
      </w:r>
      <w:r>
        <w:rPr>
          <w:rFonts w:ascii="宋体" w:hAnsi="宋体" w:eastAsia="宋体"/>
          <w:color w:val="000000"/>
          <w:szCs w:val="21"/>
        </w:rPr>
        <w:t>甲方有权要求乙方按时提交各阶段有关</w:t>
      </w:r>
      <w:r>
        <w:rPr>
          <w:rFonts w:hint="eastAsia" w:ascii="宋体" w:hAnsi="宋体" w:eastAsia="宋体"/>
          <w:color w:val="000000"/>
          <w:szCs w:val="21"/>
        </w:rPr>
        <w:t>安排计划</w:t>
      </w:r>
      <w:r>
        <w:rPr>
          <w:rFonts w:ascii="宋体" w:hAnsi="宋体" w:eastAsia="宋体"/>
          <w:color w:val="000000"/>
          <w:szCs w:val="21"/>
        </w:rPr>
        <w:t>，并有权</w:t>
      </w:r>
      <w:r>
        <w:rPr>
          <w:rFonts w:hint="eastAsia" w:ascii="宋体" w:hAnsi="宋体" w:eastAsia="宋体"/>
          <w:color w:val="000000"/>
          <w:szCs w:val="21"/>
        </w:rPr>
        <w:t>定期核对乙方提供货物数量、规格、质量等内容。甲方</w:t>
      </w:r>
      <w:r>
        <w:rPr>
          <w:rFonts w:ascii="宋体" w:hAnsi="宋体" w:eastAsia="宋体"/>
          <w:color w:val="000000"/>
          <w:szCs w:val="21"/>
        </w:rPr>
        <w:t>有权督促乙方工作并要求乙方</w:t>
      </w:r>
      <w:r>
        <w:rPr>
          <w:rFonts w:hint="eastAsia" w:ascii="宋体" w:hAnsi="宋体" w:eastAsia="宋体"/>
          <w:color w:val="000000"/>
          <w:szCs w:val="21"/>
        </w:rPr>
        <w:t>更</w:t>
      </w:r>
      <w:r>
        <w:rPr>
          <w:rFonts w:ascii="宋体" w:hAnsi="宋体" w:eastAsia="宋体"/>
          <w:color w:val="000000"/>
          <w:szCs w:val="21"/>
        </w:rPr>
        <w:t>换不符合要求的</w:t>
      </w:r>
      <w:r>
        <w:rPr>
          <w:rFonts w:hint="eastAsia" w:ascii="宋体" w:hAnsi="宋体" w:eastAsia="宋体"/>
          <w:color w:val="000000"/>
          <w:szCs w:val="21"/>
        </w:rPr>
        <w:t>货物</w:t>
      </w:r>
      <w:r>
        <w:rPr>
          <w:rFonts w:ascii="宋体" w:hAnsi="宋体" w:eastAsia="宋体"/>
          <w:color w:val="000000"/>
          <w:szCs w:val="21"/>
        </w:rPr>
        <w:t>。</w:t>
      </w:r>
    </w:p>
    <w:p w14:paraId="32906C3B">
      <w:pPr>
        <w:autoSpaceDE w:val="0"/>
        <w:autoSpaceDN w:val="0"/>
        <w:adjustRightInd w:val="0"/>
        <w:snapToGrid w:val="0"/>
        <w:spacing w:line="400" w:lineRule="exact"/>
        <w:ind w:firstLine="420" w:firstLineChars="200"/>
        <w:jc w:val="left"/>
        <w:rPr>
          <w:rFonts w:ascii="宋体" w:hAnsi="宋体" w:eastAsia="宋体"/>
          <w:color w:val="000000"/>
          <w:szCs w:val="21"/>
        </w:rPr>
      </w:pPr>
      <w:r>
        <w:rPr>
          <w:rFonts w:hint="eastAsia" w:ascii="宋体" w:hAnsi="宋体" w:eastAsia="宋体"/>
          <w:color w:val="000000"/>
          <w:szCs w:val="21"/>
        </w:rPr>
        <w:t>4.</w:t>
      </w:r>
      <w:r>
        <w:rPr>
          <w:rFonts w:ascii="宋体" w:hAnsi="宋体" w:eastAsia="宋体"/>
          <w:color w:val="000000"/>
          <w:szCs w:val="21"/>
        </w:rPr>
        <w:t>3</w:t>
      </w:r>
      <w:r>
        <w:rPr>
          <w:rFonts w:hint="eastAsia" w:ascii="宋体" w:hAnsi="宋体" w:eastAsia="宋体"/>
          <w:color w:val="000000"/>
          <w:szCs w:val="21"/>
        </w:rPr>
        <w:t xml:space="preserve"> </w:t>
      </w:r>
      <w:r>
        <w:rPr>
          <w:rFonts w:ascii="宋体" w:hAnsi="宋体" w:eastAsia="宋体"/>
          <w:color w:val="000000"/>
          <w:szCs w:val="21"/>
        </w:rPr>
        <w:t>甲方</w:t>
      </w:r>
      <w:r>
        <w:rPr>
          <w:rFonts w:hint="eastAsia" w:ascii="宋体" w:hAnsi="宋体" w:eastAsia="宋体"/>
          <w:color w:val="000000"/>
          <w:szCs w:val="21"/>
        </w:rPr>
        <w:t>有权要求乙方对缺陷部分予以修复，并按合同约定享有货物保修及其他合同约定的权利。</w:t>
      </w:r>
    </w:p>
    <w:p w14:paraId="7BCC0BB0">
      <w:pPr>
        <w:snapToGrid w:val="0"/>
        <w:spacing w:line="400" w:lineRule="exact"/>
        <w:ind w:firstLine="420" w:firstLineChars="200"/>
        <w:rPr>
          <w:rFonts w:eastAsia="华文楷体"/>
        </w:rPr>
      </w:pPr>
      <w:r>
        <w:rPr>
          <w:rFonts w:ascii="宋体" w:hAnsi="宋体" w:eastAsia="宋体"/>
          <w:color w:val="000000"/>
          <w:szCs w:val="21"/>
        </w:rPr>
        <w:t>4.4 甲方应当按照合同约定及时对交付的货物进行验收</w:t>
      </w:r>
      <w:r>
        <w:rPr>
          <w:rFonts w:hint="eastAsia" w:ascii="宋体" w:hAnsi="宋体" w:eastAsia="宋体"/>
          <w:color w:val="000000"/>
          <w:szCs w:val="21"/>
        </w:rPr>
        <w:t>，</w:t>
      </w:r>
      <w:r>
        <w:rPr>
          <w:rFonts w:hint="eastAsia" w:ascii="宋体" w:hAnsi="宋体" w:eastAsia="宋体" w:cs="宋体"/>
          <w:szCs w:val="21"/>
        </w:rPr>
        <w:t>未</w:t>
      </w:r>
      <w:r>
        <w:rPr>
          <w:rFonts w:hint="eastAsia" w:ascii="宋体" w:hAnsi="宋体" w:eastAsia="宋体"/>
          <w:color w:val="000000"/>
          <w:szCs w:val="21"/>
        </w:rPr>
        <w:t>在</w:t>
      </w:r>
      <w:r>
        <w:rPr>
          <w:rFonts w:hint="eastAsia" w:ascii="宋体" w:hAnsi="宋体" w:eastAsia="宋体" w:cs="宋体"/>
          <w:b/>
          <w:bCs/>
          <w:szCs w:val="21"/>
        </w:rPr>
        <w:t>【政府采购合同专用条款】</w:t>
      </w:r>
      <w:r>
        <w:rPr>
          <w:rFonts w:hint="eastAsia" w:ascii="宋体" w:hAnsi="宋体" w:eastAsia="宋体" w:cs="宋体"/>
          <w:szCs w:val="21"/>
        </w:rPr>
        <w:t>约定的期限内对乙方履约提出任何异议或者向乙方作出任何说明的，</w:t>
      </w:r>
      <w:r>
        <w:rPr>
          <w:rFonts w:hint="eastAsia" w:ascii="宋体" w:hAnsi="宋体" w:eastAsia="宋体"/>
          <w:color w:val="000000"/>
          <w:szCs w:val="21"/>
        </w:rPr>
        <w:t>视为验收通过。</w:t>
      </w:r>
    </w:p>
    <w:p w14:paraId="72954F86">
      <w:pPr>
        <w:autoSpaceDE w:val="0"/>
        <w:autoSpaceDN w:val="0"/>
        <w:adjustRightInd w:val="0"/>
        <w:snapToGrid w:val="0"/>
        <w:spacing w:line="400" w:lineRule="exact"/>
        <w:ind w:firstLine="420" w:firstLineChars="200"/>
        <w:jc w:val="left"/>
        <w:rPr>
          <w:rFonts w:ascii="宋体" w:hAnsi="宋体" w:eastAsia="宋体"/>
          <w:color w:val="000000"/>
          <w:szCs w:val="21"/>
        </w:rPr>
      </w:pPr>
      <w:r>
        <w:rPr>
          <w:rFonts w:ascii="宋体" w:hAnsi="宋体" w:eastAsia="宋体"/>
          <w:color w:val="000000"/>
          <w:szCs w:val="21"/>
        </w:rPr>
        <w:t>4</w:t>
      </w:r>
      <w:r>
        <w:rPr>
          <w:rFonts w:hint="eastAsia" w:ascii="宋体" w:hAnsi="宋体" w:eastAsia="宋体"/>
          <w:color w:val="000000"/>
          <w:szCs w:val="21"/>
        </w:rPr>
        <w:t>.</w:t>
      </w:r>
      <w:r>
        <w:rPr>
          <w:rFonts w:ascii="宋体" w:hAnsi="宋体" w:eastAsia="宋体"/>
          <w:color w:val="000000"/>
          <w:szCs w:val="21"/>
        </w:rPr>
        <w:t xml:space="preserve">5 </w:t>
      </w:r>
      <w:r>
        <w:rPr>
          <w:rFonts w:hint="eastAsia" w:ascii="宋体" w:hAnsi="宋体" w:eastAsia="宋体"/>
          <w:color w:val="000000"/>
          <w:szCs w:val="21"/>
        </w:rPr>
        <w:t>甲方应当根据合同约定及时向乙方支付合同价款</w:t>
      </w:r>
      <w:r>
        <w:rPr>
          <w:rFonts w:ascii="宋体" w:hAnsi="宋体" w:eastAsia="宋体"/>
          <w:color w:val="000000"/>
          <w:szCs w:val="21"/>
        </w:rPr>
        <w:t>，不得以内部人员变更、履行内部付款流程等为由，拒绝或迟延支付。</w:t>
      </w:r>
    </w:p>
    <w:p w14:paraId="6DBE34C2">
      <w:pPr>
        <w:autoSpaceDE w:val="0"/>
        <w:autoSpaceDN w:val="0"/>
        <w:adjustRightInd w:val="0"/>
        <w:snapToGrid w:val="0"/>
        <w:spacing w:line="400" w:lineRule="exact"/>
        <w:ind w:firstLine="420" w:firstLineChars="200"/>
        <w:jc w:val="left"/>
        <w:rPr>
          <w:rFonts w:ascii="宋体" w:hAnsi="宋体" w:eastAsia="宋体"/>
          <w:color w:val="000000"/>
          <w:szCs w:val="21"/>
        </w:rPr>
      </w:pPr>
      <w:r>
        <w:rPr>
          <w:rFonts w:hint="eastAsia" w:ascii="宋体" w:hAnsi="宋体" w:eastAsia="宋体"/>
          <w:color w:val="000000"/>
          <w:szCs w:val="21"/>
        </w:rPr>
        <w:t>4.6</w:t>
      </w:r>
      <w:r>
        <w:rPr>
          <w:rFonts w:ascii="宋体" w:hAnsi="宋体" w:eastAsia="宋体"/>
          <w:color w:val="000000"/>
          <w:szCs w:val="21"/>
        </w:rPr>
        <w:t xml:space="preserve"> </w:t>
      </w:r>
      <w:r>
        <w:rPr>
          <w:rFonts w:hint="eastAsia" w:ascii="宋体" w:hAnsi="宋体" w:eastAsia="宋体"/>
          <w:color w:val="000000"/>
          <w:szCs w:val="21"/>
        </w:rPr>
        <w:t>国家法律法规规定及</w:t>
      </w:r>
      <w:r>
        <w:rPr>
          <w:rFonts w:hint="eastAsia" w:ascii="宋体" w:hAnsi="宋体" w:eastAsia="宋体" w:cs="宋体"/>
          <w:b/>
          <w:bCs/>
          <w:szCs w:val="21"/>
        </w:rPr>
        <w:t>【政府采购合同专用条款】</w:t>
      </w:r>
      <w:r>
        <w:rPr>
          <w:rFonts w:hint="eastAsia" w:ascii="宋体" w:hAnsi="宋体" w:eastAsia="宋体"/>
          <w:color w:val="000000"/>
          <w:szCs w:val="21"/>
        </w:rPr>
        <w:t>约定应由甲方承担的其他义务和责任。</w:t>
      </w:r>
    </w:p>
    <w:p w14:paraId="267B09B8">
      <w:pPr>
        <w:autoSpaceDE w:val="0"/>
        <w:autoSpaceDN w:val="0"/>
        <w:adjustRightInd w:val="0"/>
        <w:snapToGrid w:val="0"/>
        <w:spacing w:line="400" w:lineRule="exact"/>
        <w:jc w:val="left"/>
        <w:rPr>
          <w:rFonts w:ascii="宋体" w:hAnsi="宋体" w:eastAsia="宋体"/>
          <w:b/>
          <w:bCs/>
          <w:color w:val="000000"/>
          <w:sz w:val="24"/>
        </w:rPr>
      </w:pPr>
      <w:r>
        <w:rPr>
          <w:rFonts w:hint="eastAsia" w:ascii="宋体" w:hAnsi="宋体" w:eastAsia="宋体"/>
          <w:b/>
          <w:bCs/>
          <w:color w:val="000000"/>
          <w:sz w:val="24"/>
        </w:rPr>
        <w:t>5. 乙方的权利和义务</w:t>
      </w:r>
    </w:p>
    <w:p w14:paraId="6A15C485">
      <w:pPr>
        <w:autoSpaceDE w:val="0"/>
        <w:autoSpaceDN w:val="0"/>
        <w:adjustRightInd w:val="0"/>
        <w:snapToGrid w:val="0"/>
        <w:spacing w:line="400" w:lineRule="exact"/>
        <w:ind w:firstLine="420" w:firstLineChars="200"/>
        <w:jc w:val="left"/>
        <w:rPr>
          <w:rFonts w:ascii="宋体" w:hAnsi="宋体" w:eastAsia="宋体"/>
          <w:color w:val="000000"/>
          <w:szCs w:val="21"/>
        </w:rPr>
      </w:pPr>
      <w:r>
        <w:rPr>
          <w:rFonts w:hint="eastAsia" w:ascii="宋体" w:hAnsi="宋体" w:eastAsia="宋体"/>
          <w:color w:val="000000"/>
          <w:szCs w:val="21"/>
        </w:rPr>
        <w:t xml:space="preserve">5.1 </w:t>
      </w:r>
      <w:r>
        <w:rPr>
          <w:rFonts w:ascii="宋体" w:hAnsi="宋体" w:eastAsia="宋体"/>
          <w:color w:val="000000"/>
          <w:szCs w:val="21"/>
        </w:rPr>
        <w:t>签署合同后，乙方</w:t>
      </w:r>
      <w:r>
        <w:rPr>
          <w:rFonts w:hint="eastAsia" w:ascii="宋体" w:hAnsi="宋体" w:eastAsia="宋体"/>
          <w:color w:val="000000"/>
          <w:szCs w:val="21"/>
        </w:rPr>
        <w:t>应</w:t>
      </w:r>
      <w:r>
        <w:rPr>
          <w:rFonts w:ascii="宋体" w:hAnsi="宋体" w:eastAsia="宋体"/>
          <w:color w:val="000000"/>
          <w:szCs w:val="21"/>
        </w:rPr>
        <w:t>确定</w:t>
      </w:r>
      <w:r>
        <w:rPr>
          <w:rFonts w:hint="eastAsia" w:ascii="宋体" w:hAnsi="宋体" w:eastAsia="宋体"/>
          <w:color w:val="000000"/>
          <w:szCs w:val="21"/>
        </w:rPr>
        <w:t>项目负责人（或项目联系人）</w:t>
      </w:r>
      <w:r>
        <w:rPr>
          <w:rFonts w:ascii="宋体" w:hAnsi="宋体" w:eastAsia="宋体"/>
          <w:color w:val="000000"/>
          <w:szCs w:val="21"/>
        </w:rPr>
        <w:t>，负责与本合同有关的事务。</w:t>
      </w:r>
    </w:p>
    <w:p w14:paraId="1DEA0AEF">
      <w:pPr>
        <w:autoSpaceDE w:val="0"/>
        <w:autoSpaceDN w:val="0"/>
        <w:adjustRightInd w:val="0"/>
        <w:snapToGrid w:val="0"/>
        <w:spacing w:line="400" w:lineRule="exact"/>
        <w:ind w:firstLine="420" w:firstLineChars="200"/>
        <w:jc w:val="left"/>
        <w:rPr>
          <w:rFonts w:ascii="宋体" w:hAnsi="宋体" w:eastAsia="宋体"/>
          <w:color w:val="000000"/>
          <w:szCs w:val="21"/>
        </w:rPr>
      </w:pPr>
      <w:r>
        <w:rPr>
          <w:rFonts w:hint="eastAsia" w:ascii="宋体" w:hAnsi="宋体" w:eastAsia="宋体"/>
          <w:color w:val="000000"/>
          <w:szCs w:val="21"/>
        </w:rPr>
        <w:t>5.</w:t>
      </w:r>
      <w:r>
        <w:rPr>
          <w:rFonts w:ascii="宋体" w:hAnsi="宋体" w:eastAsia="宋体"/>
          <w:color w:val="000000"/>
          <w:szCs w:val="21"/>
        </w:rPr>
        <w:t>2 乙方应按照合同要求</w:t>
      </w:r>
      <w:r>
        <w:rPr>
          <w:rFonts w:hint="eastAsia" w:ascii="宋体" w:hAnsi="宋体" w:eastAsia="宋体"/>
          <w:color w:val="000000"/>
          <w:szCs w:val="21"/>
        </w:rPr>
        <w:t>履约</w:t>
      </w:r>
      <w:r>
        <w:rPr>
          <w:rFonts w:ascii="宋体" w:hAnsi="宋体" w:eastAsia="宋体"/>
          <w:color w:val="000000"/>
          <w:szCs w:val="21"/>
        </w:rPr>
        <w:t>，充分合理安排，确保</w:t>
      </w:r>
      <w:r>
        <w:rPr>
          <w:rFonts w:hint="eastAsia" w:ascii="宋体" w:hAnsi="宋体" w:eastAsia="宋体"/>
          <w:color w:val="000000"/>
          <w:szCs w:val="21"/>
        </w:rPr>
        <w:t>提供的货物及相关服务符合合同有关</w:t>
      </w:r>
      <w:r>
        <w:rPr>
          <w:rFonts w:ascii="宋体" w:hAnsi="宋体" w:eastAsia="宋体"/>
          <w:color w:val="000000"/>
          <w:szCs w:val="21"/>
        </w:rPr>
        <w:t>要求</w:t>
      </w:r>
      <w:r>
        <w:rPr>
          <w:rFonts w:hint="eastAsia" w:ascii="宋体" w:hAnsi="宋体" w:eastAsia="宋体"/>
          <w:color w:val="000000"/>
          <w:szCs w:val="21"/>
        </w:rPr>
        <w:t>。接受项目行业管理部门及政府有关部门的指导，配合甲方的履约检查及验收，并</w:t>
      </w:r>
      <w:r>
        <w:rPr>
          <w:rFonts w:ascii="宋体" w:hAnsi="宋体" w:eastAsia="宋体"/>
          <w:color w:val="000000"/>
          <w:szCs w:val="21"/>
        </w:rPr>
        <w:t>负责项目实施过程中的所有协调工作。</w:t>
      </w:r>
    </w:p>
    <w:p w14:paraId="6292E3D8">
      <w:pPr>
        <w:spacing w:line="400" w:lineRule="exact"/>
        <w:ind w:firstLine="369" w:firstLineChars="176"/>
        <w:rPr>
          <w:rFonts w:ascii="宋体" w:hAnsi="宋体" w:eastAsia="宋体" w:cs="宋体"/>
          <w:color w:val="000000"/>
          <w:szCs w:val="21"/>
        </w:rPr>
      </w:pPr>
      <w:r>
        <w:rPr>
          <w:rFonts w:hint="eastAsia" w:ascii="宋体" w:hAnsi="宋体" w:eastAsia="宋体" w:cs="Times New Roman"/>
          <w:color w:val="000000"/>
          <w:szCs w:val="21"/>
        </w:rPr>
        <w:t>5.</w:t>
      </w:r>
      <w:r>
        <w:rPr>
          <w:rFonts w:ascii="宋体" w:hAnsi="宋体" w:eastAsia="宋体" w:cs="Times New Roman"/>
          <w:color w:val="000000"/>
          <w:szCs w:val="21"/>
        </w:rPr>
        <w:t>3</w:t>
      </w:r>
      <w:r>
        <w:rPr>
          <w:rFonts w:hint="eastAsia" w:ascii="宋体" w:hAnsi="宋体" w:eastAsia="宋体" w:cs="Times New Roman"/>
          <w:color w:val="000000"/>
          <w:szCs w:val="21"/>
        </w:rPr>
        <w:t>乙方有权</w:t>
      </w:r>
      <w:r>
        <w:rPr>
          <w:rFonts w:hint="eastAsia" w:ascii="宋体" w:hAnsi="宋体" w:eastAsia="宋体" w:cs="宋体"/>
          <w:color w:val="000000"/>
          <w:szCs w:val="21"/>
        </w:rPr>
        <w:t>根据合同约定向甲方收取合同价款。</w:t>
      </w:r>
    </w:p>
    <w:p w14:paraId="15584B96">
      <w:pPr>
        <w:spacing w:line="400" w:lineRule="exact"/>
        <w:ind w:firstLine="369" w:firstLineChars="176"/>
        <w:rPr>
          <w:rFonts w:ascii="宋体" w:hAnsi="宋体" w:eastAsia="宋体" w:cs="宋体"/>
          <w:color w:val="000000"/>
          <w:szCs w:val="21"/>
        </w:rPr>
      </w:pPr>
      <w:r>
        <w:rPr>
          <w:rFonts w:hint="eastAsia" w:ascii="宋体" w:hAnsi="宋体" w:eastAsia="宋体" w:cs="Times New Roman"/>
          <w:color w:val="000000"/>
          <w:szCs w:val="21"/>
        </w:rPr>
        <w:t>5.</w:t>
      </w:r>
      <w:r>
        <w:rPr>
          <w:rFonts w:ascii="宋体" w:hAnsi="宋体" w:eastAsia="宋体" w:cs="Times New Roman"/>
          <w:color w:val="000000"/>
          <w:szCs w:val="21"/>
        </w:rPr>
        <w:t>4</w:t>
      </w:r>
      <w:r>
        <w:rPr>
          <w:rFonts w:hint="eastAsia" w:ascii="宋体" w:hAnsi="宋体" w:eastAsia="宋体" w:cs="宋体"/>
          <w:color w:val="000000"/>
          <w:szCs w:val="21"/>
        </w:rPr>
        <w:t>国家法律法规规定</w:t>
      </w:r>
      <w:r>
        <w:rPr>
          <w:rFonts w:hint="eastAsia" w:ascii="宋体" w:hAnsi="宋体" w:eastAsia="宋体" w:cs="Times New Roman"/>
          <w:color w:val="000000"/>
          <w:szCs w:val="21"/>
        </w:rPr>
        <w:t>及</w:t>
      </w:r>
      <w:r>
        <w:rPr>
          <w:rFonts w:hint="eastAsia" w:ascii="宋体" w:hAnsi="宋体" w:eastAsia="宋体" w:cs="宋体"/>
          <w:b/>
          <w:bCs/>
          <w:szCs w:val="21"/>
        </w:rPr>
        <w:t>【政府采购合同专用条款】</w:t>
      </w:r>
      <w:r>
        <w:rPr>
          <w:rFonts w:hint="eastAsia" w:ascii="宋体" w:hAnsi="宋体" w:eastAsia="宋体" w:cs="宋体"/>
          <w:szCs w:val="21"/>
        </w:rPr>
        <w:t>约定应</w:t>
      </w:r>
      <w:r>
        <w:rPr>
          <w:rFonts w:hint="eastAsia" w:ascii="宋体" w:hAnsi="宋体" w:eastAsia="宋体" w:cs="宋体"/>
          <w:color w:val="000000"/>
          <w:szCs w:val="21"/>
        </w:rPr>
        <w:t>由乙方承担的其他义务和责任。</w:t>
      </w:r>
    </w:p>
    <w:p w14:paraId="1FF4E154">
      <w:pPr>
        <w:numPr>
          <w:ilvl w:val="0"/>
          <w:numId w:val="9"/>
        </w:numPr>
        <w:autoSpaceDE w:val="0"/>
        <w:autoSpaceDN w:val="0"/>
        <w:adjustRightInd w:val="0"/>
        <w:snapToGrid w:val="0"/>
        <w:spacing w:line="400" w:lineRule="exact"/>
        <w:jc w:val="left"/>
        <w:rPr>
          <w:rFonts w:ascii="宋体" w:hAnsi="宋体" w:eastAsia="宋体"/>
          <w:b/>
          <w:bCs/>
          <w:color w:val="000000"/>
          <w:sz w:val="24"/>
        </w:rPr>
      </w:pPr>
      <w:r>
        <w:rPr>
          <w:rFonts w:hint="eastAsia" w:ascii="宋体" w:hAnsi="宋体" w:eastAsia="宋体"/>
          <w:b/>
          <w:bCs/>
          <w:color w:val="000000"/>
          <w:sz w:val="24"/>
        </w:rPr>
        <w:t>合同履行</w:t>
      </w:r>
    </w:p>
    <w:p w14:paraId="3C9A90C5">
      <w:pPr>
        <w:autoSpaceDE w:val="0"/>
        <w:autoSpaceDN w:val="0"/>
        <w:adjustRightInd w:val="0"/>
        <w:snapToGrid w:val="0"/>
        <w:spacing w:line="400" w:lineRule="exact"/>
        <w:ind w:firstLine="420" w:firstLineChars="200"/>
        <w:jc w:val="left"/>
        <w:rPr>
          <w:rFonts w:ascii="宋体" w:hAnsi="宋体" w:eastAsia="宋体"/>
          <w:color w:val="000000"/>
          <w:szCs w:val="21"/>
        </w:rPr>
      </w:pPr>
      <w:r>
        <w:rPr>
          <w:rFonts w:hint="eastAsia" w:ascii="宋体" w:hAnsi="宋体" w:eastAsia="宋体"/>
          <w:color w:val="000000"/>
          <w:szCs w:val="21"/>
        </w:rPr>
        <w:t>6.1 甲乙双方应当按照</w:t>
      </w:r>
      <w:r>
        <w:rPr>
          <w:rFonts w:hint="eastAsia" w:ascii="宋体" w:hAnsi="宋体" w:eastAsia="宋体" w:cs="宋体"/>
          <w:b/>
          <w:bCs/>
          <w:szCs w:val="21"/>
        </w:rPr>
        <w:t>【政府采购合同专用条款】</w:t>
      </w:r>
      <w:r>
        <w:rPr>
          <w:rFonts w:hint="eastAsia" w:ascii="宋体" w:hAnsi="宋体" w:eastAsia="宋体"/>
          <w:color w:val="000000"/>
          <w:szCs w:val="21"/>
        </w:rPr>
        <w:t>约定顺序履行合同义务；如果没有先后顺序的，应当同时履行。</w:t>
      </w:r>
    </w:p>
    <w:p w14:paraId="3073D64F">
      <w:pPr>
        <w:autoSpaceDE w:val="0"/>
        <w:autoSpaceDN w:val="0"/>
        <w:adjustRightInd w:val="0"/>
        <w:snapToGrid w:val="0"/>
        <w:spacing w:line="400" w:lineRule="exact"/>
        <w:ind w:firstLine="420" w:firstLineChars="200"/>
        <w:jc w:val="left"/>
        <w:rPr>
          <w:rFonts w:eastAsia="宋体"/>
        </w:rPr>
      </w:pPr>
      <w:r>
        <w:rPr>
          <w:rFonts w:hint="eastAsia" w:ascii="宋体" w:hAnsi="宋体" w:eastAsia="宋体"/>
          <w:color w:val="000000"/>
          <w:szCs w:val="21"/>
        </w:rPr>
        <w:t>6.2 甲乙双方按照合同约定顺序履行合同义务时，应当先履行一方未履行的，后履行一方有权拒绝其履行请求。先履行一方履行不符合约定的，后履行一方有权拒绝其相应的履行请求。</w:t>
      </w:r>
    </w:p>
    <w:p w14:paraId="72D76642">
      <w:pPr>
        <w:adjustRightInd w:val="0"/>
        <w:snapToGrid w:val="0"/>
        <w:spacing w:line="400" w:lineRule="exact"/>
        <w:jc w:val="left"/>
        <w:rPr>
          <w:rFonts w:ascii="宋体" w:hAnsi="宋体" w:eastAsia="宋体"/>
          <w:b/>
          <w:bCs/>
          <w:color w:val="000000"/>
          <w:sz w:val="24"/>
        </w:rPr>
      </w:pPr>
      <w:r>
        <w:rPr>
          <w:rFonts w:hint="eastAsia" w:ascii="宋体" w:hAnsi="宋体" w:eastAsia="宋体"/>
          <w:b/>
          <w:bCs/>
          <w:color w:val="000000"/>
          <w:sz w:val="24"/>
        </w:rPr>
        <w:t>7. 货物包装、运输、保险和交付要求</w:t>
      </w:r>
    </w:p>
    <w:p w14:paraId="7A2E5506">
      <w:pPr>
        <w:autoSpaceDE w:val="0"/>
        <w:autoSpaceDN w:val="0"/>
        <w:adjustRightInd w:val="0"/>
        <w:snapToGrid w:val="0"/>
        <w:spacing w:line="400" w:lineRule="exact"/>
        <w:ind w:firstLine="420" w:firstLineChars="200"/>
        <w:jc w:val="left"/>
        <w:rPr>
          <w:rFonts w:ascii="宋体" w:hAnsi="宋体" w:eastAsia="宋体"/>
          <w:color w:val="000000"/>
          <w:szCs w:val="21"/>
        </w:rPr>
      </w:pPr>
      <w:r>
        <w:rPr>
          <w:rFonts w:hint="eastAsia" w:ascii="宋体" w:hAnsi="宋体" w:eastAsia="宋体"/>
          <w:color w:val="000000"/>
          <w:szCs w:val="21"/>
        </w:rPr>
        <w:t>7.1 本合同</w:t>
      </w:r>
      <w:r>
        <w:rPr>
          <w:rFonts w:hint="eastAsia" w:ascii="宋体" w:hAnsi="宋体" w:eastAsia="宋体"/>
          <w:bCs/>
          <w:color w:val="000000"/>
          <w:szCs w:val="21"/>
        </w:rPr>
        <w:t>涉及商品包装、快递包装的，</w:t>
      </w:r>
      <w:r>
        <w:rPr>
          <w:rFonts w:hint="eastAsia" w:ascii="宋体" w:hAnsi="宋体" w:eastAsia="宋体"/>
          <w:color w:val="000000"/>
          <w:szCs w:val="21"/>
        </w:rPr>
        <w:t>除</w:t>
      </w:r>
      <w:r>
        <w:rPr>
          <w:rFonts w:hint="eastAsia" w:ascii="宋体" w:hAnsi="宋体" w:eastAsia="宋体"/>
          <w:b/>
          <w:color w:val="000000"/>
          <w:szCs w:val="21"/>
        </w:rPr>
        <w:t>【政府采购合同专用条款】</w:t>
      </w:r>
      <w:r>
        <w:rPr>
          <w:rFonts w:hint="eastAsia" w:ascii="宋体" w:hAnsi="宋体" w:eastAsia="宋体"/>
          <w:bCs/>
          <w:color w:val="000000"/>
          <w:szCs w:val="21"/>
        </w:rPr>
        <w:t>另有约定外，</w:t>
      </w:r>
      <w:r>
        <w:rPr>
          <w:rFonts w:hint="eastAsia" w:ascii="宋体" w:hAnsi="宋体" w:eastAsia="宋体"/>
          <w:color w:val="000000"/>
          <w:szCs w:val="21"/>
        </w:rPr>
        <w:t>包装应适应远距离运输、防潮、防震、防锈和防野蛮装卸等要求，确保货物安全无损地运抵</w:t>
      </w:r>
      <w:r>
        <w:rPr>
          <w:rFonts w:hint="eastAsia" w:ascii="宋体" w:hAnsi="宋体" w:eastAsia="宋体"/>
          <w:b/>
          <w:color w:val="000000"/>
          <w:szCs w:val="21"/>
        </w:rPr>
        <w:t>【政府采购合同专用条款】</w:t>
      </w:r>
      <w:r>
        <w:rPr>
          <w:rFonts w:hint="eastAsia" w:ascii="宋体" w:hAnsi="宋体" w:eastAsia="宋体"/>
          <w:bCs/>
          <w:color w:val="000000"/>
          <w:szCs w:val="21"/>
        </w:rPr>
        <w:t>约定的</w:t>
      </w:r>
      <w:r>
        <w:rPr>
          <w:rFonts w:hint="eastAsia" w:ascii="宋体" w:hAnsi="宋体" w:eastAsia="宋体"/>
          <w:color w:val="000000"/>
          <w:szCs w:val="21"/>
        </w:rPr>
        <w:t>指定现场。</w:t>
      </w:r>
    </w:p>
    <w:p w14:paraId="23E11A9D">
      <w:pPr>
        <w:adjustRightInd w:val="0"/>
        <w:snapToGrid w:val="0"/>
        <w:spacing w:line="400" w:lineRule="exact"/>
        <w:ind w:firstLine="420" w:firstLineChars="200"/>
        <w:jc w:val="left"/>
        <w:rPr>
          <w:rFonts w:ascii="宋体" w:hAnsi="宋体" w:eastAsia="宋体"/>
          <w:color w:val="000000"/>
          <w:szCs w:val="21"/>
        </w:rPr>
      </w:pPr>
      <w:r>
        <w:rPr>
          <w:rFonts w:hint="eastAsia" w:ascii="宋体" w:hAnsi="宋体" w:eastAsia="宋体"/>
          <w:color w:val="000000"/>
          <w:szCs w:val="21"/>
        </w:rPr>
        <w:t>7.2 除</w:t>
      </w:r>
      <w:r>
        <w:rPr>
          <w:rFonts w:hint="eastAsia" w:ascii="宋体" w:hAnsi="宋体" w:eastAsia="宋体"/>
          <w:b/>
          <w:color w:val="000000"/>
          <w:szCs w:val="21"/>
        </w:rPr>
        <w:t>【政府采购合同专用条款】</w:t>
      </w:r>
      <w:r>
        <w:rPr>
          <w:rFonts w:hint="eastAsia" w:ascii="宋体" w:hAnsi="宋体" w:eastAsia="宋体"/>
          <w:bCs/>
          <w:color w:val="000000"/>
          <w:szCs w:val="21"/>
        </w:rPr>
        <w:t>另有约定外，</w:t>
      </w:r>
      <w:r>
        <w:rPr>
          <w:rFonts w:hint="eastAsia" w:ascii="宋体" w:hAnsi="宋体" w:eastAsia="宋体"/>
          <w:color w:val="000000"/>
          <w:szCs w:val="21"/>
        </w:rPr>
        <w:t>乙方负责办理将货物运抵本合同规定的交货地点，并装卸、交付至甲方的一切运输事项，相关费用应包含在合同价款中。</w:t>
      </w:r>
    </w:p>
    <w:p w14:paraId="3D305274">
      <w:pPr>
        <w:adjustRightInd w:val="0"/>
        <w:snapToGrid w:val="0"/>
        <w:spacing w:line="400" w:lineRule="exact"/>
        <w:ind w:firstLine="420" w:firstLineChars="200"/>
        <w:jc w:val="left"/>
        <w:rPr>
          <w:rFonts w:ascii="宋体" w:hAnsi="宋体" w:eastAsia="宋体"/>
          <w:color w:val="000000"/>
          <w:szCs w:val="21"/>
        </w:rPr>
      </w:pPr>
      <w:r>
        <w:rPr>
          <w:rFonts w:hint="eastAsia" w:ascii="宋体" w:hAnsi="宋体" w:eastAsia="宋体"/>
          <w:color w:val="000000"/>
          <w:szCs w:val="21"/>
        </w:rPr>
        <w:t>7.3 货物保险要求按</w:t>
      </w:r>
      <w:r>
        <w:rPr>
          <w:rFonts w:hint="eastAsia" w:ascii="宋体" w:hAnsi="宋体" w:eastAsia="宋体"/>
          <w:b/>
          <w:color w:val="000000"/>
          <w:szCs w:val="21"/>
        </w:rPr>
        <w:t>【政府采购合同专用条款】</w:t>
      </w:r>
      <w:r>
        <w:rPr>
          <w:rFonts w:hint="eastAsia" w:ascii="宋体" w:hAnsi="宋体" w:eastAsia="宋体"/>
          <w:bCs/>
          <w:color w:val="000000"/>
          <w:szCs w:val="21"/>
        </w:rPr>
        <w:t>规定执行</w:t>
      </w:r>
      <w:r>
        <w:rPr>
          <w:rFonts w:hint="eastAsia" w:ascii="宋体" w:hAnsi="宋体" w:eastAsia="宋体"/>
          <w:color w:val="000000"/>
          <w:szCs w:val="21"/>
        </w:rPr>
        <w:t>。</w:t>
      </w:r>
    </w:p>
    <w:p w14:paraId="150F1D27">
      <w:pPr>
        <w:autoSpaceDE w:val="0"/>
        <w:autoSpaceDN w:val="0"/>
        <w:adjustRightInd w:val="0"/>
        <w:snapToGrid w:val="0"/>
        <w:spacing w:line="400" w:lineRule="exact"/>
        <w:ind w:firstLine="420" w:firstLineChars="200"/>
        <w:jc w:val="left"/>
        <w:rPr>
          <w:rFonts w:ascii="宋体" w:hAnsi="宋体" w:eastAsia="宋体"/>
          <w:color w:val="000000"/>
          <w:szCs w:val="21"/>
        </w:rPr>
      </w:pPr>
      <w:r>
        <w:rPr>
          <w:rFonts w:hint="eastAsia" w:ascii="宋体" w:hAnsi="宋体" w:eastAsia="宋体"/>
          <w:color w:val="000000"/>
          <w:szCs w:val="21"/>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13D0A1BB">
      <w:pPr>
        <w:autoSpaceDE w:val="0"/>
        <w:autoSpaceDN w:val="0"/>
        <w:adjustRightInd w:val="0"/>
        <w:snapToGrid w:val="0"/>
        <w:spacing w:line="400" w:lineRule="exact"/>
        <w:ind w:firstLine="420" w:firstLineChars="200"/>
        <w:jc w:val="left"/>
        <w:rPr>
          <w:rFonts w:ascii="宋体" w:hAnsi="宋体" w:eastAsia="宋体"/>
          <w:color w:val="000000"/>
          <w:szCs w:val="21"/>
        </w:rPr>
      </w:pPr>
      <w:r>
        <w:rPr>
          <w:rFonts w:hint="eastAsia" w:ascii="宋体" w:hAnsi="宋体" w:eastAsia="宋体"/>
          <w:color w:val="000000"/>
          <w:szCs w:val="21"/>
        </w:rPr>
        <w:t xml:space="preserve">7.5 </w:t>
      </w:r>
      <w:r>
        <w:rPr>
          <w:rFonts w:hint="eastAsia" w:ascii="宋体" w:hAnsi="宋体" w:eastAsia="宋体" w:cs="宋体"/>
          <w:color w:val="000000"/>
          <w:szCs w:val="21"/>
        </w:rPr>
        <w:t>乙方在运输到达之前应提前通知甲方，并提示货物运输装卸的注意事项，甲方配合乙方做好货物的接收工作。</w:t>
      </w:r>
    </w:p>
    <w:p w14:paraId="740EE47E">
      <w:pPr>
        <w:autoSpaceDE w:val="0"/>
        <w:autoSpaceDN w:val="0"/>
        <w:adjustRightInd w:val="0"/>
        <w:spacing w:line="400" w:lineRule="exact"/>
        <w:ind w:firstLine="420" w:firstLineChars="200"/>
        <w:rPr>
          <w:rFonts w:ascii="华文楷体" w:hAnsi="华文楷体" w:eastAsia="华文楷体" w:cs="华文楷体"/>
          <w:szCs w:val="21"/>
        </w:rPr>
      </w:pPr>
      <w:r>
        <w:rPr>
          <w:rFonts w:hint="eastAsia" w:ascii="宋体" w:hAnsi="宋体" w:eastAsia="宋体" w:cs="Times New Roman"/>
          <w:color w:val="000000"/>
          <w:szCs w:val="21"/>
        </w:rPr>
        <w:t>7.6 如因包装、运输问题导致货物损毁、丢失或者品质下降，甲方有权要求降价、换货、拒收部分或整批货物，由此产生的费用和损失，均由乙方承担。</w:t>
      </w:r>
    </w:p>
    <w:p w14:paraId="111E34E2">
      <w:pPr>
        <w:adjustRightInd w:val="0"/>
        <w:snapToGrid w:val="0"/>
        <w:spacing w:line="400" w:lineRule="exact"/>
        <w:jc w:val="left"/>
        <w:rPr>
          <w:rFonts w:ascii="宋体" w:hAnsi="宋体" w:eastAsia="宋体"/>
          <w:b/>
          <w:sz w:val="24"/>
        </w:rPr>
      </w:pPr>
      <w:r>
        <w:rPr>
          <w:rFonts w:hint="eastAsia" w:ascii="宋体" w:hAnsi="宋体" w:eastAsia="宋体"/>
          <w:b/>
          <w:color w:val="000000"/>
          <w:sz w:val="24"/>
        </w:rPr>
        <w:t xml:space="preserve">8. </w:t>
      </w:r>
      <w:r>
        <w:rPr>
          <w:rFonts w:hint="eastAsia" w:ascii="宋体" w:hAnsi="宋体" w:eastAsia="宋体"/>
          <w:b/>
          <w:sz w:val="24"/>
        </w:rPr>
        <w:t>质量标准和保证</w:t>
      </w:r>
    </w:p>
    <w:p w14:paraId="39544B52">
      <w:pPr>
        <w:adjustRightInd w:val="0"/>
        <w:snapToGrid w:val="0"/>
        <w:spacing w:line="400" w:lineRule="exact"/>
        <w:ind w:firstLine="420" w:firstLineChars="200"/>
        <w:jc w:val="left"/>
        <w:rPr>
          <w:rFonts w:ascii="宋体" w:hAnsi="宋体" w:eastAsia="宋体" w:cs="Courier New"/>
          <w:b/>
          <w:szCs w:val="21"/>
        </w:rPr>
      </w:pPr>
      <w:r>
        <w:rPr>
          <w:rFonts w:hint="eastAsia" w:ascii="宋体" w:hAnsi="宋体" w:eastAsia="宋体" w:cs="Courier New"/>
          <w:szCs w:val="21"/>
        </w:rPr>
        <w:t>8.1 质量标准</w:t>
      </w:r>
    </w:p>
    <w:p w14:paraId="6ADF58BF">
      <w:pPr>
        <w:autoSpaceDE w:val="0"/>
        <w:autoSpaceDN w:val="0"/>
        <w:adjustRightInd w:val="0"/>
        <w:snapToGrid w:val="0"/>
        <w:spacing w:line="400" w:lineRule="exact"/>
        <w:ind w:firstLine="420" w:firstLineChars="200"/>
        <w:jc w:val="left"/>
        <w:rPr>
          <w:rFonts w:ascii="宋体" w:hAnsi="宋体" w:eastAsia="宋体"/>
          <w:szCs w:val="21"/>
        </w:rPr>
      </w:pPr>
      <w:r>
        <w:rPr>
          <w:rFonts w:hint="eastAsia" w:ascii="宋体" w:hAnsi="宋体" w:eastAsia="宋体"/>
          <w:szCs w:val="21"/>
        </w:rPr>
        <w:t>（1）本合同下提供的货物应符合合同</w:t>
      </w:r>
      <w:r>
        <w:rPr>
          <w:rFonts w:hint="eastAsia" w:ascii="宋体" w:hAnsi="宋体" w:eastAsia="宋体" w:cs="宋体"/>
          <w:color w:val="000000"/>
          <w:szCs w:val="21"/>
        </w:rPr>
        <w:t>约定的</w:t>
      </w:r>
      <w:r>
        <w:rPr>
          <w:rFonts w:hint="eastAsia" w:ascii="宋体" w:hAnsi="宋体" w:eastAsia="宋体" w:cs="宋体"/>
          <w:szCs w:val="21"/>
        </w:rPr>
        <w:t>品牌、规格型号、技术性能、配置、质量、数量等要求。</w:t>
      </w:r>
      <w:r>
        <w:rPr>
          <w:rFonts w:hint="eastAsia" w:ascii="宋体" w:hAnsi="宋体" w:eastAsia="宋体"/>
          <w:szCs w:val="21"/>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33444932">
      <w:pPr>
        <w:adjustRightInd w:val="0"/>
        <w:snapToGrid w:val="0"/>
        <w:spacing w:line="400" w:lineRule="exact"/>
        <w:ind w:firstLine="420" w:firstLineChars="200"/>
        <w:jc w:val="left"/>
        <w:rPr>
          <w:rFonts w:ascii="宋体" w:hAnsi="宋体" w:eastAsia="宋体" w:cs="Courier New"/>
          <w:szCs w:val="21"/>
        </w:rPr>
      </w:pPr>
      <w:r>
        <w:rPr>
          <w:rFonts w:hint="eastAsia" w:ascii="宋体" w:hAnsi="宋体" w:eastAsia="宋体" w:cs="Courier New"/>
          <w:szCs w:val="21"/>
        </w:rPr>
        <w:t>（2）采用中华人民共和国法定计量单位。</w:t>
      </w:r>
    </w:p>
    <w:p w14:paraId="468D5EF6">
      <w:pPr>
        <w:autoSpaceDE w:val="0"/>
        <w:autoSpaceDN w:val="0"/>
        <w:adjustRightInd w:val="0"/>
        <w:snapToGrid w:val="0"/>
        <w:spacing w:line="400" w:lineRule="exact"/>
        <w:ind w:firstLine="420" w:firstLineChars="200"/>
        <w:jc w:val="left"/>
        <w:rPr>
          <w:rFonts w:ascii="宋体" w:hAnsi="宋体" w:eastAsia="宋体"/>
          <w:szCs w:val="21"/>
        </w:rPr>
      </w:pPr>
      <w:r>
        <w:rPr>
          <w:rFonts w:hint="eastAsia" w:ascii="宋体" w:hAnsi="宋体" w:eastAsia="宋体"/>
          <w:szCs w:val="21"/>
        </w:rPr>
        <w:t>（3）乙方所提供的货物应符合国家有关安全、环保、卫生的规定。</w:t>
      </w:r>
    </w:p>
    <w:p w14:paraId="7313B78D">
      <w:pPr>
        <w:autoSpaceDE w:val="0"/>
        <w:autoSpaceDN w:val="0"/>
        <w:adjustRightInd w:val="0"/>
        <w:snapToGrid w:val="0"/>
        <w:spacing w:line="400" w:lineRule="exact"/>
        <w:ind w:firstLine="420" w:firstLineChars="200"/>
        <w:jc w:val="left"/>
        <w:rPr>
          <w:rFonts w:ascii="宋体" w:hAnsi="宋体" w:eastAsia="宋体"/>
          <w:szCs w:val="21"/>
        </w:rPr>
      </w:pPr>
      <w:r>
        <w:rPr>
          <w:rFonts w:hint="eastAsia" w:ascii="宋体" w:hAnsi="宋体" w:eastAsia="宋体"/>
          <w:szCs w:val="21"/>
        </w:rPr>
        <w:t>（4）乙方应向甲方提交所提供货物的技术文件，包括相应的中文技术文件，如：产品目录、图纸、操作手册、使用说明、维护手册或服务指南等。上述文件应包装好随货物一同发运。</w:t>
      </w:r>
    </w:p>
    <w:p w14:paraId="0D021AE0">
      <w:pPr>
        <w:autoSpaceDE w:val="0"/>
        <w:autoSpaceDN w:val="0"/>
        <w:adjustRightInd w:val="0"/>
        <w:snapToGrid w:val="0"/>
        <w:spacing w:line="400" w:lineRule="exact"/>
        <w:ind w:firstLine="420" w:firstLineChars="200"/>
        <w:jc w:val="left"/>
        <w:rPr>
          <w:rFonts w:ascii="宋体" w:hAnsi="宋体" w:eastAsia="宋体"/>
          <w:szCs w:val="21"/>
        </w:rPr>
      </w:pPr>
      <w:r>
        <w:rPr>
          <w:rFonts w:hint="eastAsia" w:ascii="宋体" w:hAnsi="宋体" w:eastAsia="宋体"/>
          <w:szCs w:val="21"/>
        </w:rPr>
        <w:t>8.2 保证</w:t>
      </w:r>
    </w:p>
    <w:p w14:paraId="4415B8D3">
      <w:pPr>
        <w:autoSpaceDE w:val="0"/>
        <w:autoSpaceDN w:val="0"/>
        <w:adjustRightInd w:val="0"/>
        <w:snapToGrid w:val="0"/>
        <w:spacing w:line="400" w:lineRule="exact"/>
        <w:ind w:firstLine="420" w:firstLineChars="200"/>
        <w:jc w:val="left"/>
        <w:rPr>
          <w:rFonts w:ascii="宋体" w:hAnsi="宋体" w:eastAsia="宋体"/>
          <w:szCs w:val="21"/>
        </w:rPr>
      </w:pPr>
      <w:r>
        <w:rPr>
          <w:rFonts w:hint="eastAsia" w:ascii="宋体" w:hAnsi="宋体" w:eastAsia="宋体"/>
          <w:szCs w:val="21"/>
        </w:rPr>
        <w:t>（1）乙方应保证提供的货物完全符合合同规定的质量、规格和性能要求。乙方应保证货物在正确安装、正常使用和保养条件下，</w:t>
      </w:r>
      <w:r>
        <w:rPr>
          <w:rFonts w:hint="eastAsia" w:ascii="宋体" w:hAnsi="宋体" w:eastAsia="宋体" w:cs="宋体"/>
          <w:szCs w:val="21"/>
        </w:rPr>
        <w:t>在其使用寿命期内具备合同约定的性能</w:t>
      </w:r>
      <w:r>
        <w:rPr>
          <w:rFonts w:hint="eastAsia" w:ascii="宋体" w:hAnsi="宋体" w:eastAsia="宋体"/>
          <w:szCs w:val="21"/>
        </w:rPr>
        <w:t>。存在质量保证期的，货物最终交付验收合格后在</w:t>
      </w:r>
      <w:r>
        <w:rPr>
          <w:rFonts w:hint="eastAsia" w:ascii="宋体" w:hAnsi="宋体" w:eastAsia="宋体"/>
          <w:b/>
          <w:szCs w:val="21"/>
        </w:rPr>
        <w:t>【政府采购合同专用条款】</w:t>
      </w:r>
      <w:r>
        <w:rPr>
          <w:rFonts w:hint="eastAsia" w:ascii="宋体" w:hAnsi="宋体" w:eastAsia="宋体"/>
          <w:szCs w:val="21"/>
        </w:rPr>
        <w:t>规定或乙方书面承诺（两者以较长的为准）的质量保证期内，本保证保持有效。</w:t>
      </w:r>
    </w:p>
    <w:p w14:paraId="019D260C">
      <w:pPr>
        <w:autoSpaceDE w:val="0"/>
        <w:autoSpaceDN w:val="0"/>
        <w:adjustRightInd w:val="0"/>
        <w:snapToGrid w:val="0"/>
        <w:spacing w:line="400" w:lineRule="exact"/>
        <w:ind w:firstLine="420" w:firstLineChars="200"/>
        <w:jc w:val="left"/>
        <w:rPr>
          <w:rFonts w:ascii="宋体" w:hAnsi="宋体" w:eastAsia="宋体"/>
          <w:szCs w:val="21"/>
        </w:rPr>
      </w:pPr>
      <w:r>
        <w:rPr>
          <w:rFonts w:hint="eastAsia" w:ascii="宋体" w:hAnsi="宋体" w:eastAsia="宋体"/>
          <w:szCs w:val="21"/>
        </w:rPr>
        <w:t>（2）在质量保证期内所发现的缺陷，甲方应尽快以书面形式通知乙方。</w:t>
      </w:r>
    </w:p>
    <w:p w14:paraId="042A84C1">
      <w:pPr>
        <w:autoSpaceDE w:val="0"/>
        <w:autoSpaceDN w:val="0"/>
        <w:adjustRightInd w:val="0"/>
        <w:snapToGrid w:val="0"/>
        <w:spacing w:line="400" w:lineRule="exact"/>
        <w:ind w:firstLine="420" w:firstLineChars="200"/>
        <w:jc w:val="left"/>
        <w:rPr>
          <w:rFonts w:ascii="宋体" w:hAnsi="宋体" w:eastAsia="宋体"/>
          <w:szCs w:val="21"/>
        </w:rPr>
      </w:pPr>
      <w:r>
        <w:rPr>
          <w:rFonts w:hint="eastAsia" w:ascii="宋体" w:hAnsi="宋体" w:eastAsia="宋体"/>
          <w:szCs w:val="21"/>
        </w:rPr>
        <w:t>（3）乙方收到通知后，应在</w:t>
      </w:r>
      <w:r>
        <w:rPr>
          <w:rFonts w:hint="eastAsia" w:ascii="宋体" w:hAnsi="宋体" w:eastAsia="宋体"/>
          <w:b/>
          <w:szCs w:val="21"/>
        </w:rPr>
        <w:t>【政府采购合同专用条款】</w:t>
      </w:r>
      <w:r>
        <w:rPr>
          <w:rFonts w:hint="eastAsia" w:ascii="宋体" w:hAnsi="宋体" w:eastAsia="宋体"/>
          <w:szCs w:val="21"/>
        </w:rPr>
        <w:t>规定的响应时间内以合理的速度免费维修或更换有缺陷的货物或部件。</w:t>
      </w:r>
    </w:p>
    <w:p w14:paraId="1C4F496E">
      <w:pPr>
        <w:autoSpaceDE w:val="0"/>
        <w:autoSpaceDN w:val="0"/>
        <w:adjustRightInd w:val="0"/>
        <w:snapToGrid w:val="0"/>
        <w:spacing w:line="400" w:lineRule="exact"/>
        <w:ind w:firstLine="420" w:firstLineChars="200"/>
        <w:jc w:val="left"/>
        <w:rPr>
          <w:rFonts w:ascii="宋体" w:hAnsi="宋体" w:eastAsia="宋体"/>
          <w:szCs w:val="21"/>
        </w:rPr>
      </w:pPr>
      <w:r>
        <w:rPr>
          <w:rFonts w:hint="eastAsia" w:ascii="宋体" w:hAnsi="宋体" w:eastAsia="宋体"/>
          <w:szCs w:val="21"/>
        </w:rPr>
        <w:t>（4）在质量保证期内，如果货物的质量或规格与合同不符，或证实货物是有缺陷的，包括潜在的缺陷或使用不符合要求的材料等，甲方可以根据本合同第1</w:t>
      </w:r>
      <w:r>
        <w:rPr>
          <w:rFonts w:hint="eastAsia" w:ascii="宋体" w:hAnsi="宋体" w:eastAsia="宋体"/>
          <w:color w:val="000000"/>
          <w:szCs w:val="21"/>
        </w:rPr>
        <w:t>5</w:t>
      </w:r>
      <w:r>
        <w:rPr>
          <w:rFonts w:hint="eastAsia" w:ascii="宋体" w:hAnsi="宋体" w:eastAsia="宋体"/>
          <w:szCs w:val="21"/>
        </w:rPr>
        <w:t>.1条规定以书面形式</w:t>
      </w:r>
      <w:r>
        <w:rPr>
          <w:rFonts w:hint="eastAsia" w:ascii="宋体" w:hAnsi="宋体" w:eastAsia="宋体"/>
          <w:color w:val="000000"/>
          <w:szCs w:val="21"/>
        </w:rPr>
        <w:t>追究</w:t>
      </w:r>
      <w:r>
        <w:rPr>
          <w:rFonts w:hint="eastAsia" w:ascii="宋体" w:hAnsi="宋体" w:eastAsia="宋体"/>
          <w:szCs w:val="21"/>
        </w:rPr>
        <w:t>乙方</w:t>
      </w:r>
      <w:r>
        <w:rPr>
          <w:rFonts w:hint="eastAsia" w:ascii="宋体" w:hAnsi="宋体" w:eastAsia="宋体"/>
          <w:color w:val="000000"/>
          <w:szCs w:val="21"/>
        </w:rPr>
        <w:t>的违约责任</w:t>
      </w:r>
      <w:r>
        <w:rPr>
          <w:rFonts w:hint="eastAsia" w:ascii="宋体" w:hAnsi="宋体" w:eastAsia="宋体"/>
          <w:szCs w:val="21"/>
        </w:rPr>
        <w:t>。</w:t>
      </w:r>
    </w:p>
    <w:p w14:paraId="5A93BE07">
      <w:pPr>
        <w:adjustRightInd w:val="0"/>
        <w:snapToGrid w:val="0"/>
        <w:spacing w:line="400" w:lineRule="exact"/>
        <w:ind w:firstLine="420" w:firstLineChars="200"/>
        <w:jc w:val="left"/>
        <w:rPr>
          <w:rFonts w:eastAsia="宋体"/>
        </w:rPr>
      </w:pPr>
      <w:r>
        <w:rPr>
          <w:rFonts w:hint="eastAsia" w:ascii="宋体" w:hAnsi="宋体" w:eastAsia="宋体"/>
          <w:szCs w:val="21"/>
        </w:rPr>
        <w:t>（5）乙方在约定的时间内未能弥补缺陷，甲方可采取必要的补救措施，但其风险和费用将由乙方承担，甲方根据合同约定对乙方行使的其他权利不受影响。</w:t>
      </w:r>
    </w:p>
    <w:p w14:paraId="45FB3F2C">
      <w:pPr>
        <w:adjustRightInd w:val="0"/>
        <w:snapToGrid w:val="0"/>
        <w:spacing w:line="400" w:lineRule="exact"/>
        <w:jc w:val="left"/>
        <w:rPr>
          <w:rFonts w:ascii="宋体" w:hAnsi="宋体" w:eastAsia="宋体"/>
          <w:b/>
          <w:bCs/>
          <w:sz w:val="24"/>
        </w:rPr>
      </w:pPr>
      <w:r>
        <w:rPr>
          <w:rFonts w:hint="eastAsia" w:ascii="宋体" w:hAnsi="宋体" w:eastAsia="宋体"/>
          <w:b/>
          <w:bCs/>
          <w:color w:val="000000"/>
          <w:sz w:val="24"/>
        </w:rPr>
        <w:t>9</w:t>
      </w:r>
      <w:r>
        <w:rPr>
          <w:rFonts w:hint="eastAsia" w:ascii="宋体" w:hAnsi="宋体" w:eastAsia="宋体"/>
          <w:b/>
          <w:bCs/>
          <w:sz w:val="24"/>
        </w:rPr>
        <w:t>.</w:t>
      </w:r>
      <w:r>
        <w:rPr>
          <w:rFonts w:hint="eastAsia" w:ascii="宋体" w:hAnsi="宋体" w:eastAsia="宋体"/>
          <w:b/>
          <w:bCs/>
          <w:color w:val="000000"/>
          <w:sz w:val="24"/>
        </w:rPr>
        <w:t xml:space="preserve"> </w:t>
      </w:r>
      <w:r>
        <w:rPr>
          <w:rFonts w:hint="eastAsia" w:ascii="宋体" w:hAnsi="宋体" w:eastAsia="宋体"/>
          <w:b/>
          <w:bCs/>
          <w:sz w:val="24"/>
        </w:rPr>
        <w:t>权利瑕疵担保</w:t>
      </w:r>
    </w:p>
    <w:p w14:paraId="325FA941">
      <w:pPr>
        <w:autoSpaceDE w:val="0"/>
        <w:autoSpaceDN w:val="0"/>
        <w:adjustRightInd w:val="0"/>
        <w:snapToGrid w:val="0"/>
        <w:spacing w:line="400" w:lineRule="exact"/>
        <w:ind w:firstLine="420" w:firstLineChars="200"/>
        <w:jc w:val="left"/>
        <w:rPr>
          <w:rFonts w:ascii="宋体" w:hAnsi="宋体" w:eastAsia="宋体"/>
          <w:color w:val="000000"/>
          <w:szCs w:val="21"/>
        </w:rPr>
      </w:pPr>
      <w:r>
        <w:rPr>
          <w:rFonts w:hint="eastAsia" w:ascii="宋体" w:hAnsi="宋体" w:eastAsia="宋体"/>
          <w:color w:val="000000"/>
          <w:szCs w:val="21"/>
        </w:rPr>
        <w:t>9.1 乙方保证对其出售的货物享有合法的权利。</w:t>
      </w:r>
    </w:p>
    <w:p w14:paraId="29AEEF3F">
      <w:pPr>
        <w:autoSpaceDE w:val="0"/>
        <w:autoSpaceDN w:val="0"/>
        <w:adjustRightInd w:val="0"/>
        <w:snapToGrid w:val="0"/>
        <w:spacing w:line="400" w:lineRule="exact"/>
        <w:ind w:firstLine="420" w:firstLineChars="200"/>
        <w:jc w:val="left"/>
        <w:rPr>
          <w:rFonts w:ascii="宋体" w:hAnsi="宋体" w:eastAsia="宋体"/>
          <w:color w:val="000000"/>
          <w:szCs w:val="21"/>
        </w:rPr>
      </w:pPr>
      <w:r>
        <w:rPr>
          <w:rFonts w:hint="eastAsia" w:ascii="宋体" w:hAnsi="宋体" w:eastAsia="宋体"/>
          <w:color w:val="000000"/>
          <w:szCs w:val="21"/>
        </w:rPr>
        <w:t xml:space="preserve">9.2 </w:t>
      </w:r>
      <w:r>
        <w:rPr>
          <w:rFonts w:hint="eastAsia" w:ascii="宋体" w:hAnsi="宋体" w:eastAsia="宋体" w:cs="宋体"/>
          <w:szCs w:val="15"/>
        </w:rPr>
        <w:t>乙方保证在交付的货物上不存在抵押权等担保物权。</w:t>
      </w:r>
    </w:p>
    <w:p w14:paraId="0AD4D986">
      <w:pPr>
        <w:autoSpaceDE w:val="0"/>
        <w:autoSpaceDN w:val="0"/>
        <w:adjustRightInd w:val="0"/>
        <w:snapToGrid w:val="0"/>
        <w:spacing w:line="400" w:lineRule="exact"/>
        <w:ind w:firstLine="420" w:firstLineChars="200"/>
        <w:jc w:val="left"/>
        <w:rPr>
          <w:rFonts w:ascii="宋体" w:hAnsi="宋体" w:eastAsia="宋体"/>
          <w:color w:val="000000"/>
          <w:szCs w:val="21"/>
        </w:rPr>
      </w:pPr>
      <w:r>
        <w:rPr>
          <w:rFonts w:hint="eastAsia" w:ascii="宋体" w:hAnsi="宋体" w:eastAsia="宋体"/>
          <w:color w:val="000000"/>
          <w:szCs w:val="21"/>
        </w:rPr>
        <w:t>9.3 如甲方使用上述货物构成对第三人侵权的，则由乙方承担全部责任。</w:t>
      </w:r>
    </w:p>
    <w:p w14:paraId="5470ED4E">
      <w:pPr>
        <w:autoSpaceDE w:val="0"/>
        <w:autoSpaceDN w:val="0"/>
        <w:adjustRightInd w:val="0"/>
        <w:snapToGrid w:val="0"/>
        <w:spacing w:line="400" w:lineRule="exact"/>
        <w:jc w:val="left"/>
        <w:rPr>
          <w:rFonts w:ascii="宋体" w:hAnsi="宋体" w:eastAsia="宋体"/>
          <w:b/>
          <w:bCs/>
          <w:color w:val="000000"/>
          <w:sz w:val="24"/>
        </w:rPr>
      </w:pPr>
      <w:r>
        <w:rPr>
          <w:rFonts w:hint="eastAsia" w:ascii="宋体" w:hAnsi="宋体" w:eastAsia="宋体"/>
          <w:b/>
          <w:bCs/>
          <w:color w:val="000000"/>
          <w:sz w:val="24"/>
        </w:rPr>
        <w:t>10. 知识产权保护</w:t>
      </w:r>
    </w:p>
    <w:p w14:paraId="6249C665">
      <w:pPr>
        <w:autoSpaceDE w:val="0"/>
        <w:autoSpaceDN w:val="0"/>
        <w:adjustRightInd w:val="0"/>
        <w:snapToGrid w:val="0"/>
        <w:spacing w:line="400" w:lineRule="exact"/>
        <w:ind w:firstLine="420" w:firstLineChars="200"/>
        <w:jc w:val="left"/>
        <w:rPr>
          <w:rFonts w:ascii="宋体" w:hAnsi="宋体" w:eastAsia="宋体"/>
          <w:szCs w:val="21"/>
        </w:rPr>
      </w:pPr>
      <w:r>
        <w:rPr>
          <w:rFonts w:hint="eastAsia" w:ascii="宋体" w:hAnsi="宋体" w:eastAsia="宋体"/>
          <w:color w:val="000000"/>
          <w:szCs w:val="21"/>
        </w:rPr>
        <w:t>10.1 乙方对其所销售的货物应当享有知识产权或经权利人合法授权，保证没有侵犯任</w:t>
      </w:r>
      <w:r>
        <w:rPr>
          <w:rFonts w:hint="eastAsia" w:ascii="宋体" w:hAnsi="宋体" w:eastAsia="宋体"/>
          <w:szCs w:val="21"/>
        </w:rPr>
        <w:t>何第三人的知识产权等权利。</w:t>
      </w:r>
      <w:bookmarkStart w:id="47" w:name="_Hlk163047038"/>
      <w:r>
        <w:rPr>
          <w:rFonts w:hint="eastAsia" w:ascii="宋体" w:hAnsi="宋体" w:eastAsia="宋体" w:cs="宋体"/>
          <w:szCs w:val="15"/>
        </w:rPr>
        <w:t>因违反前述约定对第三人构成侵权的，应当由乙方向第三人承担法律责任；甲方依法向第三人赔偿后，有权向乙方追偿。甲方有其他损失的，乙方应当赔偿</w:t>
      </w:r>
      <w:bookmarkEnd w:id="47"/>
      <w:r>
        <w:rPr>
          <w:rFonts w:hint="eastAsia" w:ascii="宋体" w:hAnsi="宋体" w:eastAsia="宋体"/>
          <w:szCs w:val="21"/>
        </w:rPr>
        <w:t>。</w:t>
      </w:r>
    </w:p>
    <w:p w14:paraId="0BD8795A">
      <w:pPr>
        <w:autoSpaceDE w:val="0"/>
        <w:autoSpaceDN w:val="0"/>
        <w:adjustRightInd w:val="0"/>
        <w:snapToGrid w:val="0"/>
        <w:spacing w:line="400" w:lineRule="exact"/>
        <w:jc w:val="left"/>
        <w:rPr>
          <w:rFonts w:ascii="宋体" w:hAnsi="宋体" w:eastAsia="宋体"/>
          <w:b/>
          <w:bCs/>
          <w:sz w:val="24"/>
        </w:rPr>
      </w:pPr>
      <w:r>
        <w:rPr>
          <w:rFonts w:hint="eastAsia" w:ascii="宋体" w:hAnsi="宋体" w:eastAsia="宋体"/>
          <w:b/>
          <w:bCs/>
          <w:sz w:val="24"/>
        </w:rPr>
        <w:t>11. 保密义务</w:t>
      </w:r>
    </w:p>
    <w:p w14:paraId="376CC1B7">
      <w:pPr>
        <w:autoSpaceDE w:val="0"/>
        <w:autoSpaceDN w:val="0"/>
        <w:adjustRightInd w:val="0"/>
        <w:snapToGrid w:val="0"/>
        <w:spacing w:line="400" w:lineRule="exact"/>
        <w:ind w:firstLine="420" w:firstLineChars="200"/>
        <w:jc w:val="left"/>
        <w:rPr>
          <w:rFonts w:ascii="宋体" w:hAnsi="宋体" w:eastAsia="宋体" w:cs="宋体"/>
          <w:szCs w:val="15"/>
        </w:rPr>
      </w:pPr>
      <w:r>
        <w:rPr>
          <w:rFonts w:hint="eastAsia" w:ascii="宋体" w:hAnsi="宋体" w:eastAsia="宋体" w:cs="宋体"/>
          <w:szCs w:val="15"/>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eastAsia="宋体" w:cs="宋体"/>
          <w:b/>
          <w:bCs/>
          <w:szCs w:val="15"/>
        </w:rPr>
        <w:t>【政府采购合同专用条款】</w:t>
      </w:r>
      <w:r>
        <w:rPr>
          <w:rFonts w:hint="eastAsia" w:ascii="宋体" w:hAnsi="宋体" w:eastAsia="宋体" w:cs="宋体"/>
          <w:szCs w:val="15"/>
        </w:rPr>
        <w:t>中约定。</w:t>
      </w:r>
    </w:p>
    <w:p w14:paraId="09A1B62B">
      <w:pPr>
        <w:autoSpaceDE w:val="0"/>
        <w:autoSpaceDN w:val="0"/>
        <w:adjustRightInd w:val="0"/>
        <w:snapToGrid w:val="0"/>
        <w:spacing w:line="400" w:lineRule="exact"/>
        <w:jc w:val="left"/>
        <w:rPr>
          <w:rFonts w:ascii="宋体" w:hAnsi="宋体" w:eastAsia="宋体"/>
          <w:b/>
          <w:bCs/>
          <w:sz w:val="24"/>
        </w:rPr>
      </w:pPr>
      <w:r>
        <w:rPr>
          <w:rFonts w:hint="eastAsia" w:ascii="宋体" w:hAnsi="宋体" w:eastAsia="宋体"/>
          <w:b/>
          <w:bCs/>
          <w:sz w:val="24"/>
        </w:rPr>
        <w:t>12. 合同价款支付</w:t>
      </w:r>
    </w:p>
    <w:p w14:paraId="5837CB04">
      <w:pPr>
        <w:adjustRightInd w:val="0"/>
        <w:snapToGrid w:val="0"/>
        <w:spacing w:line="400" w:lineRule="exact"/>
        <w:ind w:firstLine="420" w:firstLineChars="200"/>
        <w:jc w:val="left"/>
        <w:rPr>
          <w:rFonts w:ascii="宋体" w:hAnsi="宋体" w:eastAsia="宋体"/>
          <w:szCs w:val="21"/>
        </w:rPr>
      </w:pPr>
      <w:r>
        <w:rPr>
          <w:rFonts w:hint="eastAsia" w:ascii="宋体" w:hAnsi="宋体" w:eastAsia="宋体"/>
          <w:szCs w:val="21"/>
        </w:rPr>
        <w:t>12.1 合同价款支付按照国库集中支付制度及财政管理相关规定执行。</w:t>
      </w:r>
    </w:p>
    <w:p w14:paraId="4FCA5205">
      <w:pPr>
        <w:keepNext/>
        <w:keepLines/>
        <w:spacing w:line="400" w:lineRule="exact"/>
        <w:ind w:firstLine="420" w:firstLineChars="200"/>
        <w:outlineLvl w:val="1"/>
        <w:rPr>
          <w:rFonts w:ascii="Arial" w:hAnsi="Arial" w:eastAsia="宋体" w:cs="Times New Roman"/>
          <w:b/>
          <w:bCs/>
          <w:sz w:val="24"/>
          <w:szCs w:val="32"/>
        </w:rPr>
      </w:pPr>
      <w:r>
        <w:rPr>
          <w:rFonts w:hint="eastAsia" w:ascii="宋体" w:hAnsi="宋体" w:eastAsia="宋体" w:cs="Times New Roman"/>
          <w:szCs w:val="21"/>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w:t>
      </w:r>
      <w:r>
        <w:rPr>
          <w:rFonts w:hint="eastAsia" w:ascii="宋体" w:hAnsi="宋体" w:eastAsia="宋体" w:cs="Times New Roman"/>
          <w:b/>
          <w:bCs/>
          <w:szCs w:val="21"/>
        </w:rPr>
        <w:t>政府采购合同专用条款</w:t>
      </w:r>
      <w:r>
        <w:rPr>
          <w:rFonts w:hint="eastAsia" w:ascii="宋体" w:hAnsi="宋体" w:eastAsia="宋体" w:cs="Times New Roman"/>
          <w:szCs w:val="21"/>
        </w:rPr>
        <w:t>】中约定。</w:t>
      </w:r>
    </w:p>
    <w:p w14:paraId="0A0CB2C3">
      <w:pPr>
        <w:spacing w:line="400" w:lineRule="exact"/>
        <w:rPr>
          <w:rFonts w:ascii="宋体" w:hAnsi="宋体" w:eastAsia="宋体" w:cs="Times New Roman"/>
          <w:b/>
          <w:bCs/>
          <w:sz w:val="24"/>
          <w:szCs w:val="24"/>
        </w:rPr>
      </w:pPr>
      <w:r>
        <w:rPr>
          <w:rFonts w:hint="eastAsia" w:ascii="宋体" w:hAnsi="宋体" w:eastAsia="宋体" w:cs="Times New Roman"/>
          <w:b/>
          <w:bCs/>
          <w:sz w:val="24"/>
          <w:szCs w:val="24"/>
        </w:rPr>
        <w:t>13. 履约保证金</w:t>
      </w:r>
    </w:p>
    <w:p w14:paraId="39C3435E">
      <w:pPr>
        <w:adjustRightInd w:val="0"/>
        <w:snapToGrid w:val="0"/>
        <w:spacing w:line="400" w:lineRule="exact"/>
        <w:ind w:firstLine="420" w:firstLineChars="200"/>
        <w:jc w:val="left"/>
        <w:rPr>
          <w:rFonts w:ascii="宋体" w:hAnsi="宋体" w:eastAsia="宋体"/>
          <w:szCs w:val="21"/>
        </w:rPr>
      </w:pPr>
      <w:r>
        <w:rPr>
          <w:rFonts w:hint="eastAsia" w:ascii="宋体" w:hAnsi="宋体" w:eastAsia="宋体"/>
          <w:szCs w:val="21"/>
        </w:rPr>
        <w:t xml:space="preserve">13.1 </w:t>
      </w:r>
      <w:r>
        <w:rPr>
          <w:rFonts w:hint="eastAsia" w:ascii="宋体" w:hAnsi="宋体" w:eastAsia="宋体" w:cs="宋体"/>
          <w:szCs w:val="15"/>
        </w:rPr>
        <w:t>乙方应当以支票、汇票、本票或者金融机构、担保机构出具的保函等非现金形式提交。</w:t>
      </w:r>
    </w:p>
    <w:p w14:paraId="332EECF7">
      <w:pPr>
        <w:adjustRightInd w:val="0"/>
        <w:snapToGrid w:val="0"/>
        <w:spacing w:line="400" w:lineRule="exact"/>
        <w:ind w:firstLine="420" w:firstLineChars="200"/>
        <w:jc w:val="left"/>
        <w:rPr>
          <w:rFonts w:ascii="宋体" w:hAnsi="宋体" w:eastAsia="宋体"/>
          <w:szCs w:val="21"/>
        </w:rPr>
      </w:pPr>
      <w:r>
        <w:rPr>
          <w:rFonts w:hint="eastAsia" w:ascii="宋体" w:hAnsi="宋体" w:eastAsia="宋体"/>
          <w:szCs w:val="21"/>
        </w:rPr>
        <w:t>13.2 如果乙方出现</w:t>
      </w:r>
      <w:r>
        <w:rPr>
          <w:rFonts w:hint="eastAsia" w:ascii="宋体" w:hAnsi="宋体" w:eastAsia="宋体" w:cs="宋体"/>
          <w:b/>
          <w:bCs/>
          <w:szCs w:val="15"/>
        </w:rPr>
        <w:t>【政府采购合同专用条款】</w:t>
      </w:r>
      <w:r>
        <w:rPr>
          <w:rFonts w:hint="eastAsia" w:ascii="宋体" w:hAnsi="宋体" w:eastAsia="宋体" w:cs="宋体"/>
          <w:szCs w:val="15"/>
        </w:rPr>
        <w:t>约定情形的</w:t>
      </w:r>
      <w:r>
        <w:rPr>
          <w:rFonts w:hint="eastAsia" w:ascii="宋体" w:hAnsi="宋体" w:eastAsia="宋体"/>
          <w:szCs w:val="21"/>
        </w:rPr>
        <w:t>，履约保证金不予退还；如果乙方未能按合同约定全面履行义务，甲方有权从履约保证金中取得补偿或赔偿，且不影响甲方要求乙方承担合同约定的超过履约保证金的违约责任的权利。</w:t>
      </w:r>
    </w:p>
    <w:p w14:paraId="71FF5952">
      <w:pPr>
        <w:spacing w:line="400" w:lineRule="exact"/>
        <w:ind w:firstLine="420"/>
        <w:rPr>
          <w:rFonts w:eastAsia="宋体"/>
        </w:rPr>
      </w:pPr>
      <w:r>
        <w:rPr>
          <w:rFonts w:hint="eastAsia" w:ascii="宋体" w:hAnsi="宋体" w:eastAsia="宋体"/>
          <w:szCs w:val="21"/>
        </w:rPr>
        <w:t>13.3 甲方在项目通过验收后按照</w:t>
      </w:r>
      <w:r>
        <w:rPr>
          <w:rFonts w:hint="eastAsia" w:ascii="宋体" w:hAnsi="宋体" w:eastAsia="宋体"/>
          <w:b/>
          <w:szCs w:val="21"/>
        </w:rPr>
        <w:t>【政府采购合同专用条款】</w:t>
      </w:r>
      <w:r>
        <w:rPr>
          <w:rFonts w:hint="eastAsia" w:ascii="宋体" w:hAnsi="宋体" w:eastAsia="宋体"/>
          <w:szCs w:val="21"/>
        </w:rPr>
        <w:t>规定的时间内将履约保证金退还乙方；逾期退还的，乙方可要求甲方支付违约金，违约金按照</w:t>
      </w:r>
      <w:r>
        <w:rPr>
          <w:rFonts w:hint="eastAsia" w:ascii="宋体" w:hAnsi="宋体" w:eastAsia="宋体"/>
          <w:b/>
          <w:szCs w:val="21"/>
        </w:rPr>
        <w:t>【政府采购合同专用条款】</w:t>
      </w:r>
      <w:r>
        <w:rPr>
          <w:rFonts w:hint="eastAsia" w:ascii="宋体" w:hAnsi="宋体" w:eastAsia="宋体"/>
          <w:szCs w:val="21"/>
        </w:rPr>
        <w:t>规定支付。</w:t>
      </w:r>
    </w:p>
    <w:p w14:paraId="6441D2FD">
      <w:pPr>
        <w:autoSpaceDE w:val="0"/>
        <w:autoSpaceDN w:val="0"/>
        <w:adjustRightInd w:val="0"/>
        <w:snapToGrid w:val="0"/>
        <w:spacing w:line="400" w:lineRule="exact"/>
        <w:jc w:val="left"/>
        <w:rPr>
          <w:rFonts w:ascii="宋体" w:hAnsi="宋体" w:eastAsia="宋体"/>
          <w:b/>
          <w:sz w:val="24"/>
        </w:rPr>
      </w:pPr>
      <w:r>
        <w:rPr>
          <w:rFonts w:hint="eastAsia" w:ascii="宋体" w:hAnsi="宋体" w:eastAsia="宋体"/>
          <w:b/>
          <w:bCs/>
          <w:sz w:val="24"/>
        </w:rPr>
        <w:t xml:space="preserve">14. </w:t>
      </w:r>
      <w:r>
        <w:rPr>
          <w:rFonts w:hint="eastAsia" w:eastAsia="宋体"/>
          <w:b/>
          <w:sz w:val="24"/>
        </w:rPr>
        <w:t>售后</w:t>
      </w:r>
      <w:r>
        <w:rPr>
          <w:rFonts w:hint="eastAsia" w:ascii="宋体" w:hAnsi="宋体" w:eastAsia="宋体"/>
          <w:b/>
          <w:sz w:val="24"/>
        </w:rPr>
        <w:t>服务</w:t>
      </w:r>
    </w:p>
    <w:p w14:paraId="7BEF3E69">
      <w:pPr>
        <w:autoSpaceDE w:val="0"/>
        <w:autoSpaceDN w:val="0"/>
        <w:adjustRightInd w:val="0"/>
        <w:snapToGrid w:val="0"/>
        <w:spacing w:line="400" w:lineRule="exact"/>
        <w:ind w:firstLine="420" w:firstLineChars="200"/>
        <w:jc w:val="left"/>
        <w:rPr>
          <w:rFonts w:ascii="宋体" w:hAnsi="宋体" w:eastAsia="宋体"/>
          <w:szCs w:val="21"/>
        </w:rPr>
      </w:pPr>
      <w:r>
        <w:rPr>
          <w:rFonts w:hint="eastAsia" w:ascii="宋体" w:hAnsi="宋体" w:eastAsia="宋体"/>
          <w:szCs w:val="21"/>
        </w:rPr>
        <w:t>14.1 除项目不涉及或采购活动中明确约定无须承担外，乙方还应提供下列服务：</w:t>
      </w:r>
    </w:p>
    <w:p w14:paraId="69F8650F">
      <w:pPr>
        <w:autoSpaceDE w:val="0"/>
        <w:autoSpaceDN w:val="0"/>
        <w:adjustRightInd w:val="0"/>
        <w:snapToGrid w:val="0"/>
        <w:spacing w:line="400" w:lineRule="exact"/>
        <w:ind w:firstLine="420" w:firstLineChars="200"/>
        <w:jc w:val="left"/>
        <w:rPr>
          <w:rFonts w:ascii="宋体" w:hAnsi="宋体" w:eastAsia="宋体"/>
          <w:szCs w:val="21"/>
        </w:rPr>
      </w:pPr>
      <w:r>
        <w:rPr>
          <w:rFonts w:hint="eastAsia" w:ascii="宋体" w:hAnsi="宋体" w:eastAsia="宋体"/>
          <w:szCs w:val="21"/>
        </w:rPr>
        <w:t>（1）货物的现场移动、安装、调试、启动监督及技术支持；</w:t>
      </w:r>
    </w:p>
    <w:p w14:paraId="558D56F0">
      <w:pPr>
        <w:autoSpaceDE w:val="0"/>
        <w:autoSpaceDN w:val="0"/>
        <w:adjustRightInd w:val="0"/>
        <w:snapToGrid w:val="0"/>
        <w:spacing w:line="400" w:lineRule="exact"/>
        <w:ind w:firstLine="420" w:firstLineChars="200"/>
        <w:jc w:val="left"/>
        <w:rPr>
          <w:rFonts w:ascii="宋体" w:hAnsi="宋体" w:eastAsia="宋体"/>
          <w:szCs w:val="21"/>
        </w:rPr>
      </w:pPr>
      <w:r>
        <w:rPr>
          <w:rFonts w:hint="eastAsia" w:ascii="宋体" w:hAnsi="宋体" w:eastAsia="宋体"/>
          <w:szCs w:val="21"/>
        </w:rPr>
        <w:t>（2）提供货物组装和维修所需的专用工具和辅助材料；</w:t>
      </w:r>
    </w:p>
    <w:p w14:paraId="481BDE9F">
      <w:pPr>
        <w:autoSpaceDE w:val="0"/>
        <w:autoSpaceDN w:val="0"/>
        <w:adjustRightInd w:val="0"/>
        <w:snapToGrid w:val="0"/>
        <w:spacing w:line="400" w:lineRule="exact"/>
        <w:ind w:firstLine="420" w:firstLineChars="200"/>
        <w:jc w:val="left"/>
        <w:rPr>
          <w:rFonts w:ascii="宋体" w:hAnsi="宋体" w:eastAsia="宋体"/>
          <w:szCs w:val="21"/>
        </w:rPr>
      </w:pPr>
      <w:r>
        <w:rPr>
          <w:rFonts w:hint="eastAsia" w:ascii="宋体" w:hAnsi="宋体" w:eastAsia="宋体"/>
          <w:szCs w:val="21"/>
        </w:rPr>
        <w:t>（3）在</w:t>
      </w:r>
      <w:r>
        <w:rPr>
          <w:rFonts w:hint="eastAsia" w:ascii="宋体" w:hAnsi="宋体" w:eastAsia="宋体" w:cs="宋体"/>
          <w:b/>
          <w:bCs/>
          <w:szCs w:val="15"/>
        </w:rPr>
        <w:t>【政府采购合同专用条款】</w:t>
      </w:r>
      <w:r>
        <w:rPr>
          <w:rFonts w:hint="eastAsia" w:ascii="宋体" w:hAnsi="宋体" w:eastAsia="宋体"/>
          <w:szCs w:val="21"/>
        </w:rPr>
        <w:t>约定的期限内对所有的货物实施运行监督、维修，但前提条件是该服务并不能免除乙方在质量保证期内所承担的义务；</w:t>
      </w:r>
    </w:p>
    <w:p w14:paraId="298F84A2">
      <w:pPr>
        <w:autoSpaceDE w:val="0"/>
        <w:autoSpaceDN w:val="0"/>
        <w:adjustRightInd w:val="0"/>
        <w:snapToGrid w:val="0"/>
        <w:spacing w:line="400" w:lineRule="exact"/>
        <w:ind w:firstLine="420" w:firstLineChars="200"/>
        <w:jc w:val="left"/>
        <w:rPr>
          <w:rFonts w:ascii="宋体" w:hAnsi="宋体" w:eastAsia="宋体"/>
          <w:szCs w:val="21"/>
        </w:rPr>
      </w:pPr>
      <w:r>
        <w:rPr>
          <w:rFonts w:hint="eastAsia" w:ascii="宋体" w:hAnsi="宋体" w:eastAsia="宋体"/>
          <w:szCs w:val="21"/>
        </w:rPr>
        <w:t>（4）在制造商所在地或指定现场就货物的安装、启动、运营、维护、废弃处置等对甲方操作人员进行培训</w:t>
      </w:r>
      <w:r>
        <w:rPr>
          <w:rFonts w:hint="eastAsia" w:ascii="宋体" w:hAnsi="宋体" w:eastAsia="宋体" w:cs="宋体"/>
          <w:szCs w:val="15"/>
        </w:rPr>
        <w:t>；</w:t>
      </w:r>
    </w:p>
    <w:p w14:paraId="267E094C">
      <w:pPr>
        <w:autoSpaceDE w:val="0"/>
        <w:autoSpaceDN w:val="0"/>
        <w:adjustRightInd w:val="0"/>
        <w:spacing w:line="400" w:lineRule="exact"/>
        <w:ind w:firstLine="420" w:firstLineChars="200"/>
        <w:rPr>
          <w:rFonts w:ascii="宋体" w:hAnsi="宋体" w:eastAsia="宋体" w:cs="宋体"/>
          <w:szCs w:val="21"/>
        </w:rPr>
      </w:pPr>
      <w:r>
        <w:rPr>
          <w:rFonts w:hint="eastAsia" w:ascii="宋体" w:hAnsi="宋体" w:eastAsia="宋体" w:cs="宋体"/>
          <w:szCs w:val="21"/>
        </w:rPr>
        <w:t>（5）依照法律、行政法规的规定或者按照</w:t>
      </w:r>
      <w:r>
        <w:rPr>
          <w:rFonts w:hint="eastAsia" w:ascii="宋体" w:hAnsi="宋体" w:eastAsia="宋体" w:cs="宋体"/>
          <w:b/>
          <w:bCs/>
          <w:szCs w:val="21"/>
        </w:rPr>
        <w:t>【政府采购合同专用条款】</w:t>
      </w:r>
      <w:r>
        <w:rPr>
          <w:rFonts w:hint="eastAsia" w:ascii="宋体" w:hAnsi="宋体" w:eastAsia="宋体" w:cs="宋体"/>
          <w:szCs w:val="21"/>
        </w:rPr>
        <w:t>约定，货物在有效使用年限届满后应予回收的，乙方负有自行或者委托第三人对货物予以回收的义务；</w:t>
      </w:r>
    </w:p>
    <w:p w14:paraId="65A94AD0">
      <w:pPr>
        <w:autoSpaceDE w:val="0"/>
        <w:autoSpaceDN w:val="0"/>
        <w:adjustRightInd w:val="0"/>
        <w:snapToGrid w:val="0"/>
        <w:spacing w:line="400" w:lineRule="exact"/>
        <w:ind w:firstLine="420" w:firstLineChars="200"/>
        <w:jc w:val="left"/>
        <w:rPr>
          <w:rFonts w:ascii="宋体" w:hAnsi="宋体" w:eastAsia="宋体"/>
          <w:szCs w:val="21"/>
        </w:rPr>
      </w:pPr>
      <w:r>
        <w:rPr>
          <w:rFonts w:hint="eastAsia" w:ascii="宋体" w:hAnsi="宋体" w:eastAsia="宋体"/>
          <w:szCs w:val="21"/>
        </w:rPr>
        <w:t>（6）</w:t>
      </w:r>
      <w:r>
        <w:rPr>
          <w:rFonts w:hint="eastAsia" w:ascii="宋体" w:hAnsi="宋体" w:eastAsia="宋体"/>
          <w:b/>
          <w:szCs w:val="21"/>
        </w:rPr>
        <w:t>【政府采购合同专用条款】</w:t>
      </w:r>
      <w:r>
        <w:rPr>
          <w:rFonts w:hint="eastAsia" w:ascii="宋体" w:hAnsi="宋体" w:eastAsia="宋体"/>
          <w:szCs w:val="21"/>
        </w:rPr>
        <w:t>规定由乙方提供的其他服务。</w:t>
      </w:r>
    </w:p>
    <w:p w14:paraId="4BF3A152">
      <w:pPr>
        <w:autoSpaceDE w:val="0"/>
        <w:autoSpaceDN w:val="0"/>
        <w:adjustRightInd w:val="0"/>
        <w:snapToGrid w:val="0"/>
        <w:spacing w:line="400" w:lineRule="exact"/>
        <w:ind w:firstLine="420" w:firstLineChars="200"/>
        <w:jc w:val="left"/>
        <w:rPr>
          <w:rFonts w:ascii="宋体" w:hAnsi="宋体" w:eastAsia="宋体"/>
          <w:szCs w:val="21"/>
        </w:rPr>
      </w:pPr>
      <w:r>
        <w:rPr>
          <w:rFonts w:hint="eastAsia" w:ascii="宋体" w:hAnsi="宋体" w:eastAsia="宋体"/>
          <w:szCs w:val="21"/>
        </w:rPr>
        <w:t>14.2 乙方提供的售后服务的费用已包含在合同价款中，甲方不再另行支付。</w:t>
      </w:r>
    </w:p>
    <w:p w14:paraId="048DE455">
      <w:pPr>
        <w:adjustRightInd w:val="0"/>
        <w:snapToGrid w:val="0"/>
        <w:spacing w:line="400" w:lineRule="exact"/>
        <w:jc w:val="left"/>
        <w:rPr>
          <w:rFonts w:ascii="宋体" w:hAnsi="宋体" w:eastAsia="宋体"/>
          <w:b/>
          <w:bCs/>
          <w:sz w:val="24"/>
        </w:rPr>
      </w:pPr>
      <w:r>
        <w:rPr>
          <w:rFonts w:hint="eastAsia" w:ascii="宋体" w:hAnsi="宋体" w:eastAsia="宋体"/>
          <w:b/>
          <w:bCs/>
          <w:sz w:val="24"/>
        </w:rPr>
        <w:t>15. 违约责任</w:t>
      </w:r>
    </w:p>
    <w:p w14:paraId="53EAAE8D">
      <w:pPr>
        <w:adjustRightInd w:val="0"/>
        <w:snapToGrid w:val="0"/>
        <w:spacing w:line="400" w:lineRule="exact"/>
        <w:ind w:firstLine="420" w:firstLineChars="200"/>
        <w:jc w:val="left"/>
        <w:rPr>
          <w:rFonts w:ascii="宋体" w:hAnsi="宋体" w:eastAsia="宋体"/>
          <w:bCs/>
          <w:szCs w:val="21"/>
        </w:rPr>
      </w:pPr>
      <w:r>
        <w:rPr>
          <w:rFonts w:hint="eastAsia" w:ascii="宋体" w:hAnsi="宋体" w:eastAsia="宋体"/>
          <w:bCs/>
          <w:szCs w:val="21"/>
        </w:rPr>
        <w:t>15.1质量瑕疵的违约责任</w:t>
      </w:r>
    </w:p>
    <w:p w14:paraId="34375F45">
      <w:pPr>
        <w:autoSpaceDE w:val="0"/>
        <w:autoSpaceDN w:val="0"/>
        <w:adjustRightInd w:val="0"/>
        <w:snapToGrid w:val="0"/>
        <w:spacing w:line="400" w:lineRule="exact"/>
        <w:ind w:firstLine="420" w:firstLineChars="200"/>
        <w:jc w:val="left"/>
        <w:rPr>
          <w:rFonts w:ascii="宋体" w:hAnsi="宋体" w:eastAsia="宋体"/>
          <w:szCs w:val="21"/>
        </w:rPr>
      </w:pPr>
      <w:r>
        <w:rPr>
          <w:rFonts w:hint="eastAsia" w:ascii="宋体" w:hAnsi="宋体" w:eastAsia="宋体"/>
          <w:szCs w:val="21"/>
        </w:rPr>
        <w:t>乙方提供的产品不符合合同约定的质量标准或存在产品质量缺陷，甲方有权要求乙方根据</w:t>
      </w:r>
      <w:r>
        <w:rPr>
          <w:rFonts w:hint="eastAsia" w:ascii="宋体" w:hAnsi="宋体" w:eastAsia="宋体"/>
          <w:b/>
          <w:szCs w:val="21"/>
        </w:rPr>
        <w:t>【政府采购合同专用条款】</w:t>
      </w:r>
      <w:r>
        <w:rPr>
          <w:rFonts w:hint="eastAsia" w:ascii="宋体" w:hAnsi="宋体" w:eastAsia="宋体"/>
          <w:bCs/>
          <w:szCs w:val="21"/>
        </w:rPr>
        <w:t>要求</w:t>
      </w:r>
      <w:r>
        <w:rPr>
          <w:rFonts w:hint="eastAsia" w:ascii="宋体" w:hAnsi="宋体" w:eastAsia="宋体"/>
          <w:szCs w:val="21"/>
        </w:rPr>
        <w:t>及时修理、重作、更换，并承担由此给甲方造成的损失。</w:t>
      </w:r>
    </w:p>
    <w:p w14:paraId="70B4CC23">
      <w:pPr>
        <w:autoSpaceDE w:val="0"/>
        <w:autoSpaceDN w:val="0"/>
        <w:adjustRightInd w:val="0"/>
        <w:snapToGrid w:val="0"/>
        <w:spacing w:line="400" w:lineRule="exact"/>
        <w:ind w:firstLine="420" w:firstLineChars="200"/>
        <w:jc w:val="left"/>
        <w:rPr>
          <w:rFonts w:ascii="宋体" w:hAnsi="宋体" w:eastAsia="宋体"/>
          <w:bCs/>
          <w:szCs w:val="21"/>
        </w:rPr>
      </w:pPr>
      <w:r>
        <w:rPr>
          <w:rFonts w:hint="eastAsia" w:ascii="宋体" w:hAnsi="宋体" w:eastAsia="宋体"/>
          <w:bCs/>
          <w:szCs w:val="21"/>
        </w:rPr>
        <w:t>15.2 迟延交货的违约责任</w:t>
      </w:r>
    </w:p>
    <w:p w14:paraId="12240DA2">
      <w:pPr>
        <w:autoSpaceDE w:val="0"/>
        <w:autoSpaceDN w:val="0"/>
        <w:adjustRightInd w:val="0"/>
        <w:snapToGrid w:val="0"/>
        <w:spacing w:line="400" w:lineRule="exact"/>
        <w:ind w:firstLine="420" w:firstLineChars="200"/>
        <w:jc w:val="left"/>
        <w:rPr>
          <w:rFonts w:ascii="宋体" w:hAnsi="宋体" w:eastAsia="宋体"/>
          <w:szCs w:val="21"/>
        </w:rPr>
      </w:pPr>
      <w:r>
        <w:rPr>
          <w:rFonts w:hint="eastAsia" w:ascii="宋体" w:hAnsi="宋体" w:eastAsia="宋体"/>
          <w:szCs w:val="21"/>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2C579ACE">
      <w:pPr>
        <w:autoSpaceDE w:val="0"/>
        <w:autoSpaceDN w:val="0"/>
        <w:adjustRightInd w:val="0"/>
        <w:snapToGrid w:val="0"/>
        <w:spacing w:line="400" w:lineRule="exact"/>
        <w:ind w:firstLine="420" w:firstLineChars="200"/>
        <w:jc w:val="left"/>
        <w:rPr>
          <w:rFonts w:ascii="宋体" w:hAnsi="宋体" w:eastAsia="宋体"/>
          <w:szCs w:val="21"/>
        </w:rPr>
      </w:pPr>
      <w:r>
        <w:rPr>
          <w:rFonts w:hint="eastAsia" w:ascii="宋体" w:hAnsi="宋体" w:eastAsia="宋体"/>
          <w:szCs w:val="21"/>
        </w:rPr>
        <w:t>（2）如果乙方没有按照合同规定的时间交货和提供相关服务，甲方有权从货款中扣除误期赔偿费而不影响合同项下的其他补救方法，赔偿费按</w:t>
      </w:r>
      <w:r>
        <w:rPr>
          <w:rFonts w:hint="eastAsia" w:ascii="宋体" w:hAnsi="宋体" w:eastAsia="宋体"/>
          <w:b/>
          <w:szCs w:val="21"/>
        </w:rPr>
        <w:t>【政府采购合同专用条款】</w:t>
      </w:r>
      <w:r>
        <w:rPr>
          <w:rFonts w:hint="eastAsia" w:ascii="宋体" w:hAnsi="宋体" w:eastAsia="宋体"/>
          <w:szCs w:val="21"/>
        </w:rPr>
        <w:t>规定执行。如果涉及公共利益，且赔偿金额无法弥补公共利益损失，甲方可要求继续履行或者采取其他补救措施。</w:t>
      </w:r>
    </w:p>
    <w:p w14:paraId="1C0AFC98">
      <w:pPr>
        <w:autoSpaceDE w:val="0"/>
        <w:autoSpaceDN w:val="0"/>
        <w:adjustRightInd w:val="0"/>
        <w:snapToGrid w:val="0"/>
        <w:spacing w:line="400" w:lineRule="exact"/>
        <w:ind w:firstLine="420" w:firstLineChars="200"/>
        <w:jc w:val="left"/>
        <w:rPr>
          <w:rFonts w:ascii="宋体" w:hAnsi="宋体" w:eastAsia="宋体"/>
          <w:szCs w:val="21"/>
        </w:rPr>
      </w:pPr>
      <w:r>
        <w:rPr>
          <w:rFonts w:hint="eastAsia" w:ascii="宋体" w:hAnsi="宋体" w:eastAsia="宋体"/>
          <w:szCs w:val="21"/>
        </w:rPr>
        <w:t>15.3 迟延支付的违约责任</w:t>
      </w:r>
    </w:p>
    <w:p w14:paraId="26420313">
      <w:pPr>
        <w:autoSpaceDE w:val="0"/>
        <w:autoSpaceDN w:val="0"/>
        <w:adjustRightInd w:val="0"/>
        <w:snapToGrid w:val="0"/>
        <w:spacing w:line="400" w:lineRule="exact"/>
        <w:ind w:firstLine="420" w:firstLineChars="200"/>
        <w:jc w:val="left"/>
        <w:rPr>
          <w:rFonts w:ascii="宋体" w:hAnsi="宋体" w:eastAsia="宋体"/>
          <w:szCs w:val="21"/>
        </w:rPr>
      </w:pPr>
      <w:r>
        <w:rPr>
          <w:rFonts w:hint="eastAsia" w:ascii="宋体" w:hAnsi="宋体" w:eastAsia="宋体"/>
          <w:szCs w:val="21"/>
        </w:rPr>
        <w:t>甲方存在迟延支付乙方合同款项的，应当承担</w:t>
      </w:r>
      <w:r>
        <w:rPr>
          <w:rFonts w:hint="eastAsia" w:ascii="宋体" w:hAnsi="宋体" w:eastAsia="宋体"/>
          <w:b/>
          <w:bCs/>
          <w:szCs w:val="21"/>
        </w:rPr>
        <w:t>【政府采购合同专用条款】</w:t>
      </w:r>
      <w:r>
        <w:rPr>
          <w:rFonts w:hint="eastAsia" w:ascii="宋体" w:hAnsi="宋体" w:eastAsia="宋体"/>
          <w:szCs w:val="21"/>
        </w:rPr>
        <w:t>规定的逾期付款利息。</w:t>
      </w:r>
    </w:p>
    <w:p w14:paraId="1096D062">
      <w:pPr>
        <w:adjustRightInd w:val="0"/>
        <w:snapToGrid w:val="0"/>
        <w:spacing w:line="400" w:lineRule="exact"/>
        <w:ind w:firstLine="420" w:firstLineChars="200"/>
        <w:jc w:val="left"/>
        <w:rPr>
          <w:rFonts w:ascii="宋体" w:hAnsi="宋体" w:eastAsia="宋体"/>
          <w:szCs w:val="21"/>
        </w:rPr>
      </w:pPr>
      <w:r>
        <w:rPr>
          <w:rFonts w:hint="eastAsia" w:ascii="宋体" w:hAnsi="宋体" w:eastAsia="宋体"/>
          <w:bCs/>
          <w:szCs w:val="21"/>
        </w:rPr>
        <w:t>15.4其他违约责任根据项目实际需要按</w:t>
      </w:r>
      <w:r>
        <w:rPr>
          <w:rFonts w:hint="eastAsia" w:ascii="宋体" w:hAnsi="宋体" w:eastAsia="宋体"/>
          <w:b/>
          <w:bCs/>
          <w:szCs w:val="21"/>
        </w:rPr>
        <w:t>【政府采购合同专用条款】</w:t>
      </w:r>
      <w:r>
        <w:rPr>
          <w:rFonts w:hint="eastAsia" w:ascii="宋体" w:hAnsi="宋体" w:eastAsia="宋体"/>
          <w:szCs w:val="21"/>
        </w:rPr>
        <w:t>规定执行。</w:t>
      </w:r>
    </w:p>
    <w:p w14:paraId="38BA193F">
      <w:pPr>
        <w:numPr>
          <w:ilvl w:val="0"/>
          <w:numId w:val="10"/>
        </w:numPr>
        <w:autoSpaceDE w:val="0"/>
        <w:autoSpaceDN w:val="0"/>
        <w:adjustRightInd w:val="0"/>
        <w:snapToGrid w:val="0"/>
        <w:spacing w:line="400" w:lineRule="exact"/>
        <w:jc w:val="left"/>
        <w:rPr>
          <w:rFonts w:ascii="宋体" w:hAnsi="宋体" w:eastAsia="宋体"/>
          <w:b/>
          <w:sz w:val="24"/>
        </w:rPr>
      </w:pPr>
      <w:r>
        <w:rPr>
          <w:rFonts w:hint="eastAsia" w:ascii="宋体" w:hAnsi="宋体" w:eastAsia="宋体"/>
          <w:b/>
          <w:sz w:val="24"/>
        </w:rPr>
        <w:t>合同变更、中止与终止</w:t>
      </w:r>
    </w:p>
    <w:p w14:paraId="171B9038">
      <w:pPr>
        <w:adjustRightInd w:val="0"/>
        <w:snapToGrid w:val="0"/>
        <w:spacing w:line="400" w:lineRule="exact"/>
        <w:jc w:val="left"/>
        <w:rPr>
          <w:rFonts w:ascii="宋体" w:hAnsi="宋体" w:eastAsia="宋体"/>
          <w:szCs w:val="21"/>
        </w:rPr>
      </w:pPr>
      <w:r>
        <w:rPr>
          <w:rFonts w:hint="eastAsia" w:ascii="宋体" w:hAnsi="宋体" w:eastAsia="宋体"/>
          <w:szCs w:val="21"/>
        </w:rPr>
        <w:t xml:space="preserve">    16.1合同的变更</w:t>
      </w:r>
    </w:p>
    <w:p w14:paraId="74690EDB">
      <w:pPr>
        <w:autoSpaceDE w:val="0"/>
        <w:autoSpaceDN w:val="0"/>
        <w:adjustRightInd w:val="0"/>
        <w:snapToGrid w:val="0"/>
        <w:spacing w:line="400" w:lineRule="exact"/>
        <w:ind w:firstLine="420" w:firstLineChars="200"/>
        <w:jc w:val="left"/>
        <w:rPr>
          <w:rFonts w:ascii="宋体" w:hAnsi="宋体" w:eastAsia="宋体"/>
          <w:szCs w:val="21"/>
        </w:rPr>
      </w:pPr>
      <w:r>
        <w:rPr>
          <w:rFonts w:hint="eastAsia" w:ascii="宋体" w:hAnsi="宋体" w:eastAsia="宋体"/>
          <w:szCs w:val="21"/>
        </w:rPr>
        <w:t>政府采购合同履行中，在不改变合同其他条款的前提下，甲方可以在合同价款10%的范围内追加与合同标的相同的货物，并就此与乙方协商一致后签订补充协议。</w:t>
      </w:r>
    </w:p>
    <w:p w14:paraId="632AE8F0">
      <w:pPr>
        <w:adjustRightInd w:val="0"/>
        <w:snapToGrid w:val="0"/>
        <w:spacing w:line="400" w:lineRule="exact"/>
        <w:ind w:firstLine="420" w:firstLineChars="200"/>
        <w:jc w:val="left"/>
        <w:rPr>
          <w:rFonts w:ascii="宋体" w:hAnsi="宋体" w:eastAsia="宋体"/>
          <w:szCs w:val="21"/>
        </w:rPr>
      </w:pPr>
      <w:r>
        <w:rPr>
          <w:rFonts w:hint="eastAsia" w:ascii="宋体" w:hAnsi="宋体" w:eastAsia="宋体"/>
          <w:szCs w:val="21"/>
        </w:rPr>
        <w:t>16.2合同的中止</w:t>
      </w:r>
    </w:p>
    <w:p w14:paraId="3B4E5BDD">
      <w:pPr>
        <w:autoSpaceDE w:val="0"/>
        <w:autoSpaceDN w:val="0"/>
        <w:adjustRightInd w:val="0"/>
        <w:snapToGrid w:val="0"/>
        <w:spacing w:line="400" w:lineRule="exact"/>
        <w:ind w:firstLine="420" w:firstLineChars="200"/>
        <w:jc w:val="left"/>
        <w:rPr>
          <w:rFonts w:ascii="宋体" w:hAnsi="宋体" w:eastAsia="宋体"/>
          <w:szCs w:val="21"/>
        </w:rPr>
      </w:pPr>
      <w:r>
        <w:rPr>
          <w:rFonts w:hint="eastAsia" w:ascii="宋体" w:hAnsi="宋体" w:eastAsia="宋体"/>
          <w:szCs w:val="21"/>
        </w:rPr>
        <w:t>（1）合同履行过程中因供应商就采购文件、采购过程或结果提起投诉的，甲方认为有必要的，可以中止合同的履行。</w:t>
      </w:r>
    </w:p>
    <w:p w14:paraId="242B74D6">
      <w:pPr>
        <w:autoSpaceDE w:val="0"/>
        <w:autoSpaceDN w:val="0"/>
        <w:adjustRightInd w:val="0"/>
        <w:snapToGrid w:val="0"/>
        <w:spacing w:line="400" w:lineRule="exact"/>
        <w:ind w:firstLine="420" w:firstLineChars="200"/>
        <w:jc w:val="left"/>
        <w:rPr>
          <w:rFonts w:ascii="宋体" w:hAnsi="宋体" w:eastAsia="宋体"/>
          <w:szCs w:val="21"/>
        </w:rPr>
      </w:pPr>
      <w:r>
        <w:rPr>
          <w:rFonts w:hint="eastAsia" w:ascii="宋体" w:hAnsi="宋体" w:eastAsia="宋体"/>
          <w:szCs w:val="21"/>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62A312E2">
      <w:pPr>
        <w:autoSpaceDE w:val="0"/>
        <w:autoSpaceDN w:val="0"/>
        <w:adjustRightInd w:val="0"/>
        <w:spacing w:line="400" w:lineRule="exact"/>
        <w:ind w:firstLine="420" w:firstLineChars="200"/>
        <w:rPr>
          <w:rFonts w:ascii="华文楷体" w:hAnsi="华文楷体" w:eastAsia="华文楷体" w:cs="华文楷体"/>
          <w:szCs w:val="21"/>
        </w:rPr>
      </w:pPr>
      <w:r>
        <w:rPr>
          <w:rFonts w:hint="eastAsia" w:ascii="宋体" w:hAnsi="宋体" w:eastAsia="宋体" w:cs="宋体"/>
          <w:szCs w:val="21"/>
        </w:rPr>
        <w:t>（3）乙方分立、合并或者变更住所的，应当及时以书面形式告知甲方。乙方没有及时告知甲方，致使合同履行发生困难的，甲方可以中止合同履行并要求乙方承担由此给甲方造成的损失。</w:t>
      </w:r>
    </w:p>
    <w:p w14:paraId="48803405">
      <w:pPr>
        <w:snapToGrid w:val="0"/>
        <w:spacing w:line="400" w:lineRule="exact"/>
        <w:ind w:firstLine="420" w:firstLineChars="200"/>
        <w:jc w:val="left"/>
        <w:rPr>
          <w:rFonts w:eastAsia="宋体"/>
        </w:rPr>
      </w:pPr>
      <w:r>
        <w:rPr>
          <w:rFonts w:hint="eastAsia" w:ascii="宋体" w:hAnsi="宋体" w:eastAsia="宋体"/>
          <w:szCs w:val="21"/>
        </w:rPr>
        <w:t>（4）甲方不得以行政区划调整、政府换届、机构或者职能调整以及相关责任人更替为由中止合同。</w:t>
      </w:r>
    </w:p>
    <w:p w14:paraId="6C4EC8BF">
      <w:pPr>
        <w:adjustRightInd w:val="0"/>
        <w:snapToGrid w:val="0"/>
        <w:spacing w:line="400" w:lineRule="exact"/>
        <w:ind w:firstLine="420" w:firstLineChars="200"/>
        <w:jc w:val="left"/>
        <w:rPr>
          <w:rFonts w:ascii="宋体" w:hAnsi="宋体" w:eastAsia="宋体"/>
          <w:szCs w:val="21"/>
        </w:rPr>
      </w:pPr>
      <w:r>
        <w:rPr>
          <w:rFonts w:hint="eastAsia" w:ascii="宋体" w:hAnsi="宋体" w:eastAsia="宋体"/>
          <w:szCs w:val="21"/>
        </w:rPr>
        <w:t>16.3合同的终止</w:t>
      </w:r>
    </w:p>
    <w:p w14:paraId="5544D295">
      <w:pPr>
        <w:autoSpaceDE w:val="0"/>
        <w:autoSpaceDN w:val="0"/>
        <w:adjustRightInd w:val="0"/>
        <w:snapToGrid w:val="0"/>
        <w:spacing w:line="400" w:lineRule="exact"/>
        <w:ind w:firstLine="420" w:firstLineChars="200"/>
        <w:jc w:val="left"/>
        <w:rPr>
          <w:rFonts w:ascii="宋体" w:hAnsi="宋体" w:eastAsia="宋体"/>
          <w:szCs w:val="21"/>
        </w:rPr>
      </w:pPr>
      <w:r>
        <w:rPr>
          <w:rFonts w:hint="eastAsia" w:ascii="宋体" w:hAnsi="宋体" w:eastAsia="宋体"/>
          <w:szCs w:val="21"/>
        </w:rPr>
        <w:t>（1）合同因有效期限届满而终止；</w:t>
      </w:r>
    </w:p>
    <w:p w14:paraId="49DEE099">
      <w:pPr>
        <w:snapToGrid w:val="0"/>
        <w:spacing w:line="400" w:lineRule="exact"/>
        <w:ind w:firstLine="420" w:firstLineChars="200"/>
        <w:rPr>
          <w:rFonts w:ascii="宋体" w:hAnsi="宋体" w:eastAsia="宋体" w:cs="宋体"/>
          <w:szCs w:val="21"/>
        </w:rPr>
      </w:pPr>
      <w:r>
        <w:rPr>
          <w:rFonts w:hint="eastAsia" w:ascii="宋体" w:hAnsi="宋体" w:eastAsia="宋体"/>
          <w:szCs w:val="21"/>
        </w:rPr>
        <w:t>（2）乙方未按合同约定履行，构成根本性违约的，甲方有权终止合同，</w:t>
      </w:r>
      <w:r>
        <w:rPr>
          <w:rFonts w:hint="eastAsia" w:ascii="宋体" w:hAnsi="宋体" w:eastAsia="宋体" w:cs="宋体"/>
          <w:szCs w:val="21"/>
        </w:rPr>
        <w:t>并追究乙方的违约责任</w:t>
      </w:r>
      <w:r>
        <w:rPr>
          <w:rFonts w:hint="eastAsia" w:ascii="宋体" w:hAnsi="宋体" w:eastAsia="宋体"/>
          <w:szCs w:val="21"/>
        </w:rPr>
        <w:t>。</w:t>
      </w:r>
    </w:p>
    <w:p w14:paraId="6DEA96DB">
      <w:pPr>
        <w:autoSpaceDE w:val="0"/>
        <w:autoSpaceDN w:val="0"/>
        <w:adjustRightInd w:val="0"/>
        <w:spacing w:line="400" w:lineRule="exact"/>
        <w:ind w:firstLine="440" w:firstLineChars="200"/>
        <w:rPr>
          <w:rFonts w:ascii="宋体" w:hAnsi="宋体" w:eastAsia="华文楷体" w:cs="华文楷体"/>
          <w:sz w:val="22"/>
          <w:szCs w:val="21"/>
        </w:rPr>
      </w:pPr>
      <w:r>
        <w:rPr>
          <w:rFonts w:hint="eastAsia" w:ascii="宋体" w:hAnsi="宋体" w:eastAsia="华文楷体" w:cs="华文楷体"/>
          <w:sz w:val="22"/>
          <w:szCs w:val="21"/>
        </w:rPr>
        <w:t xml:space="preserve">16.4 </w:t>
      </w:r>
      <w:r>
        <w:rPr>
          <w:rFonts w:hint="eastAsia" w:ascii="宋体" w:hAnsi="宋体" w:eastAsia="宋体" w:cs="Times New Roman"/>
          <w:szCs w:val="21"/>
        </w:rPr>
        <w:t>涉及国家利益、社会公共利益的情形</w:t>
      </w:r>
    </w:p>
    <w:p w14:paraId="09D4D2AE">
      <w:pPr>
        <w:autoSpaceDE w:val="0"/>
        <w:autoSpaceDN w:val="0"/>
        <w:adjustRightInd w:val="0"/>
        <w:spacing w:line="400" w:lineRule="exact"/>
        <w:ind w:firstLine="420" w:firstLineChars="200"/>
        <w:rPr>
          <w:rFonts w:ascii="华文楷体" w:hAnsi="华文楷体" w:eastAsia="华文楷体" w:cs="华文楷体"/>
          <w:szCs w:val="21"/>
        </w:rPr>
      </w:pPr>
      <w:r>
        <w:rPr>
          <w:rFonts w:hint="eastAsia" w:ascii="宋体" w:hAnsi="宋体" w:eastAsia="宋体" w:cs="宋体"/>
          <w:szCs w:val="21"/>
        </w:rPr>
        <w:t>政府采购合同继续履行将损害国家利益和社会公共利益的，双方当事人应当变更、中止或者终止合同。有过错的一方应当承担赔偿责任，双方都有过错的，各自承担相应的责任。</w:t>
      </w:r>
    </w:p>
    <w:p w14:paraId="1D2E6FDD">
      <w:pPr>
        <w:autoSpaceDE w:val="0"/>
        <w:autoSpaceDN w:val="0"/>
        <w:adjustRightInd w:val="0"/>
        <w:snapToGrid w:val="0"/>
        <w:spacing w:line="400" w:lineRule="exact"/>
        <w:jc w:val="left"/>
        <w:rPr>
          <w:rFonts w:ascii="宋体" w:hAnsi="宋体" w:eastAsia="宋体"/>
          <w:b/>
          <w:bCs/>
          <w:sz w:val="24"/>
        </w:rPr>
      </w:pPr>
      <w:r>
        <w:rPr>
          <w:rFonts w:hint="eastAsia" w:ascii="宋体" w:hAnsi="宋体" w:eastAsia="宋体"/>
          <w:b/>
          <w:bCs/>
          <w:sz w:val="24"/>
        </w:rPr>
        <w:t>17. 合同分包</w:t>
      </w:r>
    </w:p>
    <w:p w14:paraId="7800F30B">
      <w:pPr>
        <w:autoSpaceDE w:val="0"/>
        <w:autoSpaceDN w:val="0"/>
        <w:adjustRightInd w:val="0"/>
        <w:snapToGrid w:val="0"/>
        <w:spacing w:line="400" w:lineRule="exact"/>
        <w:ind w:firstLine="420" w:firstLineChars="200"/>
        <w:jc w:val="left"/>
        <w:rPr>
          <w:rFonts w:ascii="宋体" w:hAnsi="宋体" w:eastAsia="宋体"/>
          <w:szCs w:val="21"/>
        </w:rPr>
      </w:pPr>
      <w:r>
        <w:rPr>
          <w:rFonts w:hint="eastAsia" w:ascii="宋体" w:hAnsi="宋体" w:eastAsia="宋体"/>
          <w:szCs w:val="21"/>
        </w:rPr>
        <w:t>17.1 乙方不得将合同转包给其他供应商。涉及合同分包的，乙方应根据采购文件和投标（响应）文件规定进行合同分包。</w:t>
      </w:r>
    </w:p>
    <w:p w14:paraId="76DD58D7">
      <w:pPr>
        <w:autoSpaceDE w:val="0"/>
        <w:autoSpaceDN w:val="0"/>
        <w:adjustRightInd w:val="0"/>
        <w:snapToGrid w:val="0"/>
        <w:spacing w:line="400" w:lineRule="exact"/>
        <w:ind w:firstLine="420" w:firstLineChars="200"/>
        <w:jc w:val="left"/>
        <w:rPr>
          <w:rFonts w:ascii="宋体" w:hAnsi="宋体" w:eastAsia="宋体"/>
          <w:szCs w:val="21"/>
        </w:rPr>
      </w:pPr>
      <w:r>
        <w:rPr>
          <w:rFonts w:hint="eastAsia" w:ascii="宋体" w:hAnsi="宋体" w:eastAsia="宋体"/>
          <w:szCs w:val="21"/>
        </w:rPr>
        <w:t>17.2 乙方执行政府采购政策向中小企业依法分包的，乙方应当按采购文件和投标（响应）文件签订分包意向协议，分包意向协议属于本合同组成部分。</w:t>
      </w:r>
    </w:p>
    <w:p w14:paraId="5988ACE0">
      <w:pPr>
        <w:autoSpaceDE w:val="0"/>
        <w:autoSpaceDN w:val="0"/>
        <w:adjustRightInd w:val="0"/>
        <w:snapToGrid w:val="0"/>
        <w:spacing w:line="400" w:lineRule="exact"/>
        <w:jc w:val="left"/>
        <w:rPr>
          <w:rFonts w:ascii="宋体" w:hAnsi="宋体" w:eastAsia="宋体"/>
          <w:b/>
          <w:bCs/>
          <w:sz w:val="24"/>
        </w:rPr>
      </w:pPr>
      <w:r>
        <w:rPr>
          <w:rFonts w:hint="eastAsia" w:ascii="宋体" w:hAnsi="宋体" w:eastAsia="宋体"/>
          <w:b/>
          <w:bCs/>
          <w:sz w:val="24"/>
        </w:rPr>
        <w:t>18. 不可抗力</w:t>
      </w:r>
    </w:p>
    <w:p w14:paraId="4B9FC0B0">
      <w:pPr>
        <w:autoSpaceDE w:val="0"/>
        <w:autoSpaceDN w:val="0"/>
        <w:adjustRightInd w:val="0"/>
        <w:snapToGrid w:val="0"/>
        <w:spacing w:line="400" w:lineRule="exact"/>
        <w:ind w:firstLine="420" w:firstLineChars="200"/>
        <w:jc w:val="left"/>
        <w:rPr>
          <w:rFonts w:ascii="宋体" w:hAnsi="宋体" w:eastAsia="宋体"/>
          <w:szCs w:val="21"/>
        </w:rPr>
      </w:pPr>
      <w:r>
        <w:rPr>
          <w:rFonts w:hint="eastAsia" w:ascii="宋体" w:hAnsi="宋体" w:eastAsia="宋体"/>
          <w:szCs w:val="21"/>
        </w:rPr>
        <w:t>18.1 不可抗力是指合同双方不能预见、不能避免且不能克服的客观情况。</w:t>
      </w:r>
    </w:p>
    <w:p w14:paraId="0680D598">
      <w:pPr>
        <w:autoSpaceDE w:val="0"/>
        <w:autoSpaceDN w:val="0"/>
        <w:adjustRightInd w:val="0"/>
        <w:snapToGrid w:val="0"/>
        <w:spacing w:line="400" w:lineRule="exact"/>
        <w:ind w:firstLine="420" w:firstLineChars="200"/>
        <w:jc w:val="left"/>
        <w:rPr>
          <w:rFonts w:ascii="宋体" w:hAnsi="宋体" w:eastAsia="宋体"/>
          <w:szCs w:val="21"/>
        </w:rPr>
      </w:pPr>
      <w:r>
        <w:rPr>
          <w:rFonts w:hint="eastAsia" w:ascii="宋体" w:hAnsi="宋体" w:eastAsia="宋体"/>
          <w:szCs w:val="21"/>
        </w:rPr>
        <w:t>18.2 任何一方对由于不可抗力造成的部分或全部不能履行合同不承担违约责任。但迟延履行后发生不可抗力的，不能免除责任。</w:t>
      </w:r>
    </w:p>
    <w:p w14:paraId="6E533BFE">
      <w:pPr>
        <w:autoSpaceDE w:val="0"/>
        <w:autoSpaceDN w:val="0"/>
        <w:adjustRightInd w:val="0"/>
        <w:snapToGrid w:val="0"/>
        <w:spacing w:line="400" w:lineRule="exact"/>
        <w:ind w:firstLine="420" w:firstLineChars="200"/>
        <w:jc w:val="left"/>
        <w:rPr>
          <w:rFonts w:ascii="宋体" w:hAnsi="宋体" w:eastAsia="宋体"/>
          <w:szCs w:val="21"/>
        </w:rPr>
      </w:pPr>
      <w:r>
        <w:rPr>
          <w:rFonts w:hint="eastAsia" w:ascii="宋体" w:hAnsi="宋体" w:eastAsia="宋体"/>
          <w:szCs w:val="21"/>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39AD7CC2">
      <w:pPr>
        <w:autoSpaceDE w:val="0"/>
        <w:autoSpaceDN w:val="0"/>
        <w:adjustRightInd w:val="0"/>
        <w:snapToGrid w:val="0"/>
        <w:spacing w:line="400" w:lineRule="exact"/>
        <w:jc w:val="left"/>
        <w:rPr>
          <w:rFonts w:ascii="宋体" w:hAnsi="宋体" w:eastAsia="宋体"/>
          <w:b/>
          <w:bCs/>
          <w:sz w:val="24"/>
        </w:rPr>
      </w:pPr>
      <w:r>
        <w:rPr>
          <w:rFonts w:hint="eastAsia" w:ascii="宋体" w:hAnsi="宋体" w:eastAsia="宋体"/>
          <w:b/>
          <w:bCs/>
          <w:sz w:val="24"/>
        </w:rPr>
        <w:t>19. 解决争议的方法</w:t>
      </w:r>
    </w:p>
    <w:p w14:paraId="3106209B">
      <w:pPr>
        <w:autoSpaceDE w:val="0"/>
        <w:autoSpaceDN w:val="0"/>
        <w:adjustRightInd w:val="0"/>
        <w:spacing w:line="400" w:lineRule="exact"/>
        <w:ind w:firstLine="420" w:firstLineChars="200"/>
        <w:rPr>
          <w:rFonts w:ascii="宋体" w:hAnsi="宋体" w:eastAsia="宋体" w:cs="宋体"/>
          <w:szCs w:val="21"/>
        </w:rPr>
      </w:pPr>
      <w:r>
        <w:rPr>
          <w:rFonts w:hint="eastAsia" w:ascii="宋体" w:hAnsi="宋体" w:eastAsia="宋体" w:cs="宋体"/>
          <w:szCs w:val="21"/>
        </w:rPr>
        <w:t>19.1 因本合同及合同有关事项发生的争议，由甲乙双方友好协商解决。协商不成时，可以向有关组织申请调解。合同一方或双方不愿调解或调解不成的，可以通过仲裁或诉讼的方式解决争议。</w:t>
      </w:r>
    </w:p>
    <w:p w14:paraId="119CCF91">
      <w:pPr>
        <w:autoSpaceDE w:val="0"/>
        <w:autoSpaceDN w:val="0"/>
        <w:adjustRightInd w:val="0"/>
        <w:spacing w:line="400" w:lineRule="exact"/>
        <w:ind w:firstLine="420" w:firstLineChars="200"/>
        <w:rPr>
          <w:rFonts w:ascii="宋体" w:hAnsi="宋体" w:eastAsia="宋体" w:cs="宋体"/>
          <w:szCs w:val="21"/>
        </w:rPr>
      </w:pPr>
      <w:r>
        <w:rPr>
          <w:rFonts w:hint="eastAsia" w:ascii="宋体" w:hAnsi="宋体" w:eastAsia="宋体" w:cs="宋体"/>
          <w:szCs w:val="21"/>
        </w:rPr>
        <w:t>19.2 选择仲裁的，应在</w:t>
      </w:r>
      <w:r>
        <w:rPr>
          <w:rFonts w:hint="eastAsia" w:ascii="宋体" w:hAnsi="宋体" w:eastAsia="宋体" w:cs="宋体"/>
          <w:b/>
          <w:bCs/>
          <w:szCs w:val="21"/>
        </w:rPr>
        <w:t>【政府采购合同专用条款】</w:t>
      </w:r>
      <w:r>
        <w:rPr>
          <w:rFonts w:hint="eastAsia" w:ascii="宋体" w:hAnsi="宋体" w:eastAsia="宋体" w:cs="宋体"/>
          <w:szCs w:val="21"/>
        </w:rPr>
        <w:t>中明确仲裁机构及仲裁地；通过诉讼方式解决的，可以在</w:t>
      </w:r>
      <w:r>
        <w:rPr>
          <w:rFonts w:hint="eastAsia" w:ascii="宋体" w:hAnsi="宋体" w:eastAsia="宋体" w:cs="宋体"/>
          <w:b/>
          <w:bCs/>
          <w:szCs w:val="21"/>
        </w:rPr>
        <w:t>【政府采购合同专用条款】</w:t>
      </w:r>
      <w:r>
        <w:rPr>
          <w:rFonts w:hint="eastAsia" w:ascii="宋体" w:hAnsi="宋体" w:eastAsia="宋体" w:cs="宋体"/>
          <w:szCs w:val="21"/>
        </w:rPr>
        <w:t>中进一步约定选择与争议有实际联系的地点的人民法院管辖，但管辖法院的约定不得违反级别管辖和专属管辖的规定。</w:t>
      </w:r>
    </w:p>
    <w:p w14:paraId="1E32BDFC">
      <w:pPr>
        <w:autoSpaceDE w:val="0"/>
        <w:autoSpaceDN w:val="0"/>
        <w:adjustRightInd w:val="0"/>
        <w:spacing w:line="400" w:lineRule="exact"/>
        <w:ind w:firstLine="420" w:firstLineChars="200"/>
        <w:rPr>
          <w:rFonts w:ascii="宋体" w:hAnsi="宋体" w:eastAsia="宋体" w:cs="宋体"/>
          <w:szCs w:val="21"/>
        </w:rPr>
      </w:pPr>
      <w:r>
        <w:rPr>
          <w:rFonts w:hint="eastAsia" w:ascii="宋体" w:hAnsi="宋体" w:eastAsia="宋体" w:cs="宋体"/>
          <w:szCs w:val="21"/>
        </w:rPr>
        <w:t>19.3 如甲乙双方有争议的事项不影响合同其他部分的履行，在争议解决期间，合同其他部分应当继续履行。</w:t>
      </w:r>
    </w:p>
    <w:p w14:paraId="5084A3E4">
      <w:pPr>
        <w:autoSpaceDE w:val="0"/>
        <w:autoSpaceDN w:val="0"/>
        <w:adjustRightInd w:val="0"/>
        <w:snapToGrid w:val="0"/>
        <w:spacing w:line="400" w:lineRule="exact"/>
        <w:jc w:val="left"/>
        <w:rPr>
          <w:rFonts w:ascii="宋体" w:hAnsi="宋体" w:eastAsia="宋体"/>
          <w:sz w:val="24"/>
        </w:rPr>
      </w:pPr>
      <w:r>
        <w:rPr>
          <w:rFonts w:hint="eastAsia" w:ascii="宋体" w:hAnsi="宋体" w:eastAsia="宋体"/>
          <w:b/>
          <w:sz w:val="24"/>
        </w:rPr>
        <w:t>20. 政府采购政策</w:t>
      </w:r>
    </w:p>
    <w:p w14:paraId="590F6D67">
      <w:pPr>
        <w:autoSpaceDE w:val="0"/>
        <w:autoSpaceDN w:val="0"/>
        <w:adjustRightInd w:val="0"/>
        <w:snapToGrid w:val="0"/>
        <w:spacing w:line="400" w:lineRule="exact"/>
        <w:ind w:firstLine="420" w:firstLineChars="200"/>
        <w:jc w:val="left"/>
        <w:rPr>
          <w:rFonts w:ascii="宋体" w:hAnsi="宋体" w:eastAsia="宋体"/>
          <w:szCs w:val="21"/>
        </w:rPr>
      </w:pPr>
      <w:r>
        <w:rPr>
          <w:rFonts w:hint="eastAsia" w:ascii="宋体" w:hAnsi="宋体" w:eastAsia="宋体"/>
          <w:szCs w:val="21"/>
        </w:rPr>
        <w:t xml:space="preserve">20.1 </w:t>
      </w:r>
      <w:r>
        <w:rPr>
          <w:rFonts w:hint="eastAsia" w:ascii="宋体" w:hAnsi="宋体" w:eastAsia="宋体" w:cs="宋体"/>
          <w:lang w:val="en-GB"/>
        </w:rPr>
        <w:t>本合同应当按照规定执行政府采购政策。</w:t>
      </w:r>
    </w:p>
    <w:p w14:paraId="6E9F6C7B">
      <w:pPr>
        <w:autoSpaceDE w:val="0"/>
        <w:autoSpaceDN w:val="0"/>
        <w:adjustRightInd w:val="0"/>
        <w:snapToGrid w:val="0"/>
        <w:spacing w:line="400" w:lineRule="exact"/>
        <w:ind w:firstLine="420" w:firstLineChars="200"/>
        <w:jc w:val="left"/>
        <w:rPr>
          <w:rFonts w:ascii="宋体" w:hAnsi="宋体" w:eastAsia="宋体"/>
          <w:szCs w:val="21"/>
        </w:rPr>
      </w:pPr>
      <w:r>
        <w:rPr>
          <w:rFonts w:ascii="宋体" w:hAnsi="宋体" w:eastAsia="宋体"/>
          <w:szCs w:val="21"/>
        </w:rPr>
        <w:t>2</w:t>
      </w:r>
      <w:r>
        <w:rPr>
          <w:rFonts w:hint="eastAsia" w:ascii="宋体" w:hAnsi="宋体" w:eastAsia="宋体"/>
          <w:szCs w:val="21"/>
        </w:rPr>
        <w:t>0.2 本合同依法执行政府采购政策的方式和内容，属于合同履约验收的范围。</w:t>
      </w:r>
      <w:r>
        <w:rPr>
          <w:rFonts w:hint="eastAsia" w:ascii="宋体" w:hAnsi="宋体" w:eastAsia="宋体" w:cs="宋体"/>
        </w:rPr>
        <w:t>甲乙双方</w:t>
      </w:r>
      <w:r>
        <w:rPr>
          <w:rFonts w:hint="eastAsia" w:ascii="宋体" w:hAnsi="宋体" w:eastAsia="宋体" w:cs="宋体"/>
          <w:lang w:val="en-GB"/>
        </w:rPr>
        <w:t>未按规定要求执行政府采购政策造成损失的</w:t>
      </w:r>
      <w:r>
        <w:rPr>
          <w:rFonts w:hint="eastAsia" w:ascii="宋体" w:hAnsi="宋体" w:eastAsia="宋体"/>
          <w:szCs w:val="21"/>
        </w:rPr>
        <w:t>，有过错的一方应当承担赔偿责任，双方都有过错的，各自承担相应的责任。</w:t>
      </w:r>
    </w:p>
    <w:p w14:paraId="70877C80">
      <w:pPr>
        <w:spacing w:line="400" w:lineRule="exact"/>
        <w:ind w:firstLine="420" w:firstLineChars="200"/>
        <w:rPr>
          <w:rFonts w:ascii="Calibri" w:hAnsi="Calibri" w:eastAsia="宋体" w:cs="Times New Roman"/>
        </w:rPr>
      </w:pPr>
      <w:r>
        <w:rPr>
          <w:rFonts w:ascii="宋体" w:hAnsi="宋体" w:eastAsia="宋体" w:cs="Times New Roman"/>
          <w:szCs w:val="21"/>
        </w:rPr>
        <w:t>2</w:t>
      </w:r>
      <w:r>
        <w:rPr>
          <w:rFonts w:hint="eastAsia" w:ascii="宋体" w:hAnsi="宋体" w:eastAsia="宋体" w:cs="Times New Roman"/>
          <w:szCs w:val="21"/>
        </w:rPr>
        <w:t>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7FCF6016">
      <w:pPr>
        <w:autoSpaceDE w:val="0"/>
        <w:autoSpaceDN w:val="0"/>
        <w:adjustRightInd w:val="0"/>
        <w:snapToGrid w:val="0"/>
        <w:spacing w:line="400" w:lineRule="exact"/>
        <w:jc w:val="left"/>
        <w:rPr>
          <w:rFonts w:ascii="宋体" w:hAnsi="宋体" w:eastAsia="宋体"/>
          <w:b/>
          <w:sz w:val="24"/>
        </w:rPr>
      </w:pPr>
      <w:r>
        <w:rPr>
          <w:rFonts w:hint="eastAsia" w:ascii="宋体" w:hAnsi="宋体" w:eastAsia="宋体"/>
          <w:b/>
          <w:sz w:val="24"/>
        </w:rPr>
        <w:t>21. 法律适用</w:t>
      </w:r>
    </w:p>
    <w:p w14:paraId="1D6DE3BE">
      <w:pPr>
        <w:autoSpaceDE w:val="0"/>
        <w:autoSpaceDN w:val="0"/>
        <w:adjustRightInd w:val="0"/>
        <w:spacing w:line="400" w:lineRule="exact"/>
        <w:ind w:firstLine="420" w:firstLineChars="200"/>
        <w:rPr>
          <w:rFonts w:ascii="宋体" w:hAnsi="宋体" w:eastAsia="宋体" w:cs="宋体"/>
          <w:szCs w:val="21"/>
        </w:rPr>
      </w:pPr>
      <w:r>
        <w:rPr>
          <w:rFonts w:hint="eastAsia" w:ascii="宋体" w:hAnsi="宋体" w:eastAsia="宋体" w:cs="宋体"/>
          <w:szCs w:val="21"/>
        </w:rPr>
        <w:t>21.1 本合同的订立、生效、解释、履行及与本合同有关的争议解决，均适用法律、行政法规。</w:t>
      </w:r>
    </w:p>
    <w:p w14:paraId="79BCED97">
      <w:pPr>
        <w:autoSpaceDE w:val="0"/>
        <w:autoSpaceDN w:val="0"/>
        <w:adjustRightInd w:val="0"/>
        <w:spacing w:line="400" w:lineRule="exact"/>
        <w:ind w:firstLine="420" w:firstLineChars="200"/>
        <w:rPr>
          <w:rFonts w:ascii="宋体" w:hAnsi="宋体" w:eastAsia="宋体" w:cs="宋体"/>
          <w:szCs w:val="21"/>
        </w:rPr>
      </w:pPr>
      <w:r>
        <w:rPr>
          <w:rFonts w:hint="eastAsia" w:ascii="宋体" w:hAnsi="宋体" w:eastAsia="宋体" w:cs="宋体"/>
          <w:szCs w:val="21"/>
        </w:rPr>
        <w:t>21.2 本合同条款与法律、行政法规的强制性规定不一致的，双方当事人应按照法律、行政法规的强制性规定修改本合同的相关条款。</w:t>
      </w:r>
    </w:p>
    <w:p w14:paraId="66AAE885">
      <w:pPr>
        <w:numPr>
          <w:ilvl w:val="255"/>
          <w:numId w:val="0"/>
        </w:numPr>
        <w:autoSpaceDE w:val="0"/>
        <w:autoSpaceDN w:val="0"/>
        <w:adjustRightInd w:val="0"/>
        <w:snapToGrid w:val="0"/>
        <w:spacing w:line="400" w:lineRule="exact"/>
        <w:jc w:val="left"/>
        <w:rPr>
          <w:rFonts w:ascii="宋体" w:hAnsi="宋体" w:eastAsia="宋体"/>
          <w:b/>
          <w:sz w:val="24"/>
        </w:rPr>
      </w:pPr>
      <w:r>
        <w:rPr>
          <w:rFonts w:hint="eastAsia" w:ascii="宋体" w:hAnsi="宋体" w:eastAsia="宋体"/>
          <w:b/>
          <w:sz w:val="24"/>
        </w:rPr>
        <w:t>22. 通知</w:t>
      </w:r>
    </w:p>
    <w:p w14:paraId="438C719E">
      <w:pPr>
        <w:autoSpaceDE w:val="0"/>
        <w:autoSpaceDN w:val="0"/>
        <w:adjustRightInd w:val="0"/>
        <w:spacing w:line="400" w:lineRule="exact"/>
        <w:ind w:firstLine="420" w:firstLineChars="200"/>
        <w:rPr>
          <w:rFonts w:ascii="宋体" w:hAnsi="宋体" w:eastAsia="宋体" w:cs="宋体"/>
          <w:szCs w:val="21"/>
        </w:rPr>
      </w:pPr>
      <w:r>
        <w:rPr>
          <w:rFonts w:hint="eastAsia" w:ascii="宋体" w:hAnsi="宋体" w:eastAsia="宋体" w:cs="宋体"/>
          <w:szCs w:val="21"/>
        </w:rPr>
        <w:t>22.1 本合同任何一方向对方发出的通知、信件、数据电文等，应当发送至本合同第一部分《政府采购合同协议书》所约定的通讯地址、联系人、联系电话或电子邮箱。</w:t>
      </w:r>
    </w:p>
    <w:p w14:paraId="468D410E">
      <w:pPr>
        <w:autoSpaceDE w:val="0"/>
        <w:autoSpaceDN w:val="0"/>
        <w:adjustRightInd w:val="0"/>
        <w:spacing w:line="400" w:lineRule="exact"/>
        <w:rPr>
          <w:rFonts w:ascii="华文楷体" w:hAnsi="华文楷体" w:eastAsia="华文楷体" w:cs="华文楷体"/>
          <w:szCs w:val="21"/>
        </w:rPr>
      </w:pPr>
      <w:r>
        <w:rPr>
          <w:rFonts w:hint="eastAsia" w:ascii="宋体" w:hAnsi="宋体" w:eastAsia="宋体" w:cs="宋体"/>
          <w:szCs w:val="21"/>
        </w:rPr>
        <w:t xml:space="preserve">    22.2 一方当事人变更名称、住所、联系人、联系电话或电子邮箱等信息的，应当在变更后3日内及时书面通知对方，对方实际收到变更通知前的送达仍为有效送达。</w:t>
      </w:r>
    </w:p>
    <w:p w14:paraId="1E06006C">
      <w:pPr>
        <w:adjustRightInd w:val="0"/>
        <w:snapToGrid w:val="0"/>
        <w:spacing w:line="400" w:lineRule="exact"/>
        <w:ind w:firstLine="420" w:firstLineChars="200"/>
        <w:jc w:val="left"/>
        <w:rPr>
          <w:rFonts w:ascii="宋体" w:hAnsi="宋体" w:eastAsia="宋体"/>
          <w:szCs w:val="21"/>
        </w:rPr>
      </w:pPr>
      <w:r>
        <w:rPr>
          <w:rFonts w:hint="eastAsia" w:ascii="宋体" w:hAnsi="宋体" w:eastAsia="宋体"/>
          <w:szCs w:val="21"/>
        </w:rPr>
        <w:t>22.3本合同一方给另一方的通知均应采用书面形式，传真或快递送到本合同中规定的对方的地址和办理签收手续。</w:t>
      </w:r>
    </w:p>
    <w:p w14:paraId="1A1A7D64">
      <w:pPr>
        <w:adjustRightInd w:val="0"/>
        <w:snapToGrid w:val="0"/>
        <w:spacing w:line="400" w:lineRule="exact"/>
        <w:ind w:firstLine="420" w:firstLineChars="200"/>
        <w:jc w:val="left"/>
        <w:rPr>
          <w:rFonts w:ascii="宋体" w:hAnsi="宋体" w:eastAsia="宋体"/>
          <w:szCs w:val="21"/>
        </w:rPr>
      </w:pPr>
      <w:r>
        <w:rPr>
          <w:rFonts w:hint="eastAsia" w:ascii="宋体" w:hAnsi="宋体" w:eastAsia="宋体"/>
          <w:szCs w:val="21"/>
        </w:rPr>
        <w:t>22.4通知以送达之日或通知书中规定的生效之日起生效，两者中以较迟之日为准。</w:t>
      </w:r>
    </w:p>
    <w:p w14:paraId="1D8F6120">
      <w:pPr>
        <w:numPr>
          <w:ilvl w:val="0"/>
          <w:numId w:val="11"/>
        </w:numPr>
        <w:adjustRightInd w:val="0"/>
        <w:snapToGrid w:val="0"/>
        <w:spacing w:line="400" w:lineRule="exact"/>
        <w:jc w:val="left"/>
        <w:rPr>
          <w:rFonts w:ascii="宋体" w:hAnsi="宋体" w:eastAsia="宋体"/>
          <w:b/>
          <w:bCs/>
          <w:sz w:val="24"/>
        </w:rPr>
      </w:pPr>
      <w:r>
        <w:rPr>
          <w:rFonts w:hint="eastAsia" w:ascii="宋体" w:hAnsi="宋体" w:eastAsia="宋体"/>
          <w:b/>
          <w:bCs/>
          <w:sz w:val="24"/>
        </w:rPr>
        <w:t>合同未尽事项</w:t>
      </w:r>
    </w:p>
    <w:p w14:paraId="174BD457">
      <w:pPr>
        <w:adjustRightInd w:val="0"/>
        <w:snapToGrid w:val="0"/>
        <w:spacing w:line="400" w:lineRule="exact"/>
        <w:ind w:firstLine="420" w:firstLineChars="200"/>
        <w:jc w:val="left"/>
        <w:rPr>
          <w:rFonts w:ascii="宋体" w:hAnsi="宋体" w:eastAsia="宋体"/>
          <w:bCs/>
          <w:szCs w:val="21"/>
        </w:rPr>
      </w:pPr>
      <w:r>
        <w:rPr>
          <w:rFonts w:hint="eastAsia" w:ascii="宋体" w:hAnsi="宋体" w:eastAsia="宋体"/>
          <w:bCs/>
          <w:szCs w:val="21"/>
        </w:rPr>
        <w:t>23.1合同未尽事项见</w:t>
      </w:r>
      <w:r>
        <w:rPr>
          <w:rFonts w:hint="eastAsia" w:ascii="宋体" w:hAnsi="宋体" w:eastAsia="宋体"/>
          <w:b/>
          <w:szCs w:val="21"/>
        </w:rPr>
        <w:t>【政府采购合同专用条款】</w:t>
      </w:r>
      <w:r>
        <w:rPr>
          <w:rFonts w:hint="eastAsia" w:ascii="宋体" w:hAnsi="宋体" w:eastAsia="宋体"/>
          <w:bCs/>
          <w:szCs w:val="21"/>
        </w:rPr>
        <w:t>。</w:t>
      </w:r>
    </w:p>
    <w:p w14:paraId="7976E6EB">
      <w:pPr>
        <w:adjustRightInd w:val="0"/>
        <w:snapToGrid w:val="0"/>
        <w:spacing w:line="400" w:lineRule="exact"/>
        <w:jc w:val="left"/>
        <w:rPr>
          <w:rFonts w:ascii="黑体" w:hAnsi="华文中宋" w:eastAsia="黑体"/>
          <w:sz w:val="28"/>
          <w:szCs w:val="28"/>
        </w:rPr>
      </w:pPr>
      <w:r>
        <w:rPr>
          <w:rFonts w:hint="eastAsia" w:ascii="宋体" w:hAnsi="宋体" w:eastAsia="宋体"/>
          <w:bCs/>
          <w:szCs w:val="21"/>
        </w:rPr>
        <w:t xml:space="preserve">    23.2 合同附件与合同正文具有同等的法律效力。</w:t>
      </w:r>
      <w:bookmarkStart w:id="48" w:name="_Toc20313"/>
    </w:p>
    <w:p w14:paraId="5D54733C">
      <w:pPr>
        <w:adjustRightInd w:val="0"/>
        <w:snapToGrid w:val="0"/>
        <w:jc w:val="center"/>
        <w:rPr>
          <w:rFonts w:ascii="黑体" w:hAnsi="华文中宋" w:eastAsia="黑体"/>
          <w:sz w:val="28"/>
          <w:szCs w:val="28"/>
        </w:rPr>
      </w:pPr>
      <w:r>
        <w:rPr>
          <w:rFonts w:hint="eastAsia" w:ascii="黑体" w:hAnsi="华文中宋" w:eastAsia="黑体"/>
          <w:sz w:val="28"/>
          <w:szCs w:val="28"/>
        </w:rPr>
        <w:br w:type="page"/>
      </w:r>
    </w:p>
    <w:p w14:paraId="397EA311">
      <w:pPr>
        <w:keepNext/>
        <w:keepLines/>
        <w:adjustRightInd w:val="0"/>
        <w:snapToGrid w:val="0"/>
        <w:spacing w:line="360" w:lineRule="auto"/>
        <w:jc w:val="center"/>
        <w:outlineLvl w:val="1"/>
        <w:rPr>
          <w:rFonts w:ascii="黑体" w:hAnsi="华文中宋" w:eastAsia="黑体" w:cs="Times New Roman"/>
          <w:sz w:val="28"/>
          <w:szCs w:val="28"/>
        </w:rPr>
      </w:pPr>
      <w:r>
        <w:rPr>
          <w:rFonts w:hint="eastAsia" w:ascii="黑体" w:hAnsi="华文中宋" w:eastAsia="黑体" w:cs="Times New Roman"/>
          <w:sz w:val="28"/>
          <w:szCs w:val="28"/>
        </w:rPr>
        <w:t>第三节 政府采购合同专用条款</w:t>
      </w:r>
      <w:bookmarkEnd w:id="48"/>
    </w:p>
    <w:tbl>
      <w:tblPr>
        <w:tblStyle w:val="16"/>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26C5A2D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99754C3">
            <w:pPr>
              <w:adjustRightInd w:val="0"/>
              <w:snapToGrid w:val="0"/>
              <w:jc w:val="center"/>
              <w:rPr>
                <w:rFonts w:ascii="宋体" w:hAnsi="宋体" w:eastAsia="宋体"/>
                <w:szCs w:val="21"/>
              </w:rPr>
            </w:pPr>
            <w:r>
              <w:rPr>
                <w:rFonts w:hint="eastAsia" w:ascii="宋体" w:hAnsi="宋体" w:eastAsia="宋体"/>
                <w:szCs w:val="21"/>
              </w:rPr>
              <w:t>第二节</w:t>
            </w:r>
          </w:p>
          <w:p w14:paraId="6F864585">
            <w:pPr>
              <w:adjustRightInd w:val="0"/>
              <w:snapToGrid w:val="0"/>
              <w:jc w:val="center"/>
              <w:rPr>
                <w:rFonts w:ascii="宋体" w:hAnsi="宋体" w:eastAsia="宋体"/>
                <w:szCs w:val="21"/>
              </w:rPr>
            </w:pPr>
            <w:r>
              <w:rPr>
                <w:rFonts w:hint="eastAsia" w:ascii="宋体" w:hAnsi="宋体" w:eastAsia="宋体"/>
                <w:szCs w:val="21"/>
              </w:rPr>
              <w:t>第1.2（6）项</w:t>
            </w:r>
          </w:p>
        </w:tc>
        <w:tc>
          <w:tcPr>
            <w:tcW w:w="1742" w:type="dxa"/>
            <w:vAlign w:val="center"/>
          </w:tcPr>
          <w:p w14:paraId="59D3BAB7">
            <w:pPr>
              <w:adjustRightInd w:val="0"/>
              <w:snapToGrid w:val="0"/>
              <w:jc w:val="left"/>
              <w:rPr>
                <w:rFonts w:ascii="宋体" w:hAnsi="宋体" w:eastAsia="宋体"/>
                <w:szCs w:val="21"/>
              </w:rPr>
            </w:pPr>
            <w:r>
              <w:rPr>
                <w:rFonts w:hint="eastAsia" w:ascii="宋体" w:hAnsi="宋体" w:eastAsia="宋体"/>
                <w:szCs w:val="21"/>
              </w:rPr>
              <w:t>联合体具体要求</w:t>
            </w:r>
          </w:p>
        </w:tc>
        <w:tc>
          <w:tcPr>
            <w:tcW w:w="5170" w:type="dxa"/>
            <w:vAlign w:val="center"/>
          </w:tcPr>
          <w:p w14:paraId="5D5DAB71">
            <w:pPr>
              <w:adjustRightInd w:val="0"/>
              <w:snapToGrid w:val="0"/>
              <w:jc w:val="left"/>
              <w:rPr>
                <w:rFonts w:ascii="宋体" w:hAnsi="宋体" w:eastAsia="宋体"/>
                <w:szCs w:val="21"/>
              </w:rPr>
            </w:pPr>
          </w:p>
        </w:tc>
      </w:tr>
      <w:tr w14:paraId="77908AB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14:paraId="14169E3C">
            <w:pPr>
              <w:adjustRightInd w:val="0"/>
              <w:snapToGrid w:val="0"/>
              <w:jc w:val="center"/>
              <w:rPr>
                <w:rFonts w:ascii="宋体" w:hAnsi="宋体" w:eastAsia="宋体"/>
                <w:szCs w:val="21"/>
              </w:rPr>
            </w:pPr>
            <w:r>
              <w:rPr>
                <w:rFonts w:hint="eastAsia" w:ascii="宋体" w:hAnsi="宋体" w:eastAsia="宋体"/>
                <w:szCs w:val="21"/>
              </w:rPr>
              <w:t>第二节</w:t>
            </w:r>
          </w:p>
          <w:p w14:paraId="33BE20A1">
            <w:pPr>
              <w:adjustRightInd w:val="0"/>
              <w:snapToGrid w:val="0"/>
              <w:jc w:val="center"/>
              <w:rPr>
                <w:rFonts w:ascii="宋体" w:hAnsi="宋体" w:eastAsia="宋体" w:cs="Times New Roman"/>
                <w:szCs w:val="21"/>
              </w:rPr>
            </w:pPr>
            <w:r>
              <w:rPr>
                <w:rFonts w:hint="eastAsia" w:ascii="宋体" w:hAnsi="宋体" w:eastAsia="宋体"/>
                <w:szCs w:val="21"/>
              </w:rPr>
              <w:t>第1.2（7）项</w:t>
            </w:r>
          </w:p>
        </w:tc>
        <w:tc>
          <w:tcPr>
            <w:tcW w:w="1742" w:type="dxa"/>
            <w:vAlign w:val="center"/>
          </w:tcPr>
          <w:p w14:paraId="4FC20216">
            <w:pPr>
              <w:adjustRightInd w:val="0"/>
              <w:snapToGrid w:val="0"/>
              <w:jc w:val="left"/>
              <w:rPr>
                <w:rFonts w:ascii="宋体" w:hAnsi="宋体" w:eastAsia="宋体" w:cs="Times New Roman"/>
                <w:szCs w:val="21"/>
              </w:rPr>
            </w:pPr>
            <w:r>
              <w:rPr>
                <w:rFonts w:hint="eastAsia" w:ascii="宋体" w:hAnsi="宋体" w:eastAsia="宋体"/>
                <w:szCs w:val="21"/>
              </w:rPr>
              <w:t>其他术语解释</w:t>
            </w:r>
          </w:p>
        </w:tc>
        <w:tc>
          <w:tcPr>
            <w:tcW w:w="5170" w:type="dxa"/>
            <w:vAlign w:val="center"/>
          </w:tcPr>
          <w:p w14:paraId="6562EB55">
            <w:pPr>
              <w:adjustRightInd w:val="0"/>
              <w:snapToGrid w:val="0"/>
              <w:jc w:val="left"/>
              <w:rPr>
                <w:rFonts w:ascii="宋体" w:hAnsi="宋体" w:eastAsia="宋体" w:cs="Times New Roman"/>
                <w:szCs w:val="21"/>
              </w:rPr>
            </w:pPr>
          </w:p>
        </w:tc>
      </w:tr>
      <w:tr w14:paraId="5506106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2ABE615">
            <w:pPr>
              <w:adjustRightInd w:val="0"/>
              <w:snapToGrid w:val="0"/>
              <w:jc w:val="center"/>
              <w:rPr>
                <w:rFonts w:ascii="宋体" w:hAnsi="宋体" w:eastAsia="宋体"/>
                <w:szCs w:val="21"/>
              </w:rPr>
            </w:pPr>
            <w:r>
              <w:rPr>
                <w:rFonts w:hint="eastAsia" w:ascii="宋体" w:hAnsi="宋体" w:eastAsia="宋体"/>
                <w:szCs w:val="21"/>
              </w:rPr>
              <w:t>第二节</w:t>
            </w:r>
          </w:p>
          <w:p w14:paraId="380ECD5E">
            <w:pPr>
              <w:adjustRightInd w:val="0"/>
              <w:snapToGrid w:val="0"/>
              <w:jc w:val="center"/>
              <w:rPr>
                <w:rFonts w:ascii="宋体" w:hAnsi="宋体" w:eastAsia="宋体"/>
                <w:szCs w:val="21"/>
              </w:rPr>
            </w:pPr>
            <w:r>
              <w:rPr>
                <w:rFonts w:hint="eastAsia" w:ascii="宋体" w:hAnsi="宋体" w:eastAsia="宋体"/>
                <w:szCs w:val="21"/>
              </w:rPr>
              <w:t>第4.4款</w:t>
            </w:r>
          </w:p>
        </w:tc>
        <w:tc>
          <w:tcPr>
            <w:tcW w:w="1742" w:type="dxa"/>
            <w:vAlign w:val="center"/>
          </w:tcPr>
          <w:p w14:paraId="4A466404">
            <w:pPr>
              <w:adjustRightInd w:val="0"/>
              <w:snapToGrid w:val="0"/>
              <w:jc w:val="left"/>
              <w:rPr>
                <w:rFonts w:ascii="宋体" w:hAnsi="宋体" w:eastAsia="宋体"/>
                <w:szCs w:val="21"/>
              </w:rPr>
            </w:pPr>
            <w:r>
              <w:rPr>
                <w:rFonts w:hint="eastAsia" w:ascii="宋体" w:hAnsi="宋体" w:eastAsia="宋体"/>
                <w:szCs w:val="21"/>
              </w:rPr>
              <w:t>履约验收中甲方提出异议或作出说明的期限</w:t>
            </w:r>
          </w:p>
        </w:tc>
        <w:tc>
          <w:tcPr>
            <w:tcW w:w="5170" w:type="dxa"/>
            <w:vAlign w:val="center"/>
          </w:tcPr>
          <w:p w14:paraId="0EA50069">
            <w:pPr>
              <w:adjustRightInd w:val="0"/>
              <w:snapToGrid w:val="0"/>
              <w:jc w:val="left"/>
              <w:rPr>
                <w:rFonts w:ascii="宋体" w:hAnsi="宋体" w:eastAsia="宋体" w:cs="Times New Roman"/>
                <w:szCs w:val="21"/>
              </w:rPr>
            </w:pPr>
          </w:p>
        </w:tc>
      </w:tr>
      <w:tr w14:paraId="06C1D5E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CD8167E">
            <w:pPr>
              <w:adjustRightInd w:val="0"/>
              <w:snapToGrid w:val="0"/>
              <w:jc w:val="center"/>
              <w:rPr>
                <w:rFonts w:ascii="宋体" w:hAnsi="宋体" w:eastAsia="宋体"/>
                <w:szCs w:val="21"/>
              </w:rPr>
            </w:pPr>
            <w:r>
              <w:rPr>
                <w:rFonts w:hint="eastAsia" w:ascii="宋体" w:hAnsi="宋体" w:eastAsia="宋体"/>
                <w:szCs w:val="21"/>
              </w:rPr>
              <w:t>第二节</w:t>
            </w:r>
          </w:p>
          <w:p w14:paraId="79E1C8AF">
            <w:pPr>
              <w:adjustRightInd w:val="0"/>
              <w:snapToGrid w:val="0"/>
              <w:jc w:val="center"/>
              <w:rPr>
                <w:rFonts w:ascii="宋体" w:hAnsi="宋体" w:eastAsia="宋体"/>
                <w:szCs w:val="21"/>
              </w:rPr>
            </w:pPr>
            <w:r>
              <w:rPr>
                <w:rFonts w:hint="eastAsia" w:ascii="宋体" w:hAnsi="宋体" w:eastAsia="宋体"/>
                <w:szCs w:val="21"/>
              </w:rPr>
              <w:t>第4.6款</w:t>
            </w:r>
          </w:p>
        </w:tc>
        <w:tc>
          <w:tcPr>
            <w:tcW w:w="1742" w:type="dxa"/>
            <w:vAlign w:val="center"/>
          </w:tcPr>
          <w:p w14:paraId="058939C5">
            <w:pPr>
              <w:adjustRightInd w:val="0"/>
              <w:snapToGrid w:val="0"/>
              <w:jc w:val="left"/>
              <w:rPr>
                <w:rFonts w:ascii="宋体" w:hAnsi="宋体" w:eastAsia="宋体"/>
                <w:szCs w:val="21"/>
              </w:rPr>
            </w:pPr>
            <w:r>
              <w:rPr>
                <w:rFonts w:hint="eastAsia" w:ascii="宋体" w:hAnsi="宋体" w:eastAsia="宋体"/>
                <w:szCs w:val="21"/>
              </w:rPr>
              <w:t>约定甲方承担的其他义务和责任</w:t>
            </w:r>
          </w:p>
        </w:tc>
        <w:tc>
          <w:tcPr>
            <w:tcW w:w="5170" w:type="dxa"/>
            <w:vAlign w:val="center"/>
          </w:tcPr>
          <w:p w14:paraId="60700FBE">
            <w:pPr>
              <w:adjustRightInd w:val="0"/>
              <w:snapToGrid w:val="0"/>
              <w:jc w:val="left"/>
              <w:rPr>
                <w:rFonts w:ascii="宋体" w:hAnsi="宋体" w:eastAsia="宋体" w:cs="Times New Roman"/>
                <w:szCs w:val="21"/>
              </w:rPr>
            </w:pPr>
          </w:p>
        </w:tc>
      </w:tr>
      <w:tr w14:paraId="078B380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489E245">
            <w:pPr>
              <w:adjustRightInd w:val="0"/>
              <w:snapToGrid w:val="0"/>
              <w:jc w:val="center"/>
              <w:rPr>
                <w:rFonts w:ascii="宋体" w:hAnsi="宋体" w:eastAsia="宋体"/>
                <w:szCs w:val="21"/>
              </w:rPr>
            </w:pPr>
            <w:r>
              <w:rPr>
                <w:rFonts w:hint="eastAsia" w:ascii="宋体" w:hAnsi="宋体" w:eastAsia="宋体"/>
                <w:szCs w:val="21"/>
              </w:rPr>
              <w:t>第二节</w:t>
            </w:r>
          </w:p>
          <w:p w14:paraId="68FF0675">
            <w:pPr>
              <w:snapToGrid w:val="0"/>
              <w:jc w:val="center"/>
              <w:rPr>
                <w:rFonts w:eastAsia="宋体"/>
              </w:rPr>
            </w:pPr>
            <w:r>
              <w:rPr>
                <w:rFonts w:hint="eastAsia" w:ascii="宋体" w:hAnsi="宋体" w:eastAsia="宋体"/>
                <w:szCs w:val="21"/>
              </w:rPr>
              <w:t>第5.4款</w:t>
            </w:r>
          </w:p>
        </w:tc>
        <w:tc>
          <w:tcPr>
            <w:tcW w:w="1742" w:type="dxa"/>
            <w:vAlign w:val="center"/>
          </w:tcPr>
          <w:p w14:paraId="328601E0">
            <w:pPr>
              <w:adjustRightInd w:val="0"/>
              <w:snapToGrid w:val="0"/>
              <w:jc w:val="left"/>
              <w:rPr>
                <w:rFonts w:ascii="宋体" w:hAnsi="宋体" w:eastAsia="宋体"/>
                <w:szCs w:val="21"/>
              </w:rPr>
            </w:pPr>
            <w:r>
              <w:rPr>
                <w:rFonts w:hint="eastAsia" w:ascii="宋体" w:hAnsi="宋体" w:eastAsia="宋体"/>
                <w:szCs w:val="21"/>
              </w:rPr>
              <w:t>约定乙方承担的其他义务和责任</w:t>
            </w:r>
          </w:p>
        </w:tc>
        <w:tc>
          <w:tcPr>
            <w:tcW w:w="5170" w:type="dxa"/>
            <w:vAlign w:val="center"/>
          </w:tcPr>
          <w:p w14:paraId="57628E70">
            <w:pPr>
              <w:adjustRightInd w:val="0"/>
              <w:snapToGrid w:val="0"/>
              <w:jc w:val="left"/>
              <w:rPr>
                <w:rFonts w:ascii="宋体" w:hAnsi="宋体" w:eastAsia="宋体" w:cs="Times New Roman"/>
                <w:szCs w:val="21"/>
              </w:rPr>
            </w:pPr>
          </w:p>
        </w:tc>
      </w:tr>
      <w:tr w14:paraId="2C628EF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6FCA8F7">
            <w:pPr>
              <w:adjustRightInd w:val="0"/>
              <w:snapToGrid w:val="0"/>
              <w:jc w:val="center"/>
              <w:rPr>
                <w:rFonts w:ascii="宋体" w:hAnsi="宋体" w:eastAsia="宋体"/>
                <w:szCs w:val="21"/>
              </w:rPr>
            </w:pPr>
            <w:r>
              <w:rPr>
                <w:rFonts w:hint="eastAsia" w:ascii="宋体" w:hAnsi="宋体" w:eastAsia="宋体"/>
                <w:szCs w:val="21"/>
              </w:rPr>
              <w:t>第二节</w:t>
            </w:r>
          </w:p>
          <w:p w14:paraId="12D0F4EA">
            <w:pPr>
              <w:snapToGrid w:val="0"/>
              <w:jc w:val="center"/>
              <w:rPr>
                <w:rFonts w:ascii="宋体" w:hAnsi="宋体" w:eastAsia="宋体"/>
                <w:szCs w:val="21"/>
              </w:rPr>
            </w:pPr>
            <w:r>
              <w:rPr>
                <w:rFonts w:hint="eastAsia" w:ascii="宋体" w:hAnsi="宋体" w:eastAsia="宋体"/>
                <w:szCs w:val="21"/>
              </w:rPr>
              <w:t>第6.1款</w:t>
            </w:r>
          </w:p>
        </w:tc>
        <w:tc>
          <w:tcPr>
            <w:tcW w:w="1742" w:type="dxa"/>
            <w:vAlign w:val="center"/>
          </w:tcPr>
          <w:p w14:paraId="17A41FCC">
            <w:pPr>
              <w:adjustRightInd w:val="0"/>
              <w:snapToGrid w:val="0"/>
              <w:jc w:val="left"/>
              <w:rPr>
                <w:rFonts w:ascii="宋体" w:hAnsi="宋体" w:eastAsia="宋体"/>
                <w:szCs w:val="21"/>
              </w:rPr>
            </w:pPr>
            <w:r>
              <w:rPr>
                <w:rFonts w:hint="eastAsia" w:ascii="宋体" w:hAnsi="宋体" w:eastAsia="宋体"/>
                <w:szCs w:val="21"/>
              </w:rPr>
              <w:t>履行合同义务的顺序</w:t>
            </w:r>
          </w:p>
        </w:tc>
        <w:tc>
          <w:tcPr>
            <w:tcW w:w="5170" w:type="dxa"/>
            <w:vAlign w:val="center"/>
          </w:tcPr>
          <w:p w14:paraId="2F543C6D">
            <w:pPr>
              <w:adjustRightInd w:val="0"/>
              <w:snapToGrid w:val="0"/>
              <w:jc w:val="left"/>
              <w:rPr>
                <w:rFonts w:ascii="宋体" w:hAnsi="宋体" w:eastAsia="宋体" w:cs="Times New Roman"/>
                <w:szCs w:val="21"/>
              </w:rPr>
            </w:pPr>
          </w:p>
        </w:tc>
      </w:tr>
      <w:tr w14:paraId="7D46932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vAlign w:val="center"/>
          </w:tcPr>
          <w:p w14:paraId="4CF91E1B">
            <w:pPr>
              <w:adjustRightInd w:val="0"/>
              <w:snapToGrid w:val="0"/>
              <w:jc w:val="center"/>
              <w:rPr>
                <w:rFonts w:ascii="宋体" w:hAnsi="宋体" w:eastAsia="宋体"/>
                <w:szCs w:val="21"/>
              </w:rPr>
            </w:pPr>
            <w:r>
              <w:rPr>
                <w:rFonts w:hint="eastAsia" w:ascii="宋体" w:hAnsi="宋体" w:eastAsia="宋体"/>
                <w:szCs w:val="21"/>
              </w:rPr>
              <w:t>第二节</w:t>
            </w:r>
          </w:p>
          <w:p w14:paraId="71699C8C">
            <w:pPr>
              <w:adjustRightInd w:val="0"/>
              <w:snapToGrid w:val="0"/>
              <w:jc w:val="center"/>
              <w:rPr>
                <w:rFonts w:ascii="宋体" w:hAnsi="宋体" w:eastAsia="宋体"/>
                <w:szCs w:val="21"/>
              </w:rPr>
            </w:pPr>
            <w:r>
              <w:rPr>
                <w:rFonts w:hint="eastAsia" w:ascii="宋体" w:hAnsi="宋体" w:eastAsia="宋体"/>
                <w:szCs w:val="21"/>
              </w:rPr>
              <w:t>第7.1款</w:t>
            </w:r>
          </w:p>
        </w:tc>
        <w:tc>
          <w:tcPr>
            <w:tcW w:w="1742" w:type="dxa"/>
            <w:vAlign w:val="center"/>
          </w:tcPr>
          <w:p w14:paraId="60A845A6">
            <w:pPr>
              <w:adjustRightInd w:val="0"/>
              <w:snapToGrid w:val="0"/>
              <w:jc w:val="left"/>
              <w:rPr>
                <w:rFonts w:ascii="宋体" w:hAnsi="宋体" w:eastAsia="宋体"/>
                <w:szCs w:val="21"/>
              </w:rPr>
            </w:pPr>
            <w:r>
              <w:rPr>
                <w:rFonts w:hint="eastAsia" w:ascii="宋体" w:hAnsi="宋体" w:eastAsia="宋体"/>
                <w:szCs w:val="21"/>
              </w:rPr>
              <w:t>包装特殊要求</w:t>
            </w:r>
          </w:p>
        </w:tc>
        <w:tc>
          <w:tcPr>
            <w:tcW w:w="5170" w:type="dxa"/>
            <w:vAlign w:val="center"/>
          </w:tcPr>
          <w:p w14:paraId="0BB95CAF">
            <w:pPr>
              <w:rPr>
                <w:rFonts w:eastAsia="宋体"/>
              </w:rPr>
            </w:pPr>
          </w:p>
        </w:tc>
      </w:tr>
      <w:tr w14:paraId="3B33782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vAlign w:val="center"/>
          </w:tcPr>
          <w:p w14:paraId="66F2BC5F">
            <w:pPr>
              <w:adjustRightInd w:val="0"/>
              <w:snapToGrid w:val="0"/>
              <w:jc w:val="center"/>
              <w:rPr>
                <w:rFonts w:ascii="宋体" w:hAnsi="宋体" w:eastAsia="宋体"/>
                <w:szCs w:val="21"/>
              </w:rPr>
            </w:pPr>
          </w:p>
        </w:tc>
        <w:tc>
          <w:tcPr>
            <w:tcW w:w="1742" w:type="dxa"/>
            <w:vAlign w:val="center"/>
          </w:tcPr>
          <w:p w14:paraId="4E8396BE">
            <w:pPr>
              <w:adjustRightInd w:val="0"/>
              <w:snapToGrid w:val="0"/>
              <w:jc w:val="left"/>
              <w:rPr>
                <w:rFonts w:ascii="宋体" w:hAnsi="宋体" w:eastAsia="宋体"/>
                <w:szCs w:val="21"/>
              </w:rPr>
            </w:pPr>
            <w:r>
              <w:rPr>
                <w:rFonts w:hint="eastAsia" w:ascii="宋体" w:hAnsi="宋体" w:eastAsia="宋体"/>
                <w:szCs w:val="21"/>
              </w:rPr>
              <w:t>指定现场</w:t>
            </w:r>
          </w:p>
        </w:tc>
        <w:tc>
          <w:tcPr>
            <w:tcW w:w="5170" w:type="dxa"/>
            <w:vAlign w:val="center"/>
          </w:tcPr>
          <w:p w14:paraId="40637409">
            <w:pPr>
              <w:rPr>
                <w:rFonts w:eastAsia="宋体"/>
              </w:rPr>
            </w:pPr>
          </w:p>
        </w:tc>
      </w:tr>
      <w:tr w14:paraId="2844966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vAlign w:val="center"/>
          </w:tcPr>
          <w:p w14:paraId="1B4B6C53">
            <w:pPr>
              <w:adjustRightInd w:val="0"/>
              <w:snapToGrid w:val="0"/>
              <w:jc w:val="center"/>
              <w:rPr>
                <w:rFonts w:ascii="宋体" w:hAnsi="宋体" w:eastAsia="宋体"/>
                <w:szCs w:val="21"/>
              </w:rPr>
            </w:pPr>
            <w:r>
              <w:rPr>
                <w:rFonts w:hint="eastAsia" w:ascii="宋体" w:hAnsi="宋体" w:eastAsia="宋体"/>
                <w:szCs w:val="21"/>
              </w:rPr>
              <w:t>第二节</w:t>
            </w:r>
          </w:p>
          <w:p w14:paraId="249BE641">
            <w:pPr>
              <w:adjustRightInd w:val="0"/>
              <w:snapToGrid w:val="0"/>
              <w:jc w:val="center"/>
              <w:rPr>
                <w:rFonts w:ascii="宋体" w:hAnsi="宋体" w:eastAsia="宋体"/>
                <w:szCs w:val="21"/>
              </w:rPr>
            </w:pPr>
            <w:r>
              <w:rPr>
                <w:rFonts w:hint="eastAsia" w:ascii="宋体" w:hAnsi="宋体" w:eastAsia="宋体"/>
                <w:szCs w:val="21"/>
              </w:rPr>
              <w:t>第7.2款</w:t>
            </w:r>
          </w:p>
        </w:tc>
        <w:tc>
          <w:tcPr>
            <w:tcW w:w="1742" w:type="dxa"/>
            <w:vAlign w:val="center"/>
          </w:tcPr>
          <w:p w14:paraId="32E12477">
            <w:pPr>
              <w:adjustRightInd w:val="0"/>
              <w:snapToGrid w:val="0"/>
              <w:jc w:val="left"/>
              <w:rPr>
                <w:rFonts w:ascii="宋体" w:hAnsi="宋体" w:eastAsia="宋体"/>
                <w:szCs w:val="21"/>
              </w:rPr>
            </w:pPr>
            <w:r>
              <w:rPr>
                <w:rFonts w:hint="eastAsia" w:ascii="宋体" w:hAnsi="宋体" w:eastAsia="宋体"/>
                <w:szCs w:val="21"/>
              </w:rPr>
              <w:t>运输特殊要求</w:t>
            </w:r>
          </w:p>
        </w:tc>
        <w:tc>
          <w:tcPr>
            <w:tcW w:w="5170" w:type="dxa"/>
            <w:vAlign w:val="center"/>
          </w:tcPr>
          <w:p w14:paraId="75CA6AB5">
            <w:pPr>
              <w:rPr>
                <w:rFonts w:eastAsia="宋体"/>
              </w:rPr>
            </w:pPr>
          </w:p>
        </w:tc>
      </w:tr>
      <w:tr w14:paraId="5E2D977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14:paraId="6D392EDD">
            <w:pPr>
              <w:adjustRightInd w:val="0"/>
              <w:snapToGrid w:val="0"/>
              <w:jc w:val="center"/>
              <w:rPr>
                <w:rFonts w:ascii="宋体" w:hAnsi="宋体" w:eastAsia="宋体"/>
                <w:szCs w:val="21"/>
              </w:rPr>
            </w:pPr>
            <w:r>
              <w:rPr>
                <w:rFonts w:hint="eastAsia" w:ascii="宋体" w:hAnsi="宋体" w:eastAsia="宋体"/>
                <w:szCs w:val="21"/>
              </w:rPr>
              <w:t>第二节</w:t>
            </w:r>
          </w:p>
          <w:p w14:paraId="0B0517F6">
            <w:pPr>
              <w:adjustRightInd w:val="0"/>
              <w:snapToGrid w:val="0"/>
              <w:jc w:val="center"/>
              <w:rPr>
                <w:rFonts w:ascii="宋体" w:hAnsi="宋体" w:eastAsia="宋体"/>
                <w:szCs w:val="21"/>
              </w:rPr>
            </w:pPr>
            <w:r>
              <w:rPr>
                <w:rFonts w:hint="eastAsia" w:ascii="宋体" w:hAnsi="宋体" w:eastAsia="宋体"/>
                <w:szCs w:val="21"/>
              </w:rPr>
              <w:t>第7.3款</w:t>
            </w:r>
          </w:p>
        </w:tc>
        <w:tc>
          <w:tcPr>
            <w:tcW w:w="1742" w:type="dxa"/>
            <w:vAlign w:val="center"/>
          </w:tcPr>
          <w:p w14:paraId="0742D5D1">
            <w:pPr>
              <w:adjustRightInd w:val="0"/>
              <w:snapToGrid w:val="0"/>
              <w:jc w:val="left"/>
              <w:rPr>
                <w:rFonts w:ascii="宋体" w:hAnsi="宋体" w:eastAsia="宋体"/>
                <w:szCs w:val="21"/>
              </w:rPr>
            </w:pPr>
            <w:r>
              <w:rPr>
                <w:rFonts w:hint="eastAsia" w:ascii="宋体" w:hAnsi="宋体" w:eastAsia="宋体"/>
                <w:szCs w:val="21"/>
              </w:rPr>
              <w:t>保险要求</w:t>
            </w:r>
          </w:p>
        </w:tc>
        <w:tc>
          <w:tcPr>
            <w:tcW w:w="5170" w:type="dxa"/>
            <w:vAlign w:val="center"/>
          </w:tcPr>
          <w:p w14:paraId="43E2E3D1">
            <w:pPr>
              <w:rPr>
                <w:rFonts w:eastAsia="宋体"/>
              </w:rPr>
            </w:pPr>
          </w:p>
        </w:tc>
      </w:tr>
      <w:tr w14:paraId="3070092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B9CC3CB">
            <w:pPr>
              <w:adjustRightInd w:val="0"/>
              <w:snapToGrid w:val="0"/>
              <w:jc w:val="center"/>
              <w:rPr>
                <w:rFonts w:ascii="宋体" w:hAnsi="宋体" w:eastAsia="宋体"/>
                <w:szCs w:val="21"/>
              </w:rPr>
            </w:pPr>
            <w:r>
              <w:rPr>
                <w:rFonts w:hint="eastAsia" w:ascii="宋体" w:hAnsi="宋体" w:eastAsia="宋体"/>
                <w:szCs w:val="21"/>
              </w:rPr>
              <w:t>第二节</w:t>
            </w:r>
          </w:p>
          <w:p w14:paraId="28AC4179">
            <w:pPr>
              <w:adjustRightInd w:val="0"/>
              <w:snapToGrid w:val="0"/>
              <w:jc w:val="center"/>
              <w:rPr>
                <w:rFonts w:ascii="宋体" w:hAnsi="宋体" w:eastAsia="宋体"/>
                <w:szCs w:val="21"/>
              </w:rPr>
            </w:pPr>
            <w:r>
              <w:rPr>
                <w:rFonts w:hint="eastAsia" w:ascii="宋体" w:hAnsi="宋体" w:eastAsia="宋体"/>
                <w:szCs w:val="21"/>
              </w:rPr>
              <w:t>第8.2（1）项</w:t>
            </w:r>
          </w:p>
        </w:tc>
        <w:tc>
          <w:tcPr>
            <w:tcW w:w="1742" w:type="dxa"/>
            <w:vAlign w:val="center"/>
          </w:tcPr>
          <w:p w14:paraId="0D0C10A4">
            <w:pPr>
              <w:adjustRightInd w:val="0"/>
              <w:snapToGrid w:val="0"/>
              <w:jc w:val="left"/>
              <w:rPr>
                <w:rFonts w:ascii="宋体" w:hAnsi="宋体" w:eastAsia="宋体"/>
                <w:szCs w:val="21"/>
              </w:rPr>
            </w:pPr>
            <w:r>
              <w:rPr>
                <w:rFonts w:hint="eastAsia" w:ascii="宋体" w:hAnsi="宋体" w:eastAsia="宋体"/>
                <w:szCs w:val="21"/>
              </w:rPr>
              <w:t>质量保证期</w:t>
            </w:r>
          </w:p>
        </w:tc>
        <w:tc>
          <w:tcPr>
            <w:tcW w:w="5170" w:type="dxa"/>
            <w:vAlign w:val="center"/>
          </w:tcPr>
          <w:p w14:paraId="1060E8BC">
            <w:pPr>
              <w:autoSpaceDE w:val="0"/>
              <w:autoSpaceDN w:val="0"/>
              <w:adjustRightInd w:val="0"/>
              <w:snapToGrid w:val="0"/>
              <w:ind w:firstLine="420" w:firstLineChars="200"/>
              <w:jc w:val="left"/>
              <w:rPr>
                <w:rFonts w:ascii="宋体" w:hAnsi="宋体" w:eastAsia="宋体"/>
                <w:szCs w:val="21"/>
              </w:rPr>
            </w:pPr>
          </w:p>
        </w:tc>
      </w:tr>
      <w:tr w14:paraId="6AB80E2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D892C0B">
            <w:pPr>
              <w:adjustRightInd w:val="0"/>
              <w:snapToGrid w:val="0"/>
              <w:jc w:val="center"/>
              <w:rPr>
                <w:rFonts w:ascii="宋体" w:hAnsi="宋体" w:eastAsia="宋体"/>
                <w:szCs w:val="21"/>
              </w:rPr>
            </w:pPr>
            <w:r>
              <w:rPr>
                <w:rFonts w:hint="eastAsia" w:ascii="宋体" w:hAnsi="宋体" w:eastAsia="宋体"/>
                <w:szCs w:val="21"/>
              </w:rPr>
              <w:t>第二节</w:t>
            </w:r>
          </w:p>
          <w:p w14:paraId="4832CD7D">
            <w:pPr>
              <w:adjustRightInd w:val="0"/>
              <w:snapToGrid w:val="0"/>
              <w:jc w:val="center"/>
              <w:rPr>
                <w:rFonts w:ascii="宋体" w:hAnsi="宋体" w:eastAsia="宋体"/>
                <w:szCs w:val="21"/>
              </w:rPr>
            </w:pPr>
            <w:r>
              <w:rPr>
                <w:rFonts w:hint="eastAsia" w:ascii="宋体" w:hAnsi="宋体" w:eastAsia="宋体"/>
                <w:szCs w:val="21"/>
              </w:rPr>
              <w:t>第8.2（3）项</w:t>
            </w:r>
          </w:p>
        </w:tc>
        <w:tc>
          <w:tcPr>
            <w:tcW w:w="1742" w:type="dxa"/>
            <w:vAlign w:val="center"/>
          </w:tcPr>
          <w:p w14:paraId="47612F6A">
            <w:pPr>
              <w:adjustRightInd w:val="0"/>
              <w:snapToGrid w:val="0"/>
              <w:jc w:val="left"/>
              <w:rPr>
                <w:rFonts w:ascii="宋体" w:hAnsi="宋体" w:eastAsia="宋体"/>
                <w:szCs w:val="21"/>
              </w:rPr>
            </w:pPr>
            <w:r>
              <w:rPr>
                <w:rFonts w:hint="eastAsia" w:ascii="宋体" w:hAnsi="宋体" w:eastAsia="宋体"/>
                <w:szCs w:val="21"/>
              </w:rPr>
              <w:t>货物质量缺陷</w:t>
            </w:r>
          </w:p>
          <w:p w14:paraId="1B9B3C78">
            <w:pPr>
              <w:adjustRightInd w:val="0"/>
              <w:snapToGrid w:val="0"/>
              <w:jc w:val="left"/>
              <w:rPr>
                <w:rFonts w:ascii="宋体" w:hAnsi="宋体" w:eastAsia="宋体"/>
                <w:szCs w:val="21"/>
              </w:rPr>
            </w:pPr>
            <w:r>
              <w:rPr>
                <w:rFonts w:hint="eastAsia" w:ascii="宋体" w:hAnsi="宋体" w:eastAsia="宋体"/>
                <w:szCs w:val="21"/>
              </w:rPr>
              <w:t>响应时间</w:t>
            </w:r>
          </w:p>
        </w:tc>
        <w:tc>
          <w:tcPr>
            <w:tcW w:w="5170" w:type="dxa"/>
            <w:vAlign w:val="center"/>
          </w:tcPr>
          <w:p w14:paraId="499D5775">
            <w:pPr>
              <w:adjustRightInd w:val="0"/>
              <w:snapToGrid w:val="0"/>
              <w:jc w:val="left"/>
              <w:rPr>
                <w:rFonts w:ascii="宋体" w:hAnsi="宋体" w:eastAsia="宋体"/>
                <w:szCs w:val="21"/>
              </w:rPr>
            </w:pPr>
          </w:p>
        </w:tc>
      </w:tr>
      <w:tr w14:paraId="007DC51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E11DED0">
            <w:pPr>
              <w:snapToGrid w:val="0"/>
              <w:jc w:val="center"/>
              <w:rPr>
                <w:rFonts w:ascii="宋体" w:hAnsi="宋体" w:eastAsia="宋体" w:cs="宋体"/>
                <w:szCs w:val="21"/>
              </w:rPr>
            </w:pPr>
            <w:r>
              <w:rPr>
                <w:rFonts w:hint="eastAsia" w:ascii="宋体" w:hAnsi="宋体" w:eastAsia="宋体" w:cs="宋体"/>
                <w:szCs w:val="21"/>
              </w:rPr>
              <w:t>第二节</w:t>
            </w:r>
          </w:p>
          <w:p w14:paraId="6EFEC5CB">
            <w:pPr>
              <w:autoSpaceDE w:val="0"/>
              <w:autoSpaceDN w:val="0"/>
              <w:adjustRightInd w:val="0"/>
              <w:spacing w:line="400" w:lineRule="exact"/>
              <w:jc w:val="center"/>
              <w:rPr>
                <w:rFonts w:ascii="华文楷体" w:hAnsi="华文楷体" w:eastAsia="华文楷体" w:cs="华文楷体"/>
                <w:sz w:val="22"/>
                <w:szCs w:val="21"/>
              </w:rPr>
            </w:pPr>
            <w:r>
              <w:rPr>
                <w:rFonts w:hint="eastAsia" w:ascii="宋体" w:hAnsi="宋体" w:eastAsia="宋体" w:cs="宋体"/>
                <w:sz w:val="22"/>
                <w:szCs w:val="21"/>
              </w:rPr>
              <w:t>第11.1款</w:t>
            </w:r>
          </w:p>
        </w:tc>
        <w:tc>
          <w:tcPr>
            <w:tcW w:w="1742" w:type="dxa"/>
            <w:vAlign w:val="center"/>
          </w:tcPr>
          <w:p w14:paraId="6728E784">
            <w:pPr>
              <w:adjustRightInd w:val="0"/>
              <w:snapToGrid w:val="0"/>
              <w:rPr>
                <w:rFonts w:ascii="宋体" w:hAnsi="宋体" w:eastAsia="宋体"/>
                <w:szCs w:val="21"/>
              </w:rPr>
            </w:pPr>
            <w:r>
              <w:rPr>
                <w:rFonts w:hint="eastAsia" w:ascii="宋体" w:hAnsi="宋体" w:eastAsia="宋体"/>
                <w:szCs w:val="21"/>
              </w:rPr>
              <w:t>其他应当保密的信息</w:t>
            </w:r>
          </w:p>
        </w:tc>
        <w:tc>
          <w:tcPr>
            <w:tcW w:w="5170" w:type="dxa"/>
            <w:vAlign w:val="center"/>
          </w:tcPr>
          <w:p w14:paraId="53DB957F">
            <w:pPr>
              <w:adjustRightInd w:val="0"/>
              <w:snapToGrid w:val="0"/>
              <w:jc w:val="left"/>
              <w:rPr>
                <w:rFonts w:ascii="宋体" w:hAnsi="宋体" w:eastAsia="宋体"/>
                <w:szCs w:val="21"/>
              </w:rPr>
            </w:pPr>
          </w:p>
        </w:tc>
      </w:tr>
      <w:tr w14:paraId="5B1BA6E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4FC565AF">
            <w:pPr>
              <w:adjustRightInd w:val="0"/>
              <w:snapToGrid w:val="0"/>
              <w:jc w:val="center"/>
              <w:rPr>
                <w:rFonts w:ascii="宋体" w:hAnsi="宋体" w:eastAsia="宋体"/>
                <w:szCs w:val="21"/>
              </w:rPr>
            </w:pPr>
            <w:r>
              <w:rPr>
                <w:rFonts w:hint="eastAsia" w:ascii="宋体" w:hAnsi="宋体" w:eastAsia="宋体"/>
                <w:szCs w:val="21"/>
              </w:rPr>
              <w:t>第二节</w:t>
            </w:r>
          </w:p>
          <w:p w14:paraId="3B12938C">
            <w:pPr>
              <w:adjustRightInd w:val="0"/>
              <w:snapToGrid w:val="0"/>
              <w:jc w:val="center"/>
              <w:rPr>
                <w:rFonts w:ascii="宋体" w:hAnsi="宋体" w:eastAsia="宋体"/>
                <w:szCs w:val="21"/>
              </w:rPr>
            </w:pPr>
            <w:r>
              <w:rPr>
                <w:rFonts w:hint="eastAsia" w:ascii="宋体" w:hAnsi="宋体" w:eastAsia="宋体"/>
                <w:szCs w:val="21"/>
              </w:rPr>
              <w:t>第12.2款</w:t>
            </w:r>
          </w:p>
        </w:tc>
        <w:tc>
          <w:tcPr>
            <w:tcW w:w="1742" w:type="dxa"/>
            <w:vAlign w:val="center"/>
          </w:tcPr>
          <w:p w14:paraId="5387901B">
            <w:pPr>
              <w:adjustRightInd w:val="0"/>
              <w:snapToGrid w:val="0"/>
              <w:jc w:val="left"/>
              <w:rPr>
                <w:rFonts w:ascii="宋体" w:hAnsi="宋体" w:eastAsia="宋体"/>
                <w:szCs w:val="21"/>
              </w:rPr>
            </w:pPr>
            <w:r>
              <w:rPr>
                <w:rFonts w:hint="eastAsia" w:ascii="宋体" w:hAnsi="宋体" w:eastAsia="宋体"/>
                <w:szCs w:val="21"/>
              </w:rPr>
              <w:t>合同价款支付时间</w:t>
            </w:r>
          </w:p>
        </w:tc>
        <w:tc>
          <w:tcPr>
            <w:tcW w:w="5170" w:type="dxa"/>
            <w:vAlign w:val="center"/>
          </w:tcPr>
          <w:p w14:paraId="6C7FA70B">
            <w:pPr>
              <w:adjustRightInd w:val="0"/>
              <w:snapToGrid w:val="0"/>
              <w:jc w:val="left"/>
              <w:rPr>
                <w:rFonts w:ascii="宋体" w:hAnsi="宋体" w:eastAsia="宋体"/>
                <w:szCs w:val="21"/>
              </w:rPr>
            </w:pPr>
          </w:p>
        </w:tc>
      </w:tr>
      <w:tr w14:paraId="42C33A2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7B72BFC5">
            <w:pPr>
              <w:adjustRightInd w:val="0"/>
              <w:snapToGrid w:val="0"/>
              <w:jc w:val="center"/>
              <w:rPr>
                <w:rFonts w:ascii="宋体" w:hAnsi="宋体" w:eastAsia="宋体"/>
                <w:szCs w:val="21"/>
              </w:rPr>
            </w:pPr>
            <w:r>
              <w:rPr>
                <w:rFonts w:hint="eastAsia" w:ascii="宋体" w:hAnsi="宋体" w:eastAsia="宋体"/>
                <w:szCs w:val="21"/>
              </w:rPr>
              <w:t>第二节</w:t>
            </w:r>
          </w:p>
          <w:p w14:paraId="5491B56B">
            <w:pPr>
              <w:adjustRightInd w:val="0"/>
              <w:snapToGrid w:val="0"/>
              <w:jc w:val="center"/>
              <w:rPr>
                <w:rFonts w:ascii="宋体" w:hAnsi="宋体" w:eastAsia="宋体"/>
                <w:szCs w:val="21"/>
              </w:rPr>
            </w:pPr>
            <w:r>
              <w:rPr>
                <w:rFonts w:hint="eastAsia" w:ascii="宋体" w:hAnsi="宋体" w:eastAsia="宋体"/>
                <w:szCs w:val="21"/>
              </w:rPr>
              <w:t>第13.2款</w:t>
            </w:r>
          </w:p>
        </w:tc>
        <w:tc>
          <w:tcPr>
            <w:tcW w:w="1742" w:type="dxa"/>
            <w:vAlign w:val="center"/>
          </w:tcPr>
          <w:p w14:paraId="46455282">
            <w:pPr>
              <w:adjustRightInd w:val="0"/>
              <w:snapToGrid w:val="0"/>
              <w:jc w:val="left"/>
              <w:rPr>
                <w:rFonts w:ascii="宋体" w:hAnsi="宋体" w:eastAsia="宋体"/>
                <w:szCs w:val="21"/>
              </w:rPr>
            </w:pPr>
            <w:r>
              <w:rPr>
                <w:rFonts w:hint="eastAsia" w:ascii="宋体" w:hAnsi="宋体" w:eastAsia="宋体"/>
                <w:szCs w:val="21"/>
              </w:rPr>
              <w:t>履约保证金不予退还的情形</w:t>
            </w:r>
          </w:p>
        </w:tc>
        <w:tc>
          <w:tcPr>
            <w:tcW w:w="5170" w:type="dxa"/>
            <w:vAlign w:val="center"/>
          </w:tcPr>
          <w:p w14:paraId="4B628D5F">
            <w:pPr>
              <w:adjustRightInd w:val="0"/>
              <w:snapToGrid w:val="0"/>
              <w:jc w:val="left"/>
              <w:rPr>
                <w:rFonts w:ascii="宋体" w:hAnsi="宋体" w:eastAsia="宋体"/>
                <w:szCs w:val="21"/>
              </w:rPr>
            </w:pPr>
          </w:p>
        </w:tc>
      </w:tr>
      <w:tr w14:paraId="2DBC009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F0BAA09">
            <w:pPr>
              <w:adjustRightInd w:val="0"/>
              <w:snapToGrid w:val="0"/>
              <w:jc w:val="center"/>
              <w:rPr>
                <w:rFonts w:ascii="宋体" w:hAnsi="宋体" w:eastAsia="宋体"/>
                <w:szCs w:val="21"/>
              </w:rPr>
            </w:pPr>
            <w:r>
              <w:rPr>
                <w:rFonts w:hint="eastAsia" w:ascii="宋体" w:hAnsi="宋体" w:eastAsia="宋体"/>
                <w:szCs w:val="21"/>
              </w:rPr>
              <w:t>第二节</w:t>
            </w:r>
          </w:p>
          <w:p w14:paraId="030D565E">
            <w:pPr>
              <w:adjustRightInd w:val="0"/>
              <w:snapToGrid w:val="0"/>
              <w:jc w:val="center"/>
              <w:rPr>
                <w:rFonts w:ascii="宋体" w:hAnsi="宋体" w:eastAsia="宋体"/>
                <w:szCs w:val="21"/>
              </w:rPr>
            </w:pPr>
            <w:r>
              <w:rPr>
                <w:rFonts w:hint="eastAsia" w:ascii="宋体" w:hAnsi="宋体" w:eastAsia="宋体"/>
                <w:szCs w:val="21"/>
              </w:rPr>
              <w:t>第13.3款</w:t>
            </w:r>
          </w:p>
        </w:tc>
        <w:tc>
          <w:tcPr>
            <w:tcW w:w="1742" w:type="dxa"/>
            <w:vAlign w:val="center"/>
          </w:tcPr>
          <w:p w14:paraId="654E21E9">
            <w:pPr>
              <w:adjustRightInd w:val="0"/>
              <w:snapToGrid w:val="0"/>
              <w:jc w:val="left"/>
              <w:rPr>
                <w:rFonts w:ascii="宋体" w:hAnsi="宋体" w:eastAsia="宋体"/>
                <w:szCs w:val="21"/>
              </w:rPr>
            </w:pPr>
            <w:r>
              <w:rPr>
                <w:rFonts w:hint="eastAsia" w:ascii="宋体" w:hAnsi="宋体" w:eastAsia="宋体"/>
                <w:szCs w:val="21"/>
              </w:rPr>
              <w:t>履约保证金退还时间及逾期退还的违约金</w:t>
            </w:r>
          </w:p>
        </w:tc>
        <w:tc>
          <w:tcPr>
            <w:tcW w:w="5170" w:type="dxa"/>
            <w:vAlign w:val="center"/>
          </w:tcPr>
          <w:p w14:paraId="3BF0BF45">
            <w:pPr>
              <w:adjustRightInd w:val="0"/>
              <w:snapToGrid w:val="0"/>
              <w:jc w:val="left"/>
              <w:rPr>
                <w:rFonts w:ascii="宋体" w:hAnsi="宋体" w:eastAsia="宋体"/>
                <w:szCs w:val="21"/>
              </w:rPr>
            </w:pPr>
          </w:p>
        </w:tc>
      </w:tr>
      <w:tr w14:paraId="34893E3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5128259E">
            <w:pPr>
              <w:adjustRightInd w:val="0"/>
              <w:snapToGrid w:val="0"/>
              <w:jc w:val="center"/>
              <w:rPr>
                <w:rFonts w:ascii="宋体" w:hAnsi="宋体" w:eastAsia="宋体"/>
                <w:szCs w:val="21"/>
              </w:rPr>
            </w:pPr>
            <w:r>
              <w:rPr>
                <w:rFonts w:hint="eastAsia" w:ascii="宋体" w:hAnsi="宋体" w:eastAsia="宋体"/>
                <w:szCs w:val="21"/>
              </w:rPr>
              <w:t>第二节</w:t>
            </w:r>
          </w:p>
          <w:p w14:paraId="33D96015">
            <w:pPr>
              <w:adjustRightInd w:val="0"/>
              <w:snapToGrid w:val="0"/>
              <w:jc w:val="center"/>
              <w:rPr>
                <w:rFonts w:ascii="宋体" w:hAnsi="宋体" w:eastAsia="宋体"/>
                <w:szCs w:val="21"/>
              </w:rPr>
            </w:pPr>
            <w:r>
              <w:rPr>
                <w:rFonts w:hint="eastAsia" w:ascii="宋体" w:hAnsi="宋体" w:eastAsia="宋体"/>
                <w:szCs w:val="21"/>
              </w:rPr>
              <w:t>第14.1（3）项</w:t>
            </w:r>
          </w:p>
        </w:tc>
        <w:tc>
          <w:tcPr>
            <w:tcW w:w="1742" w:type="dxa"/>
            <w:vAlign w:val="center"/>
          </w:tcPr>
          <w:p w14:paraId="64CADCE5">
            <w:pPr>
              <w:adjustRightInd w:val="0"/>
              <w:snapToGrid w:val="0"/>
              <w:jc w:val="left"/>
              <w:rPr>
                <w:rFonts w:ascii="宋体" w:hAnsi="宋体" w:eastAsia="宋体"/>
                <w:szCs w:val="21"/>
              </w:rPr>
            </w:pPr>
            <w:r>
              <w:rPr>
                <w:rFonts w:hint="eastAsia" w:ascii="宋体" w:hAnsi="宋体" w:eastAsia="宋体"/>
                <w:szCs w:val="21"/>
              </w:rPr>
              <w:t>运行监督、维修期限</w:t>
            </w:r>
          </w:p>
        </w:tc>
        <w:tc>
          <w:tcPr>
            <w:tcW w:w="5170" w:type="dxa"/>
            <w:vAlign w:val="center"/>
          </w:tcPr>
          <w:p w14:paraId="0839289E">
            <w:pPr>
              <w:adjustRightInd w:val="0"/>
              <w:snapToGrid w:val="0"/>
              <w:jc w:val="left"/>
              <w:rPr>
                <w:rFonts w:ascii="宋体" w:hAnsi="宋体" w:eastAsia="宋体"/>
                <w:szCs w:val="21"/>
              </w:rPr>
            </w:pPr>
          </w:p>
        </w:tc>
      </w:tr>
      <w:tr w14:paraId="5AAFC83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7B745074">
            <w:pPr>
              <w:adjustRightInd w:val="0"/>
              <w:snapToGrid w:val="0"/>
              <w:jc w:val="center"/>
              <w:rPr>
                <w:rFonts w:ascii="宋体" w:hAnsi="宋体" w:eastAsia="宋体"/>
                <w:szCs w:val="21"/>
              </w:rPr>
            </w:pPr>
            <w:r>
              <w:rPr>
                <w:rFonts w:hint="eastAsia" w:ascii="宋体" w:hAnsi="宋体" w:eastAsia="宋体"/>
                <w:szCs w:val="21"/>
              </w:rPr>
              <w:t>第二节</w:t>
            </w:r>
          </w:p>
          <w:p w14:paraId="53C0B43E">
            <w:pPr>
              <w:adjustRightInd w:val="0"/>
              <w:snapToGrid w:val="0"/>
              <w:jc w:val="center"/>
              <w:rPr>
                <w:rFonts w:ascii="宋体" w:hAnsi="宋体" w:eastAsia="宋体"/>
                <w:szCs w:val="21"/>
              </w:rPr>
            </w:pPr>
            <w:r>
              <w:rPr>
                <w:rFonts w:hint="eastAsia" w:ascii="宋体" w:hAnsi="宋体" w:eastAsia="宋体"/>
                <w:szCs w:val="21"/>
              </w:rPr>
              <w:t>第14.1（5）项</w:t>
            </w:r>
          </w:p>
        </w:tc>
        <w:tc>
          <w:tcPr>
            <w:tcW w:w="1742" w:type="dxa"/>
            <w:vAlign w:val="center"/>
          </w:tcPr>
          <w:p w14:paraId="49DB6DDF">
            <w:pPr>
              <w:adjustRightInd w:val="0"/>
              <w:snapToGrid w:val="0"/>
              <w:jc w:val="left"/>
              <w:rPr>
                <w:rFonts w:ascii="宋体" w:hAnsi="宋体" w:eastAsia="宋体"/>
                <w:szCs w:val="21"/>
              </w:rPr>
            </w:pPr>
            <w:r>
              <w:rPr>
                <w:rFonts w:hint="eastAsia" w:ascii="宋体" w:hAnsi="宋体" w:eastAsia="宋体"/>
                <w:szCs w:val="21"/>
              </w:rPr>
              <w:t>货物回收的约定</w:t>
            </w:r>
          </w:p>
        </w:tc>
        <w:tc>
          <w:tcPr>
            <w:tcW w:w="5170" w:type="dxa"/>
            <w:vAlign w:val="center"/>
          </w:tcPr>
          <w:p w14:paraId="7C414CEC">
            <w:pPr>
              <w:adjustRightInd w:val="0"/>
              <w:snapToGrid w:val="0"/>
              <w:jc w:val="left"/>
              <w:rPr>
                <w:rFonts w:ascii="宋体" w:hAnsi="宋体" w:eastAsia="宋体"/>
                <w:szCs w:val="21"/>
              </w:rPr>
            </w:pPr>
          </w:p>
        </w:tc>
      </w:tr>
      <w:tr w14:paraId="6BB32D5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900EB5C">
            <w:pPr>
              <w:adjustRightInd w:val="0"/>
              <w:snapToGrid w:val="0"/>
              <w:jc w:val="center"/>
              <w:rPr>
                <w:rFonts w:ascii="宋体" w:hAnsi="宋体" w:eastAsia="宋体"/>
                <w:szCs w:val="21"/>
              </w:rPr>
            </w:pPr>
            <w:r>
              <w:rPr>
                <w:rFonts w:hint="eastAsia" w:ascii="宋体" w:hAnsi="宋体" w:eastAsia="宋体"/>
                <w:szCs w:val="21"/>
              </w:rPr>
              <w:t>第二节</w:t>
            </w:r>
          </w:p>
          <w:p w14:paraId="1B523D58">
            <w:pPr>
              <w:adjustRightInd w:val="0"/>
              <w:snapToGrid w:val="0"/>
              <w:jc w:val="center"/>
              <w:rPr>
                <w:rFonts w:ascii="宋体" w:hAnsi="宋体" w:eastAsia="宋体"/>
                <w:szCs w:val="21"/>
              </w:rPr>
            </w:pPr>
            <w:r>
              <w:rPr>
                <w:rFonts w:hint="eastAsia" w:ascii="宋体" w:hAnsi="宋体" w:eastAsia="宋体"/>
                <w:szCs w:val="21"/>
              </w:rPr>
              <w:t>第14.1（6）项</w:t>
            </w:r>
          </w:p>
        </w:tc>
        <w:tc>
          <w:tcPr>
            <w:tcW w:w="1742" w:type="dxa"/>
            <w:vAlign w:val="center"/>
          </w:tcPr>
          <w:p w14:paraId="1C2E7BCA">
            <w:pPr>
              <w:adjustRightInd w:val="0"/>
              <w:snapToGrid w:val="0"/>
              <w:jc w:val="left"/>
              <w:rPr>
                <w:rFonts w:ascii="宋体" w:hAnsi="宋体" w:eastAsia="宋体"/>
                <w:szCs w:val="21"/>
              </w:rPr>
            </w:pPr>
            <w:r>
              <w:rPr>
                <w:rFonts w:hint="eastAsia" w:ascii="宋体" w:hAnsi="宋体" w:eastAsia="宋体"/>
                <w:szCs w:val="21"/>
              </w:rPr>
              <w:t>乙方提供的其他服务</w:t>
            </w:r>
          </w:p>
        </w:tc>
        <w:tc>
          <w:tcPr>
            <w:tcW w:w="5170" w:type="dxa"/>
            <w:vAlign w:val="center"/>
          </w:tcPr>
          <w:p w14:paraId="5538B917">
            <w:pPr>
              <w:adjustRightInd w:val="0"/>
              <w:snapToGrid w:val="0"/>
              <w:jc w:val="left"/>
              <w:rPr>
                <w:rFonts w:ascii="宋体" w:hAnsi="宋体" w:eastAsia="宋体"/>
                <w:szCs w:val="21"/>
              </w:rPr>
            </w:pPr>
          </w:p>
        </w:tc>
      </w:tr>
      <w:tr w14:paraId="2698DD6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DD43A15">
            <w:pPr>
              <w:adjustRightInd w:val="0"/>
              <w:snapToGrid w:val="0"/>
              <w:jc w:val="center"/>
              <w:rPr>
                <w:rFonts w:ascii="宋体" w:hAnsi="宋体" w:eastAsia="宋体"/>
                <w:szCs w:val="21"/>
              </w:rPr>
            </w:pPr>
            <w:r>
              <w:rPr>
                <w:rFonts w:hint="eastAsia" w:ascii="宋体" w:hAnsi="宋体" w:eastAsia="宋体"/>
                <w:szCs w:val="21"/>
              </w:rPr>
              <w:t>第二节</w:t>
            </w:r>
          </w:p>
          <w:p w14:paraId="2D49497D">
            <w:pPr>
              <w:adjustRightInd w:val="0"/>
              <w:snapToGrid w:val="0"/>
              <w:jc w:val="center"/>
              <w:rPr>
                <w:rFonts w:ascii="宋体" w:hAnsi="宋体" w:eastAsia="宋体"/>
                <w:szCs w:val="21"/>
              </w:rPr>
            </w:pPr>
            <w:r>
              <w:rPr>
                <w:rFonts w:hint="eastAsia" w:ascii="宋体" w:hAnsi="宋体" w:eastAsia="宋体"/>
                <w:szCs w:val="21"/>
              </w:rPr>
              <w:t>第15.1款</w:t>
            </w:r>
          </w:p>
        </w:tc>
        <w:tc>
          <w:tcPr>
            <w:tcW w:w="1742" w:type="dxa"/>
            <w:vAlign w:val="center"/>
          </w:tcPr>
          <w:p w14:paraId="53AE69DB">
            <w:pPr>
              <w:adjustRightInd w:val="0"/>
              <w:snapToGrid w:val="0"/>
              <w:jc w:val="left"/>
              <w:rPr>
                <w:rFonts w:ascii="宋体" w:hAnsi="宋体" w:eastAsia="宋体"/>
                <w:szCs w:val="21"/>
              </w:rPr>
            </w:pPr>
            <w:r>
              <w:rPr>
                <w:rFonts w:hint="eastAsia" w:ascii="宋体" w:hAnsi="宋体" w:eastAsia="宋体"/>
                <w:szCs w:val="21"/>
              </w:rPr>
              <w:t>修理、重作、更换相关具体规定</w:t>
            </w:r>
          </w:p>
        </w:tc>
        <w:tc>
          <w:tcPr>
            <w:tcW w:w="5170" w:type="dxa"/>
            <w:vAlign w:val="center"/>
          </w:tcPr>
          <w:p w14:paraId="6C73F7DA">
            <w:pPr>
              <w:adjustRightInd w:val="0"/>
              <w:snapToGrid w:val="0"/>
              <w:jc w:val="left"/>
              <w:rPr>
                <w:rFonts w:ascii="宋体" w:hAnsi="宋体" w:eastAsia="宋体"/>
                <w:szCs w:val="21"/>
              </w:rPr>
            </w:pPr>
          </w:p>
        </w:tc>
      </w:tr>
      <w:tr w14:paraId="00EEC47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7614FFF">
            <w:pPr>
              <w:adjustRightInd w:val="0"/>
              <w:snapToGrid w:val="0"/>
              <w:jc w:val="center"/>
              <w:rPr>
                <w:rFonts w:ascii="宋体" w:hAnsi="宋体" w:eastAsia="宋体"/>
                <w:szCs w:val="21"/>
              </w:rPr>
            </w:pPr>
            <w:r>
              <w:rPr>
                <w:rFonts w:hint="eastAsia" w:ascii="宋体" w:hAnsi="宋体" w:eastAsia="宋体"/>
                <w:szCs w:val="21"/>
              </w:rPr>
              <w:t>第二节</w:t>
            </w:r>
          </w:p>
          <w:p w14:paraId="4AB7FFB6">
            <w:pPr>
              <w:adjustRightInd w:val="0"/>
              <w:snapToGrid w:val="0"/>
              <w:jc w:val="center"/>
              <w:rPr>
                <w:rFonts w:ascii="宋体" w:hAnsi="宋体" w:eastAsia="宋体"/>
                <w:szCs w:val="21"/>
              </w:rPr>
            </w:pPr>
            <w:r>
              <w:rPr>
                <w:rFonts w:hint="eastAsia" w:ascii="宋体" w:hAnsi="宋体" w:eastAsia="宋体"/>
                <w:szCs w:val="21"/>
              </w:rPr>
              <w:t>第15.2（2）项</w:t>
            </w:r>
          </w:p>
        </w:tc>
        <w:tc>
          <w:tcPr>
            <w:tcW w:w="1742" w:type="dxa"/>
            <w:vAlign w:val="center"/>
          </w:tcPr>
          <w:p w14:paraId="15382325">
            <w:pPr>
              <w:adjustRightInd w:val="0"/>
              <w:snapToGrid w:val="0"/>
              <w:jc w:val="left"/>
              <w:rPr>
                <w:rFonts w:ascii="宋体" w:hAnsi="宋体" w:eastAsia="宋体"/>
                <w:szCs w:val="21"/>
              </w:rPr>
            </w:pPr>
            <w:r>
              <w:rPr>
                <w:rFonts w:hint="eastAsia" w:ascii="宋体" w:hAnsi="宋体" w:eastAsia="宋体"/>
                <w:szCs w:val="21"/>
              </w:rPr>
              <w:t>迟延交货赔偿费</w:t>
            </w:r>
          </w:p>
        </w:tc>
        <w:tc>
          <w:tcPr>
            <w:tcW w:w="5170" w:type="dxa"/>
            <w:vAlign w:val="center"/>
          </w:tcPr>
          <w:p w14:paraId="500B6C11">
            <w:pPr>
              <w:adjustRightInd w:val="0"/>
              <w:snapToGrid w:val="0"/>
              <w:jc w:val="left"/>
              <w:rPr>
                <w:rFonts w:ascii="宋体" w:hAnsi="宋体" w:eastAsia="宋体"/>
                <w:szCs w:val="21"/>
                <w:u w:val="single"/>
              </w:rPr>
            </w:pPr>
          </w:p>
        </w:tc>
      </w:tr>
      <w:tr w14:paraId="447214E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7AB2D55">
            <w:pPr>
              <w:adjustRightInd w:val="0"/>
              <w:snapToGrid w:val="0"/>
              <w:jc w:val="center"/>
              <w:rPr>
                <w:rFonts w:ascii="宋体" w:hAnsi="宋体" w:eastAsia="宋体"/>
                <w:szCs w:val="21"/>
              </w:rPr>
            </w:pPr>
            <w:r>
              <w:rPr>
                <w:rFonts w:hint="eastAsia" w:ascii="宋体" w:hAnsi="宋体" w:eastAsia="宋体"/>
                <w:szCs w:val="21"/>
              </w:rPr>
              <w:t>第二节</w:t>
            </w:r>
          </w:p>
          <w:p w14:paraId="57A8C509">
            <w:pPr>
              <w:adjustRightInd w:val="0"/>
              <w:snapToGrid w:val="0"/>
              <w:jc w:val="center"/>
              <w:rPr>
                <w:rFonts w:ascii="宋体" w:hAnsi="宋体" w:eastAsia="宋体"/>
                <w:szCs w:val="21"/>
              </w:rPr>
            </w:pPr>
            <w:r>
              <w:rPr>
                <w:rFonts w:hint="eastAsia" w:ascii="宋体" w:hAnsi="宋体" w:eastAsia="宋体"/>
                <w:szCs w:val="21"/>
              </w:rPr>
              <w:t>第15.3款</w:t>
            </w:r>
          </w:p>
        </w:tc>
        <w:tc>
          <w:tcPr>
            <w:tcW w:w="1742" w:type="dxa"/>
            <w:vAlign w:val="center"/>
          </w:tcPr>
          <w:p w14:paraId="4AF7F8E0">
            <w:pPr>
              <w:adjustRightInd w:val="0"/>
              <w:snapToGrid w:val="0"/>
              <w:jc w:val="left"/>
              <w:rPr>
                <w:rFonts w:ascii="宋体" w:hAnsi="宋体" w:eastAsia="宋体"/>
                <w:szCs w:val="21"/>
              </w:rPr>
            </w:pPr>
            <w:r>
              <w:rPr>
                <w:rFonts w:hint="eastAsia" w:ascii="宋体" w:hAnsi="宋体" w:eastAsia="宋体"/>
                <w:szCs w:val="21"/>
              </w:rPr>
              <w:t>逾期付款利息</w:t>
            </w:r>
          </w:p>
        </w:tc>
        <w:tc>
          <w:tcPr>
            <w:tcW w:w="5170" w:type="dxa"/>
            <w:vAlign w:val="center"/>
          </w:tcPr>
          <w:p w14:paraId="05AE888C">
            <w:pPr>
              <w:adjustRightInd w:val="0"/>
              <w:snapToGrid w:val="0"/>
              <w:jc w:val="left"/>
              <w:rPr>
                <w:rFonts w:ascii="宋体" w:hAnsi="宋体" w:eastAsia="宋体"/>
                <w:szCs w:val="21"/>
                <w:u w:val="single"/>
              </w:rPr>
            </w:pPr>
          </w:p>
        </w:tc>
      </w:tr>
      <w:tr w14:paraId="581D262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14:paraId="365EB587">
            <w:pPr>
              <w:adjustRightInd w:val="0"/>
              <w:snapToGrid w:val="0"/>
              <w:jc w:val="center"/>
              <w:rPr>
                <w:rFonts w:ascii="宋体" w:hAnsi="宋体" w:eastAsia="宋体"/>
                <w:szCs w:val="21"/>
              </w:rPr>
            </w:pPr>
            <w:r>
              <w:rPr>
                <w:rFonts w:hint="eastAsia" w:ascii="宋体" w:hAnsi="宋体" w:eastAsia="宋体"/>
                <w:szCs w:val="21"/>
              </w:rPr>
              <w:t>第二节</w:t>
            </w:r>
          </w:p>
          <w:p w14:paraId="48D66F41">
            <w:pPr>
              <w:adjustRightInd w:val="0"/>
              <w:snapToGrid w:val="0"/>
              <w:jc w:val="center"/>
              <w:rPr>
                <w:rFonts w:ascii="宋体" w:hAnsi="宋体" w:eastAsia="宋体"/>
                <w:szCs w:val="21"/>
              </w:rPr>
            </w:pPr>
            <w:r>
              <w:rPr>
                <w:rFonts w:hint="eastAsia" w:ascii="宋体" w:hAnsi="宋体" w:eastAsia="宋体"/>
                <w:szCs w:val="21"/>
              </w:rPr>
              <w:t>第15.4款</w:t>
            </w:r>
          </w:p>
        </w:tc>
        <w:tc>
          <w:tcPr>
            <w:tcW w:w="1742" w:type="dxa"/>
            <w:tcBorders>
              <w:left w:val="single" w:color="auto" w:sz="2" w:space="0"/>
              <w:bottom w:val="single" w:color="auto" w:sz="2" w:space="0"/>
              <w:right w:val="single" w:color="auto" w:sz="2" w:space="0"/>
            </w:tcBorders>
            <w:vAlign w:val="center"/>
          </w:tcPr>
          <w:p w14:paraId="41EF4136">
            <w:pPr>
              <w:adjustRightInd w:val="0"/>
              <w:snapToGrid w:val="0"/>
              <w:jc w:val="left"/>
              <w:rPr>
                <w:rFonts w:ascii="宋体" w:hAnsi="宋体" w:eastAsia="宋体"/>
                <w:szCs w:val="21"/>
              </w:rPr>
            </w:pPr>
            <w:r>
              <w:rPr>
                <w:rFonts w:hint="eastAsia" w:ascii="宋体" w:hAnsi="宋体" w:eastAsia="宋体"/>
                <w:szCs w:val="21"/>
              </w:rPr>
              <w:t>其他违约责任</w:t>
            </w:r>
          </w:p>
        </w:tc>
        <w:tc>
          <w:tcPr>
            <w:tcW w:w="5170" w:type="dxa"/>
            <w:tcBorders>
              <w:left w:val="single" w:color="auto" w:sz="2" w:space="0"/>
              <w:bottom w:val="single" w:color="auto" w:sz="2" w:space="0"/>
            </w:tcBorders>
            <w:vAlign w:val="center"/>
          </w:tcPr>
          <w:p w14:paraId="42852F16">
            <w:pPr>
              <w:adjustRightInd w:val="0"/>
              <w:snapToGrid w:val="0"/>
              <w:jc w:val="left"/>
              <w:rPr>
                <w:rFonts w:ascii="宋体" w:hAnsi="宋体" w:eastAsia="宋体"/>
                <w:szCs w:val="21"/>
                <w:u w:val="single"/>
              </w:rPr>
            </w:pPr>
          </w:p>
        </w:tc>
      </w:tr>
      <w:tr w14:paraId="1693DCA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14:paraId="5C493B54">
            <w:pPr>
              <w:adjustRightInd w:val="0"/>
              <w:snapToGrid w:val="0"/>
              <w:jc w:val="center"/>
              <w:rPr>
                <w:rFonts w:ascii="宋体" w:hAnsi="宋体" w:eastAsia="宋体"/>
                <w:szCs w:val="21"/>
              </w:rPr>
            </w:pPr>
            <w:r>
              <w:rPr>
                <w:rFonts w:hint="eastAsia" w:ascii="宋体" w:hAnsi="宋体" w:eastAsia="宋体"/>
                <w:szCs w:val="21"/>
              </w:rPr>
              <w:t>第二节</w:t>
            </w:r>
          </w:p>
          <w:p w14:paraId="7D7414B0">
            <w:pPr>
              <w:adjustRightInd w:val="0"/>
              <w:snapToGrid w:val="0"/>
              <w:jc w:val="center"/>
              <w:rPr>
                <w:rFonts w:ascii="宋体" w:hAnsi="宋体" w:eastAsia="宋体"/>
                <w:szCs w:val="21"/>
              </w:rPr>
            </w:pPr>
            <w:r>
              <w:rPr>
                <w:rFonts w:hint="eastAsia" w:ascii="宋体" w:hAnsi="宋体" w:eastAsia="宋体"/>
                <w:szCs w:val="21"/>
              </w:rPr>
              <w:t>第19.2款</w:t>
            </w:r>
          </w:p>
        </w:tc>
        <w:tc>
          <w:tcPr>
            <w:tcW w:w="1742" w:type="dxa"/>
            <w:tcBorders>
              <w:top w:val="single" w:color="auto" w:sz="2" w:space="0"/>
              <w:left w:val="single" w:color="auto" w:sz="2" w:space="0"/>
              <w:right w:val="single" w:color="auto" w:sz="2" w:space="0"/>
            </w:tcBorders>
            <w:vAlign w:val="center"/>
          </w:tcPr>
          <w:p w14:paraId="41480FDB">
            <w:pPr>
              <w:adjustRightInd w:val="0"/>
              <w:snapToGrid w:val="0"/>
              <w:jc w:val="left"/>
              <w:rPr>
                <w:rFonts w:ascii="宋体" w:hAnsi="宋体" w:eastAsia="宋体"/>
                <w:szCs w:val="21"/>
              </w:rPr>
            </w:pPr>
            <w:r>
              <w:rPr>
                <w:rFonts w:hint="eastAsia" w:ascii="宋体" w:hAnsi="宋体" w:eastAsia="宋体"/>
                <w:szCs w:val="21"/>
              </w:rPr>
              <w:t>解决争议的方法</w:t>
            </w:r>
          </w:p>
        </w:tc>
        <w:tc>
          <w:tcPr>
            <w:tcW w:w="5170" w:type="dxa"/>
            <w:tcBorders>
              <w:top w:val="single" w:color="auto" w:sz="2" w:space="0"/>
              <w:left w:val="single" w:color="auto" w:sz="2" w:space="0"/>
            </w:tcBorders>
            <w:vAlign w:val="center"/>
          </w:tcPr>
          <w:p w14:paraId="3498656B">
            <w:pPr>
              <w:autoSpaceDE w:val="0"/>
              <w:autoSpaceDN w:val="0"/>
              <w:adjustRightInd w:val="0"/>
              <w:snapToGrid w:val="0"/>
              <w:spacing w:line="400" w:lineRule="exact"/>
              <w:jc w:val="left"/>
              <w:rPr>
                <w:rFonts w:ascii="宋体" w:hAnsi="宋体" w:eastAsia="宋体" w:cs="宋体"/>
                <w:iCs/>
                <w:szCs w:val="21"/>
              </w:rPr>
            </w:pPr>
            <w:r>
              <w:rPr>
                <w:rFonts w:hint="eastAsia" w:ascii="宋体" w:hAnsi="宋体" w:eastAsia="宋体" w:cs="宋体"/>
                <w:iCs/>
                <w:szCs w:val="21"/>
              </w:rPr>
              <w:t>因本合同及合同有关事项发生的争议，按下列第</w:t>
            </w:r>
            <w:r>
              <w:rPr>
                <w:rFonts w:hint="eastAsia" w:ascii="宋体" w:hAnsi="宋体" w:eastAsia="宋体" w:cs="宋体"/>
                <w:iCs/>
                <w:szCs w:val="21"/>
                <w:u w:val="single"/>
              </w:rPr>
              <w:t xml:space="preserve">   </w:t>
            </w:r>
            <w:r>
              <w:rPr>
                <w:rFonts w:hint="eastAsia" w:ascii="宋体" w:hAnsi="宋体" w:eastAsia="宋体" w:cs="宋体"/>
                <w:iCs/>
                <w:szCs w:val="21"/>
              </w:rPr>
              <w:t>种方式解决：</w:t>
            </w:r>
          </w:p>
          <w:p w14:paraId="668D2F2B">
            <w:pPr>
              <w:autoSpaceDE w:val="0"/>
              <w:autoSpaceDN w:val="0"/>
              <w:adjustRightInd w:val="0"/>
              <w:snapToGrid w:val="0"/>
              <w:spacing w:line="400" w:lineRule="exact"/>
              <w:jc w:val="left"/>
              <w:rPr>
                <w:rFonts w:ascii="宋体" w:hAnsi="宋体" w:eastAsia="宋体" w:cs="宋体"/>
                <w:iCs/>
                <w:szCs w:val="21"/>
              </w:rPr>
            </w:pPr>
            <w:r>
              <w:rPr>
                <w:rFonts w:hint="eastAsia" w:ascii="宋体" w:hAnsi="宋体" w:eastAsia="宋体" w:cs="宋体"/>
                <w:iCs/>
                <w:szCs w:val="21"/>
              </w:rPr>
              <w:t>（1）向</w:t>
            </w:r>
            <w:r>
              <w:rPr>
                <w:rFonts w:hint="eastAsia" w:ascii="宋体" w:hAnsi="宋体" w:eastAsia="宋体" w:cs="宋体"/>
                <w:iCs/>
                <w:szCs w:val="21"/>
                <w:u w:val="single"/>
              </w:rPr>
              <w:t xml:space="preserve">                    </w:t>
            </w:r>
            <w:r>
              <w:rPr>
                <w:rFonts w:hint="eastAsia" w:ascii="宋体" w:hAnsi="宋体" w:eastAsia="宋体" w:cs="宋体"/>
                <w:iCs/>
                <w:szCs w:val="21"/>
              </w:rPr>
              <w:t>仲裁委员会申请仲裁，仲裁地点为</w:t>
            </w:r>
            <w:r>
              <w:rPr>
                <w:rFonts w:hint="eastAsia" w:ascii="宋体" w:hAnsi="宋体" w:eastAsia="宋体" w:cs="宋体"/>
                <w:iCs/>
                <w:szCs w:val="21"/>
                <w:u w:val="single"/>
              </w:rPr>
              <w:t xml:space="preserve">           </w:t>
            </w:r>
            <w:r>
              <w:rPr>
                <w:rFonts w:hint="eastAsia" w:ascii="宋体" w:hAnsi="宋体" w:eastAsia="宋体" w:cs="宋体"/>
                <w:iCs/>
                <w:szCs w:val="21"/>
              </w:rPr>
              <w:t>；</w:t>
            </w:r>
          </w:p>
          <w:p w14:paraId="2020BA97">
            <w:pPr>
              <w:adjustRightInd w:val="0"/>
              <w:snapToGrid w:val="0"/>
              <w:jc w:val="left"/>
              <w:rPr>
                <w:rFonts w:ascii="宋体" w:hAnsi="宋体" w:eastAsia="宋体"/>
                <w:szCs w:val="21"/>
                <w:u w:val="single"/>
              </w:rPr>
            </w:pPr>
            <w:r>
              <w:rPr>
                <w:rFonts w:hint="eastAsia" w:ascii="宋体" w:hAnsi="宋体" w:eastAsia="宋体" w:cs="宋体"/>
                <w:iCs/>
                <w:szCs w:val="21"/>
              </w:rPr>
              <w:t>（2）向</w:t>
            </w:r>
            <w:r>
              <w:rPr>
                <w:rFonts w:hint="eastAsia" w:ascii="宋体" w:hAnsi="宋体" w:eastAsia="宋体" w:cs="宋体"/>
                <w:iCs/>
                <w:szCs w:val="21"/>
                <w:u w:val="single"/>
              </w:rPr>
              <w:t xml:space="preserve">                    </w:t>
            </w:r>
            <w:r>
              <w:rPr>
                <w:rFonts w:hint="eastAsia" w:ascii="宋体" w:hAnsi="宋体" w:eastAsia="宋体" w:cs="宋体"/>
                <w:iCs/>
                <w:szCs w:val="21"/>
              </w:rPr>
              <w:t>人民法院起诉。</w:t>
            </w:r>
          </w:p>
        </w:tc>
      </w:tr>
      <w:tr w14:paraId="4764CAC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14:paraId="670AD185">
            <w:pPr>
              <w:adjustRightInd w:val="0"/>
              <w:snapToGrid w:val="0"/>
              <w:jc w:val="center"/>
              <w:rPr>
                <w:rFonts w:ascii="宋体" w:hAnsi="宋体" w:eastAsia="宋体"/>
                <w:szCs w:val="21"/>
              </w:rPr>
            </w:pPr>
            <w:r>
              <w:rPr>
                <w:rFonts w:hint="eastAsia" w:ascii="宋体" w:hAnsi="宋体" w:eastAsia="宋体"/>
                <w:szCs w:val="21"/>
              </w:rPr>
              <w:t>第二节</w:t>
            </w:r>
          </w:p>
          <w:p w14:paraId="4173133E">
            <w:pPr>
              <w:adjustRightInd w:val="0"/>
              <w:snapToGrid w:val="0"/>
              <w:jc w:val="center"/>
              <w:rPr>
                <w:rFonts w:ascii="宋体" w:hAnsi="宋体" w:eastAsia="宋体"/>
                <w:szCs w:val="21"/>
              </w:rPr>
            </w:pPr>
            <w:r>
              <w:rPr>
                <w:rFonts w:hint="eastAsia" w:ascii="宋体" w:hAnsi="宋体" w:eastAsia="宋体"/>
                <w:szCs w:val="21"/>
              </w:rPr>
              <w:t>第23.1款</w:t>
            </w:r>
          </w:p>
        </w:tc>
        <w:tc>
          <w:tcPr>
            <w:tcW w:w="1742" w:type="dxa"/>
            <w:vAlign w:val="center"/>
          </w:tcPr>
          <w:p w14:paraId="1C8C1DE7">
            <w:pPr>
              <w:adjustRightInd w:val="0"/>
              <w:snapToGrid w:val="0"/>
              <w:jc w:val="left"/>
              <w:rPr>
                <w:rFonts w:ascii="宋体" w:hAnsi="宋体" w:eastAsia="宋体"/>
                <w:szCs w:val="21"/>
              </w:rPr>
            </w:pPr>
            <w:r>
              <w:rPr>
                <w:rFonts w:hint="eastAsia" w:ascii="宋体" w:hAnsi="宋体" w:eastAsia="宋体"/>
                <w:bCs/>
                <w:szCs w:val="21"/>
              </w:rPr>
              <w:t>其他专用条款</w:t>
            </w:r>
          </w:p>
        </w:tc>
        <w:tc>
          <w:tcPr>
            <w:tcW w:w="5170" w:type="dxa"/>
            <w:vAlign w:val="center"/>
          </w:tcPr>
          <w:p w14:paraId="41EB289E">
            <w:pPr>
              <w:adjustRightInd w:val="0"/>
              <w:snapToGrid w:val="0"/>
              <w:jc w:val="left"/>
              <w:rPr>
                <w:rFonts w:ascii="宋体" w:hAnsi="宋体" w:eastAsia="宋体"/>
                <w:szCs w:val="21"/>
              </w:rPr>
            </w:pPr>
          </w:p>
        </w:tc>
      </w:tr>
    </w:tbl>
    <w:p w14:paraId="687DD464">
      <w:pPr>
        <w:rPr>
          <w:rFonts w:eastAsia="宋体"/>
        </w:rPr>
      </w:pPr>
    </w:p>
    <w:p w14:paraId="75BDB863">
      <w:pPr>
        <w:widowControl/>
        <w:jc w:val="left"/>
        <w:rPr>
          <w:rFonts w:ascii="Arial" w:hAnsi="Arial" w:eastAsia="宋体" w:cs="Times New Roman"/>
          <w:color w:val="FF0000"/>
          <w:szCs w:val="24"/>
        </w:rPr>
      </w:pPr>
    </w:p>
    <w:p w14:paraId="57CE5A54">
      <w:pPr>
        <w:widowControl/>
        <w:jc w:val="left"/>
        <w:rPr>
          <w:rFonts w:ascii="宋体" w:hAnsi="宋体" w:eastAsia="黑体" w:cs="Times New Roman"/>
          <w:b/>
          <w:bCs/>
          <w:color w:val="0000FF"/>
          <w:kern w:val="44"/>
          <w:sz w:val="36"/>
          <w:szCs w:val="44"/>
        </w:rPr>
      </w:pPr>
      <w:r>
        <w:rPr>
          <w:rFonts w:ascii="宋体" w:hAnsi="宋体" w:eastAsia="黑体" w:cs="Times New Roman"/>
          <w:b/>
          <w:bCs/>
          <w:color w:val="0000FF"/>
          <w:kern w:val="44"/>
          <w:sz w:val="36"/>
          <w:szCs w:val="44"/>
        </w:rPr>
        <w:br w:type="page"/>
      </w:r>
    </w:p>
    <w:p w14:paraId="150D806A">
      <w:pPr>
        <w:keepNext/>
        <w:keepLines/>
        <w:spacing w:before="340" w:after="78" w:afterLines="25" w:line="578" w:lineRule="auto"/>
        <w:jc w:val="center"/>
        <w:outlineLvl w:val="0"/>
        <w:rPr>
          <w:rFonts w:ascii="Arial" w:hAnsi="Arial" w:eastAsia="宋体" w:cs="Times New Roman"/>
          <w:b/>
          <w:bCs/>
          <w:kern w:val="44"/>
          <w:sz w:val="32"/>
          <w:szCs w:val="32"/>
        </w:rPr>
      </w:pPr>
      <w:r>
        <w:rPr>
          <w:rFonts w:hint="eastAsia" w:ascii="Arial" w:hAnsi="Arial" w:eastAsia="宋体" w:cs="Times New Roman"/>
          <w:b/>
          <w:bCs/>
          <w:kern w:val="44"/>
          <w:sz w:val="32"/>
          <w:szCs w:val="32"/>
        </w:rPr>
        <w:t>第二册  通用条款（公开招标）</w:t>
      </w:r>
    </w:p>
    <w:p w14:paraId="07C50CB0">
      <w:pPr>
        <w:pStyle w:val="28"/>
        <w:keepNext/>
        <w:keepLines/>
        <w:numPr>
          <w:ilvl w:val="0"/>
          <w:numId w:val="12"/>
        </w:numPr>
        <w:tabs>
          <w:tab w:val="left" w:pos="720"/>
        </w:tabs>
        <w:adjustRightInd w:val="0"/>
        <w:spacing w:before="156" w:beforeLines="50" w:after="156" w:afterLines="50"/>
        <w:ind w:firstLineChars="0"/>
        <w:jc w:val="center"/>
        <w:textAlignment w:val="baseline"/>
        <w:outlineLvl w:val="1"/>
        <w:rPr>
          <w:rFonts w:asciiTheme="majorHAnsi" w:hAnsiTheme="majorHAnsi" w:eastAsiaTheme="majorEastAsia" w:cstheme="majorBidi"/>
          <w:b/>
          <w:bCs/>
          <w:sz w:val="28"/>
          <w:szCs w:val="28"/>
        </w:rPr>
      </w:pPr>
      <w:bookmarkStart w:id="49" w:name="_Hlk72399513"/>
      <w:r>
        <w:rPr>
          <w:rFonts w:hint="eastAsia" w:asciiTheme="majorHAnsi" w:hAnsiTheme="majorHAnsi" w:eastAsiaTheme="majorEastAsia" w:cstheme="majorBidi"/>
          <w:b/>
          <w:bCs/>
          <w:sz w:val="28"/>
          <w:szCs w:val="28"/>
        </w:rPr>
        <w:t>总则</w:t>
      </w:r>
    </w:p>
    <w:bookmarkEnd w:id="49"/>
    <w:p w14:paraId="65C0C186">
      <w:pPr>
        <w:rPr>
          <w:rFonts w:ascii="黑体" w:hAnsi="宋体" w:eastAsia="黑体"/>
          <w:sz w:val="24"/>
        </w:rPr>
      </w:pPr>
      <w:bookmarkStart w:id="50" w:name="_Hlk72439706"/>
      <w:r>
        <w:rPr>
          <w:rFonts w:hint="eastAsia" w:ascii="黑体" w:hAnsi="宋体" w:eastAsia="黑体"/>
          <w:sz w:val="24"/>
        </w:rPr>
        <w:t>1. 通用条款说明</w:t>
      </w:r>
    </w:p>
    <w:p w14:paraId="7E05C598">
      <w:pPr>
        <w:ind w:firstLine="411" w:firstLineChars="196"/>
        <w:rPr>
          <w:rFonts w:ascii="宋体" w:hAnsi="宋体"/>
          <w:szCs w:val="21"/>
        </w:rPr>
      </w:pPr>
      <w:r>
        <w:rPr>
          <w:rFonts w:hint="eastAsia" w:ascii="宋体" w:hAnsi="宋体"/>
          <w:szCs w:val="21"/>
        </w:rPr>
        <w:t>1.1</w:t>
      </w:r>
      <w:r>
        <w:rPr>
          <w:rFonts w:eastAsia="宋体"/>
          <w:kern w:val="2"/>
          <w:sz w:val="21"/>
          <w:szCs w:val="21"/>
          <w:lang w:eastAsia="zh-CN"/>
        </w:rPr>
        <w:t>招标（采购）代理机构</w:t>
      </w:r>
      <w:r>
        <w:rPr>
          <w:rFonts w:hint="eastAsia" w:ascii="宋体" w:hAnsi="宋体"/>
          <w:szCs w:val="21"/>
        </w:rPr>
        <w:t>发出招标文件通用条款版本，列出深圳市政府采购项目进行招标采购所适用的通用条款内容。</w:t>
      </w:r>
      <w:bookmarkStart w:id="51" w:name="_Hlk72399729"/>
      <w:r>
        <w:rPr>
          <w:rFonts w:hint="eastAsia" w:ascii="宋体" w:hAnsi="宋体"/>
          <w:szCs w:val="21"/>
        </w:rPr>
        <w:t>如有需要，</w:t>
      </w:r>
      <w:r>
        <w:rPr>
          <w:rFonts w:eastAsia="宋体"/>
          <w:kern w:val="2"/>
          <w:sz w:val="21"/>
          <w:szCs w:val="21"/>
          <w:lang w:eastAsia="zh-CN"/>
        </w:rPr>
        <w:t>招标（采购）代理机构</w:t>
      </w:r>
      <w:r>
        <w:rPr>
          <w:rFonts w:hint="eastAsia" w:ascii="宋体" w:hAnsi="宋体"/>
          <w:szCs w:val="21"/>
        </w:rPr>
        <w:t>可以对通用条款的内容进行补充。</w:t>
      </w:r>
      <w:bookmarkEnd w:id="51"/>
    </w:p>
    <w:p w14:paraId="2644A044">
      <w:pPr>
        <w:ind w:firstLine="411" w:firstLineChars="196"/>
        <w:rPr>
          <w:rFonts w:ascii="宋体" w:hAnsi="宋体"/>
          <w:szCs w:val="21"/>
        </w:rPr>
      </w:pPr>
      <w:r>
        <w:rPr>
          <w:rFonts w:hint="eastAsia" w:ascii="宋体" w:hAnsi="宋体"/>
          <w:szCs w:val="21"/>
        </w:rPr>
        <w:t>1.2招标文件分为第一册“专用条款”和第二册“通用条款”。</w:t>
      </w:r>
    </w:p>
    <w:p w14:paraId="2E5BA166">
      <w:pPr>
        <w:ind w:firstLine="411" w:firstLineChars="196"/>
        <w:rPr>
          <w:rFonts w:ascii="宋体" w:hAnsi="宋体"/>
          <w:szCs w:val="21"/>
        </w:rPr>
      </w:pPr>
      <w:r>
        <w:rPr>
          <w:rFonts w:hint="eastAsia" w:ascii="宋体" w:hAnsi="宋体"/>
          <w:szCs w:val="21"/>
        </w:rPr>
        <w:t>1.3“专用条款”是对本次采购项目的具体要求，包含招标公告、对通用条款的补充内容及其他关键信息、用户需求书、投标文件格式及附件、合同条款及格式等内容。</w:t>
      </w:r>
    </w:p>
    <w:p w14:paraId="4172FDE9">
      <w:pPr>
        <w:ind w:firstLine="411" w:firstLineChars="196"/>
        <w:rPr>
          <w:rFonts w:ascii="宋体" w:hAnsi="宋体"/>
          <w:szCs w:val="21"/>
        </w:rPr>
      </w:pPr>
      <w:r>
        <w:rPr>
          <w:rFonts w:hint="eastAsia" w:ascii="宋体" w:hAnsi="宋体"/>
          <w:szCs w:val="21"/>
        </w:rPr>
        <w:t>1.4“通用条款”是适用于政府采购公开招标项目的基础性条款，具有普遍性和通用性。</w:t>
      </w:r>
    </w:p>
    <w:p w14:paraId="4FC2FE4C">
      <w:pPr>
        <w:ind w:firstLine="411" w:firstLineChars="196"/>
        <w:rPr>
          <w:rFonts w:ascii="宋体" w:hAnsi="宋体"/>
          <w:szCs w:val="21"/>
        </w:rPr>
      </w:pPr>
      <w:r>
        <w:rPr>
          <w:rFonts w:hint="eastAsia" w:ascii="宋体" w:hAnsi="宋体"/>
          <w:szCs w:val="21"/>
        </w:rPr>
        <w:t>1.5 “专用条款”和“通用条款”表述不一致或有冲突时，以“专用条款”为准。</w:t>
      </w:r>
    </w:p>
    <w:p w14:paraId="4D039E7E">
      <w:pPr>
        <w:rPr>
          <w:rFonts w:ascii="黑体" w:hAnsi="宋体" w:eastAsia="黑体"/>
          <w:sz w:val="24"/>
        </w:rPr>
      </w:pPr>
      <w:r>
        <w:rPr>
          <w:rFonts w:hint="eastAsia" w:ascii="黑体" w:hAnsi="宋体" w:eastAsia="黑体"/>
          <w:sz w:val="24"/>
        </w:rPr>
        <w:t>2</w:t>
      </w:r>
      <w:r>
        <w:rPr>
          <w:rFonts w:ascii="黑体" w:hAnsi="宋体" w:eastAsia="黑体"/>
          <w:sz w:val="24"/>
        </w:rPr>
        <w:t>．</w:t>
      </w:r>
      <w:r>
        <w:rPr>
          <w:rFonts w:hint="eastAsia" w:ascii="黑体" w:hAnsi="宋体" w:eastAsia="黑体"/>
          <w:sz w:val="24"/>
        </w:rPr>
        <w:t>招标说明</w:t>
      </w:r>
    </w:p>
    <w:p w14:paraId="711DE173">
      <w:pPr>
        <w:ind w:firstLine="411" w:firstLineChars="196"/>
        <w:rPr>
          <w:rFonts w:ascii="宋体" w:hAnsi="宋体"/>
          <w:szCs w:val="21"/>
        </w:rPr>
      </w:pPr>
      <w:r>
        <w:rPr>
          <w:rFonts w:hint="eastAsia" w:ascii="宋体" w:hAnsi="宋体"/>
          <w:szCs w:val="21"/>
        </w:rPr>
        <w:t>本项目参照《深圳经济特区政府采购条例》、《深圳经济特区政府采购条例实施细则》及政府采购其他法律法规，通过公开招标方式确定中标供应商。</w:t>
      </w:r>
    </w:p>
    <w:p w14:paraId="1643A8AF">
      <w:pPr>
        <w:rPr>
          <w:rFonts w:ascii="黑体" w:hAnsi="宋体" w:eastAsia="黑体"/>
          <w:sz w:val="24"/>
        </w:rPr>
      </w:pPr>
      <w:r>
        <w:rPr>
          <w:rFonts w:hint="eastAsia" w:ascii="黑体" w:hAnsi="宋体" w:eastAsia="黑体"/>
          <w:sz w:val="24"/>
        </w:rPr>
        <w:t>3．定义</w:t>
      </w:r>
    </w:p>
    <w:p w14:paraId="69E6688A">
      <w:pPr>
        <w:ind w:firstLine="420" w:firstLineChars="200"/>
        <w:rPr>
          <w:rFonts w:ascii="宋体" w:hAnsi="宋体"/>
          <w:szCs w:val="21"/>
        </w:rPr>
      </w:pPr>
      <w:r>
        <w:rPr>
          <w:rFonts w:ascii="宋体" w:hAnsi="宋体"/>
          <w:szCs w:val="21"/>
        </w:rPr>
        <w:t>招标文件中下列术语应解释为：</w:t>
      </w:r>
    </w:p>
    <w:p w14:paraId="612ECA14">
      <w:pPr>
        <w:ind w:firstLine="411" w:firstLineChars="196"/>
        <w:rPr>
          <w:rFonts w:ascii="宋体" w:hAnsi="宋体"/>
          <w:szCs w:val="21"/>
        </w:rPr>
      </w:pPr>
      <w:r>
        <w:rPr>
          <w:rFonts w:hint="eastAsia" w:ascii="宋体" w:hAnsi="宋体"/>
          <w:szCs w:val="21"/>
        </w:rPr>
        <w:t>3.</w:t>
      </w:r>
      <w:r>
        <w:rPr>
          <w:rFonts w:ascii="宋体" w:hAnsi="宋体"/>
          <w:szCs w:val="21"/>
        </w:rPr>
        <w:t>1</w:t>
      </w:r>
      <w:r>
        <w:rPr>
          <w:rFonts w:hint="eastAsia" w:ascii="宋体" w:hAnsi="宋体"/>
          <w:szCs w:val="21"/>
        </w:rPr>
        <w:t>“采购人”：指利用财政性资金依法进行政府采购的国家机关、事业单位、团体组织；</w:t>
      </w:r>
      <w:r>
        <w:rPr>
          <w:rFonts w:ascii="宋体" w:hAnsi="宋体"/>
          <w:szCs w:val="21"/>
        </w:rPr>
        <w:t xml:space="preserve"> </w:t>
      </w:r>
    </w:p>
    <w:p w14:paraId="58145A77">
      <w:pPr>
        <w:ind w:firstLine="411" w:firstLineChars="196"/>
        <w:rPr>
          <w:rFonts w:ascii="宋体" w:hAnsi="宋体"/>
          <w:szCs w:val="21"/>
        </w:rPr>
      </w:pPr>
      <w:r>
        <w:rPr>
          <w:rFonts w:hint="eastAsia" w:ascii="宋体" w:hAnsi="宋体"/>
          <w:szCs w:val="21"/>
        </w:rPr>
        <w:t>3.2 “政府集中采购机构”</w:t>
      </w:r>
      <w:r>
        <w:rPr>
          <w:rFonts w:hint="eastAsia" w:ascii="Arial" w:hAnsi="Arial" w:cs="Arial"/>
          <w:szCs w:val="21"/>
          <w:shd w:val="clear" w:color="auto" w:fill="FFFFFF"/>
        </w:rPr>
        <w:t>是指市政府设立的，组织实施政府采购项目，并对政府采购活动提供服务的专门机构；</w:t>
      </w:r>
      <w:r>
        <w:rPr>
          <w:rFonts w:hint="eastAsia" w:ascii="宋体" w:hAnsi="宋体"/>
          <w:szCs w:val="21"/>
        </w:rPr>
        <w:t>本文件所述的“政府集中采购机构”</w:t>
      </w:r>
      <w:r>
        <w:rPr>
          <w:rFonts w:ascii="宋体" w:hAnsi="宋体"/>
          <w:szCs w:val="21"/>
        </w:rPr>
        <w:t>指</w:t>
      </w:r>
      <w:r>
        <w:rPr>
          <w:rFonts w:hint="eastAsia" w:ascii="宋体" w:hAnsi="宋体"/>
          <w:b/>
          <w:bCs/>
          <w:color w:val="FF0000"/>
          <w:szCs w:val="21"/>
        </w:rPr>
        <w:t>深圳公共资源交易中心</w:t>
      </w:r>
      <w:r>
        <w:rPr>
          <w:rFonts w:hint="eastAsia" w:ascii="宋体" w:hAnsi="宋体"/>
          <w:szCs w:val="21"/>
        </w:rPr>
        <w:t>；</w:t>
      </w:r>
    </w:p>
    <w:p w14:paraId="7C002A52">
      <w:pPr>
        <w:ind w:firstLine="411" w:firstLineChars="196"/>
        <w:rPr>
          <w:rFonts w:ascii="宋体" w:hAnsi="宋体"/>
          <w:szCs w:val="21"/>
        </w:rPr>
      </w:pPr>
      <w:r>
        <w:rPr>
          <w:rFonts w:hint="eastAsia" w:ascii="宋体" w:hAnsi="宋体"/>
          <w:szCs w:val="21"/>
        </w:rPr>
        <w:t>3.3“投标人”，即供应商，指参加投标竞争并愿意按照招标文件要求向采购人提供货物、工程或者服务的依法成立的法人、其他组织或者自然人；</w:t>
      </w:r>
    </w:p>
    <w:p w14:paraId="73C584A3">
      <w:pPr>
        <w:ind w:firstLine="411" w:firstLineChars="196"/>
        <w:rPr>
          <w:rFonts w:ascii="宋体" w:hAnsi="宋体"/>
          <w:szCs w:val="21"/>
        </w:rPr>
      </w:pPr>
      <w:r>
        <w:rPr>
          <w:rFonts w:hint="eastAsia" w:ascii="宋体" w:hAnsi="宋体"/>
          <w:szCs w:val="21"/>
        </w:rPr>
        <w:t>3.4“评审委员会”是依据《深圳经济特区政府采购条例》、《深圳经济特区政府采购条例实施细则》等有关规定组建的专门负责本次招标其评审工作的临时性机构；</w:t>
      </w:r>
    </w:p>
    <w:p w14:paraId="36312FB5">
      <w:pPr>
        <w:ind w:firstLine="411" w:firstLineChars="196"/>
        <w:rPr>
          <w:rFonts w:ascii="宋体" w:hAnsi="宋体"/>
          <w:szCs w:val="21"/>
        </w:rPr>
      </w:pPr>
      <w:r>
        <w:rPr>
          <w:rFonts w:hint="eastAsia" w:ascii="宋体" w:hAnsi="宋体"/>
          <w:szCs w:val="21"/>
        </w:rPr>
        <w:t>3.5“日期”</w:t>
      </w:r>
      <w:r>
        <w:rPr>
          <w:rFonts w:ascii="宋体" w:hAnsi="宋体"/>
          <w:szCs w:val="21"/>
        </w:rPr>
        <w:t>指</w:t>
      </w:r>
      <w:r>
        <w:rPr>
          <w:rFonts w:hint="eastAsia" w:ascii="宋体" w:hAnsi="宋体"/>
          <w:szCs w:val="21"/>
        </w:rPr>
        <w:t>公历日；</w:t>
      </w:r>
    </w:p>
    <w:p w14:paraId="4E93F54C">
      <w:pPr>
        <w:ind w:firstLine="411" w:firstLineChars="196"/>
        <w:rPr>
          <w:rFonts w:ascii="宋体" w:hAnsi="宋体"/>
          <w:szCs w:val="21"/>
        </w:rPr>
      </w:pPr>
      <w:r>
        <w:rPr>
          <w:rFonts w:hint="eastAsia" w:ascii="宋体" w:hAnsi="宋体"/>
          <w:szCs w:val="21"/>
        </w:rPr>
        <w:t>3.6“合同”指由本次招标所产生的合同或合约文件；</w:t>
      </w:r>
    </w:p>
    <w:p w14:paraId="7500BF73">
      <w:pPr>
        <w:ind w:firstLine="411" w:firstLineChars="196"/>
        <w:rPr>
          <w:rFonts w:ascii="宋体" w:hAnsi="宋体"/>
          <w:szCs w:val="21"/>
        </w:rPr>
      </w:pPr>
      <w:r>
        <w:rPr>
          <w:rFonts w:hint="eastAsia" w:ascii="宋体" w:hAnsi="宋体"/>
          <w:szCs w:val="21"/>
        </w:rPr>
        <w:t>3.7“电子投标文件”指利用</w:t>
      </w:r>
      <w:r>
        <w:rPr>
          <w:rFonts w:hint="eastAsia" w:ascii="宋体" w:hAnsi="宋体"/>
          <w:b/>
          <w:bCs/>
          <w:color w:val="FF0000"/>
          <w:szCs w:val="21"/>
        </w:rPr>
        <w:t>深圳公共资源交易中心（深圳交易集团有限公司龙华分公司）</w:t>
      </w:r>
      <w:r>
        <w:rPr>
          <w:rFonts w:hint="eastAsia" w:ascii="宋体" w:hAnsi="宋体"/>
          <w:szCs w:val="21"/>
        </w:rPr>
        <w:t>网站提供的深圳智慧采购平台投标文件制作专用软件（以下简称：投标文件制作软件）制作并加密的投标文件,适用于网上投标；（投标文件制作软件可从“下载地址：http://zfcg.szggzy.com:8081/cgxy/013002/20210923/173e0b2c-7a4c-4246-a0c7-e0ea75d84dd6.html深圳智慧采购平台投标文件制作专用软件.zip”下载）</w:t>
      </w:r>
    </w:p>
    <w:p w14:paraId="7A62BA02">
      <w:pPr>
        <w:ind w:firstLine="411" w:firstLineChars="196"/>
        <w:rPr>
          <w:rFonts w:ascii="宋体" w:hAnsi="宋体"/>
          <w:szCs w:val="21"/>
        </w:rPr>
      </w:pPr>
      <w:r>
        <w:rPr>
          <w:rFonts w:hint="eastAsia" w:ascii="宋体" w:hAnsi="宋体"/>
          <w:szCs w:val="21"/>
        </w:rPr>
        <w:t>3.8“网上投标”指通过</w:t>
      </w:r>
      <w:r>
        <w:rPr>
          <w:rFonts w:hint="eastAsia" w:ascii="宋体" w:hAnsi="宋体"/>
          <w:b/>
          <w:bCs/>
          <w:color w:val="FF0000"/>
          <w:szCs w:val="21"/>
        </w:rPr>
        <w:t>深圳公共资源交易中心（深圳交易集团有限公司龙华分公司）</w:t>
      </w:r>
      <w:r>
        <w:rPr>
          <w:rFonts w:hint="eastAsia" w:ascii="宋体" w:hAnsi="宋体"/>
          <w:szCs w:val="21"/>
        </w:rPr>
        <w:t>网站上传电子投标文件；</w:t>
      </w:r>
    </w:p>
    <w:p w14:paraId="6D70D0CE">
      <w:pPr>
        <w:ind w:firstLine="411" w:firstLineChars="196"/>
        <w:rPr>
          <w:rFonts w:ascii="宋体" w:hAnsi="宋体"/>
          <w:szCs w:val="21"/>
        </w:rPr>
      </w:pPr>
      <w:r>
        <w:rPr>
          <w:rFonts w:hint="eastAsia" w:ascii="宋体" w:hAnsi="宋体"/>
          <w:szCs w:val="21"/>
        </w:rPr>
        <w:t>3.9招标文件中的标题或题名仅起引导作用，而不应视为对招标文件内容的理解和解释。</w:t>
      </w:r>
    </w:p>
    <w:p w14:paraId="27ADACFA">
      <w:pPr>
        <w:rPr>
          <w:rFonts w:ascii="黑体" w:hAnsi="宋体" w:eastAsia="黑体"/>
          <w:sz w:val="24"/>
        </w:rPr>
      </w:pPr>
      <w:r>
        <w:rPr>
          <w:rFonts w:hint="eastAsia" w:ascii="黑体" w:hAnsi="宋体" w:eastAsia="黑体"/>
          <w:sz w:val="24"/>
        </w:rPr>
        <w:t xml:space="preserve">4. </w:t>
      </w:r>
      <w:bookmarkStart w:id="52" w:name="_Hlk72398643"/>
      <w:r>
        <w:rPr>
          <w:rFonts w:hint="eastAsia" w:ascii="黑体" w:hAnsi="宋体" w:eastAsia="黑体"/>
          <w:sz w:val="24"/>
        </w:rPr>
        <w:t>政府采购供应商责任</w:t>
      </w:r>
    </w:p>
    <w:p w14:paraId="0C97D66A">
      <w:pPr>
        <w:ind w:firstLine="411" w:firstLineChars="196"/>
        <w:rPr>
          <w:rFonts w:ascii="宋体" w:hAnsi="宋体"/>
          <w:szCs w:val="21"/>
        </w:rPr>
      </w:pPr>
      <w:r>
        <w:rPr>
          <w:rFonts w:hint="eastAsia" w:ascii="宋体" w:hAnsi="宋体"/>
          <w:szCs w:val="21"/>
        </w:rPr>
        <w:t>4.1欢迎诚信、有实力和有社会责任心的供应商参与政府采购事业。</w:t>
      </w:r>
    </w:p>
    <w:p w14:paraId="79AA11F7">
      <w:pPr>
        <w:ind w:firstLine="411" w:firstLineChars="196"/>
        <w:rPr>
          <w:rFonts w:ascii="宋体" w:hAnsi="宋体"/>
          <w:szCs w:val="21"/>
        </w:rPr>
      </w:pPr>
      <w:r>
        <w:rPr>
          <w:rFonts w:hint="eastAsia" w:ascii="宋体" w:hAnsi="宋体"/>
          <w:szCs w:val="21"/>
        </w:rPr>
        <w:t>4.2投标人应当遵循公平竞争的原则，不得恶意串通，不得妨碍其他投标人的竞争行为，不得损害采购人或者其他投标人的合法权益。如违反上述要求，经核实后，供应商的投标无效。</w:t>
      </w:r>
    </w:p>
    <w:p w14:paraId="1055411F">
      <w:pPr>
        <w:rPr>
          <w:rFonts w:ascii="黑体" w:hAnsi="宋体" w:eastAsia="黑体"/>
          <w:sz w:val="24"/>
        </w:rPr>
      </w:pPr>
      <w:r>
        <w:rPr>
          <w:rFonts w:hint="eastAsia" w:ascii="黑体" w:hAnsi="宋体" w:eastAsia="黑体"/>
          <w:sz w:val="24"/>
        </w:rPr>
        <w:t>5．投标人参加政府采购的条件</w:t>
      </w:r>
    </w:p>
    <w:p w14:paraId="0A095F82">
      <w:pPr>
        <w:ind w:firstLine="411" w:firstLineChars="196"/>
        <w:jc w:val="left"/>
        <w:rPr>
          <w:rFonts w:ascii="宋体" w:hAnsi="宋体"/>
          <w:szCs w:val="21"/>
        </w:rPr>
      </w:pPr>
      <w:r>
        <w:rPr>
          <w:rFonts w:hint="eastAsia" w:ascii="宋体" w:hAnsi="宋体"/>
          <w:szCs w:val="21"/>
        </w:rPr>
        <w:t>5.1投标人应在投标前到</w:t>
      </w:r>
      <w:r>
        <w:rPr>
          <w:rFonts w:hint="eastAsia" w:ascii="宋体" w:hAnsi="宋体"/>
          <w:b/>
          <w:bCs/>
          <w:color w:val="FF0000"/>
          <w:szCs w:val="21"/>
        </w:rPr>
        <w:t>深圳公共资源交易中心</w:t>
      </w:r>
      <w:r>
        <w:rPr>
          <w:rFonts w:hint="eastAsia" w:ascii="宋体" w:hAnsi="宋体"/>
          <w:b/>
          <w:bCs/>
          <w:szCs w:val="21"/>
        </w:rPr>
        <w:t>（具体在深圳交易集团有限公司政府采购业务分公司进行办理）</w:t>
      </w:r>
      <w:r>
        <w:rPr>
          <w:rFonts w:hint="eastAsia" w:ascii="宋体" w:hAnsi="宋体"/>
          <w:szCs w:val="21"/>
        </w:rPr>
        <w:t>进行注册并办理电子密钥。《供应商注册及信息变更指引》详见www.szggzy.com网站“交易服务指南-政府采购”。</w:t>
      </w:r>
    </w:p>
    <w:p w14:paraId="2C7E91E1">
      <w:pPr>
        <w:ind w:firstLine="411" w:firstLineChars="196"/>
        <w:rPr>
          <w:rFonts w:ascii="宋体" w:hAnsi="宋体"/>
          <w:szCs w:val="21"/>
        </w:rPr>
      </w:pPr>
      <w:r>
        <w:rPr>
          <w:rFonts w:hint="eastAsia" w:ascii="宋体" w:hAnsi="宋体"/>
          <w:szCs w:val="21"/>
        </w:rPr>
        <w:t>5.2投标人资格要求</w:t>
      </w:r>
    </w:p>
    <w:p w14:paraId="76A35E31">
      <w:pPr>
        <w:ind w:firstLine="411" w:firstLineChars="196"/>
        <w:rPr>
          <w:rFonts w:ascii="宋体" w:hAnsi="宋体"/>
          <w:szCs w:val="21"/>
        </w:rPr>
      </w:pPr>
      <w:r>
        <w:rPr>
          <w:rFonts w:hint="eastAsia" w:ascii="宋体" w:hAnsi="宋体"/>
          <w:szCs w:val="21"/>
        </w:rPr>
        <w:t>参加本项目的投标人应具备的资格条件详见本项目招标公告中 “投标人资格要求”（即申请人的资格要求）的内容。</w:t>
      </w:r>
    </w:p>
    <w:p w14:paraId="4ABB6210">
      <w:pPr>
        <w:ind w:firstLine="411" w:firstLineChars="196"/>
        <w:rPr>
          <w:rFonts w:ascii="宋体" w:hAnsi="宋体"/>
          <w:szCs w:val="21"/>
        </w:rPr>
      </w:pPr>
      <w:r>
        <w:rPr>
          <w:rFonts w:hint="eastAsia" w:ascii="宋体" w:hAnsi="宋体"/>
          <w:szCs w:val="21"/>
        </w:rPr>
        <w:t>5.3联合体投标</w:t>
      </w:r>
    </w:p>
    <w:p w14:paraId="40C5C2B9">
      <w:pPr>
        <w:ind w:firstLine="411" w:firstLineChars="196"/>
        <w:rPr>
          <w:rFonts w:ascii="宋体" w:hAnsi="宋体"/>
          <w:szCs w:val="21"/>
        </w:rPr>
      </w:pPr>
      <w:r>
        <w:rPr>
          <w:rFonts w:hint="eastAsia" w:ascii="宋体" w:hAnsi="宋体"/>
          <w:szCs w:val="21"/>
        </w:rPr>
        <w:t>5.3.1　以下有关联合体投标的条款仅适用于允许投标人组成联合体投标的项目。</w:t>
      </w:r>
    </w:p>
    <w:p w14:paraId="4C4B9BAB">
      <w:pPr>
        <w:ind w:firstLine="411" w:firstLineChars="196"/>
        <w:rPr>
          <w:rFonts w:ascii="宋体" w:hAnsi="宋体"/>
          <w:szCs w:val="21"/>
        </w:rPr>
      </w:pPr>
      <w:r>
        <w:rPr>
          <w:rFonts w:hint="eastAsia" w:ascii="宋体" w:hAnsi="宋体"/>
          <w:szCs w:val="21"/>
        </w:rPr>
        <w:t>5.3.2  由两个或两个以上的自然人、法人或者其他组织可以组成一个联合体，以一个供应商的身份共同投标时，应符合以下原则：</w:t>
      </w:r>
    </w:p>
    <w:p w14:paraId="2A7A9C10">
      <w:pPr>
        <w:ind w:firstLine="411" w:firstLineChars="196"/>
        <w:rPr>
          <w:rFonts w:ascii="宋体" w:hAnsi="宋体"/>
        </w:rPr>
      </w:pPr>
      <w:r>
        <w:rPr>
          <w:rFonts w:hint="eastAsia" w:ascii="宋体" w:hAnsi="宋体"/>
        </w:rPr>
        <w:t>（1）投标联合体各方参加政府采购活动应当具备下列条件：</w:t>
      </w:r>
      <w:r>
        <w:rPr>
          <w:rFonts w:ascii="宋体" w:hAnsi="宋体"/>
        </w:rPr>
        <w:t xml:space="preserve"> </w:t>
      </w:r>
    </w:p>
    <w:p w14:paraId="1FF580CA">
      <w:pPr>
        <w:ind w:left="420" w:leftChars="200" w:firstLine="411" w:firstLineChars="196"/>
        <w:rPr>
          <w:rFonts w:ascii="宋体" w:hAnsi="宋体"/>
        </w:rPr>
      </w:pPr>
      <w:r>
        <w:rPr>
          <w:rFonts w:hint="eastAsia" w:ascii="宋体" w:hAnsi="宋体"/>
        </w:rPr>
        <w:t>1、具有独立承担民事责任的能力；</w:t>
      </w:r>
      <w:r>
        <w:rPr>
          <w:rFonts w:ascii="宋体" w:hAnsi="宋体"/>
        </w:rPr>
        <w:t xml:space="preserve"> </w:t>
      </w:r>
    </w:p>
    <w:p w14:paraId="4F59CAA5">
      <w:pPr>
        <w:ind w:left="420" w:firstLine="411" w:firstLineChars="196"/>
        <w:rPr>
          <w:rFonts w:ascii="宋体" w:hAnsi="宋体"/>
        </w:rPr>
      </w:pPr>
      <w:r>
        <w:rPr>
          <w:rFonts w:hint="eastAsia" w:ascii="宋体" w:hAnsi="宋体"/>
        </w:rPr>
        <w:t>2、有良好的商业信誉和健全的财务会计制度；</w:t>
      </w:r>
      <w:r>
        <w:rPr>
          <w:rFonts w:ascii="宋体" w:hAnsi="宋体"/>
        </w:rPr>
        <w:t xml:space="preserve"> </w:t>
      </w:r>
    </w:p>
    <w:p w14:paraId="09A33A69">
      <w:pPr>
        <w:ind w:left="420" w:leftChars="200" w:firstLine="411" w:firstLineChars="196"/>
        <w:rPr>
          <w:rFonts w:ascii="宋体" w:hAnsi="宋体"/>
        </w:rPr>
      </w:pPr>
      <w:r>
        <w:rPr>
          <w:rFonts w:hint="eastAsia" w:ascii="宋体" w:hAnsi="宋体"/>
        </w:rPr>
        <w:t>3、具有履行合同所必需的设备和专业技术能力；</w:t>
      </w:r>
      <w:r>
        <w:rPr>
          <w:rFonts w:ascii="宋体" w:hAnsi="宋体"/>
        </w:rPr>
        <w:t xml:space="preserve"> </w:t>
      </w:r>
    </w:p>
    <w:p w14:paraId="0E3C637D">
      <w:pPr>
        <w:ind w:left="420" w:leftChars="200" w:firstLine="411" w:firstLineChars="196"/>
        <w:rPr>
          <w:rFonts w:ascii="宋体" w:hAnsi="宋体"/>
        </w:rPr>
      </w:pPr>
      <w:r>
        <w:rPr>
          <w:rFonts w:hint="eastAsia" w:ascii="宋体" w:hAnsi="宋体"/>
        </w:rPr>
        <w:t>4、有依法缴纳税收和社会保障资金的良好记录；</w:t>
      </w:r>
      <w:r>
        <w:rPr>
          <w:rFonts w:ascii="宋体" w:hAnsi="宋体"/>
        </w:rPr>
        <w:t xml:space="preserve"> </w:t>
      </w:r>
    </w:p>
    <w:p w14:paraId="15FB1231">
      <w:pPr>
        <w:ind w:left="420" w:leftChars="200" w:firstLine="411" w:firstLineChars="196"/>
        <w:rPr>
          <w:rFonts w:ascii="宋体" w:hAnsi="宋体"/>
        </w:rPr>
      </w:pPr>
      <w:r>
        <w:rPr>
          <w:rFonts w:hint="eastAsia" w:ascii="宋体" w:hAnsi="宋体"/>
        </w:rPr>
        <w:t>5、参加政府采购活动前三年内，在经营活动中没有重大违法记录；</w:t>
      </w:r>
      <w:r>
        <w:rPr>
          <w:rFonts w:ascii="宋体" w:hAnsi="宋体"/>
        </w:rPr>
        <w:t xml:space="preserve"> </w:t>
      </w:r>
    </w:p>
    <w:p w14:paraId="2AA91C72">
      <w:pPr>
        <w:ind w:left="420" w:leftChars="200" w:firstLine="411" w:firstLineChars="196"/>
        <w:rPr>
          <w:rFonts w:ascii="宋体" w:hAnsi="宋体"/>
        </w:rPr>
      </w:pPr>
      <w:r>
        <w:rPr>
          <w:rFonts w:hint="eastAsia" w:ascii="宋体" w:hAnsi="宋体"/>
        </w:rPr>
        <w:t>6、法律、行政法规规定的其他条件。</w:t>
      </w:r>
      <w:r>
        <w:rPr>
          <w:rFonts w:ascii="宋体" w:hAnsi="宋体"/>
        </w:rPr>
        <w:t xml:space="preserve"> </w:t>
      </w:r>
    </w:p>
    <w:p w14:paraId="055EE17A">
      <w:pPr>
        <w:ind w:firstLine="411" w:firstLineChars="196"/>
        <w:rPr>
          <w:rFonts w:ascii="宋体" w:hAnsi="宋体"/>
        </w:rPr>
      </w:pPr>
      <w:r>
        <w:rPr>
          <w:rFonts w:hint="eastAsia" w:ascii="宋体" w:hAnsi="宋体"/>
        </w:rPr>
        <w:t>（2）在投标截止前，投标联合体各方均应注册成政府集中采购机构供应商；</w:t>
      </w:r>
    </w:p>
    <w:p w14:paraId="6588D98E">
      <w:pPr>
        <w:ind w:firstLine="411" w:firstLineChars="196"/>
        <w:rPr>
          <w:rFonts w:ascii="宋体" w:hAnsi="宋体"/>
        </w:rPr>
      </w:pPr>
      <w:r>
        <w:rPr>
          <w:rFonts w:hint="eastAsia" w:ascii="宋体" w:hAnsi="宋体"/>
        </w:rPr>
        <w:t>（3）联合体中有同类资质的供应商按照联合体分工承担相同工作的，应当按照资质等级较低的供应商确定资质等级；</w:t>
      </w:r>
    </w:p>
    <w:p w14:paraId="3F353925">
      <w:pPr>
        <w:ind w:firstLine="411" w:firstLineChars="196"/>
      </w:pPr>
      <w:r>
        <w:rPr>
          <w:rFonts w:hint="eastAsia"/>
        </w:rPr>
        <w:t>（4）是否允许联合体参加投标，应当由采购人和采购代理机构根据项目的实际情况和潜在供应商的数量自主决定，如果决定接受联合体投标则应当在招标公告中明示；</w:t>
      </w:r>
    </w:p>
    <w:p w14:paraId="09545D89">
      <w:pPr>
        <w:ind w:firstLine="411" w:firstLineChars="196"/>
        <w:rPr>
          <w:rFonts w:ascii="宋体" w:hAnsi="宋体"/>
        </w:rPr>
      </w:pPr>
      <w:r>
        <w:rPr>
          <w:rFonts w:hint="eastAsia" w:ascii="宋体" w:hAnsi="宋体"/>
        </w:rPr>
        <w:t>（5）投标人的投标文件及中标后签署的合同协议对联合体各方均具法律约束力；</w:t>
      </w:r>
    </w:p>
    <w:p w14:paraId="0EB7A1FD">
      <w:pPr>
        <w:ind w:firstLine="411" w:firstLineChars="196"/>
        <w:rPr>
          <w:rFonts w:ascii="宋体" w:hAnsi="宋体"/>
        </w:rPr>
      </w:pPr>
      <w:r>
        <w:rPr>
          <w:rFonts w:hint="eastAsia" w:ascii="宋体" w:hAnsi="宋体"/>
        </w:rPr>
        <w:t>（6）联合体各方应当签订联合体投标协议，明确约定各方拟承担的工作和责任，并将该协议随投标文件一并递交给</w:t>
      </w:r>
      <w:r>
        <w:rPr>
          <w:rFonts w:eastAsia="宋体"/>
          <w:kern w:val="2"/>
          <w:sz w:val="21"/>
          <w:szCs w:val="21"/>
          <w:lang w:eastAsia="zh-CN"/>
        </w:rPr>
        <w:t>招标（采购）代理机构</w:t>
      </w:r>
      <w:r>
        <w:rPr>
          <w:rFonts w:hint="eastAsia" w:ascii="宋体" w:hAnsi="宋体"/>
        </w:rPr>
        <w:t>；</w:t>
      </w:r>
    </w:p>
    <w:p w14:paraId="1AA754AE">
      <w:pPr>
        <w:ind w:firstLine="411" w:firstLineChars="196"/>
        <w:rPr>
          <w:rFonts w:ascii="宋体" w:hAnsi="宋体"/>
        </w:rPr>
      </w:pPr>
      <w:r>
        <w:rPr>
          <w:rFonts w:hint="eastAsia" w:ascii="宋体" w:hAnsi="宋体"/>
        </w:rPr>
        <w:t>（7）联合体中标后，联合体各方应当共同与采购人签订合同，就中标项目向采购人承担连带责任；</w:t>
      </w:r>
    </w:p>
    <w:p w14:paraId="1D0812B3">
      <w:pPr>
        <w:ind w:firstLine="411" w:firstLineChars="196"/>
        <w:rPr>
          <w:rFonts w:ascii="宋体" w:hAnsi="宋体"/>
        </w:rPr>
      </w:pPr>
      <w:r>
        <w:rPr>
          <w:rFonts w:hint="eastAsia" w:ascii="宋体" w:hAnsi="宋体"/>
        </w:rPr>
        <w:t>（8）以联合体形式参加政府采购活动的，联合体各方不得再单独参加或者与其他供应商另外组成联合体参加同一合同项下的政府采购活动，出现上述情况者，其投标和与此有关联合体、总包单位的投标将被拒绝；</w:t>
      </w:r>
    </w:p>
    <w:p w14:paraId="68CC666E">
      <w:pPr>
        <w:ind w:firstLine="411" w:firstLineChars="196"/>
        <w:rPr>
          <w:rFonts w:ascii="宋体" w:hAnsi="宋体"/>
          <w:szCs w:val="21"/>
        </w:rPr>
      </w:pPr>
      <w:r>
        <w:rPr>
          <w:rFonts w:hint="eastAsia" w:ascii="宋体" w:hAnsi="宋体"/>
        </w:rPr>
        <w:t>（9）本通用条款中“投标人”一词亦指联合体各方，专用条款另有规定或说明的除外。</w:t>
      </w:r>
    </w:p>
    <w:p w14:paraId="4EA6F1E1">
      <w:pPr>
        <w:rPr>
          <w:rFonts w:ascii="黑体" w:hAnsi="宋体" w:eastAsia="黑体"/>
          <w:sz w:val="24"/>
        </w:rPr>
      </w:pPr>
      <w:r>
        <w:rPr>
          <w:rFonts w:hint="eastAsia" w:ascii="黑体" w:hAnsi="宋体" w:eastAsia="黑体"/>
          <w:sz w:val="24"/>
        </w:rPr>
        <w:t>6．政策导向</w:t>
      </w:r>
    </w:p>
    <w:p w14:paraId="1480FF32">
      <w:pPr>
        <w:ind w:firstLine="411" w:firstLineChars="196"/>
        <w:rPr>
          <w:rFonts w:ascii="宋体" w:hAnsi="宋体"/>
        </w:rPr>
      </w:pPr>
      <w:r>
        <w:rPr>
          <w:rFonts w:hint="eastAsia" w:ascii="宋体" w:hAnsi="宋体"/>
        </w:rPr>
        <w:t>6.1</w:t>
      </w:r>
      <w:r>
        <w:rPr>
          <w:rFonts w:ascii="宋体" w:hAnsi="宋体"/>
        </w:rPr>
        <w:t xml:space="preserve">  </w:t>
      </w:r>
      <w:r>
        <w:rPr>
          <w:rFonts w:hint="eastAsia" w:ascii="宋体" w:hAnsi="宋体"/>
        </w:rPr>
        <w:t>政府采购支持本国产品、支持中小企业、监狱企业和残疾人福利性单位发展，支持乡村产业振兴，支持创新、节能减排、绿色环保等。</w:t>
      </w:r>
    </w:p>
    <w:p w14:paraId="663B79F6">
      <w:pPr>
        <w:ind w:firstLine="405"/>
        <w:rPr>
          <w:rFonts w:ascii="宋体" w:hAnsi="宋体"/>
        </w:rPr>
      </w:pPr>
      <w:r>
        <w:rPr>
          <w:rFonts w:hint="eastAsia" w:ascii="宋体" w:hAnsi="宋体"/>
        </w:rPr>
        <w:t>6.2</w:t>
      </w:r>
      <w:r>
        <w:rPr>
          <w:rFonts w:ascii="宋体" w:hAnsi="宋体"/>
        </w:rPr>
        <w:t xml:space="preserve">  </w:t>
      </w:r>
      <w:r>
        <w:rPr>
          <w:rFonts w:hint="eastAsia" w:ascii="宋体" w:hAnsi="宋体"/>
        </w:rPr>
        <w:t>本项目落实深圳市政府采购供应商诚信管理政策要求。</w:t>
      </w:r>
    </w:p>
    <w:p w14:paraId="504DFF9A">
      <w:pPr>
        <w:ind w:firstLine="405"/>
        <w:rPr>
          <w:rFonts w:eastAsia="宋体"/>
        </w:rPr>
      </w:pPr>
      <w:r>
        <w:rPr>
          <w:rFonts w:hint="eastAsia" w:ascii="宋体" w:hAnsi="宋体"/>
        </w:rPr>
        <w:t>6.3  本项目支持投标人性别平等的相关政策。</w:t>
      </w:r>
    </w:p>
    <w:p w14:paraId="198D45D9">
      <w:pPr>
        <w:rPr>
          <w:rFonts w:ascii="黑体" w:hAnsi="宋体" w:eastAsia="黑体"/>
          <w:sz w:val="24"/>
        </w:rPr>
      </w:pPr>
      <w:r>
        <w:rPr>
          <w:rFonts w:hint="eastAsia" w:ascii="黑体" w:hAnsi="宋体" w:eastAsia="黑体"/>
          <w:sz w:val="24"/>
        </w:rPr>
        <w:t>7. 本项目若涉及采购货物，则合格的货物及相应服务应满足以下要求：</w:t>
      </w:r>
    </w:p>
    <w:p w14:paraId="20FD09C1">
      <w:pPr>
        <w:ind w:firstLine="411" w:firstLineChars="196"/>
        <w:rPr>
          <w:rFonts w:ascii="宋体" w:hAnsi="宋体"/>
        </w:rPr>
      </w:pPr>
      <w:r>
        <w:rPr>
          <w:rFonts w:hint="eastAsia" w:ascii="宋体" w:hAnsi="宋体"/>
        </w:rPr>
        <w:t>7</w:t>
      </w:r>
      <w:r>
        <w:rPr>
          <w:rFonts w:ascii="宋体" w:hAnsi="宋体"/>
        </w:rPr>
        <w:t xml:space="preserve">.1  </w:t>
      </w:r>
      <w:r>
        <w:rPr>
          <w:rFonts w:hint="eastAsia" w:ascii="宋体" w:hAnsi="宋体"/>
        </w:rPr>
        <w:t>必须是全新、未使用过的原装合格正品（包括零部件），如安装或配置了软件的，须为正版软件。</w:t>
      </w:r>
    </w:p>
    <w:p w14:paraId="41740536">
      <w:pPr>
        <w:ind w:firstLine="411" w:firstLineChars="196"/>
        <w:rPr>
          <w:rFonts w:ascii="宋体" w:hAnsi="宋体"/>
        </w:rPr>
      </w:pPr>
      <w:r>
        <w:rPr>
          <w:rFonts w:hint="eastAsia" w:ascii="宋体" w:hAnsi="宋体"/>
        </w:rPr>
        <w:t>7.2  国产的货物及其有关服务必须符合中华人民共和国的设计、制造生产标准及行业标准。招标公告有其他要求的，亦应符合其要求。</w:t>
      </w:r>
    </w:p>
    <w:p w14:paraId="6D0AFDE9">
      <w:pPr>
        <w:ind w:firstLine="411" w:firstLineChars="196"/>
        <w:rPr>
          <w:rFonts w:ascii="宋体" w:hAnsi="宋体"/>
        </w:rPr>
      </w:pPr>
      <w:r>
        <w:rPr>
          <w:rFonts w:hint="eastAsia" w:ascii="宋体" w:hAnsi="宋体"/>
        </w:rPr>
        <w:t>7</w:t>
      </w:r>
      <w:r>
        <w:rPr>
          <w:rFonts w:ascii="宋体" w:hAnsi="宋体"/>
        </w:rPr>
        <w:t>.</w:t>
      </w:r>
      <w:r>
        <w:rPr>
          <w:rFonts w:hint="eastAsia" w:ascii="宋体" w:hAnsi="宋体"/>
        </w:rPr>
        <w:t>3</w:t>
      </w:r>
      <w:r>
        <w:rPr>
          <w:rFonts w:ascii="宋体" w:hAnsi="宋体"/>
        </w:rPr>
        <w:t xml:space="preserve">  </w:t>
      </w:r>
      <w:r>
        <w:rPr>
          <w:rFonts w:hint="eastAsia" w:ascii="宋体" w:hAnsi="宋体"/>
        </w:rPr>
        <w:t>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14:paraId="2DDD8BD7">
      <w:pPr>
        <w:ind w:firstLine="411" w:firstLineChars="196"/>
        <w:rPr>
          <w:rFonts w:ascii="宋体" w:hAnsi="宋体"/>
        </w:rPr>
      </w:pPr>
      <w:r>
        <w:rPr>
          <w:rFonts w:hint="eastAsia" w:ascii="宋体" w:hAnsi="宋体"/>
        </w:rPr>
        <w:t>7</w:t>
      </w:r>
      <w:r>
        <w:rPr>
          <w:rFonts w:ascii="宋体" w:hAnsi="宋体"/>
        </w:rPr>
        <w:t>.</w:t>
      </w:r>
      <w:r>
        <w:rPr>
          <w:rFonts w:hint="eastAsia" w:ascii="宋体" w:hAnsi="宋体"/>
        </w:rPr>
        <w:t>4</w:t>
      </w:r>
      <w:r>
        <w:rPr>
          <w:rFonts w:ascii="宋体" w:hAnsi="宋体"/>
        </w:rPr>
        <w:t xml:space="preserve">  </w:t>
      </w:r>
      <w:r>
        <w:rPr>
          <w:rFonts w:hint="eastAsia" w:ascii="宋体" w:hAnsi="宋体"/>
        </w:rPr>
        <w:t>投标人</w:t>
      </w:r>
      <w:bookmarkStart w:id="53" w:name="_Hlk72152753"/>
      <w:r>
        <w:rPr>
          <w:rFonts w:hint="eastAsia" w:ascii="宋体" w:hAnsi="宋体"/>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bookmarkEnd w:id="53"/>
    </w:p>
    <w:p w14:paraId="7E9A675A">
      <w:pPr>
        <w:ind w:firstLine="411" w:firstLineChars="196"/>
        <w:rPr>
          <w:rFonts w:ascii="宋体" w:hAnsi="宋体"/>
        </w:rPr>
      </w:pPr>
      <w:r>
        <w:rPr>
          <w:rFonts w:hint="eastAsia" w:ascii="宋体" w:hAnsi="宋体"/>
        </w:rPr>
        <w:t>7.5  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14:paraId="1CDD06CB">
      <w:pPr>
        <w:ind w:firstLine="411" w:firstLineChars="196"/>
        <w:rPr>
          <w:rFonts w:ascii="宋体" w:hAnsi="宋体"/>
        </w:rPr>
      </w:pPr>
      <w:r>
        <w:rPr>
          <w:rFonts w:hint="eastAsia" w:ascii="宋体" w:hAnsi="宋体"/>
        </w:rPr>
        <w:t>7.6  工期要求：投标人在投标时对其所投项目应提交交货进度、交货计划等，在合同规定的时间内完成项目实施工作。</w:t>
      </w:r>
    </w:p>
    <w:p w14:paraId="7EF45B5B">
      <w:pPr>
        <w:ind w:firstLine="411" w:firstLineChars="196"/>
        <w:rPr>
          <w:rFonts w:ascii="宋体" w:hAnsi="宋体"/>
        </w:rPr>
      </w:pPr>
      <w:r>
        <w:rPr>
          <w:rFonts w:hint="eastAsia" w:ascii="宋体" w:hAnsi="宋体"/>
        </w:rPr>
        <w:t>7.7  投标人必须承担的设备运输、安装调试、验收检测和提供设备操作说明书、图纸等其他相关及类似的义务。</w:t>
      </w:r>
    </w:p>
    <w:p w14:paraId="662E72F7">
      <w:pPr>
        <w:rPr>
          <w:rFonts w:ascii="黑体" w:hAnsi="宋体" w:eastAsia="黑体"/>
          <w:sz w:val="24"/>
        </w:rPr>
      </w:pPr>
      <w:r>
        <w:rPr>
          <w:rFonts w:hint="eastAsia" w:ascii="黑体" w:hAnsi="宋体" w:eastAsia="黑体"/>
          <w:sz w:val="24"/>
        </w:rPr>
        <w:t>8．投标费用</w:t>
      </w:r>
    </w:p>
    <w:p w14:paraId="5AC52D74">
      <w:pPr>
        <w:ind w:firstLine="411" w:firstLineChars="196"/>
        <w:rPr>
          <w:rFonts w:ascii="宋体" w:hAnsi="宋体"/>
          <w:szCs w:val="21"/>
        </w:rPr>
      </w:pPr>
      <w:r>
        <w:rPr>
          <w:rFonts w:hint="eastAsia" w:ascii="宋体" w:hAnsi="宋体"/>
          <w:szCs w:val="21"/>
        </w:rPr>
        <w:t>不论投标结果如何，投标人应承担其编制投标文件与递交投标文件所涉及的一切费用。</w:t>
      </w:r>
    </w:p>
    <w:p w14:paraId="2F0700CB">
      <w:pPr>
        <w:rPr>
          <w:rFonts w:ascii="黑体" w:hAnsi="宋体" w:eastAsia="黑体"/>
          <w:sz w:val="24"/>
        </w:rPr>
      </w:pPr>
      <w:r>
        <w:rPr>
          <w:rFonts w:hint="eastAsia" w:ascii="黑体" w:hAnsi="宋体" w:eastAsia="黑体"/>
          <w:sz w:val="24"/>
        </w:rPr>
        <w:t>9．踏勘现场</w:t>
      </w:r>
    </w:p>
    <w:p w14:paraId="1DF5082C">
      <w:pPr>
        <w:ind w:firstLine="411" w:firstLineChars="196"/>
        <w:rPr>
          <w:rFonts w:ascii="宋体" w:hAnsi="宋体"/>
          <w:szCs w:val="21"/>
        </w:rPr>
      </w:pPr>
      <w:r>
        <w:rPr>
          <w:rFonts w:hint="eastAsia" w:ascii="宋体" w:hAnsi="宋体"/>
          <w:szCs w:val="21"/>
        </w:rPr>
        <w:t>9.1如有需要（详见专用条款），采购人或</w:t>
      </w:r>
      <w:r>
        <w:rPr>
          <w:rFonts w:eastAsia="宋体"/>
          <w:kern w:val="2"/>
          <w:sz w:val="21"/>
          <w:szCs w:val="21"/>
          <w:lang w:eastAsia="zh-CN"/>
        </w:rPr>
        <w:t>招标（采购）代理机构</w:t>
      </w:r>
      <w:r>
        <w:rPr>
          <w:rFonts w:hint="eastAsia" w:ascii="宋体" w:hAnsi="宋体"/>
          <w:szCs w:val="21"/>
        </w:rPr>
        <w:t>将组织投标人对项目现场及周围环境进行踏勘，以便投标人获取有关编制投标文件和签署合同所需的资料。踏勘现场所发生的费用由投标人自行承担。投标人应按招标文件所约定的时间、地点踏勘现场。</w:t>
      </w:r>
    </w:p>
    <w:p w14:paraId="7D8C06AA">
      <w:pPr>
        <w:ind w:firstLine="411" w:firstLineChars="196"/>
        <w:rPr>
          <w:rFonts w:ascii="宋体" w:hAnsi="宋体"/>
        </w:rPr>
      </w:pPr>
      <w:r>
        <w:rPr>
          <w:rFonts w:hint="eastAsia" w:ascii="宋体" w:hAnsi="宋体"/>
        </w:rPr>
        <w:t>9.2投标人及其人员经过采购人的允许，可以进入采购人的项目现场踏勘。若招标文件要求投标人于统一时间地点踏勘现场的，投标人应当按时前往。</w:t>
      </w:r>
    </w:p>
    <w:p w14:paraId="3E76B8EB">
      <w:pPr>
        <w:ind w:firstLine="411" w:firstLineChars="196"/>
        <w:rPr>
          <w:rFonts w:ascii="宋体" w:hAnsi="宋体"/>
        </w:rPr>
      </w:pPr>
      <w:r>
        <w:rPr>
          <w:rFonts w:hint="eastAsia" w:ascii="宋体" w:hAnsi="宋体"/>
        </w:rPr>
        <w:t>9.3采购人应当通过</w:t>
      </w:r>
      <w:r>
        <w:rPr>
          <w:rFonts w:eastAsia="宋体"/>
          <w:kern w:val="2"/>
          <w:sz w:val="21"/>
          <w:szCs w:val="21"/>
          <w:lang w:eastAsia="zh-CN"/>
        </w:rPr>
        <w:t>招标（采购）代理机构</w:t>
      </w:r>
      <w:r>
        <w:rPr>
          <w:rFonts w:hint="eastAsia" w:ascii="宋体" w:hAnsi="宋体"/>
        </w:rPr>
        <w:t>向投标人提供有关现场的书面资料和数据。</w:t>
      </w:r>
    </w:p>
    <w:p w14:paraId="3935ED2F">
      <w:pPr>
        <w:ind w:firstLine="411" w:firstLineChars="196"/>
        <w:rPr>
          <w:rFonts w:ascii="宋体" w:hAnsi="宋体"/>
        </w:rPr>
      </w:pPr>
      <w:r>
        <w:rPr>
          <w:rFonts w:hint="eastAsia" w:ascii="宋体" w:hAnsi="宋体"/>
        </w:rPr>
        <w:t>9.4任何人或任何组织在踏勘现场时向投标人提供的任何书面资料或口头承诺，未经</w:t>
      </w:r>
      <w:r>
        <w:rPr>
          <w:rFonts w:eastAsia="宋体"/>
          <w:kern w:val="2"/>
          <w:sz w:val="21"/>
          <w:szCs w:val="21"/>
          <w:lang w:eastAsia="zh-CN"/>
        </w:rPr>
        <w:t>招标（采购）代理机构</w:t>
      </w:r>
      <w:r>
        <w:rPr>
          <w:rFonts w:hint="eastAsia" w:ascii="宋体" w:hAnsi="宋体"/>
        </w:rPr>
        <w:t>在网上发布或书面通知，均作无效处理。</w:t>
      </w:r>
    </w:p>
    <w:p w14:paraId="150F73F7">
      <w:pPr>
        <w:ind w:firstLine="411" w:firstLineChars="196"/>
        <w:rPr>
          <w:rFonts w:ascii="宋体" w:hAnsi="宋体"/>
        </w:rPr>
      </w:pPr>
      <w:r>
        <w:rPr>
          <w:rFonts w:ascii="宋体" w:hAnsi="宋体"/>
          <w:szCs w:val="21"/>
        </w:rPr>
        <w:t>9</w:t>
      </w:r>
      <w:r>
        <w:rPr>
          <w:rFonts w:hint="eastAsia" w:ascii="宋体" w:hAnsi="宋体"/>
          <w:szCs w:val="21"/>
        </w:rPr>
        <w:t>.</w:t>
      </w:r>
      <w:r>
        <w:rPr>
          <w:rFonts w:ascii="宋体" w:hAnsi="宋体"/>
          <w:szCs w:val="21"/>
        </w:rPr>
        <w:t>5</w:t>
      </w:r>
      <w:r>
        <w:rPr>
          <w:rFonts w:hint="eastAsia" w:ascii="宋体" w:hAnsi="宋体"/>
          <w:szCs w:val="21"/>
        </w:rPr>
        <w:t>未参与踏勘现场不作为否定投标人资格的理由。</w:t>
      </w:r>
    </w:p>
    <w:p w14:paraId="5A909F61">
      <w:pPr>
        <w:rPr>
          <w:rFonts w:ascii="宋体" w:hAnsi="宋体"/>
          <w:szCs w:val="21"/>
        </w:rPr>
      </w:pPr>
      <w:r>
        <w:rPr>
          <w:rFonts w:hint="eastAsia" w:ascii="黑体" w:hAnsi="宋体" w:eastAsia="黑体"/>
          <w:sz w:val="24"/>
        </w:rPr>
        <w:t>1</w:t>
      </w:r>
      <w:r>
        <w:rPr>
          <w:rFonts w:ascii="黑体" w:hAnsi="宋体" w:eastAsia="黑体"/>
          <w:sz w:val="24"/>
        </w:rPr>
        <w:t>0</w:t>
      </w:r>
      <w:r>
        <w:rPr>
          <w:rFonts w:hint="eastAsia" w:ascii="黑体" w:hAnsi="宋体" w:eastAsia="黑体"/>
          <w:sz w:val="24"/>
        </w:rPr>
        <w:t>．标前会议</w:t>
      </w:r>
    </w:p>
    <w:p w14:paraId="2D7B3BD8">
      <w:pPr>
        <w:ind w:firstLine="411" w:firstLineChars="196"/>
        <w:rPr>
          <w:rFonts w:ascii="宋体" w:hAnsi="宋体"/>
          <w:szCs w:val="21"/>
        </w:rPr>
      </w:pPr>
      <w:r>
        <w:rPr>
          <w:rFonts w:hint="eastAsia" w:ascii="宋体" w:hAnsi="宋体"/>
          <w:szCs w:val="21"/>
        </w:rPr>
        <w:t>1</w:t>
      </w:r>
      <w:r>
        <w:rPr>
          <w:rFonts w:ascii="宋体" w:hAnsi="宋体"/>
          <w:szCs w:val="21"/>
        </w:rPr>
        <w:t>0</w:t>
      </w:r>
      <w:r>
        <w:rPr>
          <w:rFonts w:hint="eastAsia" w:ascii="宋体" w:hAnsi="宋体"/>
          <w:szCs w:val="21"/>
        </w:rPr>
        <w:t>.</w:t>
      </w:r>
      <w:r>
        <w:rPr>
          <w:rFonts w:ascii="宋体" w:hAnsi="宋体"/>
          <w:szCs w:val="21"/>
        </w:rPr>
        <w:t>1</w:t>
      </w:r>
      <w:r>
        <w:rPr>
          <w:rFonts w:hint="eastAsia" w:ascii="宋体" w:hAnsi="宋体"/>
          <w:szCs w:val="21"/>
        </w:rPr>
        <w:t>如采购人或</w:t>
      </w:r>
      <w:r>
        <w:rPr>
          <w:rFonts w:eastAsia="宋体"/>
          <w:kern w:val="2"/>
          <w:sz w:val="21"/>
          <w:szCs w:val="21"/>
          <w:lang w:eastAsia="zh-CN"/>
        </w:rPr>
        <w:t>招标（采购）代理机构</w:t>
      </w:r>
      <w:r>
        <w:rPr>
          <w:rFonts w:hint="eastAsia" w:ascii="宋体" w:hAnsi="宋体"/>
          <w:szCs w:val="21"/>
        </w:rPr>
        <w:t>认为有必要组织标前会议，投标人应按照招标文件规定的时间或</w:t>
      </w:r>
      <w:r>
        <w:rPr>
          <w:rFonts w:eastAsia="宋体"/>
          <w:kern w:val="2"/>
          <w:sz w:val="21"/>
          <w:szCs w:val="21"/>
          <w:lang w:eastAsia="zh-CN"/>
        </w:rPr>
        <w:t>招标（采购）代理机构</w:t>
      </w:r>
      <w:r>
        <w:rPr>
          <w:rFonts w:hint="eastAsia" w:ascii="宋体" w:hAnsi="宋体"/>
          <w:szCs w:val="21"/>
        </w:rPr>
        <w:t>另行书面通知（包括</w:t>
      </w:r>
      <w:r>
        <w:rPr>
          <w:rFonts w:eastAsia="宋体"/>
          <w:kern w:val="2"/>
          <w:sz w:val="21"/>
          <w:szCs w:val="21"/>
          <w:lang w:eastAsia="zh-CN"/>
        </w:rPr>
        <w:t>招标（采购）代理机构</w:t>
      </w:r>
      <w:r>
        <w:rPr>
          <w:rFonts w:hint="eastAsia" w:ascii="宋体" w:hAnsi="宋体"/>
          <w:szCs w:val="21"/>
        </w:rPr>
        <w:t>网站发布方式，如更正公告等）的时间和地点，参与标前会议。</w:t>
      </w:r>
    </w:p>
    <w:p w14:paraId="4ED79951">
      <w:pPr>
        <w:ind w:firstLine="411" w:firstLineChars="196"/>
        <w:rPr>
          <w:rFonts w:ascii="宋体" w:hAnsi="宋体"/>
          <w:szCs w:val="21"/>
        </w:rPr>
      </w:pPr>
      <w:r>
        <w:rPr>
          <w:rFonts w:ascii="宋体" w:hAnsi="宋体"/>
        </w:rPr>
        <w:t>10</w:t>
      </w:r>
      <w:r>
        <w:rPr>
          <w:rFonts w:hint="eastAsia" w:ascii="宋体" w:hAnsi="宋体"/>
        </w:rPr>
        <w:t>.</w:t>
      </w:r>
      <w:r>
        <w:rPr>
          <w:rFonts w:ascii="宋体" w:hAnsi="宋体"/>
        </w:rPr>
        <w:t>2</w:t>
      </w:r>
      <w:r>
        <w:rPr>
          <w:rFonts w:hint="eastAsia" w:ascii="宋体" w:hAnsi="宋体"/>
        </w:rPr>
        <w:t>任何人或任何组织在标前会议时向投标人提供的任何书面资料或口头承诺，未经</w:t>
      </w:r>
      <w:r>
        <w:rPr>
          <w:rFonts w:eastAsia="宋体"/>
          <w:kern w:val="2"/>
          <w:sz w:val="21"/>
          <w:szCs w:val="21"/>
          <w:lang w:eastAsia="zh-CN"/>
        </w:rPr>
        <w:t>招标（采购）代理机构</w:t>
      </w:r>
      <w:r>
        <w:rPr>
          <w:rFonts w:hint="eastAsia" w:ascii="宋体" w:hAnsi="宋体"/>
        </w:rPr>
        <w:t>在网上发布或书面通知，均作无效处理。</w:t>
      </w:r>
    </w:p>
    <w:p w14:paraId="1DE93B41">
      <w:pPr>
        <w:ind w:firstLine="411" w:firstLineChars="196"/>
        <w:rPr>
          <w:rFonts w:ascii="宋体" w:hAnsi="宋体"/>
          <w:szCs w:val="21"/>
        </w:rPr>
      </w:pPr>
      <w:r>
        <w:rPr>
          <w:rFonts w:hint="eastAsia" w:ascii="宋体" w:hAnsi="宋体"/>
          <w:szCs w:val="21"/>
        </w:rPr>
        <w:t>1</w:t>
      </w:r>
      <w:r>
        <w:rPr>
          <w:rFonts w:ascii="宋体" w:hAnsi="宋体"/>
          <w:szCs w:val="21"/>
        </w:rPr>
        <w:t>0</w:t>
      </w:r>
      <w:r>
        <w:rPr>
          <w:rFonts w:hint="eastAsia" w:ascii="宋体" w:hAnsi="宋体"/>
          <w:szCs w:val="21"/>
        </w:rPr>
        <w:t>.</w:t>
      </w:r>
      <w:r>
        <w:rPr>
          <w:rFonts w:ascii="宋体" w:hAnsi="宋体"/>
          <w:szCs w:val="21"/>
        </w:rPr>
        <w:t>3</w:t>
      </w:r>
      <w:r>
        <w:rPr>
          <w:rFonts w:hint="eastAsia" w:ascii="宋体" w:hAnsi="宋体"/>
          <w:szCs w:val="21"/>
        </w:rPr>
        <w:t>未参与标前会议不作为否定投标人资格的理由。</w:t>
      </w:r>
    </w:p>
    <w:bookmarkEnd w:id="52"/>
    <w:p w14:paraId="61311C4C">
      <w:pPr>
        <w:ind w:firstLine="411" w:firstLineChars="196"/>
        <w:rPr>
          <w:rFonts w:ascii="宋体" w:hAnsi="宋体"/>
        </w:rPr>
      </w:pPr>
    </w:p>
    <w:p w14:paraId="401767C1">
      <w:pPr>
        <w:pStyle w:val="4"/>
        <w:numPr>
          <w:ilvl w:val="0"/>
          <w:numId w:val="13"/>
        </w:numPr>
        <w:spacing w:before="156" w:beforeLines="50" w:after="156" w:afterLines="50"/>
        <w:ind w:left="562" w:hanging="562"/>
        <w:rPr>
          <w:sz w:val="28"/>
          <w:szCs w:val="28"/>
        </w:rPr>
      </w:pPr>
      <w:r>
        <w:rPr>
          <w:rFonts w:hint="eastAsia"/>
          <w:sz w:val="28"/>
          <w:szCs w:val="28"/>
        </w:rPr>
        <w:t>招标文件</w:t>
      </w:r>
    </w:p>
    <w:p w14:paraId="46F720F6">
      <w:pPr>
        <w:rPr>
          <w:rFonts w:ascii="黑体" w:hAnsi="宋体" w:eastAsia="黑体"/>
          <w:sz w:val="24"/>
        </w:rPr>
      </w:pPr>
      <w:r>
        <w:rPr>
          <w:rFonts w:hint="eastAsia" w:ascii="黑体" w:hAnsi="宋体" w:eastAsia="黑体"/>
          <w:sz w:val="24"/>
        </w:rPr>
        <w:t>1</w:t>
      </w:r>
      <w:r>
        <w:rPr>
          <w:rFonts w:ascii="黑体" w:hAnsi="宋体" w:eastAsia="黑体"/>
          <w:sz w:val="24"/>
        </w:rPr>
        <w:t>1</w:t>
      </w:r>
      <w:r>
        <w:rPr>
          <w:rFonts w:hint="eastAsia" w:ascii="黑体" w:hAnsi="宋体" w:eastAsia="黑体"/>
          <w:sz w:val="24"/>
        </w:rPr>
        <w:t>．</w:t>
      </w:r>
      <w:bookmarkStart w:id="54" w:name="_Hlk72399819"/>
      <w:r>
        <w:rPr>
          <w:rFonts w:hint="eastAsia" w:ascii="黑体" w:hAnsi="宋体" w:eastAsia="黑体"/>
          <w:sz w:val="24"/>
        </w:rPr>
        <w:t>招标文件的编制与组成</w:t>
      </w:r>
    </w:p>
    <w:p w14:paraId="0CB72C7C">
      <w:pPr>
        <w:snapToGrid w:val="0"/>
        <w:ind w:firstLine="420" w:firstLineChars="200"/>
        <w:rPr>
          <w:rFonts w:ascii="宋体" w:hAnsi="宋体"/>
          <w:szCs w:val="21"/>
        </w:rPr>
      </w:pPr>
      <w:r>
        <w:rPr>
          <w:rFonts w:hint="eastAsia" w:ascii="宋体" w:hAnsi="宋体"/>
          <w:szCs w:val="21"/>
        </w:rPr>
        <w:t>1</w:t>
      </w:r>
      <w:r>
        <w:rPr>
          <w:rFonts w:ascii="宋体" w:hAnsi="宋体"/>
          <w:szCs w:val="21"/>
        </w:rPr>
        <w:t>1</w:t>
      </w:r>
      <w:r>
        <w:rPr>
          <w:rFonts w:hint="eastAsia" w:ascii="宋体" w:hAnsi="宋体"/>
          <w:szCs w:val="21"/>
        </w:rPr>
        <w:t>.1招标文件除以下内容外，</w:t>
      </w:r>
      <w:r>
        <w:rPr>
          <w:rFonts w:eastAsia="宋体"/>
          <w:kern w:val="2"/>
          <w:sz w:val="21"/>
          <w:szCs w:val="21"/>
          <w:lang w:eastAsia="zh-CN"/>
        </w:rPr>
        <w:t>招标（采购）代理机构</w:t>
      </w:r>
      <w:r>
        <w:rPr>
          <w:rFonts w:hint="eastAsia" w:ascii="宋体" w:hAnsi="宋体"/>
          <w:szCs w:val="21"/>
        </w:rPr>
        <w:t>在招标期间发出的澄清或修改等相关公告或通知内容，均是招标文件的组成部分，对投标人起约束作用；</w:t>
      </w:r>
    </w:p>
    <w:p w14:paraId="2D92ACA5">
      <w:pPr>
        <w:ind w:firstLine="411" w:firstLineChars="196"/>
        <w:rPr>
          <w:rFonts w:ascii="宋体" w:hAnsi="宋体"/>
          <w:szCs w:val="21"/>
        </w:rPr>
      </w:pPr>
      <w:r>
        <w:rPr>
          <w:rFonts w:hint="eastAsia" w:ascii="宋体" w:hAnsi="宋体"/>
          <w:szCs w:val="21"/>
        </w:rPr>
        <w:t>招标文件包括下列内容：</w:t>
      </w:r>
    </w:p>
    <w:p w14:paraId="2D512489">
      <w:pPr>
        <w:ind w:left="420" w:leftChars="200" w:firstLine="413" w:firstLineChars="196"/>
        <w:rPr>
          <w:rFonts w:ascii="宋体" w:hAnsi="宋体"/>
          <w:b/>
          <w:szCs w:val="21"/>
        </w:rPr>
      </w:pPr>
      <w:r>
        <w:rPr>
          <w:rFonts w:hint="eastAsia" w:ascii="宋体" w:hAnsi="宋体"/>
          <w:b/>
          <w:szCs w:val="21"/>
        </w:rPr>
        <w:t>第一册  专用条款</w:t>
      </w:r>
    </w:p>
    <w:p w14:paraId="50C86834">
      <w:pPr>
        <w:ind w:left="1079" w:leftChars="514"/>
        <w:rPr>
          <w:rFonts w:ascii="宋体" w:hAnsi="宋体"/>
          <w:b/>
          <w:szCs w:val="21"/>
        </w:rPr>
      </w:pPr>
      <w:r>
        <w:rPr>
          <w:rFonts w:hint="eastAsia" w:ascii="宋体" w:hAnsi="宋体"/>
          <w:b/>
          <w:szCs w:val="21"/>
        </w:rPr>
        <w:t>关键信息</w:t>
      </w:r>
    </w:p>
    <w:p w14:paraId="6B906F23">
      <w:pPr>
        <w:ind w:left="630" w:leftChars="300" w:firstLine="411" w:firstLineChars="196"/>
        <w:outlineLvl w:val="0"/>
        <w:rPr>
          <w:rFonts w:ascii="宋体" w:hAnsi="宋体"/>
          <w:szCs w:val="21"/>
        </w:rPr>
      </w:pPr>
      <w:r>
        <w:rPr>
          <w:rFonts w:hint="eastAsia" w:ascii="宋体" w:hAnsi="宋体"/>
          <w:szCs w:val="21"/>
        </w:rPr>
        <w:t>第一章  招标公告</w:t>
      </w:r>
    </w:p>
    <w:p w14:paraId="513B8215">
      <w:pPr>
        <w:ind w:left="630" w:leftChars="300" w:firstLine="411" w:firstLineChars="196"/>
        <w:outlineLvl w:val="0"/>
        <w:rPr>
          <w:rFonts w:ascii="宋体" w:hAnsi="宋体"/>
          <w:szCs w:val="21"/>
        </w:rPr>
      </w:pPr>
      <w:r>
        <w:rPr>
          <w:rFonts w:hint="eastAsia" w:ascii="宋体" w:hAnsi="宋体"/>
          <w:szCs w:val="21"/>
        </w:rPr>
        <w:t>第二章  对通用条款的补充内容及其他关键信息</w:t>
      </w:r>
    </w:p>
    <w:p w14:paraId="1F7C244C">
      <w:pPr>
        <w:ind w:left="630" w:leftChars="300" w:firstLine="411" w:firstLineChars="196"/>
        <w:outlineLvl w:val="0"/>
        <w:rPr>
          <w:rFonts w:ascii="宋体" w:hAnsi="宋体"/>
          <w:szCs w:val="21"/>
        </w:rPr>
      </w:pPr>
      <w:r>
        <w:rPr>
          <w:rFonts w:hint="eastAsia" w:ascii="宋体" w:hAnsi="宋体"/>
          <w:szCs w:val="21"/>
        </w:rPr>
        <w:t>第三章  用户需求书</w:t>
      </w:r>
    </w:p>
    <w:p w14:paraId="3151EF1B">
      <w:pPr>
        <w:ind w:left="630" w:leftChars="300" w:firstLine="411" w:firstLineChars="196"/>
        <w:outlineLvl w:val="0"/>
        <w:rPr>
          <w:rFonts w:ascii="宋体" w:hAnsi="宋体"/>
          <w:szCs w:val="21"/>
        </w:rPr>
      </w:pPr>
      <w:r>
        <w:rPr>
          <w:rFonts w:hint="eastAsia"/>
        </w:rPr>
        <w:t xml:space="preserve">第四章 </w:t>
      </w:r>
      <w:r>
        <w:t xml:space="preserve"> </w:t>
      </w:r>
      <w:r>
        <w:rPr>
          <w:rFonts w:hint="eastAsia"/>
        </w:rPr>
        <w:t>投标文件格式及附件</w:t>
      </w:r>
    </w:p>
    <w:p w14:paraId="5702B805">
      <w:pPr>
        <w:ind w:left="630" w:leftChars="300" w:firstLine="411" w:firstLineChars="196"/>
        <w:outlineLvl w:val="0"/>
        <w:rPr>
          <w:rFonts w:ascii="宋体" w:hAnsi="宋体"/>
          <w:szCs w:val="21"/>
        </w:rPr>
      </w:pPr>
      <w:r>
        <w:rPr>
          <w:rFonts w:hint="eastAsia" w:ascii="宋体" w:hAnsi="宋体"/>
          <w:szCs w:val="21"/>
        </w:rPr>
        <w:t>第五章  合同条款及格式</w:t>
      </w:r>
    </w:p>
    <w:p w14:paraId="0CD72BB5">
      <w:pPr>
        <w:ind w:left="420" w:leftChars="200" w:firstLine="413" w:firstLineChars="196"/>
        <w:outlineLvl w:val="0"/>
        <w:rPr>
          <w:rFonts w:ascii="宋体" w:hAnsi="宋体"/>
          <w:b/>
          <w:szCs w:val="21"/>
        </w:rPr>
      </w:pPr>
      <w:r>
        <w:rPr>
          <w:rFonts w:hint="eastAsia" w:ascii="宋体" w:hAnsi="宋体"/>
          <w:b/>
          <w:szCs w:val="21"/>
        </w:rPr>
        <w:t>第二册  通用条款</w:t>
      </w:r>
    </w:p>
    <w:p w14:paraId="03D72BC8">
      <w:pPr>
        <w:ind w:left="630" w:leftChars="300" w:firstLine="411" w:firstLineChars="196"/>
        <w:outlineLvl w:val="0"/>
        <w:rPr>
          <w:rFonts w:ascii="宋体" w:hAnsi="宋体"/>
          <w:szCs w:val="21"/>
        </w:rPr>
      </w:pPr>
      <w:r>
        <w:rPr>
          <w:rFonts w:hint="eastAsia" w:ascii="宋体" w:hAnsi="宋体"/>
          <w:szCs w:val="21"/>
        </w:rPr>
        <w:t>第一章  总则</w:t>
      </w:r>
    </w:p>
    <w:p w14:paraId="239F43B4">
      <w:pPr>
        <w:ind w:left="630" w:leftChars="300" w:firstLine="411" w:firstLineChars="196"/>
        <w:outlineLvl w:val="0"/>
        <w:rPr>
          <w:rFonts w:ascii="宋体" w:hAnsi="宋体"/>
          <w:szCs w:val="21"/>
        </w:rPr>
      </w:pPr>
      <w:r>
        <w:rPr>
          <w:rFonts w:hint="eastAsia" w:ascii="宋体" w:hAnsi="宋体"/>
          <w:szCs w:val="21"/>
        </w:rPr>
        <w:t>第二章  招标文件</w:t>
      </w:r>
    </w:p>
    <w:p w14:paraId="46370943">
      <w:pPr>
        <w:ind w:left="630" w:leftChars="300" w:firstLine="411" w:firstLineChars="196"/>
        <w:outlineLvl w:val="0"/>
        <w:rPr>
          <w:rFonts w:ascii="宋体" w:hAnsi="宋体"/>
          <w:szCs w:val="21"/>
        </w:rPr>
      </w:pPr>
      <w:r>
        <w:rPr>
          <w:rFonts w:hint="eastAsia" w:ascii="宋体" w:hAnsi="宋体"/>
          <w:szCs w:val="21"/>
        </w:rPr>
        <w:t>第三章  投标文件的编制</w:t>
      </w:r>
    </w:p>
    <w:p w14:paraId="6FAB3A3E">
      <w:pPr>
        <w:ind w:left="630" w:leftChars="300" w:firstLine="411" w:firstLineChars="196"/>
        <w:outlineLvl w:val="0"/>
        <w:rPr>
          <w:rFonts w:ascii="宋体" w:hAnsi="宋体"/>
          <w:szCs w:val="21"/>
        </w:rPr>
      </w:pPr>
      <w:r>
        <w:rPr>
          <w:rFonts w:hint="eastAsia" w:ascii="宋体" w:hAnsi="宋体"/>
          <w:szCs w:val="21"/>
        </w:rPr>
        <w:t>第四章  投标文件的递交</w:t>
      </w:r>
    </w:p>
    <w:p w14:paraId="10B6D79B">
      <w:pPr>
        <w:ind w:left="630" w:leftChars="300" w:firstLine="411" w:firstLineChars="196"/>
        <w:outlineLvl w:val="0"/>
        <w:rPr>
          <w:rFonts w:ascii="宋体" w:hAnsi="宋体"/>
          <w:szCs w:val="21"/>
        </w:rPr>
      </w:pPr>
      <w:r>
        <w:rPr>
          <w:rFonts w:hint="eastAsia" w:ascii="宋体" w:hAnsi="宋体"/>
          <w:szCs w:val="21"/>
        </w:rPr>
        <w:t>第五章  开标</w:t>
      </w:r>
    </w:p>
    <w:p w14:paraId="7C91A22B">
      <w:pPr>
        <w:ind w:left="630" w:leftChars="300" w:firstLine="411" w:firstLineChars="196"/>
        <w:outlineLvl w:val="0"/>
        <w:rPr>
          <w:rFonts w:ascii="宋体" w:hAnsi="宋体"/>
          <w:szCs w:val="21"/>
        </w:rPr>
      </w:pPr>
      <w:r>
        <w:rPr>
          <w:rFonts w:hint="eastAsia" w:ascii="宋体" w:hAnsi="宋体"/>
          <w:szCs w:val="21"/>
        </w:rPr>
        <w:t>第六章  评审要求</w:t>
      </w:r>
    </w:p>
    <w:p w14:paraId="3F40103B">
      <w:pPr>
        <w:ind w:left="630" w:leftChars="300" w:firstLine="411" w:firstLineChars="196"/>
        <w:outlineLvl w:val="0"/>
        <w:rPr>
          <w:rFonts w:ascii="宋体" w:hAnsi="宋体"/>
          <w:szCs w:val="21"/>
        </w:rPr>
      </w:pPr>
      <w:r>
        <w:rPr>
          <w:rFonts w:hint="eastAsia" w:ascii="宋体" w:hAnsi="宋体"/>
          <w:szCs w:val="21"/>
        </w:rPr>
        <w:t>第七章  评审程序及评审方法</w:t>
      </w:r>
    </w:p>
    <w:p w14:paraId="7A22A9D2">
      <w:pPr>
        <w:ind w:left="630" w:leftChars="300" w:firstLine="411" w:firstLineChars="196"/>
        <w:outlineLvl w:val="0"/>
        <w:rPr>
          <w:rFonts w:ascii="宋体" w:hAnsi="宋体"/>
          <w:szCs w:val="21"/>
        </w:rPr>
      </w:pPr>
      <w:r>
        <w:rPr>
          <w:rFonts w:hint="eastAsia" w:ascii="宋体" w:hAnsi="宋体"/>
          <w:szCs w:val="21"/>
        </w:rPr>
        <w:t>第八章  定标及公示</w:t>
      </w:r>
    </w:p>
    <w:p w14:paraId="31D2174B">
      <w:pPr>
        <w:ind w:left="630" w:leftChars="300" w:firstLine="411" w:firstLineChars="196"/>
        <w:outlineLvl w:val="0"/>
        <w:rPr>
          <w:rFonts w:ascii="宋体" w:hAnsi="宋体"/>
          <w:szCs w:val="21"/>
        </w:rPr>
      </w:pPr>
      <w:r>
        <w:rPr>
          <w:rFonts w:hint="eastAsia" w:ascii="宋体" w:hAnsi="宋体"/>
          <w:szCs w:val="21"/>
        </w:rPr>
        <w:t>第九章  公开招标失败的后续处理</w:t>
      </w:r>
    </w:p>
    <w:p w14:paraId="6ADED732">
      <w:pPr>
        <w:ind w:left="630" w:leftChars="300" w:firstLine="411" w:firstLineChars="196"/>
        <w:outlineLvl w:val="0"/>
        <w:rPr>
          <w:rFonts w:ascii="宋体" w:hAnsi="宋体"/>
          <w:szCs w:val="21"/>
        </w:rPr>
      </w:pPr>
      <w:r>
        <w:rPr>
          <w:rFonts w:hint="eastAsia" w:ascii="宋体" w:hAnsi="宋体"/>
          <w:szCs w:val="21"/>
        </w:rPr>
        <w:t>第十章  合同的授予与备案</w:t>
      </w:r>
    </w:p>
    <w:p w14:paraId="32B97791">
      <w:pPr>
        <w:ind w:left="630" w:leftChars="300" w:firstLine="411" w:firstLineChars="196"/>
        <w:outlineLvl w:val="0"/>
        <w:rPr>
          <w:rFonts w:ascii="宋体" w:hAnsi="宋体"/>
          <w:szCs w:val="21"/>
        </w:rPr>
      </w:pPr>
      <w:r>
        <w:rPr>
          <w:rFonts w:hint="eastAsia" w:ascii="宋体" w:hAnsi="宋体"/>
          <w:szCs w:val="21"/>
        </w:rPr>
        <w:t>第十一章  质疑处理</w:t>
      </w:r>
    </w:p>
    <w:p w14:paraId="206ACBAF">
      <w:pPr>
        <w:ind w:firstLine="411" w:firstLineChars="196"/>
        <w:rPr>
          <w:rFonts w:ascii="宋体" w:hAnsi="宋体"/>
          <w:szCs w:val="21"/>
        </w:rPr>
      </w:pPr>
      <w:r>
        <w:rPr>
          <w:rFonts w:hint="eastAsia" w:ascii="宋体" w:hAnsi="宋体"/>
          <w:szCs w:val="21"/>
        </w:rPr>
        <w:t>1</w:t>
      </w:r>
      <w:r>
        <w:rPr>
          <w:rFonts w:ascii="宋体" w:hAnsi="宋体"/>
          <w:szCs w:val="21"/>
        </w:rPr>
        <w:t>1</w:t>
      </w:r>
      <w:r>
        <w:rPr>
          <w:rFonts w:hint="eastAsia" w:ascii="宋体" w:hAnsi="宋体"/>
          <w:szCs w:val="21"/>
        </w:rPr>
        <w:t>.2 投标人下载招标文件后，应仔细检查招标文件的所有内容，如有疑问应在答疑截止时间之前向</w:t>
      </w:r>
      <w:r>
        <w:rPr>
          <w:rFonts w:eastAsia="宋体"/>
          <w:kern w:val="2"/>
          <w:sz w:val="21"/>
          <w:szCs w:val="21"/>
          <w:lang w:eastAsia="zh-CN"/>
        </w:rPr>
        <w:t>招标（采购）代理机构</w:t>
      </w:r>
      <w:r>
        <w:rPr>
          <w:rFonts w:hint="eastAsia" w:ascii="宋体" w:hAnsi="宋体"/>
          <w:szCs w:val="21"/>
        </w:rPr>
        <w:t>提出，否则，由此引起的投标损失自负；投标人同时应认真审阅招标文件所有的事项、格式、条款和规范要求等，如果投标人的投标文件未按招标文件要求提交全部资料或者投标文件未对招标文件做出实质性响应，其风险由投标人自行承担。</w:t>
      </w:r>
    </w:p>
    <w:p w14:paraId="076F463A">
      <w:pPr>
        <w:ind w:firstLine="411" w:firstLineChars="196"/>
        <w:rPr>
          <w:rFonts w:ascii="宋体" w:hAnsi="宋体"/>
          <w:szCs w:val="21"/>
        </w:rPr>
      </w:pPr>
      <w:r>
        <w:rPr>
          <w:rFonts w:hint="eastAsia" w:ascii="宋体" w:hAnsi="宋体"/>
          <w:szCs w:val="21"/>
        </w:rPr>
        <w:t>1</w:t>
      </w:r>
      <w:r>
        <w:rPr>
          <w:rFonts w:ascii="宋体" w:hAnsi="宋体"/>
          <w:szCs w:val="21"/>
        </w:rPr>
        <w:t>1</w:t>
      </w:r>
      <w:r>
        <w:rPr>
          <w:rFonts w:hint="eastAsia" w:ascii="宋体" w:hAnsi="宋体"/>
          <w:szCs w:val="21"/>
        </w:rPr>
        <w:t>.3</w:t>
      </w:r>
      <w:r>
        <w:rPr>
          <w:rFonts w:hint="eastAsia" w:ascii="宋体" w:hAnsi="宋体"/>
        </w:rPr>
        <w:t>任何人或任何组织向投标人提交的任何书面或口头资料，未经</w:t>
      </w:r>
      <w:r>
        <w:rPr>
          <w:rFonts w:eastAsia="宋体"/>
          <w:kern w:val="2"/>
          <w:sz w:val="21"/>
          <w:szCs w:val="21"/>
          <w:lang w:eastAsia="zh-CN"/>
        </w:rPr>
        <w:t>招标（采购）代理机构</w:t>
      </w:r>
      <w:r>
        <w:rPr>
          <w:rFonts w:hint="eastAsia" w:ascii="宋体" w:hAnsi="宋体"/>
        </w:rPr>
        <w:t>在网上发布或书面通知，均作无效处理，不得作为招标文件的组成部分。</w:t>
      </w:r>
      <w:r>
        <w:rPr>
          <w:rFonts w:eastAsia="宋体"/>
          <w:kern w:val="2"/>
          <w:sz w:val="21"/>
          <w:szCs w:val="21"/>
          <w:lang w:eastAsia="zh-CN"/>
        </w:rPr>
        <w:t>招标（采购）代理机构</w:t>
      </w:r>
      <w:r>
        <w:rPr>
          <w:rFonts w:hint="eastAsia" w:ascii="宋体" w:hAnsi="宋体"/>
        </w:rPr>
        <w:t>对投标人由此而做出的推论、理解和结论概不负责。</w:t>
      </w:r>
    </w:p>
    <w:p w14:paraId="22138043">
      <w:pPr>
        <w:rPr>
          <w:rFonts w:ascii="黑体" w:hAnsi="宋体" w:eastAsia="黑体"/>
          <w:sz w:val="24"/>
        </w:rPr>
      </w:pPr>
      <w:r>
        <w:rPr>
          <w:rFonts w:hint="eastAsia" w:ascii="黑体" w:hAnsi="宋体" w:eastAsia="黑体"/>
          <w:sz w:val="24"/>
        </w:rPr>
        <w:t>1</w:t>
      </w:r>
      <w:r>
        <w:rPr>
          <w:rFonts w:ascii="黑体" w:hAnsi="宋体" w:eastAsia="黑体"/>
          <w:sz w:val="24"/>
        </w:rPr>
        <w:t>2</w:t>
      </w:r>
      <w:r>
        <w:rPr>
          <w:rFonts w:hint="eastAsia" w:ascii="黑体" w:hAnsi="宋体" w:eastAsia="黑体"/>
          <w:sz w:val="24"/>
        </w:rPr>
        <w:t>．招标文件的澄清</w:t>
      </w:r>
    </w:p>
    <w:p w14:paraId="25210D4F">
      <w:pPr>
        <w:ind w:firstLine="411" w:firstLineChars="196"/>
        <w:rPr>
          <w:rFonts w:ascii="宋体" w:hAnsi="宋体"/>
          <w:szCs w:val="21"/>
        </w:rPr>
      </w:pPr>
      <w:r>
        <w:rPr>
          <w:rFonts w:hint="eastAsia" w:ascii="宋体" w:hAnsi="宋体"/>
          <w:szCs w:val="21"/>
        </w:rPr>
        <w:t>1</w:t>
      </w:r>
      <w:r>
        <w:rPr>
          <w:rFonts w:ascii="宋体" w:hAnsi="宋体"/>
          <w:szCs w:val="21"/>
        </w:rPr>
        <w:t>2</w:t>
      </w:r>
      <w:r>
        <w:rPr>
          <w:rFonts w:hint="eastAsia" w:ascii="宋体" w:hAnsi="宋体"/>
          <w:szCs w:val="21"/>
        </w:rPr>
        <w:t>.1招标文件澄清的目的是澄清、解答投标人在查阅招标文件后或现场踏勘中可能提出的与投标有关的疑问或询问。</w:t>
      </w:r>
    </w:p>
    <w:p w14:paraId="762BD744">
      <w:pPr>
        <w:ind w:firstLine="411" w:firstLineChars="196"/>
        <w:rPr>
          <w:rFonts w:ascii="宋体" w:hAnsi="宋体"/>
          <w:szCs w:val="21"/>
        </w:rPr>
      </w:pPr>
      <w:r>
        <w:rPr>
          <w:rFonts w:hint="eastAsia" w:ascii="宋体" w:hAnsi="宋体"/>
          <w:szCs w:val="21"/>
        </w:rPr>
        <w:t>1</w:t>
      </w:r>
      <w:r>
        <w:rPr>
          <w:rFonts w:ascii="宋体" w:hAnsi="宋体"/>
          <w:szCs w:val="21"/>
        </w:rPr>
        <w:t>2</w:t>
      </w:r>
      <w:r>
        <w:rPr>
          <w:rFonts w:hint="eastAsia" w:ascii="宋体" w:hAnsi="宋体"/>
          <w:szCs w:val="21"/>
        </w:rPr>
        <w:t>.2投标人如对招标文件内容有疑问，应当在招标公告规定的澄清（提问）截止时间前以网上提问的形式通过网上政府采购系统提交</w:t>
      </w:r>
      <w:r>
        <w:rPr>
          <w:rFonts w:eastAsia="宋体"/>
          <w:kern w:val="2"/>
          <w:sz w:val="21"/>
          <w:szCs w:val="21"/>
          <w:lang w:eastAsia="zh-CN"/>
        </w:rPr>
        <w:t>招标（采购）代理机构</w:t>
      </w:r>
      <w:r>
        <w:rPr>
          <w:rFonts w:hint="eastAsia" w:ascii="宋体" w:hAnsi="宋体"/>
          <w:szCs w:val="21"/>
        </w:rPr>
        <w:t>。</w:t>
      </w:r>
    </w:p>
    <w:p w14:paraId="58320D08">
      <w:pPr>
        <w:ind w:firstLine="411" w:firstLineChars="196"/>
        <w:rPr>
          <w:rFonts w:ascii="宋体" w:hAnsi="宋体"/>
          <w:szCs w:val="21"/>
        </w:rPr>
      </w:pPr>
      <w:r>
        <w:rPr>
          <w:rFonts w:hint="eastAsia" w:ascii="宋体" w:hAnsi="宋体"/>
          <w:szCs w:val="21"/>
        </w:rPr>
        <w:t>1</w:t>
      </w:r>
      <w:r>
        <w:rPr>
          <w:rFonts w:ascii="宋体" w:hAnsi="宋体"/>
          <w:szCs w:val="21"/>
        </w:rPr>
        <w:t>2</w:t>
      </w:r>
      <w:r>
        <w:rPr>
          <w:rFonts w:hint="eastAsia" w:ascii="宋体" w:hAnsi="宋体"/>
          <w:szCs w:val="21"/>
        </w:rPr>
        <w:t>.3不论是</w:t>
      </w:r>
      <w:r>
        <w:rPr>
          <w:rFonts w:eastAsia="宋体"/>
          <w:kern w:val="2"/>
          <w:sz w:val="21"/>
          <w:szCs w:val="21"/>
          <w:lang w:eastAsia="zh-CN"/>
        </w:rPr>
        <w:t>招标（采购）代理机构</w:t>
      </w:r>
      <w:r>
        <w:rPr>
          <w:rFonts w:hint="eastAsia" w:ascii="宋体" w:hAnsi="宋体"/>
          <w:szCs w:val="21"/>
        </w:rPr>
        <w:t>根据需要主动对招标文件进行必要的澄清或是根据投标人的要求对招标文件做出澄清，</w:t>
      </w:r>
      <w:r>
        <w:rPr>
          <w:rFonts w:eastAsia="宋体"/>
          <w:kern w:val="2"/>
          <w:sz w:val="21"/>
          <w:szCs w:val="21"/>
          <w:lang w:eastAsia="zh-CN"/>
        </w:rPr>
        <w:t>招标（采购）代理机构</w:t>
      </w:r>
      <w:r>
        <w:rPr>
          <w:rFonts w:hint="eastAsia" w:ascii="宋体" w:hAnsi="宋体"/>
          <w:szCs w:val="21"/>
        </w:rPr>
        <w:t>都将在投标截止日期前以书面形式（包括</w:t>
      </w:r>
      <w:r>
        <w:rPr>
          <w:rFonts w:eastAsia="宋体"/>
          <w:kern w:val="2"/>
          <w:sz w:val="21"/>
          <w:szCs w:val="21"/>
          <w:lang w:eastAsia="zh-CN"/>
        </w:rPr>
        <w:t>招标（采购）代理机构</w:t>
      </w:r>
      <w:r>
        <w:rPr>
          <w:rFonts w:hint="eastAsia" w:ascii="宋体" w:hAnsi="宋体"/>
          <w:szCs w:val="21"/>
        </w:rPr>
        <w:t>网站发布方式）答复或发送给所有投标人。答复内容是招标文件的组成部分，对投标人起约束作用，其有效性按照本通用条款第1</w:t>
      </w:r>
      <w:r>
        <w:rPr>
          <w:rFonts w:ascii="宋体" w:hAnsi="宋体"/>
          <w:szCs w:val="21"/>
        </w:rPr>
        <w:t>3.3</w:t>
      </w:r>
      <w:r>
        <w:rPr>
          <w:rFonts w:hint="eastAsia" w:ascii="宋体" w:hAnsi="宋体"/>
          <w:szCs w:val="21"/>
        </w:rPr>
        <w:t>、1</w:t>
      </w:r>
      <w:r>
        <w:rPr>
          <w:rFonts w:ascii="宋体" w:hAnsi="宋体"/>
          <w:szCs w:val="21"/>
        </w:rPr>
        <w:t>3.4</w:t>
      </w:r>
      <w:r>
        <w:rPr>
          <w:rFonts w:hint="eastAsia" w:ascii="宋体" w:hAnsi="宋体"/>
          <w:szCs w:val="21"/>
        </w:rPr>
        <w:t>款规定执行。</w:t>
      </w:r>
    </w:p>
    <w:p w14:paraId="1563B716">
      <w:pPr>
        <w:rPr>
          <w:rFonts w:ascii="黑体" w:hAnsi="宋体" w:eastAsia="黑体"/>
          <w:sz w:val="24"/>
        </w:rPr>
      </w:pPr>
      <w:r>
        <w:rPr>
          <w:rFonts w:ascii="黑体" w:hAnsi="宋体" w:eastAsia="黑体"/>
          <w:sz w:val="24"/>
        </w:rPr>
        <w:t>1</w:t>
      </w:r>
      <w:r>
        <w:rPr>
          <w:rFonts w:hint="eastAsia" w:ascii="黑体" w:hAnsi="宋体" w:eastAsia="黑体"/>
          <w:sz w:val="24"/>
        </w:rPr>
        <w:t>3．招标文件的修改</w:t>
      </w:r>
    </w:p>
    <w:p w14:paraId="72B2C65D">
      <w:pPr>
        <w:ind w:firstLine="411" w:firstLineChars="196"/>
        <w:rPr>
          <w:rFonts w:ascii="宋体" w:hAnsi="宋体"/>
          <w:szCs w:val="21"/>
        </w:rPr>
      </w:pPr>
      <w:r>
        <w:rPr>
          <w:rFonts w:ascii="宋体" w:hAnsi="宋体"/>
          <w:szCs w:val="21"/>
        </w:rPr>
        <w:t>1</w:t>
      </w:r>
      <w:r>
        <w:rPr>
          <w:rFonts w:hint="eastAsia" w:ascii="宋体" w:hAnsi="宋体"/>
          <w:szCs w:val="21"/>
        </w:rPr>
        <w:t>3.1招标文件发出后，在投标截止日期前任何时候，确需要变更招标文件内容的，</w:t>
      </w:r>
      <w:r>
        <w:rPr>
          <w:rFonts w:eastAsia="宋体"/>
          <w:kern w:val="2"/>
          <w:sz w:val="21"/>
          <w:szCs w:val="21"/>
          <w:lang w:eastAsia="zh-CN"/>
        </w:rPr>
        <w:t>招标（采购）代理机构</w:t>
      </w:r>
      <w:r>
        <w:rPr>
          <w:rFonts w:hint="eastAsia" w:ascii="宋体" w:hAnsi="宋体"/>
          <w:szCs w:val="21"/>
        </w:rPr>
        <w:t>可主动或在解答投标人提出的澄清问题时对招标文件进行修改。</w:t>
      </w:r>
    </w:p>
    <w:p w14:paraId="34E35C75">
      <w:pPr>
        <w:ind w:firstLine="411" w:firstLineChars="196"/>
        <w:rPr>
          <w:rFonts w:ascii="宋体" w:hAnsi="宋体"/>
          <w:szCs w:val="21"/>
        </w:rPr>
      </w:pPr>
      <w:r>
        <w:rPr>
          <w:rFonts w:ascii="宋体" w:hAnsi="宋体"/>
          <w:szCs w:val="21"/>
        </w:rPr>
        <w:t>1</w:t>
      </w:r>
      <w:r>
        <w:rPr>
          <w:rFonts w:hint="eastAsia" w:ascii="宋体" w:hAnsi="宋体"/>
          <w:szCs w:val="21"/>
        </w:rPr>
        <w:t>3.2招标文件的修改以书面形式（包括</w:t>
      </w:r>
      <w:r>
        <w:rPr>
          <w:rFonts w:eastAsia="宋体"/>
          <w:kern w:val="2"/>
          <w:sz w:val="21"/>
          <w:szCs w:val="21"/>
          <w:lang w:eastAsia="zh-CN"/>
        </w:rPr>
        <w:t>招标（采购）代理机构</w:t>
      </w:r>
      <w:r>
        <w:rPr>
          <w:rFonts w:hint="eastAsia" w:ascii="宋体" w:hAnsi="宋体"/>
          <w:szCs w:val="21"/>
        </w:rPr>
        <w:t>网站发布方式，如更正公告等）发送给所有投标人，招标文件的修改内容作为招标文件的组成部分，并具有约束力。</w:t>
      </w:r>
    </w:p>
    <w:p w14:paraId="6A75E29E">
      <w:pPr>
        <w:ind w:firstLine="411" w:firstLineChars="196"/>
        <w:rPr>
          <w:rFonts w:ascii="宋体" w:hAnsi="宋体"/>
          <w:szCs w:val="21"/>
        </w:rPr>
      </w:pPr>
      <w:r>
        <w:rPr>
          <w:rFonts w:ascii="宋体" w:hAnsi="宋体"/>
          <w:szCs w:val="21"/>
        </w:rPr>
        <w:t>1</w:t>
      </w:r>
      <w:r>
        <w:rPr>
          <w:rFonts w:hint="eastAsia" w:ascii="宋体" w:hAnsi="宋体"/>
          <w:szCs w:val="21"/>
        </w:rPr>
        <w:t>3.3招标文件、招标文件澄清答复内容、招标文件修改补充内容均以书面形式（包括</w:t>
      </w:r>
      <w:r>
        <w:rPr>
          <w:rFonts w:eastAsia="宋体"/>
          <w:kern w:val="2"/>
          <w:sz w:val="21"/>
          <w:szCs w:val="21"/>
          <w:lang w:eastAsia="zh-CN"/>
        </w:rPr>
        <w:t>招标（采购）代理机构</w:t>
      </w:r>
      <w:r>
        <w:rPr>
          <w:rFonts w:hint="eastAsia" w:ascii="宋体" w:hAnsi="宋体"/>
          <w:szCs w:val="21"/>
        </w:rPr>
        <w:t>网站公开发布方式，如更正公告等）明确的内容为准。当招标文件、修改补充通知、招标文件澄清答复内容相互矛盾时，以最后发出的内容为准。</w:t>
      </w:r>
    </w:p>
    <w:p w14:paraId="7463767E">
      <w:pPr>
        <w:ind w:firstLine="411" w:firstLineChars="196"/>
        <w:rPr>
          <w:rFonts w:ascii="宋体" w:hAnsi="宋体"/>
          <w:szCs w:val="21"/>
        </w:rPr>
      </w:pPr>
      <w:r>
        <w:rPr>
          <w:rFonts w:ascii="宋体" w:hAnsi="宋体"/>
          <w:szCs w:val="21"/>
        </w:rPr>
        <w:t>1</w:t>
      </w:r>
      <w:r>
        <w:rPr>
          <w:rFonts w:hint="eastAsia" w:ascii="宋体" w:hAnsi="宋体"/>
          <w:szCs w:val="21"/>
        </w:rPr>
        <w:t>3.4</w:t>
      </w:r>
      <w:r>
        <w:rPr>
          <w:rFonts w:eastAsia="宋体"/>
          <w:kern w:val="2"/>
          <w:sz w:val="21"/>
          <w:szCs w:val="21"/>
          <w:lang w:eastAsia="zh-CN"/>
        </w:rPr>
        <w:t>招标（采购）代理机构</w:t>
      </w:r>
      <w:r>
        <w:rPr>
          <w:rFonts w:hint="eastAsia" w:ascii="宋体" w:hAnsi="宋体"/>
          <w:szCs w:val="21"/>
        </w:rPr>
        <w:t>保证招标文件澄清答复内容和招标文件修改补充内容在投标截止时间前以书面形式（包括</w:t>
      </w:r>
      <w:r>
        <w:rPr>
          <w:rFonts w:eastAsia="宋体"/>
          <w:kern w:val="2"/>
          <w:sz w:val="21"/>
          <w:szCs w:val="21"/>
          <w:lang w:eastAsia="zh-CN"/>
        </w:rPr>
        <w:t>招标（采购）代理机构</w:t>
      </w:r>
      <w:r>
        <w:rPr>
          <w:rFonts w:hint="eastAsia" w:ascii="宋体" w:hAnsi="宋体"/>
          <w:szCs w:val="21"/>
        </w:rPr>
        <w:t>网站发布方式，如更正公告等）发送给所有投标人。为使投标人在编制投标文件时有充分时间对招标文件的修改部分进行研究，</w:t>
      </w:r>
      <w:r>
        <w:rPr>
          <w:rFonts w:eastAsia="宋体"/>
          <w:kern w:val="2"/>
          <w:sz w:val="21"/>
          <w:szCs w:val="21"/>
          <w:lang w:eastAsia="zh-CN"/>
        </w:rPr>
        <w:t>招标（采购）代理机构</w:t>
      </w:r>
      <w:r>
        <w:rPr>
          <w:rFonts w:hint="eastAsia" w:ascii="宋体" w:hAnsi="宋体"/>
          <w:szCs w:val="21"/>
        </w:rPr>
        <w:t>可以酌情延长递交投标文件的截止日期。</w:t>
      </w:r>
      <w:bookmarkEnd w:id="54"/>
    </w:p>
    <w:p w14:paraId="7FB69E20">
      <w:pPr>
        <w:rPr>
          <w:rFonts w:ascii="宋体" w:hAnsi="宋体"/>
          <w:szCs w:val="21"/>
        </w:rPr>
      </w:pPr>
    </w:p>
    <w:p w14:paraId="61BADB04">
      <w:pPr>
        <w:pStyle w:val="4"/>
        <w:numPr>
          <w:ilvl w:val="0"/>
          <w:numId w:val="13"/>
        </w:numPr>
        <w:spacing w:before="156" w:beforeLines="50" w:after="156" w:afterLines="50"/>
        <w:ind w:left="562" w:hanging="562"/>
        <w:rPr>
          <w:sz w:val="28"/>
          <w:szCs w:val="28"/>
        </w:rPr>
      </w:pPr>
      <w:r>
        <w:rPr>
          <w:rFonts w:hint="eastAsia"/>
          <w:sz w:val="28"/>
          <w:szCs w:val="28"/>
        </w:rPr>
        <w:t>投标文件的编制</w:t>
      </w:r>
    </w:p>
    <w:p w14:paraId="59F703DF">
      <w:pPr>
        <w:rPr>
          <w:rFonts w:ascii="黑体" w:hAnsi="宋体" w:eastAsia="黑体"/>
          <w:sz w:val="24"/>
        </w:rPr>
      </w:pPr>
      <w:r>
        <w:rPr>
          <w:rFonts w:hint="eastAsia" w:ascii="黑体" w:hAnsi="宋体" w:eastAsia="黑体"/>
          <w:sz w:val="24"/>
        </w:rPr>
        <w:t>14．</w:t>
      </w:r>
      <w:bookmarkStart w:id="55" w:name="_Hlk72400236"/>
      <w:r>
        <w:rPr>
          <w:rFonts w:hint="eastAsia" w:ascii="黑体" w:hAnsi="宋体" w:eastAsia="黑体"/>
          <w:sz w:val="24"/>
        </w:rPr>
        <w:t>投标文件的语言及度量单位</w:t>
      </w:r>
    </w:p>
    <w:p w14:paraId="63E86516">
      <w:pPr>
        <w:ind w:firstLine="411" w:firstLineChars="196"/>
        <w:rPr>
          <w:rFonts w:ascii="宋体" w:hAnsi="宋体"/>
          <w:szCs w:val="21"/>
        </w:rPr>
      </w:pPr>
      <w:r>
        <w:rPr>
          <w:rFonts w:hint="eastAsia" w:ascii="宋体" w:hAnsi="宋体"/>
          <w:szCs w:val="21"/>
        </w:rPr>
        <w:t>14.1 投标人与</w:t>
      </w:r>
      <w:r>
        <w:rPr>
          <w:rFonts w:eastAsia="宋体"/>
          <w:kern w:val="2"/>
          <w:sz w:val="21"/>
          <w:szCs w:val="21"/>
          <w:lang w:eastAsia="zh-CN"/>
        </w:rPr>
        <w:t>招标（采购）代理机构</w:t>
      </w:r>
      <w:r>
        <w:rPr>
          <w:rFonts w:hint="eastAsia" w:ascii="宋体" w:hAnsi="宋体"/>
          <w:szCs w:val="21"/>
        </w:rPr>
        <w:t>之间与投标有关的所有往来通知、函件和投标文件均用中文表述。投标人随投标文件提供的证明文件和资料可以为其它语言，但必须附中文译文。翻译的中文资料与外文资料如果出现差异时，以中文为准，但翻译错误的除外。</w:t>
      </w:r>
    </w:p>
    <w:p w14:paraId="7CE51C0D">
      <w:pPr>
        <w:ind w:firstLine="411" w:firstLineChars="196"/>
        <w:rPr>
          <w:rFonts w:ascii="宋体" w:hAnsi="宋体"/>
          <w:szCs w:val="21"/>
        </w:rPr>
      </w:pPr>
      <w:r>
        <w:rPr>
          <w:rFonts w:hint="eastAsia" w:ascii="宋体" w:hAnsi="宋体"/>
          <w:szCs w:val="21"/>
        </w:rPr>
        <w:t>14.2 除技术规范另有规定外，投标文件使用的度量单位，均采用中华人民共和国法定计量单位。</w:t>
      </w:r>
    </w:p>
    <w:bookmarkEnd w:id="55"/>
    <w:p w14:paraId="3D2D6814">
      <w:pPr>
        <w:rPr>
          <w:rFonts w:ascii="黑体" w:hAnsi="宋体" w:eastAsia="黑体"/>
          <w:sz w:val="24"/>
        </w:rPr>
      </w:pPr>
      <w:r>
        <w:rPr>
          <w:rFonts w:hint="eastAsia" w:ascii="黑体" w:hAnsi="宋体" w:eastAsia="黑体"/>
          <w:sz w:val="24"/>
        </w:rPr>
        <w:t>15．</w:t>
      </w:r>
      <w:bookmarkStart w:id="56" w:name="_Hlk72401567"/>
      <w:r>
        <w:rPr>
          <w:rFonts w:hint="eastAsia" w:ascii="黑体" w:hAnsi="宋体" w:eastAsia="黑体"/>
          <w:sz w:val="24"/>
        </w:rPr>
        <w:t>投标文件的组成</w:t>
      </w:r>
    </w:p>
    <w:p w14:paraId="05ADE710">
      <w:pPr>
        <w:ind w:firstLine="411" w:firstLineChars="196"/>
        <w:rPr>
          <w:rFonts w:ascii="宋体" w:hAnsi="宋体"/>
          <w:szCs w:val="21"/>
        </w:rPr>
      </w:pPr>
      <w:r>
        <w:rPr>
          <w:rFonts w:hint="eastAsia" w:ascii="宋体" w:hAnsi="宋体"/>
          <w:szCs w:val="21"/>
        </w:rPr>
        <w:t>具体内容在招标文件专用条款中进行规定。</w:t>
      </w:r>
    </w:p>
    <w:p w14:paraId="3114D5DB">
      <w:pPr>
        <w:rPr>
          <w:rFonts w:ascii="黑体" w:hAnsi="宋体" w:eastAsia="黑体"/>
          <w:sz w:val="24"/>
        </w:rPr>
      </w:pPr>
      <w:r>
        <w:rPr>
          <w:rFonts w:ascii="黑体" w:hAnsi="宋体" w:eastAsia="黑体"/>
          <w:sz w:val="24"/>
        </w:rPr>
        <w:t>16．投标文件格式</w:t>
      </w:r>
    </w:p>
    <w:p w14:paraId="1D4CB675">
      <w:pPr>
        <w:ind w:firstLine="411" w:firstLineChars="196"/>
        <w:rPr>
          <w:rFonts w:ascii="宋体" w:hAnsi="宋体"/>
          <w:szCs w:val="21"/>
        </w:rPr>
      </w:pPr>
      <w:r>
        <w:rPr>
          <w:rFonts w:hint="eastAsia" w:ascii="宋体" w:hAnsi="宋体"/>
          <w:szCs w:val="21"/>
        </w:rPr>
        <w:t>投标文件包括本通用条款第</w:t>
      </w:r>
      <w:r>
        <w:rPr>
          <w:rFonts w:ascii="宋体" w:hAnsi="宋体"/>
          <w:szCs w:val="21"/>
        </w:rPr>
        <w:t>15条中规定的内容。如招标文件提供了投标文件格式，则</w:t>
      </w:r>
      <w:r>
        <w:rPr>
          <w:rFonts w:hint="eastAsia" w:ascii="宋体" w:hAnsi="宋体"/>
          <w:b/>
          <w:bCs/>
          <w:szCs w:val="21"/>
        </w:rPr>
        <w:t>投标人提交的投标文件应毫无例外地使用招标文件所提供的相应格式</w:t>
      </w:r>
      <w:r>
        <w:rPr>
          <w:rFonts w:hint="eastAsia" w:ascii="宋体" w:hAnsi="宋体"/>
          <w:szCs w:val="21"/>
        </w:rPr>
        <w:t>（表格均可按同样格式扩展）。</w:t>
      </w:r>
    </w:p>
    <w:p w14:paraId="16EFD477">
      <w:pPr>
        <w:rPr>
          <w:rFonts w:ascii="黑体" w:hAnsi="宋体" w:eastAsia="黑体"/>
          <w:sz w:val="24"/>
        </w:rPr>
      </w:pPr>
      <w:r>
        <w:rPr>
          <w:rFonts w:hint="eastAsia" w:ascii="黑体" w:hAnsi="宋体" w:eastAsia="黑体"/>
          <w:sz w:val="24"/>
        </w:rPr>
        <w:t>17．投标货币</w:t>
      </w:r>
    </w:p>
    <w:p w14:paraId="5B8CABC8">
      <w:pPr>
        <w:ind w:firstLine="411" w:firstLineChars="196"/>
        <w:rPr>
          <w:rFonts w:ascii="宋体" w:hAnsi="宋体"/>
          <w:szCs w:val="21"/>
        </w:rPr>
      </w:pPr>
      <w:r>
        <w:rPr>
          <w:rFonts w:hint="eastAsia" w:ascii="宋体" w:hAnsi="宋体"/>
          <w:szCs w:val="21"/>
        </w:rPr>
        <w:t>本项目的投标报价应以人民币计。</w:t>
      </w:r>
    </w:p>
    <w:bookmarkEnd w:id="56"/>
    <w:p w14:paraId="16842AA8">
      <w:pPr>
        <w:rPr>
          <w:rFonts w:ascii="黑体" w:hAnsi="宋体" w:eastAsia="黑体"/>
          <w:sz w:val="24"/>
        </w:rPr>
      </w:pPr>
      <w:r>
        <w:rPr>
          <w:rFonts w:hint="eastAsia" w:ascii="黑体" w:hAnsi="宋体" w:eastAsia="黑体"/>
          <w:sz w:val="24"/>
        </w:rPr>
        <w:t>18．</w:t>
      </w:r>
      <w:bookmarkStart w:id="57" w:name="_Hlk72401735"/>
      <w:r>
        <w:rPr>
          <w:rFonts w:hint="eastAsia" w:ascii="黑体" w:hAnsi="宋体" w:eastAsia="黑体"/>
          <w:sz w:val="24"/>
        </w:rPr>
        <w:t>证明投标文件投标技术方案的合格性和符合招标文件规定的文件要求</w:t>
      </w:r>
    </w:p>
    <w:p w14:paraId="091B6167">
      <w:pPr>
        <w:ind w:firstLine="411" w:firstLineChars="196"/>
        <w:rPr>
          <w:rFonts w:ascii="宋体" w:hAnsi="宋体"/>
          <w:szCs w:val="21"/>
        </w:rPr>
      </w:pPr>
      <w:r>
        <w:rPr>
          <w:rFonts w:hint="eastAsia" w:ascii="宋体" w:hAnsi="宋体"/>
          <w:szCs w:val="21"/>
        </w:rPr>
        <w:t>18</w:t>
      </w:r>
      <w:r>
        <w:rPr>
          <w:rFonts w:ascii="宋体" w:hAnsi="宋体"/>
          <w:szCs w:val="21"/>
        </w:rPr>
        <w:t xml:space="preserve">.1 </w:t>
      </w:r>
      <w:r>
        <w:rPr>
          <w:rFonts w:hint="eastAsia" w:ascii="宋体" w:hAnsi="宋体"/>
          <w:szCs w:val="21"/>
        </w:rPr>
        <w:t>投标人应提交证明文件，证明其投标技术方案项下的货物和服务的合格性符合招标文件规定。该投标技术方案及其证明文件均作为投标文件组成部分。</w:t>
      </w:r>
    </w:p>
    <w:p w14:paraId="10A88FE1">
      <w:pPr>
        <w:ind w:firstLine="411" w:firstLineChars="196"/>
        <w:rPr>
          <w:rFonts w:ascii="宋体" w:hAnsi="宋体"/>
          <w:szCs w:val="21"/>
        </w:rPr>
      </w:pPr>
      <w:r>
        <w:rPr>
          <w:rFonts w:ascii="宋体" w:hAnsi="宋体"/>
          <w:szCs w:val="21"/>
        </w:rPr>
        <w:t>1</w:t>
      </w:r>
      <w:r>
        <w:rPr>
          <w:rFonts w:hint="eastAsia" w:ascii="宋体" w:hAnsi="宋体"/>
          <w:szCs w:val="21"/>
        </w:rPr>
        <w:t>8</w:t>
      </w:r>
      <w:r>
        <w:rPr>
          <w:rFonts w:ascii="宋体" w:hAnsi="宋体"/>
          <w:szCs w:val="21"/>
        </w:rPr>
        <w:t xml:space="preserve">.2 </w:t>
      </w:r>
      <w:r>
        <w:rPr>
          <w:rFonts w:hint="eastAsia" w:ascii="宋体" w:hAnsi="宋体"/>
          <w:szCs w:val="21"/>
        </w:rPr>
        <w:t>投标人提供证明投标技术方案与招标文件的要求相一致的文件，可以是文字资料、图纸、数据或数码照片、制造商公布的产品说明书、产品彩页和我国政府机构出具的产品检验和核准证件等，提供的文件应符合以下要求：</w:t>
      </w:r>
    </w:p>
    <w:p w14:paraId="6269C59D">
      <w:pPr>
        <w:ind w:firstLine="411" w:firstLineChars="196"/>
        <w:rPr>
          <w:rFonts w:ascii="宋体" w:hAnsi="宋体"/>
          <w:szCs w:val="21"/>
        </w:rPr>
      </w:pPr>
      <w:r>
        <w:rPr>
          <w:rFonts w:hint="eastAsia" w:ascii="宋体" w:hAnsi="宋体"/>
          <w:szCs w:val="21"/>
        </w:rPr>
        <w:t>18.2.1主要技术指标和性能的详细说明。</w:t>
      </w:r>
    </w:p>
    <w:p w14:paraId="1A44E663">
      <w:pPr>
        <w:ind w:firstLine="411" w:firstLineChars="196"/>
        <w:rPr>
          <w:rFonts w:ascii="宋体" w:hAnsi="宋体"/>
          <w:szCs w:val="21"/>
        </w:rPr>
      </w:pPr>
      <w:r>
        <w:rPr>
          <w:rFonts w:hint="eastAsia" w:ascii="宋体" w:hAnsi="宋体"/>
          <w:szCs w:val="21"/>
        </w:rPr>
        <w:t>18.2.</w:t>
      </w:r>
      <w:r>
        <w:rPr>
          <w:rFonts w:ascii="宋体" w:hAnsi="宋体"/>
          <w:szCs w:val="21"/>
        </w:rPr>
        <w:t>2</w:t>
      </w:r>
      <w:r>
        <w:rPr>
          <w:rFonts w:hint="eastAsia" w:ascii="宋体" w:hAnsi="宋体"/>
          <w:szCs w:val="21"/>
        </w:rPr>
        <w:t>投标产品从采购人开始使用至招标文件中规定的周期内正常、连续地使用所必须的备件和专用工具清单，包括备件和专用工具的货源及现行价格。</w:t>
      </w:r>
    </w:p>
    <w:p w14:paraId="3390EA9C">
      <w:pPr>
        <w:ind w:firstLine="411" w:firstLineChars="196"/>
        <w:rPr>
          <w:rFonts w:ascii="宋体" w:hAnsi="宋体"/>
          <w:szCs w:val="21"/>
        </w:rPr>
      </w:pPr>
      <w:r>
        <w:rPr>
          <w:rFonts w:hint="eastAsia" w:ascii="宋体" w:hAnsi="宋体"/>
          <w:szCs w:val="21"/>
        </w:rPr>
        <w:t>18.2.</w:t>
      </w:r>
      <w:r>
        <w:rPr>
          <w:rFonts w:ascii="宋体" w:hAnsi="宋体"/>
          <w:szCs w:val="21"/>
        </w:rPr>
        <w:t>3</w:t>
      </w:r>
      <w:r>
        <w:rPr>
          <w:rFonts w:hint="eastAsia" w:ascii="宋体" w:hAnsi="宋体"/>
          <w:szCs w:val="21"/>
        </w:rPr>
        <w:t>对照招标文件技术规格，逐条说明投标技术方案已对采购人的技术规格做出了实质性的响应，或申明与技术规格条文的偏差和例外。投标人应详细说明投标技术方案中产品的具体参数，不得不合理照搬照抄招标文件的技术要求。</w:t>
      </w:r>
    </w:p>
    <w:p w14:paraId="69689C9A">
      <w:pPr>
        <w:ind w:firstLine="411" w:firstLineChars="196"/>
        <w:rPr>
          <w:rFonts w:ascii="宋体" w:hAnsi="宋体"/>
          <w:szCs w:val="21"/>
        </w:rPr>
      </w:pPr>
      <w:r>
        <w:rPr>
          <w:rFonts w:hint="eastAsia" w:ascii="宋体" w:hAnsi="宋体"/>
          <w:szCs w:val="21"/>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w:t>
      </w:r>
      <w:r>
        <w:rPr>
          <w:rFonts w:hint="eastAsia"/>
        </w:rPr>
        <w:t>清晰度要求能够使用电脑阅读、识别和判断</w:t>
      </w:r>
      <w:r>
        <w:rPr>
          <w:rFonts w:hint="eastAsia" w:ascii="宋体" w:hAnsi="宋体"/>
          <w:szCs w:val="21"/>
        </w:rPr>
        <w:t>；</w:t>
      </w:r>
    </w:p>
    <w:p w14:paraId="09A3F36F">
      <w:pPr>
        <w:ind w:firstLine="411" w:firstLineChars="196"/>
        <w:rPr>
          <w:rFonts w:ascii="宋体" w:hAnsi="宋体"/>
          <w:szCs w:val="21"/>
        </w:rPr>
      </w:pPr>
      <w:r>
        <w:rPr>
          <w:rFonts w:hint="eastAsia" w:ascii="宋体" w:hAnsi="宋体"/>
          <w:szCs w:val="21"/>
        </w:rPr>
        <w:t>18.2.5我国政府机构出具的产品检验和核准证件应为证件正面、背面和附件标注的全部具体内容；产品检验和核准证件的尺寸和清晰度应该能够在电脑上被阅读、识别和判断，提供原件扫描件。</w:t>
      </w:r>
    </w:p>
    <w:p w14:paraId="389B051F">
      <w:pPr>
        <w:ind w:firstLine="411" w:firstLineChars="196"/>
        <w:rPr>
          <w:rFonts w:ascii="宋体" w:hAnsi="宋体"/>
          <w:szCs w:val="21"/>
        </w:rPr>
      </w:pPr>
      <w:r>
        <w:rPr>
          <w:rFonts w:hint="eastAsia" w:ascii="宋体" w:hAnsi="宋体"/>
          <w:szCs w:val="21"/>
        </w:rPr>
        <w:t>18.3相关资料不符合18.2款要求的，评审委员会有权认定为投标技术方案不合格响应，其相关分数予以扣减或作投标无效处理。</w:t>
      </w:r>
    </w:p>
    <w:p w14:paraId="1417A9B4">
      <w:pPr>
        <w:ind w:firstLine="411" w:firstLineChars="196"/>
        <w:rPr>
          <w:rFonts w:ascii="宋体" w:hAnsi="宋体"/>
          <w:szCs w:val="21"/>
        </w:rPr>
      </w:pPr>
      <w:r>
        <w:rPr>
          <w:rFonts w:ascii="宋体" w:hAnsi="宋体"/>
          <w:szCs w:val="21"/>
        </w:rPr>
        <w:t>1</w:t>
      </w:r>
      <w:r>
        <w:rPr>
          <w:rFonts w:hint="eastAsia" w:ascii="宋体" w:hAnsi="宋体"/>
          <w:szCs w:val="21"/>
        </w:rPr>
        <w:t>8</w:t>
      </w:r>
      <w:r>
        <w:rPr>
          <w:rFonts w:ascii="宋体" w:hAnsi="宋体"/>
          <w:szCs w:val="21"/>
        </w:rPr>
        <w:t>.</w:t>
      </w:r>
      <w:r>
        <w:rPr>
          <w:rFonts w:hint="eastAsia" w:ascii="宋体" w:hAnsi="宋体"/>
          <w:szCs w:val="21"/>
        </w:rPr>
        <w:t>4投标人在阐述上述第18.2时应注意采购人在技术规格中指出的工艺、材料和设备的标准以及参照的牌号或分类号仅起说明作用，并没有任何限制性。投标人在投标中可以选用替代标准、牌号或分类号，但这些替代要实质上满足招标文件中技术规格的要求，是否</w:t>
      </w:r>
      <w:r>
        <w:rPr>
          <w:rFonts w:hint="eastAsia"/>
        </w:rPr>
        <w:t>满足要求</w:t>
      </w:r>
      <w:r>
        <w:rPr>
          <w:rFonts w:hint="eastAsia" w:ascii="宋体" w:hAnsi="宋体"/>
          <w:szCs w:val="21"/>
        </w:rPr>
        <w:t>，由评审委员会来评判。</w:t>
      </w:r>
    </w:p>
    <w:p w14:paraId="383DFFFE">
      <w:pPr>
        <w:ind w:firstLine="411" w:firstLineChars="196"/>
        <w:rPr>
          <w:rFonts w:ascii="宋体" w:hAnsi="宋体"/>
          <w:szCs w:val="21"/>
        </w:rPr>
      </w:pPr>
      <w:r>
        <w:rPr>
          <w:rFonts w:hint="eastAsia" w:ascii="宋体" w:hAnsi="宋体"/>
          <w:szCs w:val="21"/>
        </w:rPr>
        <w:t>18.5除非另有规定或说明，投标人对同一项目投标时，不得同时提供两套或两套以上的投标方案。</w:t>
      </w:r>
    </w:p>
    <w:bookmarkEnd w:id="57"/>
    <w:p w14:paraId="6A820B21">
      <w:pPr>
        <w:rPr>
          <w:rFonts w:ascii="黑体" w:hAnsi="宋体" w:eastAsia="黑体"/>
          <w:sz w:val="24"/>
        </w:rPr>
      </w:pPr>
      <w:r>
        <w:rPr>
          <w:rFonts w:hint="eastAsia" w:ascii="黑体" w:hAnsi="宋体" w:eastAsia="黑体"/>
          <w:sz w:val="24"/>
        </w:rPr>
        <w:t>19．</w:t>
      </w:r>
      <w:bookmarkStart w:id="58" w:name="_Hlk72402034"/>
      <w:r>
        <w:rPr>
          <w:rFonts w:hint="eastAsia" w:ascii="黑体" w:hAnsi="宋体" w:eastAsia="黑体"/>
          <w:sz w:val="24"/>
        </w:rPr>
        <w:t>投标文件其他证明文件的要求</w:t>
      </w:r>
    </w:p>
    <w:p w14:paraId="10629CDF">
      <w:pPr>
        <w:rPr>
          <w:rFonts w:ascii="宋体" w:hAnsi="宋体"/>
          <w:color w:val="FF0000"/>
          <w:szCs w:val="21"/>
        </w:rPr>
      </w:pPr>
      <w:r>
        <w:rPr>
          <w:rFonts w:hint="eastAsia" w:ascii="黑体" w:hAnsi="宋体" w:eastAsia="黑体"/>
          <w:sz w:val="24"/>
        </w:rPr>
        <w:t xml:space="preserve">    </w:t>
      </w:r>
      <w:r>
        <w:rPr>
          <w:rFonts w:hint="eastAsia" w:ascii="宋体" w:hAnsi="宋体"/>
          <w:szCs w:val="21"/>
        </w:rPr>
        <w:t>19.1</w:t>
      </w:r>
      <w:bookmarkStart w:id="59" w:name="_Hlk71407299"/>
      <w:r>
        <w:rPr>
          <w:rFonts w:hint="eastAsia" w:ascii="宋体" w:hAnsi="宋体"/>
          <w:szCs w:val="21"/>
        </w:rPr>
        <w:t>采用综合评分法的项目，对项目招标文件《评标信息》评分项中涉及的相关业绩、社保情况等内容以及《资格性审查表》和《符合性审查表》中涉及的证明材料，投标人应提供相关部门出具的证明材料扫描件或照片，原件备查。有关扫描件（或照片）的尺寸和清晰度要求能够使用电脑阅读、识别和判断。若投标人未按要求提供证明材料或提供的是部分证明材料或提供不清晰的扫描件（或照片）的，采购人、代理机构及评审委员会依据各自审查范围，有权认定其投标文件未对招标文件有关需求进行响应，涉及资格性审查或符合性审查的予以投标无效处理，涉及《评标信息》打分项的则该项评分予以0分处理。对供应商投标资料是否异常、是否有效问题进行核查和判定，如认为供应商投标资料有异常或无效的，若涉及资格性审查或符合性审查条款的，则应作投标无效处理；若涉及评分的，则作不得分处理。</w:t>
      </w:r>
    </w:p>
    <w:bookmarkEnd w:id="59"/>
    <w:p w14:paraId="6C451EB0">
      <w:pPr>
        <w:ind w:firstLine="411" w:firstLineChars="196"/>
        <w:rPr>
          <w:rFonts w:ascii="宋体" w:hAnsi="宋体"/>
          <w:szCs w:val="21"/>
        </w:rPr>
      </w:pPr>
      <w:r>
        <w:rPr>
          <w:rFonts w:hint="eastAsia" w:ascii="宋体" w:hAnsi="宋体"/>
          <w:szCs w:val="21"/>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投标人提供年审证明的可按原资质（资格）投标；若投标人正在申报上一级别资质（资格），在未获批准之前，仍按原级别资质（资格）投标。</w:t>
      </w:r>
    </w:p>
    <w:p w14:paraId="6C49F41C">
      <w:pPr>
        <w:rPr>
          <w:rFonts w:ascii="黑体" w:hAnsi="宋体" w:eastAsia="黑体"/>
          <w:sz w:val="24"/>
        </w:rPr>
      </w:pPr>
      <w:r>
        <w:rPr>
          <w:rFonts w:hint="eastAsia" w:ascii="黑体" w:hAnsi="宋体" w:eastAsia="黑体"/>
          <w:sz w:val="24"/>
        </w:rPr>
        <w:t>20．投标有效期</w:t>
      </w:r>
    </w:p>
    <w:bookmarkEnd w:id="58"/>
    <w:p w14:paraId="53295A7C">
      <w:pPr>
        <w:ind w:firstLine="411" w:firstLineChars="196"/>
        <w:rPr>
          <w:rFonts w:ascii="宋体" w:hAnsi="宋体"/>
          <w:szCs w:val="21"/>
        </w:rPr>
      </w:pPr>
      <w:bookmarkStart w:id="60" w:name="_Hlk72402214"/>
      <w:r>
        <w:rPr>
          <w:rFonts w:hint="eastAsia" w:ascii="宋体" w:hAnsi="宋体"/>
          <w:szCs w:val="21"/>
        </w:rPr>
        <w:t>20.1 投标有效期为</w:t>
      </w:r>
      <w:r>
        <w:rPr>
          <w:rFonts w:hint="eastAsia" w:ascii="Arial" w:hAnsi="Arial" w:cs="Arial"/>
          <w:szCs w:val="21"/>
        </w:rPr>
        <w:t>从投标截止之日算起的日历天数。</w:t>
      </w:r>
      <w:r>
        <w:rPr>
          <w:rFonts w:hint="eastAsia" w:ascii="宋体" w:hAnsi="宋体"/>
          <w:szCs w:val="21"/>
        </w:rPr>
        <w:t>在此期限内，所有投标文件均保持有效。</w:t>
      </w:r>
    </w:p>
    <w:p w14:paraId="496815AC">
      <w:pPr>
        <w:ind w:firstLine="411" w:firstLineChars="196"/>
        <w:rPr>
          <w:rFonts w:ascii="宋体" w:hAnsi="宋体"/>
          <w:szCs w:val="21"/>
        </w:rPr>
      </w:pPr>
      <w:r>
        <w:rPr>
          <w:rFonts w:hint="eastAsia" w:ascii="宋体" w:hAnsi="宋体"/>
          <w:szCs w:val="21"/>
        </w:rPr>
        <w:t>20.2 在特殊情况下，</w:t>
      </w:r>
      <w:r>
        <w:rPr>
          <w:rFonts w:eastAsia="宋体"/>
          <w:kern w:val="2"/>
          <w:sz w:val="21"/>
          <w:szCs w:val="21"/>
          <w:lang w:eastAsia="zh-CN"/>
        </w:rPr>
        <w:t>招标（采购）代理机构</w:t>
      </w:r>
      <w:r>
        <w:rPr>
          <w:rFonts w:hint="eastAsia" w:ascii="宋体" w:hAnsi="宋体"/>
          <w:szCs w:val="21"/>
        </w:rPr>
        <w:t>在原定的投标有效期满之前，</w:t>
      </w:r>
      <w:r>
        <w:rPr>
          <w:rFonts w:eastAsia="宋体"/>
          <w:kern w:val="2"/>
          <w:sz w:val="21"/>
          <w:szCs w:val="21"/>
          <w:lang w:eastAsia="zh-CN"/>
        </w:rPr>
        <w:t>招标（采购）代理机构</w:t>
      </w:r>
      <w:r>
        <w:rPr>
          <w:rFonts w:hint="eastAsia" w:ascii="宋体" w:hAnsi="宋体"/>
          <w:szCs w:val="21"/>
        </w:rPr>
        <w:t>可以根据需要以书面形式（包括</w:t>
      </w:r>
      <w:r>
        <w:rPr>
          <w:rFonts w:eastAsia="宋体"/>
          <w:kern w:val="2"/>
          <w:sz w:val="21"/>
          <w:szCs w:val="21"/>
          <w:lang w:eastAsia="zh-CN"/>
        </w:rPr>
        <w:t>招标（采购）代理机构</w:t>
      </w:r>
      <w:r>
        <w:rPr>
          <w:rFonts w:hint="eastAsia" w:ascii="宋体" w:hAnsi="宋体"/>
          <w:szCs w:val="21"/>
        </w:rPr>
        <w:t>网站公开发布方式）向投标人提出延长投标有效期的要求，对此要求投标人须以书面形式予以答复，投标人可以拒绝</w:t>
      </w:r>
      <w:r>
        <w:rPr>
          <w:rFonts w:eastAsia="宋体"/>
          <w:kern w:val="2"/>
          <w:sz w:val="21"/>
          <w:szCs w:val="21"/>
          <w:lang w:eastAsia="zh-CN"/>
        </w:rPr>
        <w:t>招标（采购）代理机构</w:t>
      </w:r>
      <w:r>
        <w:rPr>
          <w:rFonts w:hint="eastAsia" w:ascii="宋体" w:hAnsi="宋体"/>
          <w:szCs w:val="21"/>
        </w:rPr>
        <w:t>此项要求，其投标在原投标有效期满后不再有效。同意延长投标有效期的投标人不能要求也不允许修改其投标文件。</w:t>
      </w:r>
    </w:p>
    <w:p w14:paraId="19BDEE66">
      <w:pPr>
        <w:ind w:firstLine="411" w:firstLineChars="196"/>
        <w:rPr>
          <w:rFonts w:ascii="宋体" w:hAnsi="宋体"/>
          <w:szCs w:val="21"/>
        </w:rPr>
      </w:pPr>
      <w:r>
        <w:rPr>
          <w:rFonts w:hint="eastAsia" w:ascii="宋体" w:hAnsi="宋体"/>
          <w:szCs w:val="21"/>
        </w:rPr>
        <w:t>20</w:t>
      </w:r>
      <w:r>
        <w:rPr>
          <w:rFonts w:ascii="宋体" w:hAnsi="宋体"/>
          <w:szCs w:val="21"/>
        </w:rPr>
        <w:t>.3</w:t>
      </w:r>
      <w:r>
        <w:rPr>
          <w:rFonts w:hint="eastAsia" w:ascii="宋体" w:hAnsi="宋体"/>
          <w:szCs w:val="21"/>
        </w:rPr>
        <w:t xml:space="preserve"> 中标供应商的投标文件有效期，截止于完成本招标文件规定的全部项目内容，并通过竣工验收及保修期结束。</w:t>
      </w:r>
    </w:p>
    <w:bookmarkEnd w:id="60"/>
    <w:p w14:paraId="72D48E96">
      <w:pPr>
        <w:rPr>
          <w:rFonts w:ascii="黑体" w:hAnsi="宋体" w:eastAsia="黑体"/>
          <w:sz w:val="24"/>
        </w:rPr>
      </w:pPr>
      <w:r>
        <w:rPr>
          <w:rFonts w:hint="eastAsia" w:ascii="黑体" w:hAnsi="宋体" w:eastAsia="黑体"/>
          <w:sz w:val="24"/>
        </w:rPr>
        <w:t>21．</w:t>
      </w:r>
      <w:bookmarkStart w:id="61" w:name="_Hlk72402325"/>
      <w:r>
        <w:rPr>
          <w:rFonts w:hint="eastAsia" w:ascii="黑体" w:hAnsi="宋体" w:eastAsia="黑体"/>
          <w:sz w:val="24"/>
        </w:rPr>
        <w:t xml:space="preserve">关于投标保证金 </w:t>
      </w:r>
    </w:p>
    <w:p w14:paraId="31C1A11D">
      <w:pPr>
        <w:rPr>
          <w:rFonts w:ascii="宋体" w:hAnsi="宋体"/>
          <w:szCs w:val="21"/>
        </w:rPr>
      </w:pPr>
      <w:r>
        <w:rPr>
          <w:rFonts w:hint="eastAsia" w:ascii="宋体" w:hAnsi="宋体"/>
          <w:szCs w:val="21"/>
        </w:rPr>
        <w:t xml:space="preserve">    21.1</w:t>
      </w:r>
      <w:r>
        <w:rPr>
          <w:rFonts w:hint="eastAsia"/>
        </w:rPr>
        <w:t>根据《深圳市财政局关于调整政府采购投标（响应）保证金管理政策的通知》（深财购〔2021〕51号）文的规定，</w:t>
      </w:r>
      <w:r>
        <w:rPr>
          <w:rFonts w:hint="eastAsia"/>
          <w:highlight w:val="yellow"/>
        </w:rPr>
        <w:t>本项目不收取投标保证金。</w:t>
      </w:r>
    </w:p>
    <w:p w14:paraId="60235585">
      <w:pPr>
        <w:rPr>
          <w:rFonts w:ascii="黑体" w:hAnsi="宋体" w:eastAsia="黑体"/>
          <w:sz w:val="24"/>
        </w:rPr>
      </w:pPr>
      <w:r>
        <w:rPr>
          <w:rFonts w:hint="eastAsia" w:ascii="黑体" w:hAnsi="宋体" w:eastAsia="黑体"/>
          <w:sz w:val="24"/>
        </w:rPr>
        <w:t>22．投标人的替代方案</w:t>
      </w:r>
    </w:p>
    <w:p w14:paraId="2601D92C">
      <w:pPr>
        <w:ind w:firstLine="411" w:firstLineChars="196"/>
        <w:rPr>
          <w:rFonts w:ascii="宋体" w:hAnsi="宋体"/>
          <w:szCs w:val="21"/>
        </w:rPr>
      </w:pPr>
      <w:r>
        <w:rPr>
          <w:rFonts w:hint="eastAsia" w:ascii="宋体" w:hAnsi="宋体"/>
          <w:szCs w:val="21"/>
        </w:rPr>
        <w:t>22.1投标人所提交的投标文件应完全满足招标文件（包括图纸和技术规范所示的基本技术设计）的要求。除非项目明确允许投标人提交替代方案，否则投标人有关替代方案的条款将初审不通过，作投标无效处理。</w:t>
      </w:r>
    </w:p>
    <w:p w14:paraId="44013491">
      <w:pPr>
        <w:ind w:firstLine="411" w:firstLineChars="196"/>
        <w:rPr>
          <w:rFonts w:ascii="宋体" w:hAnsi="宋体"/>
          <w:szCs w:val="21"/>
        </w:rPr>
      </w:pPr>
      <w:r>
        <w:rPr>
          <w:rFonts w:hint="eastAsia" w:ascii="宋体" w:hAnsi="宋体"/>
          <w:szCs w:val="21"/>
        </w:rPr>
        <w:t>22.2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它详细资料。</w:t>
      </w:r>
    </w:p>
    <w:bookmarkEnd w:id="61"/>
    <w:p w14:paraId="68BE5604">
      <w:pPr>
        <w:rPr>
          <w:rFonts w:ascii="黑体" w:hAnsi="宋体" w:eastAsia="黑体"/>
          <w:sz w:val="24"/>
        </w:rPr>
      </w:pPr>
      <w:r>
        <w:rPr>
          <w:rFonts w:hint="eastAsia" w:ascii="黑体" w:hAnsi="宋体" w:eastAsia="黑体"/>
          <w:sz w:val="24"/>
        </w:rPr>
        <w:t>23．</w:t>
      </w:r>
      <w:bookmarkStart w:id="62" w:name="_Hlk72402860"/>
      <w:r>
        <w:rPr>
          <w:rFonts w:ascii="黑体" w:hAnsi="宋体" w:eastAsia="黑体"/>
          <w:sz w:val="24"/>
        </w:rPr>
        <w:t>投标文件的</w:t>
      </w:r>
      <w:r>
        <w:rPr>
          <w:rFonts w:hint="eastAsia" w:ascii="黑体" w:hAnsi="宋体" w:eastAsia="黑体"/>
          <w:sz w:val="24"/>
        </w:rPr>
        <w:t>制作</w:t>
      </w:r>
      <w:r>
        <w:rPr>
          <w:rFonts w:ascii="黑体" w:hAnsi="宋体" w:eastAsia="黑体"/>
          <w:sz w:val="24"/>
        </w:rPr>
        <w:t>要求</w:t>
      </w:r>
    </w:p>
    <w:p w14:paraId="6762F9F5">
      <w:pPr>
        <w:ind w:firstLine="411" w:firstLineChars="196"/>
        <w:rPr>
          <w:rFonts w:ascii="宋体" w:hAnsi="宋体"/>
        </w:rPr>
      </w:pPr>
      <w:r>
        <w:rPr>
          <w:rFonts w:hint="eastAsia" w:ascii="宋体" w:hAnsi="宋体"/>
        </w:rPr>
        <w:t>23.1投标人应准备所投项目的电子投标文件一份。</w:t>
      </w:r>
    </w:p>
    <w:p w14:paraId="0828AA11">
      <w:pPr>
        <w:ind w:firstLine="411" w:firstLineChars="196"/>
        <w:rPr>
          <w:rFonts w:ascii="宋体" w:hAnsi="宋体"/>
        </w:rPr>
      </w:pPr>
      <w:r>
        <w:rPr>
          <w:rFonts w:hint="eastAsia" w:ascii="宋体" w:hAnsi="宋体"/>
        </w:rPr>
        <w:t>23.2投标人在使用《投标书编制软件》编制投标书时须注意：</w:t>
      </w:r>
    </w:p>
    <w:p w14:paraId="4B44125F">
      <w:pPr>
        <w:ind w:firstLine="411" w:firstLineChars="196"/>
        <w:rPr>
          <w:rFonts w:ascii="宋体" w:hAnsi="宋体"/>
        </w:rPr>
      </w:pPr>
      <w:r>
        <w:rPr>
          <w:rFonts w:hint="eastAsia" w:ascii="宋体" w:hAnsi="宋体"/>
        </w:rPr>
        <w:t>23.2.1导入《投标书编制软件》的招标文件项目编号、包号应与以此制作的投标文件项目编号、包号一致。例如，不能将甲项目A包的招标书导入《投标书编制软件》，制作乙项目B包的投标书。</w:t>
      </w:r>
    </w:p>
    <w:p w14:paraId="739B55E9">
      <w:pPr>
        <w:ind w:firstLine="411" w:firstLineChars="196"/>
        <w:rPr>
          <w:rFonts w:ascii="宋体" w:hAnsi="宋体"/>
        </w:rPr>
      </w:pPr>
      <w:r>
        <w:rPr>
          <w:rFonts w:hint="eastAsia" w:ascii="宋体" w:hAnsi="宋体"/>
        </w:rPr>
        <w:t>23.2.2不能用非本公司的电子密钥加密本公司的投标文件，或者用其它公司的登录用户上传本公司的投标文件。</w:t>
      </w:r>
    </w:p>
    <w:p w14:paraId="13B8EACD">
      <w:pPr>
        <w:ind w:firstLine="411" w:firstLineChars="196"/>
        <w:rPr>
          <w:rFonts w:ascii="宋体" w:hAnsi="宋体"/>
        </w:rPr>
      </w:pPr>
      <w:r>
        <w:rPr>
          <w:rFonts w:hint="eastAsia" w:ascii="宋体" w:hAnsi="宋体"/>
        </w:rPr>
        <w:t>23.2.3要求用《投标书编制软件》编制投标书的包，不能用其它方式编制投标书。编制投标文件时，电脑须连通互联网。</w:t>
      </w:r>
    </w:p>
    <w:p w14:paraId="6C1B1D9A">
      <w:pPr>
        <w:ind w:firstLine="411" w:firstLineChars="196"/>
        <w:rPr>
          <w:rFonts w:ascii="宋体" w:hAnsi="宋体"/>
        </w:rPr>
      </w:pPr>
      <w:r>
        <w:rPr>
          <w:rFonts w:hint="eastAsia" w:ascii="宋体" w:hAnsi="宋体"/>
        </w:rPr>
        <w:t>23.2.4投标文件不能带病毒。</w:t>
      </w:r>
      <w:r>
        <w:rPr>
          <w:rFonts w:eastAsia="宋体"/>
          <w:kern w:val="2"/>
          <w:sz w:val="21"/>
          <w:szCs w:val="21"/>
          <w:lang w:eastAsia="zh-CN"/>
        </w:rPr>
        <w:t>招标（采购）代理机构</w:t>
      </w:r>
      <w:r>
        <w:rPr>
          <w:rFonts w:hint="eastAsia" w:ascii="宋体" w:hAnsi="宋体"/>
        </w:rPr>
        <w:t>将用专业杀毒软件对投标文件进行病毒检测，如果这两种软件均报告发现病毒，则</w:t>
      </w:r>
      <w:r>
        <w:rPr>
          <w:rFonts w:eastAsia="宋体"/>
          <w:kern w:val="2"/>
          <w:sz w:val="21"/>
          <w:szCs w:val="21"/>
          <w:lang w:eastAsia="zh-CN"/>
        </w:rPr>
        <w:t>招标（采购）代理机构</w:t>
      </w:r>
      <w:r>
        <w:rPr>
          <w:rFonts w:hint="eastAsia" w:ascii="宋体" w:hAnsi="宋体"/>
        </w:rPr>
        <w:t>认为该投标文件带病毒。</w:t>
      </w:r>
    </w:p>
    <w:p w14:paraId="62B00135">
      <w:pPr>
        <w:ind w:firstLine="411" w:firstLineChars="196"/>
        <w:rPr>
          <w:rFonts w:ascii="宋体" w:hAnsi="宋体"/>
        </w:rPr>
      </w:pPr>
      <w:r>
        <w:rPr>
          <w:rFonts w:hint="eastAsia" w:ascii="宋体" w:hAnsi="宋体"/>
        </w:rPr>
        <w:t>23.2.6投标人在编辑投标文件时，</w:t>
      </w:r>
      <w:r>
        <w:rPr>
          <w:rFonts w:hint="eastAsia" w:ascii="宋体" w:hAnsi="宋体"/>
          <w:b/>
        </w:rPr>
        <w:t>在投标文件目录中属于本节点内容的必须在本节点中填写，填写到其他节点或附件，</w:t>
      </w:r>
      <w:r>
        <w:rPr>
          <w:rFonts w:hint="eastAsia" w:ascii="宋体" w:hAnsi="宋体"/>
        </w:rPr>
        <w:t>一切后果由供应商自行承担。</w:t>
      </w:r>
    </w:p>
    <w:p w14:paraId="53A58F04">
      <w:pPr>
        <w:ind w:firstLine="411" w:firstLineChars="196"/>
        <w:rPr>
          <w:rFonts w:ascii="宋体" w:hAnsi="宋体"/>
        </w:rPr>
      </w:pPr>
      <w:r>
        <w:rPr>
          <w:rFonts w:hint="eastAsia" w:ascii="宋体" w:hAnsi="宋体"/>
        </w:rPr>
        <w:t>23.2.7投标文件编写完成后，</w:t>
      </w:r>
      <w:r>
        <w:rPr>
          <w:rFonts w:hint="eastAsia" w:ascii="宋体" w:hAnsi="宋体"/>
          <w:b/>
        </w:rPr>
        <w:t>必须用属于投标人的电子密钥或电子营业执照进行加密，否则视同未盖公章，将导致投标文件无效。</w:t>
      </w:r>
    </w:p>
    <w:p w14:paraId="0E4A9FD7">
      <w:pPr>
        <w:ind w:firstLine="411" w:firstLineChars="196"/>
        <w:rPr>
          <w:rFonts w:ascii="宋体" w:hAnsi="宋体"/>
        </w:rPr>
      </w:pPr>
      <w:r>
        <w:rPr>
          <w:rFonts w:hint="eastAsia" w:ascii="宋体" w:hAnsi="宋体"/>
        </w:rPr>
        <w:t>23.2.8</w:t>
      </w:r>
      <w:r>
        <w:rPr>
          <w:rFonts w:eastAsia="宋体"/>
          <w:kern w:val="2"/>
          <w:sz w:val="21"/>
          <w:szCs w:val="21"/>
          <w:lang w:eastAsia="zh-CN"/>
        </w:rPr>
        <w:t>招标（采购）代理机构</w:t>
      </w:r>
      <w:r>
        <w:rPr>
          <w:rFonts w:hint="eastAsia" w:ascii="宋体" w:hAnsi="宋体"/>
        </w:rPr>
        <w:t>不接受投标截止时间后递交的纸质、电子、传真等所有形式的投标文件。由于对网上政府采购系统操作不熟悉或自身电脑、网络等原因导致不能在投标截止时间之前上传投标文件，</w:t>
      </w:r>
      <w:r>
        <w:rPr>
          <w:rFonts w:eastAsia="宋体"/>
          <w:kern w:val="2"/>
          <w:sz w:val="21"/>
          <w:szCs w:val="21"/>
          <w:lang w:eastAsia="zh-CN"/>
        </w:rPr>
        <w:t>招标（采购）代理机构</w:t>
      </w:r>
      <w:r>
        <w:rPr>
          <w:rFonts w:hint="eastAsia" w:ascii="宋体" w:hAnsi="宋体"/>
        </w:rPr>
        <w:t>概不负责。建议于开标前一个工作日完成投标文件的制作与上传，如上传确有困难，请及时咨询。</w:t>
      </w:r>
    </w:p>
    <w:p w14:paraId="74A06D83">
      <w:pPr>
        <w:ind w:firstLine="411" w:firstLineChars="196"/>
        <w:rPr>
          <w:rFonts w:ascii="宋体" w:hAnsi="宋体"/>
        </w:rPr>
      </w:pPr>
      <w:r>
        <w:rPr>
          <w:rFonts w:hint="eastAsia" w:ascii="宋体" w:hAnsi="宋体"/>
        </w:rPr>
        <w:t>23.2.9如果开标时出现网络故障、技术故障，影响了政府采购活动，</w:t>
      </w:r>
      <w:r>
        <w:rPr>
          <w:rFonts w:eastAsia="宋体"/>
          <w:kern w:val="2"/>
          <w:sz w:val="21"/>
          <w:szCs w:val="21"/>
          <w:lang w:eastAsia="zh-CN"/>
        </w:rPr>
        <w:t>招标（采购）代理机构</w:t>
      </w:r>
      <w:r>
        <w:rPr>
          <w:rFonts w:hint="eastAsia" w:ascii="宋体" w:hAnsi="宋体"/>
        </w:rPr>
        <w:t>有权采取措施如延期、接受无法从网上上传的投标书等，以保障政府采购活动的公开、公平和公正。</w:t>
      </w:r>
    </w:p>
    <w:p w14:paraId="5357BDFB">
      <w:pPr>
        <w:ind w:firstLine="411" w:firstLineChars="196"/>
        <w:rPr>
          <w:rFonts w:ascii="宋体" w:hAnsi="宋体"/>
        </w:rPr>
      </w:pPr>
      <w:r>
        <w:rPr>
          <w:rFonts w:hint="eastAsia" w:ascii="宋体" w:hAnsi="宋体"/>
        </w:rPr>
        <w:t>23.3电报、电话、传真形式的投标概不接受。</w:t>
      </w:r>
    </w:p>
    <w:p w14:paraId="22C600E0">
      <w:pPr>
        <w:ind w:firstLine="413" w:firstLineChars="196"/>
        <w:rPr>
          <w:rFonts w:ascii="宋体" w:hAnsi="宋体"/>
          <w:b/>
        </w:rPr>
      </w:pPr>
      <w:r>
        <w:rPr>
          <w:rFonts w:hint="eastAsia" w:ascii="宋体" w:hAnsi="宋体"/>
          <w:b/>
        </w:rPr>
        <w:t>23.4经投标人电子密钥或电子营业执照加密的投标文件无须盖章或签字，</w:t>
      </w:r>
      <w:r>
        <w:rPr>
          <w:rFonts w:hint="eastAsia" w:ascii="宋体" w:hAnsi="宋体"/>
        </w:rPr>
        <w:t>专用条款另有要求的除外。</w:t>
      </w:r>
    </w:p>
    <w:p w14:paraId="742BDBF4">
      <w:pPr>
        <w:ind w:firstLine="413" w:firstLineChars="196"/>
        <w:rPr>
          <w:rFonts w:ascii="宋体" w:hAnsi="宋体"/>
        </w:rPr>
      </w:pPr>
      <w:r>
        <w:rPr>
          <w:rFonts w:hint="eastAsia" w:ascii="宋体" w:hAnsi="宋体"/>
          <w:b/>
        </w:rPr>
        <w:t>23.5</w:t>
      </w:r>
      <w:r>
        <w:rPr>
          <w:rFonts w:hint="eastAsia" w:ascii="宋体" w:hAnsi="宋体"/>
        </w:rPr>
        <w:t xml:space="preserve"> 各类资格（资质）文件提供扫描件，专用条款另有要求的除外。</w:t>
      </w:r>
      <w:bookmarkEnd w:id="62"/>
    </w:p>
    <w:p w14:paraId="39AB17B4">
      <w:pPr>
        <w:ind w:firstLine="411" w:firstLineChars="196"/>
        <w:rPr>
          <w:rFonts w:ascii="宋体" w:hAnsi="宋体"/>
          <w:szCs w:val="21"/>
        </w:rPr>
      </w:pPr>
    </w:p>
    <w:p w14:paraId="4D8F9170">
      <w:pPr>
        <w:pStyle w:val="4"/>
        <w:numPr>
          <w:ilvl w:val="0"/>
          <w:numId w:val="13"/>
        </w:numPr>
        <w:spacing w:before="156" w:beforeLines="50" w:after="156" w:afterLines="50"/>
        <w:ind w:left="562" w:hanging="562"/>
        <w:rPr>
          <w:sz w:val="28"/>
          <w:szCs w:val="28"/>
        </w:rPr>
      </w:pPr>
      <w:r>
        <w:rPr>
          <w:rFonts w:hint="eastAsia"/>
          <w:sz w:val="28"/>
          <w:szCs w:val="28"/>
        </w:rPr>
        <w:t>投标文件的递交</w:t>
      </w:r>
    </w:p>
    <w:p w14:paraId="41742A7E">
      <w:pPr>
        <w:rPr>
          <w:rFonts w:ascii="黑体" w:hAnsi="宋体" w:eastAsia="黑体"/>
          <w:sz w:val="24"/>
        </w:rPr>
      </w:pPr>
      <w:bookmarkStart w:id="63" w:name="_Hlk72405459"/>
      <w:r>
        <w:rPr>
          <w:rFonts w:hint="eastAsia" w:ascii="黑体" w:hAnsi="宋体" w:eastAsia="黑体"/>
          <w:sz w:val="24"/>
        </w:rPr>
        <w:t>24．投标文件的保密</w:t>
      </w:r>
    </w:p>
    <w:p w14:paraId="728CA5EE">
      <w:pPr>
        <w:ind w:firstLine="411" w:firstLineChars="196"/>
        <w:rPr>
          <w:rFonts w:ascii="宋体" w:hAnsi="宋体"/>
        </w:rPr>
      </w:pPr>
      <w:r>
        <w:rPr>
          <w:rFonts w:hint="eastAsia" w:ascii="宋体" w:hAnsi="宋体"/>
        </w:rPr>
        <w:t>24.1在投标文件制作完成后，生成后会选择是否加密投标文件，如不加密则直接点击生成文件即可，如需加密请插入CA锁，点击加密后生成文件，需输入CA锁密码即可加密成功。加密后会提示文件生成成功！</w:t>
      </w:r>
      <w:r>
        <w:rPr>
          <w:rFonts w:hint="eastAsia" w:ascii="宋体" w:hAnsi="宋体"/>
          <w:highlight w:val="yellow"/>
        </w:rPr>
        <w:t>(注意：加密的投标文件开标时须使用加密文件时使用的锁在项目规定时间内解密！)</w:t>
      </w:r>
    </w:p>
    <w:p w14:paraId="23DF08D9">
      <w:pPr>
        <w:rPr>
          <w:rFonts w:ascii="宋体" w:hAnsi="宋体"/>
          <w:b/>
        </w:rPr>
      </w:pPr>
      <w:r>
        <w:rPr>
          <w:rFonts w:hint="eastAsia" w:ascii="宋体" w:hAnsi="宋体"/>
          <w:b/>
        </w:rPr>
        <w:t>24.2若采购项目出现延期情况：</w:t>
      </w:r>
    </w:p>
    <w:p w14:paraId="297958A1">
      <w:pPr>
        <w:ind w:firstLine="422" w:firstLineChars="200"/>
        <w:rPr>
          <w:rFonts w:ascii="黑体" w:hAnsi="宋体" w:eastAsia="黑体"/>
          <w:b/>
          <w:sz w:val="24"/>
        </w:rPr>
      </w:pPr>
      <w:r>
        <w:rPr>
          <w:rFonts w:hint="eastAsia" w:ascii="宋体" w:hAnsi="宋体"/>
          <w:b/>
        </w:rPr>
        <w:t>如果供下载的招标文件有更新，投标人必须重新下载招标文件、重新制作投标文件、重新加密投标文件、重新上传投标文件。</w:t>
      </w:r>
    </w:p>
    <w:p w14:paraId="12C6C2EC">
      <w:pPr>
        <w:rPr>
          <w:rFonts w:ascii="黑体" w:hAnsi="宋体" w:eastAsia="黑体"/>
          <w:sz w:val="24"/>
        </w:rPr>
      </w:pPr>
      <w:r>
        <w:rPr>
          <w:rFonts w:hint="eastAsia" w:ascii="黑体" w:hAnsi="宋体" w:eastAsia="黑体"/>
          <w:sz w:val="24"/>
        </w:rPr>
        <w:t>25．上传投标文件及投标截止日期</w:t>
      </w:r>
    </w:p>
    <w:p w14:paraId="36B0D748">
      <w:pPr>
        <w:ind w:firstLine="411" w:firstLineChars="196"/>
        <w:rPr>
          <w:rFonts w:ascii="宋体" w:hAnsi="宋体"/>
        </w:rPr>
      </w:pPr>
      <w:r>
        <w:rPr>
          <w:rFonts w:hint="eastAsia" w:ascii="宋体" w:hAnsi="宋体"/>
        </w:rPr>
        <w:t>25</w:t>
      </w:r>
      <w:r>
        <w:rPr>
          <w:rFonts w:ascii="宋体" w:hAnsi="宋体"/>
        </w:rPr>
        <w:t>.</w:t>
      </w:r>
      <w:r>
        <w:rPr>
          <w:rFonts w:hint="eastAsia" w:ascii="宋体" w:hAnsi="宋体"/>
        </w:rPr>
        <w:t>1实行网上投标，</w:t>
      </w:r>
      <w:r>
        <w:rPr>
          <w:rFonts w:ascii="宋体" w:hAnsi="宋体"/>
        </w:rPr>
        <w:t>投标人必须</w:t>
      </w:r>
      <w:r>
        <w:rPr>
          <w:rFonts w:hint="eastAsia" w:ascii="宋体" w:hAnsi="宋体"/>
        </w:rPr>
        <w:t>在招标</w:t>
      </w:r>
      <w:r>
        <w:rPr>
          <w:rFonts w:ascii="宋体" w:hAnsi="宋体"/>
        </w:rPr>
        <w:t>文件规定的投标截止时间前</w:t>
      </w:r>
      <w:r>
        <w:rPr>
          <w:rFonts w:hint="eastAsia" w:ascii="宋体" w:hAnsi="宋体"/>
        </w:rPr>
        <w:t>用电子密钥登录“深圳政府采购自行采购系统（https://trade.szggzy.com/ggzy/center/#/login）”上传投标文件。如上传过程中遇到问题，可拨打采购公告中的技术支持电话</w:t>
      </w:r>
      <w:r>
        <w:rPr>
          <w:rFonts w:hint="eastAsia" w:ascii="宋体" w:hAnsi="宋体"/>
          <w:lang w:eastAsia="zh-CN"/>
        </w:rPr>
        <w:t>，</w:t>
      </w:r>
      <w:r>
        <w:rPr>
          <w:rFonts w:hint="eastAsia" w:ascii="宋体" w:hAnsi="宋体"/>
          <w:b/>
          <w:bCs/>
          <w:szCs w:val="21"/>
        </w:rPr>
        <w:t>但上传过程中投标截止时间到达仍无法上传成功的，由投标人自行负责</w:t>
      </w:r>
      <w:r>
        <w:rPr>
          <w:rFonts w:hint="eastAsia" w:ascii="宋体" w:hAnsi="宋体"/>
        </w:rPr>
        <w:t>。</w:t>
      </w:r>
    </w:p>
    <w:p w14:paraId="534B81AA">
      <w:pPr>
        <w:ind w:firstLine="411" w:firstLineChars="196"/>
        <w:rPr>
          <w:rFonts w:ascii="宋体" w:hAnsi="宋体"/>
        </w:rPr>
      </w:pPr>
      <w:r>
        <w:rPr>
          <w:rFonts w:hint="eastAsia" w:ascii="宋体" w:hAnsi="宋体"/>
        </w:rPr>
        <w:t>25.2</w:t>
      </w:r>
      <w:r>
        <w:rPr>
          <w:rFonts w:eastAsia="宋体"/>
          <w:kern w:val="2"/>
          <w:sz w:val="21"/>
          <w:szCs w:val="21"/>
          <w:lang w:eastAsia="zh-CN"/>
        </w:rPr>
        <w:t>招标（采购）代理机构</w:t>
      </w:r>
      <w:r>
        <w:rPr>
          <w:rFonts w:hint="eastAsia" w:ascii="宋体" w:hAnsi="宋体"/>
        </w:rPr>
        <w:t>可以按本通用条款第13条规定，通过修改招标文件自行决定酌情延长投标截止期。在此情况下，</w:t>
      </w:r>
      <w:r>
        <w:rPr>
          <w:rFonts w:eastAsia="宋体"/>
          <w:kern w:val="2"/>
          <w:sz w:val="21"/>
          <w:szCs w:val="21"/>
          <w:lang w:eastAsia="zh-CN"/>
        </w:rPr>
        <w:t>招标（采购）代理机构</w:t>
      </w:r>
      <w:r>
        <w:rPr>
          <w:rFonts w:hint="eastAsia" w:ascii="宋体" w:hAnsi="宋体"/>
        </w:rPr>
        <w:t>、采购人和投标人受投标截止期制约的所有权利和义务均应延长至新的截止期。</w:t>
      </w:r>
    </w:p>
    <w:p w14:paraId="41AD8C2C">
      <w:pPr>
        <w:ind w:firstLine="411" w:firstLineChars="196"/>
        <w:rPr>
          <w:rFonts w:ascii="宋体" w:hAnsi="宋体"/>
        </w:rPr>
      </w:pPr>
      <w:r>
        <w:rPr>
          <w:rFonts w:hint="eastAsia" w:ascii="宋体" w:hAnsi="宋体"/>
        </w:rPr>
        <w:t>25</w:t>
      </w:r>
      <w:r>
        <w:rPr>
          <w:rFonts w:ascii="宋体" w:hAnsi="宋体"/>
        </w:rPr>
        <w:t>.</w:t>
      </w:r>
      <w:r>
        <w:rPr>
          <w:rFonts w:hint="eastAsia" w:ascii="宋体" w:hAnsi="宋体"/>
        </w:rPr>
        <w:t>3投标截止时间以后不得上传投标文件。</w:t>
      </w:r>
    </w:p>
    <w:p w14:paraId="729AB710">
      <w:pPr>
        <w:ind w:firstLine="411" w:firstLineChars="196"/>
        <w:rPr>
          <w:rFonts w:ascii="宋体" w:hAnsi="宋体"/>
        </w:rPr>
      </w:pPr>
    </w:p>
    <w:p w14:paraId="60B20463">
      <w:pPr>
        <w:ind w:firstLine="411" w:firstLineChars="196"/>
        <w:rPr>
          <w:rFonts w:ascii="宋体" w:hAnsi="宋体"/>
        </w:rPr>
      </w:pPr>
    </w:p>
    <w:bookmarkEnd w:id="63"/>
    <w:p w14:paraId="63ECF244">
      <w:pPr>
        <w:rPr>
          <w:rFonts w:ascii="黑体" w:hAnsi="宋体" w:eastAsia="黑体"/>
          <w:sz w:val="24"/>
        </w:rPr>
      </w:pPr>
      <w:r>
        <w:rPr>
          <w:rFonts w:hint="eastAsia" w:ascii="黑体" w:hAnsi="宋体" w:eastAsia="黑体"/>
          <w:sz w:val="24"/>
        </w:rPr>
        <w:t>26. 样品、现场演示、方案讲解</w:t>
      </w:r>
    </w:p>
    <w:p w14:paraId="4B6F333A">
      <w:pPr>
        <w:ind w:firstLine="411" w:firstLineChars="196"/>
        <w:rPr>
          <w:rFonts w:ascii="宋体" w:hAnsi="宋体"/>
          <w:szCs w:val="21"/>
        </w:rPr>
      </w:pPr>
      <w:r>
        <w:rPr>
          <w:rFonts w:hint="eastAsia" w:ascii="宋体" w:hAnsi="宋体"/>
          <w:szCs w:val="21"/>
        </w:rPr>
        <w:t>26.1 样品、现场演示、方案讲解等事项在招标文件专用条款中进行规定。</w:t>
      </w:r>
    </w:p>
    <w:p w14:paraId="7A640EFB">
      <w:pPr>
        <w:rPr>
          <w:rFonts w:ascii="黑体" w:hAnsi="宋体" w:eastAsia="黑体"/>
          <w:sz w:val="24"/>
        </w:rPr>
      </w:pPr>
      <w:bookmarkStart w:id="64" w:name="_Hlk72428346"/>
      <w:r>
        <w:rPr>
          <w:rFonts w:ascii="黑体" w:hAnsi="宋体" w:eastAsia="黑体"/>
          <w:sz w:val="24"/>
        </w:rPr>
        <w:t>2</w:t>
      </w:r>
      <w:r>
        <w:rPr>
          <w:rFonts w:hint="eastAsia" w:ascii="黑体" w:hAnsi="宋体" w:eastAsia="黑体"/>
          <w:sz w:val="24"/>
        </w:rPr>
        <w:t>7．</w:t>
      </w:r>
      <w:r>
        <w:rPr>
          <w:rFonts w:ascii="黑体" w:hAnsi="宋体" w:eastAsia="黑体"/>
          <w:sz w:val="24"/>
        </w:rPr>
        <w:t>投标文件的修改和撤销</w:t>
      </w:r>
    </w:p>
    <w:p w14:paraId="52E84599">
      <w:pPr>
        <w:ind w:firstLine="411" w:firstLineChars="196"/>
        <w:rPr>
          <w:rFonts w:ascii="宋体" w:hAnsi="宋体"/>
        </w:rPr>
      </w:pPr>
      <w:r>
        <w:rPr>
          <w:rFonts w:ascii="宋体" w:hAnsi="宋体"/>
        </w:rPr>
        <w:t>2</w:t>
      </w:r>
      <w:r>
        <w:rPr>
          <w:rFonts w:hint="eastAsia" w:ascii="宋体" w:hAnsi="宋体"/>
        </w:rPr>
        <w:t>7</w:t>
      </w:r>
      <w:r>
        <w:rPr>
          <w:rFonts w:ascii="宋体" w:hAnsi="宋体"/>
        </w:rPr>
        <w:t>.</w:t>
      </w:r>
      <w:r>
        <w:rPr>
          <w:rFonts w:hint="eastAsia" w:ascii="宋体" w:hAnsi="宋体"/>
        </w:rPr>
        <w:t>1</w:t>
      </w:r>
      <w:r>
        <w:rPr>
          <w:rFonts w:ascii="宋体" w:hAnsi="宋体"/>
        </w:rPr>
        <w:t>投标方在提交投标文件后可对其投标文件进行修改</w:t>
      </w:r>
      <w:r>
        <w:rPr>
          <w:rFonts w:hint="eastAsia" w:ascii="宋体" w:hAnsi="宋体"/>
        </w:rPr>
        <w:t>并重新上传投标文件</w:t>
      </w:r>
      <w:r>
        <w:rPr>
          <w:rFonts w:ascii="宋体" w:hAnsi="宋体"/>
        </w:rPr>
        <w:t>或</w:t>
      </w:r>
      <w:r>
        <w:rPr>
          <w:rFonts w:hint="eastAsia" w:ascii="宋体" w:hAnsi="宋体"/>
        </w:rPr>
        <w:t>在网上进行</w:t>
      </w:r>
      <w:r>
        <w:rPr>
          <w:rFonts w:ascii="宋体" w:hAnsi="宋体"/>
        </w:rPr>
        <w:t>撤销</w:t>
      </w:r>
      <w:r>
        <w:rPr>
          <w:rFonts w:hint="eastAsia" w:ascii="宋体" w:hAnsi="宋体"/>
        </w:rPr>
        <w:t>投标的操作</w:t>
      </w:r>
      <w:r>
        <w:rPr>
          <w:rFonts w:ascii="宋体" w:hAnsi="宋体"/>
        </w:rPr>
        <w:t>。</w:t>
      </w:r>
    </w:p>
    <w:p w14:paraId="673FE83D">
      <w:pPr>
        <w:ind w:firstLine="411" w:firstLineChars="196"/>
        <w:rPr>
          <w:rFonts w:ascii="宋体" w:hAnsi="宋体"/>
        </w:rPr>
      </w:pPr>
      <w:r>
        <w:rPr>
          <w:rFonts w:ascii="宋体" w:hAnsi="宋体"/>
        </w:rPr>
        <w:t>2</w:t>
      </w:r>
      <w:r>
        <w:rPr>
          <w:rFonts w:hint="eastAsia" w:ascii="宋体" w:hAnsi="宋体"/>
        </w:rPr>
        <w:t>7</w:t>
      </w:r>
      <w:r>
        <w:rPr>
          <w:rFonts w:ascii="宋体" w:hAnsi="宋体"/>
        </w:rPr>
        <w:t>.</w:t>
      </w:r>
      <w:r>
        <w:rPr>
          <w:rFonts w:hint="eastAsia" w:ascii="宋体" w:hAnsi="宋体"/>
        </w:rPr>
        <w:t>2</w:t>
      </w:r>
      <w:r>
        <w:rPr>
          <w:rFonts w:ascii="宋体" w:hAnsi="宋体"/>
        </w:rPr>
        <w:t>投标截止时间以后不得修改投标文件。</w:t>
      </w:r>
    </w:p>
    <w:p w14:paraId="2D5DEDD5">
      <w:pPr>
        <w:ind w:firstLine="411" w:firstLineChars="196"/>
        <w:rPr>
          <w:rFonts w:ascii="宋体" w:hAnsi="宋体"/>
        </w:rPr>
      </w:pPr>
      <w:r>
        <w:rPr>
          <w:rFonts w:ascii="宋体" w:hAnsi="宋体"/>
        </w:rPr>
        <w:t>2</w:t>
      </w:r>
      <w:r>
        <w:rPr>
          <w:rFonts w:hint="eastAsia" w:ascii="宋体" w:hAnsi="宋体"/>
        </w:rPr>
        <w:t>7</w:t>
      </w:r>
      <w:r>
        <w:rPr>
          <w:rFonts w:ascii="宋体" w:hAnsi="宋体"/>
        </w:rPr>
        <w:t>.</w:t>
      </w:r>
      <w:r>
        <w:rPr>
          <w:rFonts w:hint="eastAsia" w:ascii="宋体" w:hAnsi="宋体"/>
        </w:rPr>
        <w:t>3从投标截止期至投标人在投标文件中确定的投标有效期之间的这段时间内，投标人不得撤回其投标。</w:t>
      </w:r>
    </w:p>
    <w:p w14:paraId="7340DFA4">
      <w:pPr>
        <w:ind w:firstLine="411" w:firstLineChars="196"/>
        <w:rPr>
          <w:rFonts w:ascii="宋体" w:hAnsi="宋体"/>
          <w:szCs w:val="21"/>
        </w:rPr>
      </w:pPr>
      <w:r>
        <w:rPr>
          <w:rFonts w:hint="eastAsia" w:ascii="宋体" w:hAnsi="宋体"/>
          <w:szCs w:val="21"/>
        </w:rPr>
        <w:t>27.4</w:t>
      </w:r>
      <w:r>
        <w:rPr>
          <w:rFonts w:eastAsia="宋体"/>
          <w:kern w:val="2"/>
          <w:sz w:val="21"/>
          <w:szCs w:val="21"/>
          <w:lang w:eastAsia="zh-CN"/>
        </w:rPr>
        <w:t>招标（采购）代理机构</w:t>
      </w:r>
      <w:r>
        <w:rPr>
          <w:rFonts w:hint="eastAsia" w:ascii="宋体" w:hAnsi="宋体"/>
          <w:szCs w:val="21"/>
        </w:rPr>
        <w:t>不退还投标文件，专用条款另有规定的除外。</w:t>
      </w:r>
    </w:p>
    <w:bookmarkEnd w:id="64"/>
    <w:p w14:paraId="2409D60B">
      <w:pPr>
        <w:pStyle w:val="4"/>
        <w:numPr>
          <w:ilvl w:val="0"/>
          <w:numId w:val="13"/>
        </w:numPr>
        <w:spacing w:before="156" w:beforeLines="50" w:after="156" w:afterLines="50"/>
        <w:ind w:left="562" w:hanging="562"/>
        <w:rPr>
          <w:sz w:val="28"/>
          <w:szCs w:val="28"/>
        </w:rPr>
      </w:pPr>
      <w:r>
        <w:rPr>
          <w:rFonts w:hint="eastAsia"/>
          <w:sz w:val="28"/>
          <w:szCs w:val="28"/>
        </w:rPr>
        <w:t>开标</w:t>
      </w:r>
    </w:p>
    <w:p w14:paraId="37FAD91B">
      <w:pPr>
        <w:rPr>
          <w:rFonts w:ascii="黑体" w:hAnsi="宋体" w:eastAsia="黑体"/>
          <w:sz w:val="24"/>
        </w:rPr>
      </w:pPr>
      <w:r>
        <w:rPr>
          <w:rFonts w:hint="eastAsia" w:ascii="黑体" w:hAnsi="宋体" w:eastAsia="黑体"/>
          <w:sz w:val="24"/>
        </w:rPr>
        <w:t>28．开标</w:t>
      </w:r>
    </w:p>
    <w:p w14:paraId="777B189D">
      <w:pPr>
        <w:ind w:firstLine="359" w:firstLineChars="171"/>
        <w:rPr>
          <w:rFonts w:ascii="宋体" w:hAnsi="宋体"/>
          <w:szCs w:val="21"/>
        </w:rPr>
      </w:pPr>
      <w:r>
        <w:rPr>
          <w:rFonts w:ascii="宋体" w:hAnsi="宋体"/>
          <w:szCs w:val="21"/>
        </w:rPr>
        <w:t>2</w:t>
      </w:r>
      <w:r>
        <w:rPr>
          <w:rFonts w:hint="eastAsia" w:ascii="宋体" w:hAnsi="宋体"/>
          <w:szCs w:val="21"/>
        </w:rPr>
        <w:t>8</w:t>
      </w:r>
      <w:r>
        <w:rPr>
          <w:rFonts w:ascii="宋体" w:hAnsi="宋体"/>
          <w:szCs w:val="21"/>
        </w:rPr>
        <w:t>.</w:t>
      </w:r>
      <w:r>
        <w:rPr>
          <w:rFonts w:hint="eastAsia" w:ascii="宋体" w:hAnsi="宋体"/>
          <w:szCs w:val="21"/>
        </w:rPr>
        <w:t>1投标人须在开标当日的开标时间至解密截止时间内进行解密，逾期未解密的作无效处理。解密方法：登录“</w:t>
      </w:r>
      <w:r>
        <w:rPr>
          <w:rFonts w:hint="eastAsia" w:ascii="宋体" w:hAnsi="宋体"/>
        </w:rPr>
        <w:t>深圳政府采购自行采购系统（https://trade.szggzy.com/ggzy/center/#/login）</w:t>
      </w:r>
      <w:r>
        <w:rPr>
          <w:rFonts w:hint="eastAsia" w:ascii="宋体" w:hAnsi="宋体"/>
          <w:szCs w:val="21"/>
        </w:rPr>
        <w:t>”，使用本单位制作电子投标文件同一个电子密钥进行在线解密、查询开标情况。</w:t>
      </w:r>
    </w:p>
    <w:p w14:paraId="1CC0B224">
      <w:pPr>
        <w:ind w:firstLine="315" w:firstLineChars="150"/>
        <w:rPr>
          <w:rFonts w:ascii="宋体" w:hAnsi="宋体"/>
          <w:szCs w:val="21"/>
        </w:rPr>
      </w:pPr>
      <w:r>
        <w:rPr>
          <w:rFonts w:hint="eastAsia" w:ascii="宋体" w:hAnsi="宋体"/>
          <w:szCs w:val="21"/>
        </w:rPr>
        <w:t>28.2</w:t>
      </w:r>
      <w:r>
        <w:rPr>
          <w:rFonts w:eastAsia="宋体"/>
          <w:kern w:val="2"/>
          <w:sz w:val="21"/>
          <w:szCs w:val="21"/>
          <w:lang w:eastAsia="zh-CN"/>
        </w:rPr>
        <w:t>招标（采购）代理机构</w:t>
      </w:r>
      <w:r>
        <w:rPr>
          <w:rFonts w:hint="eastAsia" w:ascii="宋体" w:hAnsi="宋体"/>
          <w:szCs w:val="21"/>
        </w:rPr>
        <w:t>将在满足开标条件（①解密时间结束，解密后的投标供应商数量满足开标要求或②解密时间结束前所有投标供应商均完成投标文件解密）后，对投标文件进行开标，并在网上公布开标结果。</w:t>
      </w:r>
    </w:p>
    <w:p w14:paraId="400367BD">
      <w:pPr>
        <w:ind w:firstLine="315" w:firstLineChars="150"/>
        <w:rPr>
          <w:rFonts w:ascii="宋体" w:hAnsi="宋体"/>
          <w:szCs w:val="21"/>
        </w:rPr>
      </w:pPr>
    </w:p>
    <w:p w14:paraId="0F185133">
      <w:pPr>
        <w:pStyle w:val="4"/>
        <w:numPr>
          <w:ilvl w:val="0"/>
          <w:numId w:val="13"/>
        </w:numPr>
        <w:spacing w:before="156" w:beforeLines="50" w:after="156" w:afterLines="50"/>
        <w:ind w:left="562" w:hanging="562"/>
        <w:rPr>
          <w:sz w:val="28"/>
          <w:szCs w:val="28"/>
        </w:rPr>
      </w:pPr>
      <w:r>
        <w:rPr>
          <w:rFonts w:hint="eastAsia"/>
          <w:sz w:val="28"/>
          <w:szCs w:val="28"/>
        </w:rPr>
        <w:t>评审要求</w:t>
      </w:r>
    </w:p>
    <w:p w14:paraId="6A79914C">
      <w:pPr>
        <w:rPr>
          <w:rFonts w:ascii="黑体" w:hAnsi="宋体" w:eastAsia="黑体"/>
          <w:sz w:val="24"/>
        </w:rPr>
      </w:pPr>
      <w:r>
        <w:rPr>
          <w:rFonts w:hint="eastAsia" w:ascii="黑体" w:hAnsi="宋体" w:eastAsia="黑体"/>
          <w:sz w:val="24"/>
        </w:rPr>
        <w:t>29．评审委员会组成</w:t>
      </w:r>
    </w:p>
    <w:p w14:paraId="73751695">
      <w:pPr>
        <w:ind w:firstLine="411" w:firstLineChars="196"/>
        <w:rPr>
          <w:rFonts w:ascii="宋体" w:hAnsi="宋体"/>
        </w:rPr>
      </w:pPr>
      <w:r>
        <w:rPr>
          <w:rFonts w:hint="eastAsia" w:ascii="宋体" w:hAnsi="宋体"/>
        </w:rPr>
        <w:t>29.1网上开标结束后召开评审会议，</w:t>
      </w:r>
      <w:r>
        <w:rPr>
          <w:rFonts w:hint="eastAsia" w:ascii="宋体" w:hAnsi="宋体"/>
          <w:szCs w:val="21"/>
        </w:rPr>
        <w:t>评审委员会</w:t>
      </w:r>
      <w:r>
        <w:rPr>
          <w:rFonts w:hint="eastAsia" w:ascii="宋体" w:hAnsi="宋体"/>
        </w:rPr>
        <w:t>由</w:t>
      </w:r>
      <w:r>
        <w:rPr>
          <w:rFonts w:eastAsia="宋体"/>
          <w:kern w:val="2"/>
          <w:sz w:val="21"/>
          <w:szCs w:val="21"/>
          <w:lang w:eastAsia="zh-CN"/>
        </w:rPr>
        <w:t>招标（采购）代理机构</w:t>
      </w:r>
      <w:r>
        <w:rPr>
          <w:rFonts w:hint="eastAsia" w:ascii="宋体" w:hAnsi="宋体"/>
        </w:rPr>
        <w:t>依法组建，负责评审活动。</w:t>
      </w:r>
    </w:p>
    <w:p w14:paraId="14259BFB">
      <w:pPr>
        <w:ind w:firstLine="411" w:firstLineChars="196"/>
        <w:rPr>
          <w:rFonts w:ascii="宋体" w:hAnsi="宋体"/>
        </w:rPr>
      </w:pPr>
      <w:bookmarkStart w:id="65" w:name="_Hlk72436580"/>
      <w:r>
        <w:rPr>
          <w:rFonts w:hint="eastAsia" w:ascii="宋体" w:hAnsi="宋体"/>
        </w:rPr>
        <w:t>评审委员会由采购人代表和评审专家组成，成员人数应当为5人以上单数（部分条件下为7人以上单数），其中评审专家不得少于成员总数的三分之二。</w:t>
      </w:r>
      <w:bookmarkEnd w:id="65"/>
      <w:r>
        <w:rPr>
          <w:rFonts w:hint="eastAsia" w:ascii="宋体" w:hAnsi="宋体"/>
        </w:rPr>
        <w:t>评定</w:t>
      </w:r>
      <w:r>
        <w:rPr>
          <w:rFonts w:hint="eastAsia"/>
        </w:rPr>
        <w:t>分离项目</w:t>
      </w:r>
      <w:r>
        <w:t>评审专家</w:t>
      </w:r>
      <w:r>
        <w:rPr>
          <w:rFonts w:hint="eastAsia"/>
        </w:rPr>
        <w:t>均</w:t>
      </w:r>
      <w:r>
        <w:t>由</w:t>
      </w:r>
      <w:r>
        <w:rPr>
          <w:rFonts w:hint="eastAsia"/>
        </w:rPr>
        <w:t>评审专家组成。</w:t>
      </w:r>
      <w:r>
        <w:rPr>
          <w:rFonts w:hint="eastAsia" w:ascii="宋体" w:hAnsi="宋体"/>
          <w:szCs w:val="21"/>
        </w:rPr>
        <w:t>评审专家一般是</w:t>
      </w:r>
      <w:r>
        <w:rPr>
          <w:rFonts w:hint="eastAsia" w:ascii="宋体" w:hAnsi="宋体"/>
        </w:rPr>
        <w:t>从深圳市政府采购评审专家库中随机抽取。采购人代表须持本单位签发的《评审授权书》参加评审。</w:t>
      </w:r>
    </w:p>
    <w:p w14:paraId="1EA45CB5">
      <w:pPr>
        <w:ind w:firstLine="411" w:firstLineChars="196"/>
        <w:rPr>
          <w:rFonts w:ascii="宋体" w:hAnsi="宋体"/>
        </w:rPr>
      </w:pPr>
      <w:r>
        <w:rPr>
          <w:rFonts w:hint="eastAsia" w:ascii="宋体" w:hAnsi="宋体"/>
        </w:rPr>
        <w:t>29.2评审定标应当遵循公平、公正、科学、择优的原则。</w:t>
      </w:r>
    </w:p>
    <w:p w14:paraId="37B319CB">
      <w:pPr>
        <w:ind w:firstLine="411" w:firstLineChars="196"/>
        <w:rPr>
          <w:rFonts w:ascii="宋体" w:hAnsi="宋体"/>
        </w:rPr>
      </w:pPr>
      <w:r>
        <w:rPr>
          <w:rFonts w:hint="eastAsia" w:ascii="宋体" w:hAnsi="宋体"/>
        </w:rPr>
        <w:t>29.3评审活动依法进行，任何单位和个人不得非法干预评标过程和结果。</w:t>
      </w:r>
    </w:p>
    <w:p w14:paraId="7C8614D7">
      <w:pPr>
        <w:ind w:firstLine="411" w:firstLineChars="196"/>
        <w:rPr>
          <w:rFonts w:ascii="宋体" w:hAnsi="宋体"/>
        </w:rPr>
      </w:pPr>
      <w:r>
        <w:rPr>
          <w:rFonts w:hint="eastAsia" w:ascii="宋体" w:hAnsi="宋体"/>
        </w:rPr>
        <w:t>29.4评审过程中不允许违背评标程序或采用招标文件未载明的评标方法或评标因素进行评标。</w:t>
      </w:r>
    </w:p>
    <w:p w14:paraId="3EDF40DD">
      <w:pPr>
        <w:ind w:firstLine="411" w:firstLineChars="196"/>
        <w:rPr>
          <w:rFonts w:ascii="宋体" w:hAnsi="宋体"/>
          <w:bCs/>
        </w:rPr>
      </w:pPr>
      <w:r>
        <w:rPr>
          <w:rFonts w:hint="eastAsia" w:ascii="宋体" w:hAnsi="宋体"/>
          <w:bCs/>
        </w:rPr>
        <w:t>29.5 开标后，直到签订合同为止，凡属于对投标文件的审查、澄清、评价和比较的有关资料以及中标候选人的推荐情况、与评审有关的其他任何情况均严格保密（</w:t>
      </w:r>
      <w:r>
        <w:rPr>
          <w:rFonts w:hint="eastAsia"/>
        </w:rPr>
        <w:t>信息公开的内容除外</w:t>
      </w:r>
      <w:r>
        <w:rPr>
          <w:rFonts w:hint="eastAsia" w:ascii="宋体" w:hAnsi="宋体"/>
          <w:bCs/>
        </w:rPr>
        <w:t>）。</w:t>
      </w:r>
    </w:p>
    <w:p w14:paraId="115CD4F2">
      <w:pPr>
        <w:rPr>
          <w:rFonts w:ascii="黑体" w:hAnsi="宋体" w:eastAsia="黑体"/>
          <w:sz w:val="24"/>
        </w:rPr>
      </w:pPr>
      <w:r>
        <w:rPr>
          <w:rFonts w:hint="eastAsia" w:ascii="黑体" w:hAnsi="宋体" w:eastAsia="黑体"/>
          <w:sz w:val="24"/>
        </w:rPr>
        <w:t>30．向评审委员会提供的资料</w:t>
      </w:r>
    </w:p>
    <w:p w14:paraId="20B20C5A">
      <w:pPr>
        <w:ind w:firstLine="411" w:firstLineChars="196"/>
        <w:rPr>
          <w:rFonts w:ascii="宋体" w:hAnsi="宋体"/>
        </w:rPr>
      </w:pPr>
      <w:r>
        <w:rPr>
          <w:rFonts w:hint="eastAsia" w:ascii="宋体" w:hAnsi="宋体"/>
        </w:rPr>
        <w:t>30.1公开发布的招标文件，包括图纸、服务清单、答疑文件等；</w:t>
      </w:r>
    </w:p>
    <w:p w14:paraId="16D140B7">
      <w:pPr>
        <w:ind w:firstLine="411" w:firstLineChars="196"/>
        <w:rPr>
          <w:rFonts w:ascii="宋体" w:hAnsi="宋体"/>
        </w:rPr>
      </w:pPr>
      <w:r>
        <w:rPr>
          <w:rFonts w:hint="eastAsia" w:ascii="宋体" w:hAnsi="宋体"/>
        </w:rPr>
        <w:t>30.2其他评标必须的资料。</w:t>
      </w:r>
    </w:p>
    <w:p w14:paraId="17B3D6F2">
      <w:pPr>
        <w:ind w:firstLine="411" w:firstLineChars="196"/>
        <w:rPr>
          <w:rFonts w:ascii="宋体" w:hAnsi="宋体"/>
        </w:rPr>
      </w:pPr>
      <w:r>
        <w:rPr>
          <w:rFonts w:hint="eastAsia" w:ascii="宋体" w:hAnsi="宋体"/>
        </w:rPr>
        <w:t>30.3</w:t>
      </w:r>
      <w:r>
        <w:rPr>
          <w:rFonts w:hint="eastAsia" w:ascii="宋体" w:hAnsi="宋体"/>
          <w:szCs w:val="21"/>
        </w:rPr>
        <w:t>评审委员会</w:t>
      </w:r>
      <w:r>
        <w:rPr>
          <w:rFonts w:hint="eastAsia" w:ascii="宋体" w:hAnsi="宋体"/>
        </w:rPr>
        <w:t>应当认真研究招标文件，至少应了解熟悉以下内容：</w:t>
      </w:r>
    </w:p>
    <w:p w14:paraId="643FD6E8">
      <w:pPr>
        <w:ind w:firstLine="411" w:firstLineChars="196"/>
        <w:rPr>
          <w:rFonts w:ascii="宋体" w:hAnsi="宋体"/>
        </w:rPr>
      </w:pPr>
      <w:r>
        <w:rPr>
          <w:rFonts w:hint="eastAsia" w:ascii="宋体" w:hAnsi="宋体"/>
        </w:rPr>
        <w:t>（1）招标的目的；</w:t>
      </w:r>
    </w:p>
    <w:p w14:paraId="6280AADF">
      <w:pPr>
        <w:ind w:firstLine="411" w:firstLineChars="196"/>
        <w:rPr>
          <w:rFonts w:ascii="宋体" w:hAnsi="宋体"/>
        </w:rPr>
      </w:pPr>
      <w:r>
        <w:rPr>
          <w:rFonts w:hint="eastAsia" w:ascii="宋体" w:hAnsi="宋体"/>
        </w:rPr>
        <w:t>（2）招标项目需求的范围和性质；</w:t>
      </w:r>
    </w:p>
    <w:p w14:paraId="5385E2E2">
      <w:pPr>
        <w:ind w:firstLine="411" w:firstLineChars="196"/>
        <w:rPr>
          <w:rFonts w:ascii="宋体" w:hAnsi="宋体"/>
        </w:rPr>
      </w:pPr>
      <w:r>
        <w:rPr>
          <w:rFonts w:hint="eastAsia" w:ascii="宋体" w:hAnsi="宋体"/>
        </w:rPr>
        <w:t>（3）招标文件规定的投标人的资格、财政预算限额、商务条款；</w:t>
      </w:r>
    </w:p>
    <w:p w14:paraId="75FF4956">
      <w:pPr>
        <w:ind w:firstLine="411" w:firstLineChars="196"/>
        <w:rPr>
          <w:rFonts w:ascii="宋体" w:hAnsi="宋体"/>
        </w:rPr>
      </w:pPr>
      <w:r>
        <w:rPr>
          <w:rFonts w:hint="eastAsia" w:ascii="宋体" w:hAnsi="宋体"/>
        </w:rPr>
        <w:t>（4）招标文件规定的评标程序、评标方法和评标因素；</w:t>
      </w:r>
    </w:p>
    <w:p w14:paraId="0C3A1DEC">
      <w:pPr>
        <w:ind w:firstLine="411" w:firstLineChars="196"/>
        <w:rPr>
          <w:rFonts w:ascii="宋体" w:hAnsi="宋体"/>
        </w:rPr>
      </w:pPr>
      <w:r>
        <w:rPr>
          <w:rFonts w:hint="eastAsia" w:ascii="宋体" w:hAnsi="宋体"/>
        </w:rPr>
        <w:t>（5）招标文件所列示的资格性审查表及符合性审查表。</w:t>
      </w:r>
    </w:p>
    <w:p w14:paraId="623A2498">
      <w:pPr>
        <w:rPr>
          <w:rFonts w:ascii="黑体" w:hAnsi="宋体" w:eastAsia="黑体"/>
          <w:sz w:val="24"/>
        </w:rPr>
      </w:pPr>
      <w:r>
        <w:rPr>
          <w:rFonts w:hint="eastAsia" w:ascii="黑体" w:hAnsi="宋体" w:eastAsia="黑体"/>
          <w:sz w:val="24"/>
        </w:rPr>
        <w:t>31．独立评审</w:t>
      </w:r>
    </w:p>
    <w:p w14:paraId="5E6741F0">
      <w:pPr>
        <w:ind w:firstLine="411" w:firstLineChars="196"/>
        <w:rPr>
          <w:rFonts w:ascii="宋体" w:hAnsi="宋体"/>
          <w:bCs/>
        </w:rPr>
      </w:pPr>
      <w:r>
        <w:rPr>
          <w:rFonts w:hint="eastAsia" w:ascii="宋体" w:hAnsi="宋体"/>
          <w:bCs/>
        </w:rPr>
        <w:t>3</w:t>
      </w:r>
      <w:r>
        <w:rPr>
          <w:rFonts w:ascii="宋体" w:hAnsi="宋体"/>
          <w:bCs/>
        </w:rPr>
        <w:t>1</w:t>
      </w:r>
      <w:r>
        <w:rPr>
          <w:rFonts w:hint="eastAsia" w:ascii="宋体" w:hAnsi="宋体"/>
          <w:bCs/>
        </w:rPr>
        <w:t>.1</w:t>
      </w:r>
      <w:r>
        <w:rPr>
          <w:rFonts w:hint="eastAsia" w:ascii="宋体" w:hAnsi="宋体"/>
          <w:szCs w:val="21"/>
        </w:rPr>
        <w:t>评审委员会</w:t>
      </w:r>
      <w:r>
        <w:rPr>
          <w:rFonts w:hint="eastAsia" w:ascii="宋体" w:hAnsi="宋体"/>
          <w:bCs/>
        </w:rPr>
        <w:t>成员的评标活动应当独立进行，并应遵循投标文件初审、澄清有关问题、比较与评价、确定中标供应商、编写评审报告的工作程序。</w:t>
      </w:r>
    </w:p>
    <w:p w14:paraId="6BCEC95A">
      <w:pPr>
        <w:ind w:firstLine="411" w:firstLineChars="196"/>
        <w:rPr>
          <w:rFonts w:ascii="宋体" w:hAnsi="宋体"/>
          <w:bCs/>
          <w:szCs w:val="21"/>
        </w:rPr>
      </w:pPr>
    </w:p>
    <w:p w14:paraId="17E00431">
      <w:pPr>
        <w:pStyle w:val="4"/>
        <w:numPr>
          <w:ilvl w:val="0"/>
          <w:numId w:val="13"/>
        </w:numPr>
        <w:spacing w:before="156" w:beforeLines="50" w:after="156" w:afterLines="50"/>
        <w:ind w:left="562" w:hanging="562"/>
        <w:rPr>
          <w:sz w:val="28"/>
          <w:szCs w:val="28"/>
        </w:rPr>
      </w:pPr>
      <w:r>
        <w:rPr>
          <w:rFonts w:hint="eastAsia"/>
          <w:sz w:val="28"/>
          <w:szCs w:val="28"/>
        </w:rPr>
        <w:t>评审程序及评审方法</w:t>
      </w:r>
    </w:p>
    <w:p w14:paraId="6DB2D906">
      <w:pPr>
        <w:rPr>
          <w:rFonts w:ascii="黑体" w:hAnsi="宋体" w:eastAsia="黑体"/>
          <w:sz w:val="24"/>
        </w:rPr>
      </w:pPr>
      <w:r>
        <w:rPr>
          <w:rFonts w:hint="eastAsia" w:ascii="黑体" w:hAnsi="宋体" w:eastAsia="黑体"/>
          <w:sz w:val="24"/>
        </w:rPr>
        <w:t>32．投标文件初审</w:t>
      </w:r>
    </w:p>
    <w:p w14:paraId="0A5F4EE3">
      <w:pPr>
        <w:ind w:firstLine="411" w:firstLineChars="196"/>
        <w:rPr>
          <w:rFonts w:ascii="宋体" w:hAnsi="宋体"/>
        </w:rPr>
      </w:pPr>
      <w:r>
        <w:rPr>
          <w:rFonts w:hint="eastAsia" w:ascii="宋体" w:hAnsi="宋体"/>
        </w:rPr>
        <w:t>32.1投标文件初审包括资格性审查和符合性审查。</w:t>
      </w:r>
    </w:p>
    <w:p w14:paraId="515BFEF3">
      <w:pPr>
        <w:ind w:firstLine="411" w:firstLineChars="196"/>
        <w:rPr>
          <w:rFonts w:ascii="宋体" w:hAnsi="宋体"/>
        </w:rPr>
      </w:pPr>
      <w:r>
        <w:rPr>
          <w:rFonts w:hint="eastAsia" w:ascii="宋体" w:hAnsi="宋体"/>
        </w:rPr>
        <w:t>资格性审查：依据法律法规和招标文件的规定，对投标文件中的资格证明等进行审查，以确定投标供应商是否具备投标资格。</w:t>
      </w:r>
    </w:p>
    <w:p w14:paraId="7B790940">
      <w:pPr>
        <w:ind w:firstLine="411" w:firstLineChars="196"/>
        <w:rPr>
          <w:rFonts w:ascii="宋体" w:hAnsi="宋体"/>
        </w:rPr>
      </w:pPr>
      <w:r>
        <w:rPr>
          <w:rFonts w:hint="eastAsia" w:ascii="宋体" w:hAnsi="宋体"/>
        </w:rPr>
        <w:t>符合性审查：依据招标文件的规定，对投标文件的有效性、完整性和对招标文件的响应程度进行审查，以确定是否满足符合性审查的要求。</w:t>
      </w:r>
    </w:p>
    <w:p w14:paraId="2B0FE47E">
      <w:pPr>
        <w:ind w:firstLine="411" w:firstLineChars="196"/>
        <w:rPr>
          <w:rFonts w:ascii="宋体" w:hAnsi="宋体"/>
        </w:rPr>
      </w:pPr>
      <w:r>
        <w:rPr>
          <w:rFonts w:hint="eastAsia" w:ascii="宋体" w:hAnsi="宋体"/>
        </w:rPr>
        <w:t>32.2 投标文件初审内容请详见《资格性审查表》和《符合性审查表》部分。投标人若有一条审查不通过则按投标无效处理。</w:t>
      </w:r>
    </w:p>
    <w:p w14:paraId="4BCED56D">
      <w:pPr>
        <w:ind w:firstLine="411" w:firstLineChars="196"/>
        <w:rPr>
          <w:rFonts w:ascii="宋体" w:hAnsi="宋体"/>
          <w:bCs/>
        </w:rPr>
      </w:pPr>
      <w:r>
        <w:rPr>
          <w:rFonts w:hint="eastAsia" w:ascii="宋体" w:hAnsi="宋体"/>
          <w:bCs/>
        </w:rPr>
        <w:t>32.3 投标文件初审中关于供应商家数的计算:</w:t>
      </w:r>
    </w:p>
    <w:p w14:paraId="5A57E503">
      <w:pPr>
        <w:ind w:firstLine="411" w:firstLineChars="196"/>
        <w:rPr>
          <w:rFonts w:ascii="宋体" w:hAnsi="宋体"/>
          <w:bCs/>
        </w:rPr>
      </w:pPr>
      <w:r>
        <w:rPr>
          <w:rFonts w:hint="eastAsia" w:ascii="宋体" w:hAnsi="宋体"/>
          <w:bCs/>
        </w:rPr>
        <w:t>32.3.1采用最低评标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审的投标人，招标文件未规定的采取随机抽取方式确定，其他投标无效。</w:t>
      </w:r>
    </w:p>
    <w:p w14:paraId="549E9E1C">
      <w:pPr>
        <w:ind w:firstLine="411" w:firstLineChars="196"/>
        <w:rPr>
          <w:rFonts w:ascii="宋体" w:hAnsi="宋体"/>
          <w:bCs/>
        </w:rPr>
      </w:pPr>
      <w:r>
        <w:rPr>
          <w:rFonts w:hint="eastAsia" w:ascii="宋体" w:hAnsi="宋体"/>
          <w:bCs/>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w:t>
      </w:r>
      <w:r>
        <w:rPr>
          <w:rFonts w:hint="eastAsia" w:ascii="宋体" w:hAnsi="宋体"/>
          <w:bCs/>
          <w:szCs w:val="21"/>
        </w:rPr>
        <w:t>评审委员会</w:t>
      </w:r>
      <w:r>
        <w:rPr>
          <w:rFonts w:hint="eastAsia" w:ascii="宋体" w:hAnsi="宋体"/>
          <w:bCs/>
        </w:rPr>
        <w:t>按照招标文件规定的方式确定一个投标人获得中标人推荐资格，招标文件未规定的采取随机抽取方式确定，其他同品牌投标人不作为中标候选人。</w:t>
      </w:r>
    </w:p>
    <w:p w14:paraId="1D3C37C8">
      <w:pPr>
        <w:ind w:firstLine="411" w:firstLineChars="196"/>
        <w:rPr>
          <w:rFonts w:ascii="宋体" w:hAnsi="宋体"/>
          <w:bCs/>
        </w:rPr>
      </w:pPr>
      <w:r>
        <w:rPr>
          <w:rFonts w:hint="eastAsia" w:ascii="宋体" w:hAnsi="宋体"/>
          <w:bCs/>
        </w:rPr>
        <w:t>32.3.3非单一产品采购项目，采购人应当根据采购项目技术构成、产品价格比重等合理确定核心产品，并在招标文件中载明。多家投标人提供的核心产品品牌相同的，按前两款规定处理。</w:t>
      </w:r>
    </w:p>
    <w:p w14:paraId="0B05552F">
      <w:pPr>
        <w:ind w:firstLine="411" w:firstLineChars="196"/>
        <w:rPr>
          <w:rFonts w:ascii="宋体" w:hAnsi="宋体"/>
        </w:rPr>
      </w:pPr>
      <w:r>
        <w:rPr>
          <w:rFonts w:hint="eastAsia" w:ascii="宋体" w:hAnsi="宋体"/>
        </w:rPr>
        <w:t>32.4投标人投标文件作无效处理的情形，具体包括但不限于以下：</w:t>
      </w:r>
    </w:p>
    <w:p w14:paraId="7D21ADAD">
      <w:pPr>
        <w:ind w:firstLine="411" w:firstLineChars="196"/>
      </w:pPr>
      <w:r>
        <w:rPr>
          <w:rFonts w:hint="eastAsia" w:ascii="宋体" w:hAnsi="宋体"/>
        </w:rPr>
        <w:t>32.4.1</w:t>
      </w:r>
      <w:r>
        <w:rPr>
          <w:rFonts w:hint="eastAsia"/>
        </w:rPr>
        <w:t>不同投标人的投标文件由同一单位或者同一个人编制，或者由同一个人分阶段参与编制；</w:t>
      </w:r>
    </w:p>
    <w:p w14:paraId="57BFA53D">
      <w:pPr>
        <w:ind w:firstLine="411" w:firstLineChars="196"/>
      </w:pPr>
      <w:r>
        <w:rPr>
          <w:rFonts w:ascii="宋体" w:hAnsi="宋体"/>
        </w:rPr>
        <w:t>32.4.</w:t>
      </w:r>
      <w:r>
        <w:rPr>
          <w:rFonts w:hint="eastAsia" w:ascii="宋体" w:hAnsi="宋体"/>
        </w:rPr>
        <w:t>2</w:t>
      </w:r>
      <w:r>
        <w:rPr>
          <w:rFonts w:hint="eastAsia"/>
        </w:rPr>
        <w:t>不同投标人委托同一单位或者个人办理投标事宜；</w:t>
      </w:r>
    </w:p>
    <w:p w14:paraId="390B7A44">
      <w:pPr>
        <w:ind w:firstLine="411" w:firstLineChars="196"/>
        <w:rPr>
          <w:rFonts w:ascii="宋体" w:hAnsi="宋体"/>
        </w:rPr>
      </w:pPr>
      <w:r>
        <w:rPr>
          <w:rFonts w:hint="eastAsia" w:ascii="宋体" w:hAnsi="宋体"/>
        </w:rPr>
        <w:t>32.4.3不同投标人的投标文件载明的项目管理成员或者联系人员为同一人；</w:t>
      </w:r>
    </w:p>
    <w:p w14:paraId="415593A1">
      <w:pPr>
        <w:ind w:firstLine="411" w:firstLineChars="196"/>
        <w:rPr>
          <w:rFonts w:ascii="宋体" w:hAnsi="宋体"/>
        </w:rPr>
      </w:pPr>
      <w:r>
        <w:rPr>
          <w:rFonts w:hint="eastAsia" w:ascii="宋体" w:hAnsi="宋体"/>
        </w:rPr>
        <w:t>32.4.4不同投标人的投标文件异常一致或者投标报价呈规律性差异；</w:t>
      </w:r>
    </w:p>
    <w:p w14:paraId="2A45DCFA">
      <w:pPr>
        <w:ind w:firstLine="411" w:firstLineChars="196"/>
        <w:rPr>
          <w:rFonts w:ascii="宋体" w:hAnsi="宋体"/>
        </w:rPr>
      </w:pPr>
      <w:r>
        <w:rPr>
          <w:rFonts w:hint="eastAsia" w:ascii="宋体" w:hAnsi="宋体"/>
        </w:rPr>
        <w:t>32.4.5</w:t>
      </w:r>
      <w:r>
        <w:rPr>
          <w:rFonts w:ascii="宋体" w:hAnsi="宋体"/>
        </w:rPr>
        <w:t>不同投标供应商的投标文件或部分投标文件相互混装</w:t>
      </w:r>
      <w:r>
        <w:rPr>
          <w:rFonts w:hint="eastAsia" w:ascii="宋体" w:hAnsi="宋体"/>
        </w:rPr>
        <w:t>；</w:t>
      </w:r>
    </w:p>
    <w:p w14:paraId="52B304E0">
      <w:pPr>
        <w:ind w:firstLine="411" w:firstLineChars="196"/>
        <w:rPr>
          <w:rFonts w:ascii="宋体" w:hAnsi="宋体"/>
        </w:rPr>
      </w:pPr>
      <w:r>
        <w:rPr>
          <w:rFonts w:hint="eastAsia" w:ascii="宋体" w:hAnsi="宋体"/>
        </w:rPr>
        <w:t>32.4.6投标供应商之间相互约定给予未中标的供应商利益补偿；</w:t>
      </w:r>
    </w:p>
    <w:p w14:paraId="731FF7F4">
      <w:pPr>
        <w:ind w:firstLine="411" w:firstLineChars="196"/>
        <w:rPr>
          <w:rFonts w:ascii="宋体" w:hAnsi="宋体"/>
        </w:rPr>
      </w:pPr>
      <w:r>
        <w:rPr>
          <w:rFonts w:hint="eastAsia" w:ascii="宋体" w:hAnsi="宋体"/>
        </w:rPr>
        <w:t>32.4.7不同投标供应商的法定代表人、主要经营负责人、项目投标授权代表人、项目负责人、主要技术人员为同一人、属同一单位或者同一单位缴纳社会保险；</w:t>
      </w:r>
    </w:p>
    <w:p w14:paraId="5210FE73">
      <w:pPr>
        <w:ind w:firstLine="411" w:firstLineChars="196"/>
        <w:rPr>
          <w:rFonts w:ascii="宋体" w:hAnsi="宋体"/>
        </w:rPr>
      </w:pPr>
      <w:r>
        <w:rPr>
          <w:rFonts w:hint="eastAsia" w:ascii="宋体" w:hAnsi="宋体"/>
        </w:rPr>
        <w:t>32.4.8不同投标供应商的投标文件内容存在非正常一致；</w:t>
      </w:r>
    </w:p>
    <w:p w14:paraId="7DE80F4B">
      <w:pPr>
        <w:ind w:firstLine="411" w:firstLineChars="196"/>
        <w:rPr>
          <w:rFonts w:ascii="宋体" w:hAnsi="宋体"/>
        </w:rPr>
      </w:pPr>
      <w:r>
        <w:rPr>
          <w:rFonts w:hint="eastAsia" w:ascii="宋体" w:hAnsi="宋体"/>
        </w:rPr>
        <w:t>32.4.9在同一单位工作人员为两家以上（含两家）供应商进行同一项投标活动；</w:t>
      </w:r>
    </w:p>
    <w:p w14:paraId="78424A38">
      <w:pPr>
        <w:ind w:firstLine="411" w:firstLineChars="196"/>
        <w:rPr>
          <w:rFonts w:ascii="宋体" w:hAnsi="宋体"/>
        </w:rPr>
      </w:pPr>
      <w:r>
        <w:rPr>
          <w:rFonts w:hint="eastAsia" w:ascii="宋体" w:hAnsi="宋体"/>
        </w:rPr>
        <w:t>32.4.10主管部门依照法律、法规认定的其他情形。</w:t>
      </w:r>
    </w:p>
    <w:p w14:paraId="3334D34E">
      <w:pPr>
        <w:rPr>
          <w:rFonts w:ascii="宋体" w:hAnsi="宋体"/>
        </w:rPr>
      </w:pPr>
      <w:r>
        <w:rPr>
          <w:rFonts w:hint="eastAsia" w:ascii="宋体" w:hAnsi="宋体"/>
        </w:rPr>
        <w:t>32.5对不属于《资格性审查表》和《符合性审查表》所列的其他情形，除专用条款另有规定和32.4条款所列情形外，不得作为投标无效的理由。</w:t>
      </w:r>
    </w:p>
    <w:p w14:paraId="6F978CB6">
      <w:pPr>
        <w:rPr>
          <w:rFonts w:ascii="黑体" w:hAnsi="宋体" w:eastAsia="黑体"/>
          <w:sz w:val="24"/>
        </w:rPr>
      </w:pPr>
      <w:r>
        <w:rPr>
          <w:rFonts w:hint="eastAsia" w:ascii="黑体" w:hAnsi="宋体" w:eastAsia="黑体"/>
          <w:sz w:val="24"/>
        </w:rPr>
        <w:t>33．澄清有关问题</w:t>
      </w:r>
    </w:p>
    <w:p w14:paraId="2C66C93B">
      <w:pPr>
        <w:ind w:firstLine="411" w:firstLineChars="196"/>
        <w:rPr>
          <w:rFonts w:ascii="宋体" w:hAnsi="宋体"/>
        </w:rPr>
      </w:pPr>
      <w:bookmarkStart w:id="66" w:name="_Hlk71407321"/>
      <w:r>
        <w:rPr>
          <w:rFonts w:hint="eastAsia" w:ascii="宋体" w:hAnsi="宋体"/>
        </w:rPr>
        <w:t>3</w:t>
      </w:r>
      <w:r>
        <w:rPr>
          <w:rFonts w:ascii="宋体" w:hAnsi="宋体"/>
        </w:rPr>
        <w:t>3.1</w:t>
      </w:r>
      <w:r>
        <w:rPr>
          <w:rFonts w:hint="eastAsia" w:ascii="宋体" w:hAnsi="宋体"/>
        </w:rPr>
        <w:t>对招标文件中描述有歧义或前后不一致的地方（不含</w:t>
      </w:r>
      <w:r>
        <w:rPr>
          <w:szCs w:val="21"/>
        </w:rPr>
        <w:t>招标文件存在歧义、重大缺陷导致评</w:t>
      </w:r>
      <w:r>
        <w:rPr>
          <w:rFonts w:hint="eastAsia"/>
          <w:szCs w:val="21"/>
        </w:rPr>
        <w:t>审</w:t>
      </w:r>
      <w:r>
        <w:rPr>
          <w:szCs w:val="21"/>
        </w:rPr>
        <w:t>工作无法进行</w:t>
      </w:r>
      <w:r>
        <w:rPr>
          <w:rFonts w:hint="eastAsia"/>
          <w:szCs w:val="21"/>
        </w:rPr>
        <w:t>的情况）</w:t>
      </w:r>
      <w:r>
        <w:rPr>
          <w:rFonts w:hint="eastAsia" w:ascii="宋体" w:hAnsi="宋体"/>
        </w:rPr>
        <w:t>，评审委员会有权进行评判，但对同一条款的评判应适用于每个投标人。</w:t>
      </w:r>
      <w:bookmarkEnd w:id="66"/>
    </w:p>
    <w:p w14:paraId="0A01FEFC">
      <w:pPr>
        <w:ind w:firstLine="411" w:firstLineChars="196"/>
        <w:rPr>
          <w:rFonts w:ascii="宋体" w:hAnsi="宋体"/>
        </w:rPr>
      </w:pPr>
      <w:r>
        <w:rPr>
          <w:rFonts w:hint="eastAsia" w:ascii="宋体" w:hAnsi="宋体"/>
        </w:rPr>
        <w:t>3</w:t>
      </w:r>
      <w:r>
        <w:rPr>
          <w:rFonts w:ascii="宋体" w:hAnsi="宋体"/>
        </w:rPr>
        <w:t>3.2</w:t>
      </w:r>
      <w:r>
        <w:rPr>
          <w:szCs w:val="21"/>
        </w:rPr>
        <w:t>评</w:t>
      </w:r>
      <w:r>
        <w:rPr>
          <w:rFonts w:hint="eastAsia"/>
          <w:szCs w:val="21"/>
        </w:rPr>
        <w:t>审</w:t>
      </w:r>
      <w:r>
        <w:rPr>
          <w:szCs w:val="21"/>
        </w:rPr>
        <w:t>委员会发现招标文件存在歧义、重大缺陷导致评</w:t>
      </w:r>
      <w:r>
        <w:rPr>
          <w:rFonts w:hint="eastAsia"/>
          <w:szCs w:val="21"/>
        </w:rPr>
        <w:t>审</w:t>
      </w:r>
      <w:r>
        <w:rPr>
          <w:szCs w:val="21"/>
        </w:rPr>
        <w:t>工作无法进行，或者招标文件内容违反国家有关强制性规定的，应当停止评</w:t>
      </w:r>
      <w:r>
        <w:rPr>
          <w:rFonts w:hint="eastAsia"/>
          <w:szCs w:val="21"/>
        </w:rPr>
        <w:t>审</w:t>
      </w:r>
      <w:r>
        <w:rPr>
          <w:szCs w:val="21"/>
        </w:rPr>
        <w:t>工作，与</w:t>
      </w:r>
      <w:r>
        <w:rPr>
          <w:rFonts w:eastAsia="宋体"/>
          <w:kern w:val="2"/>
          <w:sz w:val="21"/>
          <w:szCs w:val="21"/>
          <w:lang w:eastAsia="zh-CN"/>
        </w:rPr>
        <w:t>招标（采购）代理机构</w:t>
      </w:r>
      <w:r>
        <w:rPr>
          <w:szCs w:val="21"/>
        </w:rPr>
        <w:t>沟通并作书面记录。</w:t>
      </w:r>
      <w:r>
        <w:rPr>
          <w:rFonts w:hint="eastAsia"/>
          <w:szCs w:val="21"/>
        </w:rPr>
        <w:t>经</w:t>
      </w:r>
      <w:r>
        <w:rPr>
          <w:szCs w:val="21"/>
        </w:rPr>
        <w:t>确认后，</w:t>
      </w:r>
      <w:r>
        <w:rPr>
          <w:rFonts w:hint="eastAsia"/>
          <w:szCs w:val="21"/>
        </w:rPr>
        <w:t>项目</w:t>
      </w:r>
      <w:r>
        <w:rPr>
          <w:szCs w:val="21"/>
        </w:rPr>
        <w:t>应当修改招标文件，重新组织采购活动。</w:t>
      </w:r>
    </w:p>
    <w:p w14:paraId="394BD479">
      <w:pPr>
        <w:ind w:firstLine="411" w:firstLineChars="196"/>
        <w:rPr>
          <w:rFonts w:ascii="宋体" w:hAnsi="宋体"/>
        </w:rPr>
      </w:pPr>
      <w:r>
        <w:rPr>
          <w:rFonts w:ascii="宋体" w:hAnsi="宋体"/>
        </w:rPr>
        <w:t>33.3</w:t>
      </w:r>
      <w:r>
        <w:rPr>
          <w:rFonts w:hint="eastAsia" w:ascii="宋体" w:hAnsi="宋体"/>
        </w:rPr>
        <w:t>对于投标文件中含义不明确、同类问题表述不一致或者有明显文字和计算错误的内容，评审委员会应当以书面形式要求投标人作出必要的澄清、说明或者补正。</w:t>
      </w:r>
    </w:p>
    <w:p w14:paraId="78B2DAC2">
      <w:pPr>
        <w:ind w:firstLine="411" w:firstLineChars="196"/>
        <w:rPr>
          <w:rFonts w:ascii="宋体" w:hAnsi="宋体"/>
        </w:rPr>
      </w:pPr>
      <w:r>
        <w:rPr>
          <w:rFonts w:hint="eastAsia" w:ascii="宋体" w:hAnsi="宋体"/>
        </w:rPr>
        <w:t>投标人的澄清、说明或者补正应当采用书面形式【书面形式是指文书、信件（含电子邮件）、电报、电传、传真等形式】，并加盖公章（或者由法定代表人或其授权的代表签字）。投标人的澄清、说明或者补正不得超出投标文件的范围或者改变投标文件的实质性内容。</w:t>
      </w:r>
    </w:p>
    <w:p w14:paraId="3559CE5F">
      <w:pPr>
        <w:ind w:firstLine="411" w:firstLineChars="196"/>
        <w:rPr>
          <w:rFonts w:ascii="宋体" w:hAnsi="宋体"/>
          <w:szCs w:val="21"/>
        </w:rPr>
      </w:pPr>
      <w:r>
        <w:rPr>
          <w:rFonts w:hint="eastAsia" w:ascii="宋体" w:hAnsi="宋体"/>
          <w:szCs w:val="21"/>
        </w:rPr>
        <w:t>根据本通用条款第34条，凡属于评审委员会在评审中发现的算术错误进行核实的修改不在此列。</w:t>
      </w:r>
    </w:p>
    <w:p w14:paraId="7CC00860">
      <w:pPr>
        <w:rPr>
          <w:rFonts w:ascii="黑体" w:hAnsi="宋体" w:eastAsia="黑体"/>
          <w:sz w:val="24"/>
        </w:rPr>
      </w:pPr>
      <w:bookmarkStart w:id="67" w:name="_Toc73518151"/>
      <w:bookmarkStart w:id="68" w:name="_Toc73521581"/>
      <w:bookmarkStart w:id="69" w:name="_Toc73517673"/>
      <w:bookmarkStart w:id="70" w:name="_Toc100052400"/>
      <w:bookmarkStart w:id="71" w:name="_Toc73521669"/>
      <w:r>
        <w:rPr>
          <w:rFonts w:hint="eastAsia" w:ascii="黑体" w:hAnsi="宋体" w:eastAsia="黑体"/>
          <w:sz w:val="24"/>
        </w:rPr>
        <w:t>34．错误的修正</w:t>
      </w:r>
      <w:bookmarkEnd w:id="67"/>
      <w:bookmarkEnd w:id="68"/>
      <w:bookmarkEnd w:id="69"/>
      <w:bookmarkEnd w:id="70"/>
      <w:bookmarkEnd w:id="71"/>
    </w:p>
    <w:p w14:paraId="6E38CFEF">
      <w:pPr>
        <w:ind w:firstLine="411" w:firstLineChars="196"/>
        <w:rPr>
          <w:rFonts w:ascii="宋体" w:hAnsi="宋体"/>
          <w:szCs w:val="21"/>
        </w:rPr>
      </w:pPr>
      <w:r>
        <w:rPr>
          <w:rFonts w:hint="eastAsia" w:ascii="宋体" w:hAnsi="宋体"/>
          <w:szCs w:val="21"/>
        </w:rPr>
        <w:t>投标文件报价出现前后不一致的，除专用条款另有规定外，按照下列规定修正：</w:t>
      </w:r>
    </w:p>
    <w:p w14:paraId="138DF267">
      <w:pPr>
        <w:ind w:firstLine="411" w:firstLineChars="196"/>
        <w:rPr>
          <w:rFonts w:ascii="宋体" w:hAnsi="宋体"/>
          <w:szCs w:val="21"/>
        </w:rPr>
      </w:pPr>
      <w:r>
        <w:rPr>
          <w:rFonts w:hint="eastAsia" w:ascii="宋体" w:hAnsi="宋体"/>
          <w:szCs w:val="21"/>
        </w:rPr>
        <w:t>34.1投标文件中开标一览表投标报价内容与投标文件中投标报价相应内容不一致的，以开标一览表为准；</w:t>
      </w:r>
    </w:p>
    <w:p w14:paraId="59757877">
      <w:pPr>
        <w:ind w:firstLine="411" w:firstLineChars="196"/>
        <w:rPr>
          <w:rFonts w:ascii="宋体" w:hAnsi="宋体"/>
          <w:szCs w:val="21"/>
        </w:rPr>
      </w:pPr>
      <w:r>
        <w:rPr>
          <w:rFonts w:hint="eastAsia" w:ascii="宋体" w:hAnsi="宋体"/>
          <w:szCs w:val="21"/>
        </w:rPr>
        <w:t>34.2大写金额和小写金额不一致的，以大写金额为准；</w:t>
      </w:r>
    </w:p>
    <w:p w14:paraId="7F056A18">
      <w:pPr>
        <w:ind w:firstLine="411" w:firstLineChars="196"/>
        <w:rPr>
          <w:rFonts w:ascii="宋体" w:hAnsi="宋体"/>
          <w:szCs w:val="21"/>
        </w:rPr>
      </w:pPr>
      <w:r>
        <w:rPr>
          <w:rFonts w:hint="eastAsia" w:ascii="宋体" w:hAnsi="宋体"/>
          <w:szCs w:val="21"/>
        </w:rPr>
        <w:t>34.3单价金额小数点或者百分比有明显错位，以开标一览表的总价为准，并修改单价；</w:t>
      </w:r>
    </w:p>
    <w:p w14:paraId="7546D031">
      <w:pPr>
        <w:ind w:firstLine="411" w:firstLineChars="196"/>
        <w:rPr>
          <w:rFonts w:ascii="宋体" w:hAnsi="宋体"/>
          <w:szCs w:val="21"/>
        </w:rPr>
      </w:pPr>
      <w:r>
        <w:rPr>
          <w:rFonts w:hint="eastAsia" w:ascii="宋体" w:hAnsi="宋体"/>
          <w:szCs w:val="21"/>
        </w:rPr>
        <w:t>34.4总价金额与按单价汇总金额不一致的，以单价金额计算结果为准。</w:t>
      </w:r>
    </w:p>
    <w:p w14:paraId="0E21ADBB">
      <w:pPr>
        <w:ind w:firstLine="411" w:firstLineChars="196"/>
        <w:rPr>
          <w:rFonts w:ascii="宋体" w:hAnsi="宋体"/>
          <w:szCs w:val="21"/>
        </w:rPr>
      </w:pPr>
      <w:r>
        <w:rPr>
          <w:rFonts w:hint="eastAsia" w:ascii="宋体" w:hAnsi="宋体"/>
          <w:szCs w:val="21"/>
        </w:rPr>
        <w:t>34.5同时出现两种以上不一致的，按照前款规定的顺序修正。修正后的报价按照本通用条款33条的规定，经投标人确认后产生约束力，投标人不确认的，其投标无效。</w:t>
      </w:r>
    </w:p>
    <w:p w14:paraId="66433DF6">
      <w:pPr>
        <w:rPr>
          <w:rFonts w:ascii="黑体" w:hAnsi="宋体" w:eastAsia="黑体"/>
          <w:sz w:val="24"/>
        </w:rPr>
      </w:pPr>
      <w:r>
        <w:rPr>
          <w:rFonts w:hint="eastAsia" w:ascii="黑体" w:hAnsi="宋体" w:eastAsia="黑体"/>
          <w:sz w:val="24"/>
        </w:rPr>
        <w:t>35．投标文件的比较与评价</w:t>
      </w:r>
    </w:p>
    <w:p w14:paraId="61C87B74">
      <w:pPr>
        <w:ind w:firstLine="411" w:firstLineChars="196"/>
        <w:rPr>
          <w:rFonts w:ascii="宋体" w:hAnsi="宋体"/>
          <w:szCs w:val="21"/>
        </w:rPr>
      </w:pPr>
      <w:r>
        <w:rPr>
          <w:rFonts w:hint="eastAsia" w:ascii="宋体" w:hAnsi="宋体"/>
          <w:szCs w:val="21"/>
        </w:rPr>
        <w:t>评审委员会将按照《深圳经济特区政府采购条例》、《深圳经济特区政府采购条例实施细则》、《深圳市政府采购评标定标分离管理办法》及政府采购其他法律法规，仅对通过资格性审查和符合性审查的投标文件进行综合比较与评价。</w:t>
      </w:r>
    </w:p>
    <w:p w14:paraId="456DCBE3">
      <w:pPr>
        <w:ind w:firstLine="411" w:firstLineChars="196"/>
        <w:rPr>
          <w:rFonts w:ascii="宋体" w:hAnsi="宋体"/>
          <w:szCs w:val="21"/>
        </w:rPr>
      </w:pPr>
      <w:r>
        <w:rPr>
          <w:rFonts w:hint="eastAsia" w:ascii="宋体" w:hAnsi="宋体"/>
          <w:szCs w:val="21"/>
        </w:rPr>
        <w:t>评审委员会成员对需要共同认定的事项存在争议的，应当按照少数服从多数的原则作出结论。持不同意见的评审委员会成员应当书面作出说明，否则视为无异议。</w:t>
      </w:r>
    </w:p>
    <w:p w14:paraId="1D0768BE">
      <w:pPr>
        <w:rPr>
          <w:rFonts w:ascii="黑体" w:hAnsi="宋体" w:eastAsia="黑体"/>
          <w:sz w:val="24"/>
        </w:rPr>
      </w:pPr>
      <w:r>
        <w:rPr>
          <w:rFonts w:hint="eastAsia" w:ascii="黑体" w:hAnsi="宋体" w:eastAsia="黑体"/>
          <w:sz w:val="24"/>
        </w:rPr>
        <w:t>36. 实地考察或资料查验</w:t>
      </w:r>
    </w:p>
    <w:p w14:paraId="193F5D14">
      <w:pPr>
        <w:ind w:firstLine="411" w:firstLineChars="196"/>
        <w:rPr>
          <w:rFonts w:ascii="宋体" w:hAnsi="宋体"/>
          <w:szCs w:val="21"/>
        </w:rPr>
      </w:pPr>
      <w:r>
        <w:rPr>
          <w:rFonts w:hint="eastAsia" w:ascii="宋体" w:hAnsi="宋体"/>
          <w:szCs w:val="21"/>
        </w:rPr>
        <w:t>36.1在评审过程中，评审委员会有权决定是否对本项目投标人进行实地考察或资料查验（原件）。投标人应随时做好接受实地考察或资料查验的准备。</w:t>
      </w:r>
    </w:p>
    <w:p w14:paraId="5E263FBD">
      <w:pPr>
        <w:rPr>
          <w:rFonts w:ascii="黑体" w:hAnsi="宋体" w:eastAsia="黑体"/>
          <w:sz w:val="24"/>
        </w:rPr>
      </w:pPr>
      <w:r>
        <w:rPr>
          <w:rFonts w:hint="eastAsia" w:ascii="黑体" w:hAnsi="宋体" w:eastAsia="黑体"/>
          <w:sz w:val="24"/>
        </w:rPr>
        <w:t>37．评审方法</w:t>
      </w:r>
    </w:p>
    <w:p w14:paraId="78BA1910">
      <w:pPr>
        <w:ind w:firstLine="413" w:firstLineChars="196"/>
        <w:rPr>
          <w:rFonts w:ascii="宋体" w:hAnsi="宋体"/>
          <w:b/>
          <w:bCs/>
          <w:szCs w:val="21"/>
        </w:rPr>
      </w:pPr>
      <w:bookmarkStart w:id="72" w:name="_Hlk72438142"/>
      <w:r>
        <w:rPr>
          <w:rFonts w:hint="eastAsia" w:ascii="宋体" w:hAnsi="宋体"/>
          <w:b/>
          <w:bCs/>
          <w:szCs w:val="21"/>
        </w:rPr>
        <w:t>37.1.1最低价法</w:t>
      </w:r>
    </w:p>
    <w:p w14:paraId="4C892EB5">
      <w:pPr>
        <w:ind w:firstLine="411" w:firstLineChars="196"/>
        <w:rPr>
          <w:rFonts w:ascii="ˎ̥" w:hAnsi="ˎ̥"/>
        </w:rPr>
      </w:pPr>
      <w:r>
        <w:rPr>
          <w:rFonts w:ascii="ˎ̥" w:hAnsi="ˎ̥"/>
        </w:rPr>
        <w:t>最低价法，</w:t>
      </w:r>
      <w:r>
        <w:rPr>
          <w:rFonts w:hint="eastAsia" w:ascii="ˎ̥" w:hAnsi="ˎ̥"/>
        </w:rPr>
        <w:t>是指投标文件满足招标文件全部实质性要求，且投标报价最低的投标人为中标候选人的评标方法。</w:t>
      </w:r>
    </w:p>
    <w:p w14:paraId="118B9783">
      <w:pPr>
        <w:ind w:firstLine="411" w:firstLineChars="196"/>
        <w:rPr>
          <w:rFonts w:ascii="ˎ̥" w:hAnsi="ˎ̥" w:eastAsia="宋体"/>
        </w:rPr>
      </w:pPr>
      <w:r>
        <w:rPr>
          <w:rFonts w:hint="eastAsia" w:ascii="ˎ̥" w:hAnsi="ˎ̥"/>
        </w:rPr>
        <w:t>采用最低价法的，评标结果按投标报价由低到高顺序排列。投标报价相同的并列。投标文件满足招标文件全部实质性要求且投标报价最低的投标人为排名第一的中标候选人。出现投标报价相同的并列情况时，采取随机抽取的方式确定。（抽签原则：在</w:t>
      </w:r>
      <w:r>
        <w:rPr>
          <w:rFonts w:hint="eastAsia" w:ascii="ˎ̥" w:hAnsi="ˎ̥"/>
          <w:lang w:eastAsia="zh-CN"/>
        </w:rPr>
        <w:t>深圳市东海国际招标有限公司</w:t>
      </w:r>
      <w:r>
        <w:rPr>
          <w:rFonts w:hint="eastAsia" w:ascii="ˎ̥" w:hAnsi="ˎ̥"/>
        </w:rPr>
        <w:t>的组织下，由评标委员会作为抽签小组进行随机抽签确定排序。（1）编号。抽签小组按上传投标文件的时间先后确定抽签编号，如A 公司上传投标文件的时间最早，则抽签编号为1，以此类推。（2）抽签。按抽签编号的数量在摇号机放入相应数量及对应编号的号码球，抽签小组成员随机抽取号码球，按抽出号码球的顺序，确定号码球对应的供应商排序。（3）确认结果。全体抽签小组成员签字确认抽签结果。）</w:t>
      </w:r>
    </w:p>
    <w:p w14:paraId="0531FECA">
      <w:pPr>
        <w:ind w:firstLine="413" w:firstLineChars="196"/>
        <w:rPr>
          <w:rFonts w:ascii="宋体" w:hAnsi="宋体"/>
          <w:b/>
          <w:bCs/>
          <w:szCs w:val="21"/>
        </w:rPr>
      </w:pPr>
      <w:r>
        <w:rPr>
          <w:rFonts w:hint="eastAsia" w:ascii="宋体" w:hAnsi="宋体"/>
          <w:b/>
          <w:bCs/>
          <w:szCs w:val="21"/>
        </w:rPr>
        <w:t>37.1.2综合评分法</w:t>
      </w:r>
    </w:p>
    <w:p w14:paraId="630403BA">
      <w:pPr>
        <w:ind w:firstLine="411" w:firstLineChars="196"/>
        <w:rPr>
          <w:rFonts w:ascii="ˎ̥" w:hAnsi="ˎ̥"/>
        </w:rPr>
      </w:pPr>
      <w:r>
        <w:rPr>
          <w:rFonts w:ascii="ˎ̥" w:hAnsi="ˎ̥"/>
        </w:rPr>
        <w:t>综合评分法，是指</w:t>
      </w:r>
      <w:r>
        <w:rPr>
          <w:rFonts w:hint="eastAsia" w:ascii="ˎ̥" w:hAnsi="ˎ̥"/>
        </w:rPr>
        <w:t>在</w:t>
      </w:r>
      <w:r>
        <w:rPr>
          <w:rFonts w:ascii="ˎ̥" w:hAnsi="ˎ̥"/>
        </w:rPr>
        <w:t>满足招标文件全部实质性要求</w:t>
      </w:r>
      <w:r>
        <w:rPr>
          <w:rFonts w:hint="eastAsia" w:ascii="ˎ̥" w:hAnsi="ˎ̥"/>
        </w:rPr>
        <w:t>的前提下</w:t>
      </w:r>
      <w:r>
        <w:rPr>
          <w:rFonts w:ascii="ˎ̥" w:hAnsi="ˎ̥"/>
        </w:rPr>
        <w:t>，</w:t>
      </w:r>
      <w:r>
        <w:rPr>
          <w:rFonts w:hint="eastAsia" w:ascii="ˎ̥" w:hAnsi="ˎ̥"/>
        </w:rPr>
        <w:t>按照招标文件中规定的各项因素进行综合评审，评审总得分排名前列的投标人，作为推荐的候选中标供应商。</w:t>
      </w:r>
    </w:p>
    <w:p w14:paraId="3D401885">
      <w:pPr>
        <w:ind w:firstLine="411" w:firstLineChars="196"/>
        <w:rPr>
          <w:rFonts w:ascii="ˎ̥" w:hAnsi="ˎ̥"/>
        </w:rPr>
      </w:pPr>
      <w:r>
        <w:rPr>
          <w:rFonts w:hint="eastAsia" w:ascii="ˎ̥" w:hAnsi="ˎ̥"/>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出现得分且投标报价相同的并列情况时，采取随机抽取的方式确定。（抽签原则：在</w:t>
      </w:r>
      <w:r>
        <w:rPr>
          <w:rFonts w:hint="eastAsia" w:ascii="ˎ̥" w:hAnsi="ˎ̥"/>
          <w:lang w:eastAsia="zh-CN"/>
        </w:rPr>
        <w:t>深圳市东海国际招标有限公司</w:t>
      </w:r>
      <w:r>
        <w:rPr>
          <w:rFonts w:hint="eastAsia" w:ascii="ˎ̥" w:hAnsi="ˎ̥"/>
        </w:rPr>
        <w:t>的组织下，由评标委员会作为抽签小组进行随机抽签确定排序。（1）编号。抽签小组按上传投标文件的时间先后确定抽签编号，如A 公司上传投标文件的时间最早，则抽签编号为1，以此类推。（2）抽签。按抽签编号的数量在摇号机放入相应数量及对应编号的号码球，抽签小组成员随机抽取号码球，按抽出号码球的顺序，确定号码球对应的供应商排序。（3）确认结果。全体抽签小组成员签字确认抽签结果。）</w:t>
      </w:r>
      <w:bookmarkEnd w:id="72"/>
    </w:p>
    <w:p w14:paraId="09DB0582">
      <w:pPr>
        <w:ind w:firstLine="413" w:firstLineChars="196"/>
        <w:rPr>
          <w:rFonts w:ascii="宋体" w:hAnsi="宋体"/>
          <w:b/>
          <w:bCs/>
          <w:szCs w:val="21"/>
        </w:rPr>
      </w:pPr>
      <w:r>
        <w:rPr>
          <w:rFonts w:hint="eastAsia" w:ascii="宋体" w:hAnsi="宋体"/>
          <w:b/>
          <w:bCs/>
          <w:szCs w:val="21"/>
        </w:rPr>
        <w:t>37.2 本项目采用的评审方法见本项目招标文件第一册“专用条款”的相关内容。</w:t>
      </w:r>
    </w:p>
    <w:p w14:paraId="31055A2A">
      <w:pPr>
        <w:ind w:firstLine="413" w:firstLineChars="196"/>
        <w:rPr>
          <w:rFonts w:ascii="宋体" w:hAnsi="宋体"/>
          <w:b/>
          <w:bCs/>
          <w:szCs w:val="21"/>
        </w:rPr>
      </w:pPr>
      <w:r>
        <w:rPr>
          <w:rFonts w:hint="eastAsia" w:ascii="宋体" w:hAnsi="宋体"/>
          <w:b/>
          <w:bCs/>
          <w:szCs w:val="21"/>
        </w:rPr>
        <w:t>37.3重新评审的情形</w:t>
      </w:r>
    </w:p>
    <w:p w14:paraId="5EE90B52">
      <w:pPr>
        <w:ind w:firstLine="411" w:firstLineChars="196"/>
        <w:rPr>
          <w:rFonts w:ascii="宋体" w:hAnsi="宋体"/>
          <w:b/>
          <w:bCs/>
          <w:szCs w:val="21"/>
        </w:rPr>
      </w:pPr>
      <w:r>
        <w:rPr>
          <w:rFonts w:hint="eastAsia" w:ascii="宋体" w:hAnsi="宋体" w:cs="宋体"/>
          <w:kern w:val="0"/>
          <w:szCs w:val="21"/>
        </w:rPr>
        <w:t>评审结果汇总完成后，除下列情形外，任何人不得修改评审结果：</w:t>
      </w:r>
    </w:p>
    <w:p w14:paraId="2F1252D2">
      <w:pPr>
        <w:ind w:firstLine="411" w:firstLineChars="196"/>
        <w:rPr>
          <w:rFonts w:ascii="宋体" w:hAnsi="宋体" w:cs="宋体"/>
          <w:kern w:val="0"/>
          <w:szCs w:val="21"/>
        </w:rPr>
      </w:pPr>
      <w:r>
        <w:rPr>
          <w:rFonts w:hint="eastAsia" w:ascii="宋体" w:hAnsi="宋体" w:cs="宋体"/>
          <w:kern w:val="0"/>
          <w:szCs w:val="21"/>
        </w:rPr>
        <w:t>37.3.1分值汇总计算错误的；</w:t>
      </w:r>
    </w:p>
    <w:p w14:paraId="26E897EA">
      <w:pPr>
        <w:ind w:firstLine="411" w:firstLineChars="196"/>
        <w:rPr>
          <w:rFonts w:ascii="宋体" w:hAnsi="宋体" w:cs="宋体"/>
          <w:kern w:val="0"/>
          <w:szCs w:val="21"/>
        </w:rPr>
      </w:pPr>
      <w:r>
        <w:rPr>
          <w:rFonts w:hint="eastAsia" w:ascii="宋体" w:hAnsi="宋体" w:cs="宋体"/>
          <w:kern w:val="0"/>
          <w:szCs w:val="21"/>
        </w:rPr>
        <w:t>37.3.2分项评分超出评分标准范围的；</w:t>
      </w:r>
    </w:p>
    <w:p w14:paraId="691CA656">
      <w:pPr>
        <w:ind w:firstLine="411" w:firstLineChars="196"/>
        <w:rPr>
          <w:rFonts w:ascii="宋体" w:hAnsi="宋体" w:cs="宋体"/>
          <w:kern w:val="0"/>
          <w:szCs w:val="21"/>
        </w:rPr>
      </w:pPr>
      <w:r>
        <w:rPr>
          <w:rFonts w:hint="eastAsia" w:ascii="宋体" w:hAnsi="宋体" w:cs="宋体"/>
          <w:kern w:val="0"/>
          <w:szCs w:val="21"/>
        </w:rPr>
        <w:t>37.3.3评审委员会成员对客观评审因素评分不一致的；</w:t>
      </w:r>
    </w:p>
    <w:p w14:paraId="06C85394">
      <w:pPr>
        <w:ind w:firstLine="411" w:firstLineChars="196"/>
        <w:rPr>
          <w:rFonts w:ascii="宋体" w:hAnsi="宋体" w:cs="宋体"/>
          <w:kern w:val="0"/>
          <w:szCs w:val="21"/>
        </w:rPr>
      </w:pPr>
      <w:r>
        <w:rPr>
          <w:rFonts w:hint="eastAsia" w:ascii="宋体" w:hAnsi="宋体" w:cs="宋体"/>
          <w:kern w:val="0"/>
          <w:szCs w:val="21"/>
        </w:rPr>
        <w:t>37.3.4经评审委员会认定评分畸高、畸低的。</w:t>
      </w:r>
    </w:p>
    <w:p w14:paraId="6EE2245D">
      <w:pPr>
        <w:ind w:firstLine="411" w:firstLineChars="196"/>
        <w:rPr>
          <w:rFonts w:ascii="宋体" w:hAnsi="宋体" w:cs="宋体"/>
          <w:kern w:val="0"/>
          <w:szCs w:val="21"/>
        </w:rPr>
      </w:pPr>
      <w:r>
        <w:rPr>
          <w:rFonts w:hint="eastAsia" w:ascii="宋体" w:hAnsi="宋体" w:cs="宋体"/>
          <w:kern w:val="0"/>
          <w:szCs w:val="21"/>
        </w:rPr>
        <w:t>评审报告签署前，经复核发现存在以上情形之一的，评审委员会应当当场修改评审结果，并进行书面记载；评审报告签署后，采购人或者采购代理机构发现存在以上情形之一的，应当组织原评审委员会进行重新评审，重新评审改变评审结果的，书面报告本级财政部门。</w:t>
      </w:r>
    </w:p>
    <w:p w14:paraId="561FE38D">
      <w:pPr>
        <w:ind w:firstLine="411" w:firstLineChars="196"/>
        <w:rPr>
          <w:rFonts w:ascii="宋体" w:hAnsi="宋体" w:cs="宋体"/>
          <w:kern w:val="0"/>
          <w:szCs w:val="21"/>
        </w:rPr>
      </w:pPr>
      <w:r>
        <w:rPr>
          <w:rFonts w:hint="eastAsia" w:ascii="宋体" w:hAnsi="宋体" w:cs="宋体"/>
          <w:kern w:val="0"/>
          <w:szCs w:val="21"/>
        </w:rPr>
        <w:t>投标人对本条第一款情形提出质疑的，采购人或者采购代理机构可以组织原评审委员会进行重新评审，重新评审改变评审结果的，应当书面报告本级财政部门。</w:t>
      </w:r>
    </w:p>
    <w:p w14:paraId="02B235AC">
      <w:pPr>
        <w:ind w:firstLine="413" w:firstLineChars="196"/>
        <w:rPr>
          <w:rFonts w:ascii="宋体" w:hAnsi="宋体"/>
          <w:b/>
          <w:bCs/>
          <w:szCs w:val="21"/>
        </w:rPr>
      </w:pPr>
      <w:r>
        <w:rPr>
          <w:rFonts w:hint="eastAsia" w:ascii="宋体" w:hAnsi="宋体"/>
          <w:b/>
          <w:bCs/>
          <w:szCs w:val="21"/>
        </w:rPr>
        <w:t xml:space="preserve"> 37.4重新组建评审委员会的情形</w:t>
      </w:r>
    </w:p>
    <w:p w14:paraId="5B5B9BC7">
      <w:pPr>
        <w:ind w:firstLine="411" w:firstLineChars="196"/>
        <w:rPr>
          <w:rFonts w:ascii="宋体" w:hAnsi="宋体" w:cs="宋体"/>
          <w:kern w:val="0"/>
          <w:szCs w:val="21"/>
        </w:rPr>
      </w:pPr>
      <w:r>
        <w:rPr>
          <w:rFonts w:hint="eastAsia" w:ascii="宋体" w:hAnsi="宋体" w:cs="宋体"/>
          <w:kern w:val="0"/>
          <w:szCs w:val="21"/>
        </w:rPr>
        <w:t>评审委员会或者其成员存在下列情形导致评审结果无效的，重新组建评审委员会进行评标，并书面报告本级财政部门：</w:t>
      </w:r>
    </w:p>
    <w:p w14:paraId="54BEA431">
      <w:pPr>
        <w:ind w:firstLine="411" w:firstLineChars="196"/>
        <w:rPr>
          <w:rFonts w:ascii="宋体" w:hAnsi="宋体" w:cs="宋体"/>
          <w:kern w:val="0"/>
          <w:szCs w:val="21"/>
        </w:rPr>
      </w:pPr>
      <w:r>
        <w:rPr>
          <w:rFonts w:hint="eastAsia" w:ascii="宋体" w:hAnsi="宋体" w:cs="宋体"/>
          <w:kern w:val="0"/>
          <w:szCs w:val="21"/>
        </w:rPr>
        <w:t>37.4.1评审委员会组成不符合《政府采购货物和服务招标投标管理办法》规定的；</w:t>
      </w:r>
    </w:p>
    <w:p w14:paraId="3E96C3DA">
      <w:pPr>
        <w:ind w:firstLine="411" w:firstLineChars="196"/>
        <w:rPr>
          <w:rFonts w:ascii="宋体" w:hAnsi="宋体" w:cs="宋体"/>
          <w:kern w:val="0"/>
          <w:szCs w:val="21"/>
        </w:rPr>
      </w:pPr>
      <w:r>
        <w:rPr>
          <w:rFonts w:hint="eastAsia" w:ascii="宋体" w:hAnsi="宋体" w:cs="宋体"/>
          <w:kern w:val="0"/>
          <w:szCs w:val="21"/>
        </w:rPr>
        <w:t>37.4.2有《政府采购货物和服务招标投标管理办法》第六十二条第一至五项情形的；</w:t>
      </w:r>
    </w:p>
    <w:p w14:paraId="6640E3E2">
      <w:pPr>
        <w:ind w:firstLine="411" w:firstLineChars="196"/>
        <w:rPr>
          <w:rFonts w:ascii="宋体" w:hAnsi="宋体" w:cs="宋体"/>
          <w:kern w:val="0"/>
          <w:szCs w:val="21"/>
        </w:rPr>
      </w:pPr>
      <w:r>
        <w:rPr>
          <w:rFonts w:hint="eastAsia" w:ascii="宋体" w:hAnsi="宋体" w:cs="宋体"/>
          <w:kern w:val="0"/>
          <w:szCs w:val="21"/>
        </w:rPr>
        <w:t>37.4.3评审委员会及其成员独立评标受到非法干预的；</w:t>
      </w:r>
    </w:p>
    <w:p w14:paraId="0261688B">
      <w:pPr>
        <w:ind w:firstLine="411" w:firstLineChars="196"/>
        <w:rPr>
          <w:rFonts w:ascii="宋体" w:hAnsi="宋体" w:cs="宋体"/>
          <w:kern w:val="0"/>
          <w:szCs w:val="21"/>
        </w:rPr>
      </w:pPr>
      <w:r>
        <w:rPr>
          <w:rFonts w:hint="eastAsia" w:ascii="宋体" w:hAnsi="宋体" w:cs="宋体"/>
          <w:kern w:val="0"/>
          <w:szCs w:val="21"/>
        </w:rPr>
        <w:t>37.4.4有政府采购法实施条例第七十五条规定的违法行为的。</w:t>
      </w:r>
    </w:p>
    <w:p w14:paraId="20242C4B">
      <w:pPr>
        <w:ind w:firstLine="411" w:firstLineChars="196"/>
        <w:rPr>
          <w:rFonts w:ascii="宋体" w:hAnsi="宋体" w:cs="宋体"/>
          <w:kern w:val="0"/>
          <w:szCs w:val="21"/>
        </w:rPr>
      </w:pPr>
      <w:r>
        <w:rPr>
          <w:rFonts w:hint="eastAsia" w:ascii="宋体" w:hAnsi="宋体" w:cs="宋体"/>
          <w:kern w:val="0"/>
          <w:szCs w:val="21"/>
        </w:rPr>
        <w:t>有违法违规行为的原评审委员会成员不得参加重新组建的评审委员会。</w:t>
      </w:r>
    </w:p>
    <w:p w14:paraId="1843E373">
      <w:pPr>
        <w:ind w:firstLine="411" w:firstLineChars="196"/>
        <w:rPr>
          <w:rFonts w:ascii="宋体" w:hAnsi="宋体"/>
          <w:szCs w:val="21"/>
        </w:rPr>
      </w:pPr>
    </w:p>
    <w:p w14:paraId="593711DB">
      <w:pPr>
        <w:pStyle w:val="4"/>
        <w:numPr>
          <w:ilvl w:val="0"/>
          <w:numId w:val="13"/>
        </w:numPr>
        <w:spacing w:before="156" w:beforeLines="50" w:after="156" w:afterLines="50"/>
        <w:ind w:left="562" w:hanging="562"/>
        <w:rPr>
          <w:sz w:val="28"/>
          <w:szCs w:val="28"/>
        </w:rPr>
      </w:pPr>
      <w:r>
        <w:rPr>
          <w:rFonts w:hint="eastAsia"/>
          <w:sz w:val="28"/>
          <w:szCs w:val="28"/>
        </w:rPr>
        <w:t>定标及公示</w:t>
      </w:r>
    </w:p>
    <w:p w14:paraId="4416B126">
      <w:pPr>
        <w:rPr>
          <w:rFonts w:ascii="黑体" w:hAnsi="宋体" w:eastAsia="黑体"/>
          <w:sz w:val="24"/>
        </w:rPr>
      </w:pPr>
      <w:r>
        <w:rPr>
          <w:rFonts w:hint="eastAsia" w:ascii="黑体" w:hAnsi="宋体" w:eastAsia="黑体"/>
          <w:sz w:val="24"/>
        </w:rPr>
        <w:t>38．定标方法</w:t>
      </w:r>
    </w:p>
    <w:p w14:paraId="1ACFF41A">
      <w:pPr>
        <w:ind w:firstLine="411" w:firstLineChars="196"/>
        <w:rPr>
          <w:rFonts w:ascii="宋体" w:hAnsi="宋体"/>
          <w:szCs w:val="21"/>
        </w:rPr>
      </w:pPr>
      <w:bookmarkStart w:id="73" w:name="_Hlk73782795"/>
      <w:r>
        <w:rPr>
          <w:rFonts w:hint="eastAsia" w:ascii="宋体" w:hAnsi="宋体"/>
          <w:szCs w:val="21"/>
        </w:rPr>
        <w:t>38.1非评定分离项目定标方法</w:t>
      </w:r>
    </w:p>
    <w:p w14:paraId="017A3DFE">
      <w:pPr>
        <w:ind w:firstLine="411" w:firstLineChars="196"/>
        <w:rPr>
          <w:rFonts w:ascii="宋体" w:hAnsi="宋体"/>
          <w:szCs w:val="21"/>
        </w:rPr>
      </w:pPr>
      <w:r>
        <w:rPr>
          <w:rFonts w:hint="eastAsia" w:ascii="宋体" w:hAnsi="宋体"/>
          <w:szCs w:val="21"/>
        </w:rPr>
        <w:t>38</w:t>
      </w:r>
      <w:r>
        <w:rPr>
          <w:rFonts w:ascii="宋体" w:hAnsi="宋体"/>
          <w:szCs w:val="21"/>
        </w:rPr>
        <w:t>.</w:t>
      </w:r>
      <w:r>
        <w:rPr>
          <w:rFonts w:hint="eastAsia" w:ascii="宋体" w:hAnsi="宋体"/>
          <w:szCs w:val="21"/>
        </w:rPr>
        <w:t>1.1评审委员会依据本项目招标文件所约定的评审方法进行评审和比较，向</w:t>
      </w:r>
      <w:r>
        <w:rPr>
          <w:rFonts w:eastAsia="宋体"/>
          <w:kern w:val="2"/>
          <w:sz w:val="21"/>
          <w:szCs w:val="21"/>
          <w:lang w:eastAsia="zh-CN"/>
        </w:rPr>
        <w:t>招标（采购）代理机构</w:t>
      </w:r>
      <w:r>
        <w:rPr>
          <w:rFonts w:hint="eastAsia" w:ascii="宋体" w:hAnsi="宋体"/>
          <w:szCs w:val="21"/>
        </w:rPr>
        <w:t>提交书面评审报告，并根据评审方法比较评价结果从优到劣进行排序，确定候选中标供应商。</w:t>
      </w:r>
    </w:p>
    <w:p w14:paraId="746921B0">
      <w:pPr>
        <w:ind w:firstLine="411" w:firstLineChars="196"/>
        <w:rPr>
          <w:rFonts w:ascii="ˎ̥" w:hAnsi="ˎ̥"/>
        </w:rPr>
      </w:pPr>
      <w:r>
        <w:rPr>
          <w:rFonts w:hint="eastAsia" w:ascii="ˎ̥" w:hAnsi="ˎ̥"/>
        </w:rPr>
        <w:t>38.1.2采用最低价法的，评审结果按投标报价由低到高顺序排列。投标报价相同的并列。投标文件满足招标文件全部实质性要求且投标报价最低的投标人为中标供应商（排名第二的投标人为第一替补中标候选人、排名第三的投标人为第二替补中标候选人）。出现投标报价相同的并列情况时，采取随机抽取的方式确定。（抽签原则：在</w:t>
      </w:r>
      <w:r>
        <w:rPr>
          <w:rFonts w:hint="eastAsia" w:ascii="ˎ̥" w:hAnsi="ˎ̥"/>
          <w:lang w:eastAsia="zh-CN"/>
        </w:rPr>
        <w:t>深圳市东海国际招标有限公司</w:t>
      </w:r>
      <w:r>
        <w:rPr>
          <w:rFonts w:hint="eastAsia" w:ascii="ˎ̥" w:hAnsi="ˎ̥"/>
        </w:rPr>
        <w:t>的组织下，由评标委员会作为抽签小组进行随机抽签确定排序。（1）编号。抽签小组按上传投标文件的时间先后确定抽签编号，如A 公司上传投标文件的时间最早，则抽签编号为1，以此类推。（2）抽签。按抽签编号的数量在摇号机放入相应数量及对应编号的号码球，抽签小组成员随机抽取号码球，按抽出号码球的顺序，确定号码球对应的供应商排序。（3）确认结果。全体抽签小组成员签字确认抽签结果。）</w:t>
      </w:r>
    </w:p>
    <w:p w14:paraId="763EA1A3">
      <w:pPr>
        <w:ind w:firstLine="411" w:firstLineChars="196"/>
        <w:rPr>
          <w:rFonts w:ascii="ˎ̥" w:hAnsi="ˎ̥"/>
        </w:rPr>
      </w:pPr>
      <w:r>
        <w:rPr>
          <w:rFonts w:hint="eastAsia" w:ascii="ˎ̥" w:hAnsi="ˎ̥"/>
        </w:rPr>
        <w:t>38.1.3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中标供应商（排名第二的投标人为第一替补中标候选人、排名第三的投标人为第二替补中标候选人）。出现得分且投标报价相同的并列情况时，采取随机抽取的方式确定。（抽签原则：在</w:t>
      </w:r>
      <w:r>
        <w:rPr>
          <w:rFonts w:hint="eastAsia" w:ascii="ˎ̥" w:hAnsi="ˎ̥"/>
          <w:lang w:eastAsia="zh-CN"/>
        </w:rPr>
        <w:t>深圳市东海国际招标有限公司</w:t>
      </w:r>
      <w:r>
        <w:rPr>
          <w:rFonts w:hint="eastAsia" w:ascii="ˎ̥" w:hAnsi="ˎ̥"/>
        </w:rPr>
        <w:t>的组织下，由评标委员会作为抽签小组进行随机抽签确定排序。（1）编号。抽签小组按上传投标文件的时间先后确定抽签编号，如A 公司上传投标文件的时间最早，则抽签编号为1，以此类推。（2）抽签。按抽签编号的数量在摇号机放入相应数量及对应编号的号码球，抽签小组成员随机抽取号码球，按抽出号码球的顺序，确定号码球对应的供应商排序。（3）确认结果。全体抽签小组成员签字确认抽签结果。）</w:t>
      </w:r>
    </w:p>
    <w:p w14:paraId="420E0861">
      <w:pPr>
        <w:ind w:firstLine="411" w:firstLineChars="196"/>
        <w:rPr>
          <w:rFonts w:ascii="宋体" w:hAnsi="宋体"/>
          <w:szCs w:val="21"/>
        </w:rPr>
      </w:pPr>
      <w:r>
        <w:rPr>
          <w:rFonts w:hint="eastAsia" w:ascii="宋体" w:hAnsi="宋体"/>
          <w:szCs w:val="21"/>
        </w:rPr>
        <w:t>38.2评定分离项目定标方法</w:t>
      </w:r>
    </w:p>
    <w:p w14:paraId="6F3F4D94">
      <w:pPr>
        <w:ind w:firstLine="411" w:firstLineChars="196"/>
        <w:rPr>
          <w:rFonts w:ascii="宋体" w:hAnsi="宋体"/>
          <w:szCs w:val="21"/>
        </w:rPr>
      </w:pPr>
      <w:r>
        <w:rPr>
          <w:rFonts w:hint="eastAsia" w:ascii="宋体" w:hAnsi="宋体"/>
          <w:szCs w:val="21"/>
        </w:rPr>
        <w:t>38.2.1评定分离是指在</w:t>
      </w:r>
      <w:r>
        <w:rPr>
          <w:rFonts w:eastAsia="宋体"/>
          <w:kern w:val="2"/>
          <w:sz w:val="21"/>
          <w:szCs w:val="21"/>
          <w:lang w:eastAsia="zh-CN"/>
        </w:rPr>
        <w:t>招标（采购）代理机构</w:t>
      </w:r>
      <w:r>
        <w:rPr>
          <w:rFonts w:hint="eastAsia" w:eastAsia="宋体"/>
          <w:kern w:val="2"/>
          <w:sz w:val="21"/>
          <w:szCs w:val="21"/>
          <w:lang w:eastAsia="zh-CN"/>
        </w:rPr>
        <w:t>采购</w:t>
      </w:r>
      <w:r>
        <w:rPr>
          <w:rFonts w:hint="eastAsia" w:ascii="宋体" w:hAnsi="宋体"/>
          <w:szCs w:val="21"/>
        </w:rPr>
        <w:t>程序中，以公开招标方式执行采购，评审委员会负责对投标文件进行评审、推荐候选中标供应商并出具书面评审报告，由采购人根据评审委员会出具的评审报告从推荐的候选中标供应商中确定中标供应商。单个项目需要确定多家中标供应商的，不适用评定分离。</w:t>
      </w:r>
    </w:p>
    <w:p w14:paraId="0701DDBA">
      <w:pPr>
        <w:ind w:firstLine="411" w:firstLineChars="196"/>
      </w:pPr>
      <w:r>
        <w:rPr>
          <w:rFonts w:ascii="宋体" w:hAnsi="宋体"/>
          <w:szCs w:val="21"/>
        </w:rPr>
        <w:t xml:space="preserve">38.2.2 </w:t>
      </w:r>
      <w:bookmarkStart w:id="74" w:name="_Hlk71469733"/>
      <w:r>
        <w:t>适用评定分离的政府采购项目，采用综合评分法评</w:t>
      </w:r>
      <w:r>
        <w:rPr>
          <w:rFonts w:hint="eastAsia"/>
        </w:rPr>
        <w:t>审。</w:t>
      </w:r>
      <w:r>
        <w:rPr>
          <w:rFonts w:hint="eastAsia" w:ascii="宋体" w:hAnsi="宋体"/>
          <w:szCs w:val="21"/>
        </w:rPr>
        <w:t>评审委员会按照评审结果，推荐</w:t>
      </w:r>
      <w:r>
        <w:t>三个合格的候选中标供应商。</w:t>
      </w:r>
    </w:p>
    <w:p w14:paraId="750D107A">
      <w:pPr>
        <w:ind w:firstLine="411" w:firstLineChars="196"/>
        <w:rPr>
          <w:rFonts w:ascii="宋体" w:hAnsi="宋体"/>
          <w:szCs w:val="21"/>
        </w:rPr>
      </w:pPr>
      <w:r>
        <w:rPr>
          <w:rFonts w:hint="eastAsia" w:ascii="宋体" w:hAnsi="宋体"/>
          <w:szCs w:val="21"/>
        </w:rPr>
        <w:t>38.2.3</w:t>
      </w:r>
      <w:bookmarkStart w:id="75" w:name="_Hlk71469688"/>
      <w:r>
        <w:t>适用评定分离的政府采购项目，</w:t>
      </w:r>
      <w:r>
        <w:rPr>
          <w:rFonts w:hint="eastAsia" w:ascii="宋体" w:hAnsi="宋体"/>
          <w:szCs w:val="21"/>
        </w:rPr>
        <w:t>按照自定法确定中标供应商：自定法是指采购人组织定标委员会，由定标委员会在三家候选中标供应商中确定中标供应商。</w:t>
      </w:r>
      <w:bookmarkEnd w:id="74"/>
      <w:bookmarkEnd w:id="75"/>
    </w:p>
    <w:p w14:paraId="6A045BCB">
      <w:pPr>
        <w:ind w:firstLine="411" w:firstLineChars="196"/>
        <w:rPr>
          <w:rFonts w:ascii="宋体" w:hAnsi="宋体"/>
          <w:szCs w:val="21"/>
        </w:rPr>
      </w:pPr>
      <w:r>
        <w:rPr>
          <w:rFonts w:ascii="宋体" w:hAnsi="宋体"/>
          <w:szCs w:val="21"/>
        </w:rPr>
        <w:t>38.2.4</w:t>
      </w:r>
      <w:r>
        <w:rPr>
          <w:rFonts w:eastAsia="宋体"/>
          <w:kern w:val="2"/>
          <w:sz w:val="21"/>
          <w:szCs w:val="21"/>
          <w:lang w:eastAsia="zh-CN"/>
        </w:rPr>
        <w:t>招标（采购）代理机构</w:t>
      </w:r>
      <w:r>
        <w:t>应当自评审结束之日起两个工作日内将候选中标供应商名单及其投标文件、评审报告送交采购人</w:t>
      </w:r>
      <w:r>
        <w:rPr>
          <w:rFonts w:hint="eastAsia" w:ascii="宋体" w:hAnsi="宋体"/>
          <w:szCs w:val="21"/>
        </w:rPr>
        <w:t>。</w:t>
      </w:r>
      <w:r>
        <w:t>采购人应当安排专人对定标过程进行书面记录，形成定标报告，作为采购文件的组成部分存档，并及时将定标结果反馈</w:t>
      </w:r>
      <w:r>
        <w:rPr>
          <w:rFonts w:eastAsia="宋体"/>
          <w:kern w:val="2"/>
          <w:sz w:val="21"/>
          <w:szCs w:val="21"/>
          <w:lang w:eastAsia="zh-CN"/>
        </w:rPr>
        <w:t>招标（采购）代理机构</w:t>
      </w:r>
      <w:r>
        <w:rPr>
          <w:rFonts w:hint="eastAsia"/>
        </w:rPr>
        <w:t>。具体定标程序及相关要求以按照《</w:t>
      </w:r>
      <w:r>
        <w:t>深圳市财政局关于印发</w:t>
      </w:r>
      <w:r>
        <w:rPr>
          <w:rFonts w:hint="eastAsia" w:ascii="宋体" w:hAnsi="宋体"/>
        </w:rPr>
        <w:t>〈</w:t>
      </w:r>
      <w:r>
        <w:t>深圳市政府采购评标定标分离管理办法</w:t>
      </w:r>
      <w:r>
        <w:rPr>
          <w:rFonts w:hint="eastAsia" w:ascii="宋体" w:hAnsi="宋体"/>
        </w:rPr>
        <w:t>〉</w:t>
      </w:r>
      <w:r>
        <w:t>的通知</w:t>
      </w:r>
      <w:r>
        <w:rPr>
          <w:rFonts w:hint="eastAsia"/>
        </w:rPr>
        <w:t>》（深财规【2</w:t>
      </w:r>
      <w:r>
        <w:t>020</w:t>
      </w:r>
      <w:r>
        <w:rPr>
          <w:rFonts w:hint="eastAsia"/>
        </w:rPr>
        <w:t>】1号）执行。</w:t>
      </w:r>
    </w:p>
    <w:p w14:paraId="1549BFD4">
      <w:pPr>
        <w:ind w:firstLine="411" w:firstLineChars="196"/>
        <w:rPr>
          <w:rFonts w:ascii="宋体" w:hAnsi="宋体"/>
          <w:szCs w:val="21"/>
        </w:rPr>
      </w:pPr>
      <w:r>
        <w:rPr>
          <w:rFonts w:hint="eastAsia" w:ascii="宋体" w:hAnsi="宋体"/>
          <w:szCs w:val="21"/>
        </w:rPr>
        <w:t>说明：采购人及投标供应商应按照上述方法提前做好相关准备。</w:t>
      </w:r>
    </w:p>
    <w:p w14:paraId="5A89D0FB">
      <w:pPr>
        <w:ind w:firstLine="411" w:firstLineChars="196"/>
        <w:rPr>
          <w:rFonts w:ascii="宋体" w:hAnsi="宋体"/>
          <w:szCs w:val="21"/>
        </w:rPr>
      </w:pPr>
      <w:r>
        <w:rPr>
          <w:rFonts w:hint="eastAsia" w:ascii="宋体" w:hAnsi="宋体"/>
          <w:szCs w:val="21"/>
        </w:rPr>
        <w:t>38.3专用条款另有规定的，按专用条款相关要求定标。</w:t>
      </w:r>
      <w:bookmarkEnd w:id="73"/>
    </w:p>
    <w:p w14:paraId="6168014A">
      <w:pPr>
        <w:rPr>
          <w:rFonts w:ascii="黑体" w:hAnsi="宋体" w:eastAsia="黑体"/>
          <w:sz w:val="24"/>
        </w:rPr>
      </w:pPr>
      <w:r>
        <w:rPr>
          <w:rFonts w:hint="eastAsia" w:ascii="黑体" w:hAnsi="宋体" w:eastAsia="黑体"/>
          <w:sz w:val="24"/>
        </w:rPr>
        <w:t>39．编写评审报告</w:t>
      </w:r>
    </w:p>
    <w:p w14:paraId="0DCAE401">
      <w:pPr>
        <w:ind w:firstLine="411" w:firstLineChars="196"/>
        <w:rPr>
          <w:rFonts w:ascii="宋体" w:hAnsi="宋体"/>
          <w:szCs w:val="21"/>
        </w:rPr>
      </w:pPr>
      <w:r>
        <w:rPr>
          <w:rFonts w:hint="eastAsia" w:ascii="宋体" w:hAnsi="宋体"/>
          <w:szCs w:val="21"/>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14:paraId="173EF21B">
      <w:pPr>
        <w:rPr>
          <w:rFonts w:ascii="黑体" w:hAnsi="宋体" w:eastAsia="黑体"/>
          <w:sz w:val="24"/>
        </w:rPr>
      </w:pPr>
      <w:r>
        <w:rPr>
          <w:rFonts w:hint="eastAsia" w:ascii="黑体" w:hAnsi="宋体" w:eastAsia="黑体"/>
          <w:sz w:val="24"/>
        </w:rPr>
        <w:t>40．中标公告</w:t>
      </w:r>
    </w:p>
    <w:p w14:paraId="70505EDB">
      <w:pPr>
        <w:ind w:firstLine="411" w:firstLineChars="196"/>
        <w:rPr>
          <w:rFonts w:ascii="宋体" w:hAnsi="宋体"/>
          <w:szCs w:val="21"/>
        </w:rPr>
      </w:pPr>
      <w:r>
        <w:rPr>
          <w:rFonts w:hint="eastAsia" w:ascii="宋体" w:hAnsi="宋体"/>
          <w:szCs w:val="21"/>
        </w:rPr>
        <w:t>40.1</w:t>
      </w:r>
      <w:bookmarkStart w:id="76" w:name="_Hlk72438709"/>
      <w:r>
        <w:rPr>
          <w:rFonts w:hint="eastAsia" w:ascii="宋体" w:hAnsi="宋体"/>
          <w:szCs w:val="21"/>
        </w:rPr>
        <w:t>为体现“公开、公平、公正”的原则，评审结束后经采购人确认（确定）评审结果，</w:t>
      </w:r>
      <w:r>
        <w:rPr>
          <w:rFonts w:eastAsia="宋体"/>
          <w:kern w:val="2"/>
          <w:sz w:val="21"/>
          <w:szCs w:val="21"/>
          <w:lang w:eastAsia="zh-CN"/>
        </w:rPr>
        <w:t>招标（采购）代理机构</w:t>
      </w:r>
      <w:r>
        <w:rPr>
          <w:rFonts w:hint="eastAsia" w:ascii="宋体" w:hAnsi="宋体"/>
          <w:szCs w:val="21"/>
        </w:rPr>
        <w:t>将在</w:t>
      </w:r>
      <w:r>
        <w:rPr>
          <w:rFonts w:hint="eastAsia" w:ascii="宋体" w:hAnsi="宋体"/>
          <w:b/>
          <w:bCs/>
        </w:rPr>
        <w:t>深圳政府采购自行采购系统</w:t>
      </w:r>
      <w:r>
        <w:rPr>
          <w:rFonts w:hint="eastAsia" w:ascii="宋体" w:hAnsi="宋体"/>
          <w:b/>
          <w:bCs/>
          <w:szCs w:val="21"/>
        </w:rPr>
        <w:t>（https://zxcg.szggzy.com/home/index.html）</w:t>
      </w:r>
      <w:r>
        <w:rPr>
          <w:rFonts w:hint="eastAsia" w:ascii="宋体" w:hAnsi="宋体"/>
          <w:szCs w:val="21"/>
        </w:rPr>
        <w:t>上发布中标结果公告。</w:t>
      </w:r>
      <w:bookmarkEnd w:id="76"/>
      <w:bookmarkStart w:id="77" w:name="_Hlk72438751"/>
      <w:r>
        <w:rPr>
          <w:rFonts w:hint="eastAsia" w:ascii="宋体" w:hAnsi="宋体"/>
          <w:szCs w:val="21"/>
        </w:rPr>
        <w:t>供应商如对评审结果有异议，</w:t>
      </w:r>
      <w:r>
        <w:rPr>
          <w:rFonts w:ascii="宋体" w:hAnsi="宋体"/>
          <w:szCs w:val="21"/>
        </w:rPr>
        <w:t>可在发布公示日期起</w:t>
      </w:r>
      <w:r>
        <w:rPr>
          <w:rFonts w:hint="eastAsia" w:ascii="宋体" w:hAnsi="宋体"/>
          <w:szCs w:val="21"/>
        </w:rPr>
        <w:t>七</w:t>
      </w:r>
      <w:r>
        <w:rPr>
          <w:rFonts w:ascii="宋体" w:hAnsi="宋体"/>
          <w:szCs w:val="21"/>
        </w:rPr>
        <w:t>个工作日内向</w:t>
      </w:r>
      <w:r>
        <w:rPr>
          <w:rFonts w:eastAsia="宋体"/>
          <w:kern w:val="2"/>
          <w:sz w:val="21"/>
          <w:szCs w:val="21"/>
          <w:lang w:eastAsia="zh-CN"/>
        </w:rPr>
        <w:t>招标（采购）代理机构</w:t>
      </w:r>
      <w:r>
        <w:rPr>
          <w:rFonts w:ascii="宋体" w:hAnsi="宋体"/>
          <w:szCs w:val="21"/>
        </w:rPr>
        <w:t>提出。 监督电话：0755-83948143。</w:t>
      </w:r>
      <w:r>
        <w:rPr>
          <w:rFonts w:hint="eastAsia" w:ascii="宋体" w:hAnsi="宋体"/>
          <w:szCs w:val="21"/>
        </w:rPr>
        <w:t>若在公示期内未提出质疑，则视为认同该评审结果。</w:t>
      </w:r>
    </w:p>
    <w:bookmarkEnd w:id="77"/>
    <w:p w14:paraId="5F9511C7">
      <w:pPr>
        <w:ind w:firstLine="411" w:firstLineChars="196"/>
        <w:rPr>
          <w:rFonts w:ascii="宋体" w:hAnsi="宋体"/>
          <w:szCs w:val="21"/>
        </w:rPr>
      </w:pPr>
      <w:r>
        <w:rPr>
          <w:rFonts w:hint="eastAsia" w:ascii="宋体" w:hAnsi="宋体"/>
          <w:szCs w:val="21"/>
        </w:rPr>
        <w:t>40.2质疑、投诉供应商应保证质疑、投诉内容的真实性和可靠性，并承担相应的法律责任。</w:t>
      </w:r>
    </w:p>
    <w:p w14:paraId="6F74BAC0">
      <w:pPr>
        <w:rPr>
          <w:rFonts w:ascii="黑体" w:hAnsi="宋体" w:eastAsia="黑体"/>
          <w:sz w:val="24"/>
        </w:rPr>
      </w:pPr>
      <w:r>
        <w:rPr>
          <w:rFonts w:hint="eastAsia" w:ascii="黑体" w:hAnsi="宋体" w:eastAsia="黑体"/>
          <w:sz w:val="24"/>
        </w:rPr>
        <w:t>41．中标通知书</w:t>
      </w:r>
    </w:p>
    <w:p w14:paraId="61C4E08D">
      <w:pPr>
        <w:ind w:firstLine="411" w:firstLineChars="196"/>
        <w:rPr>
          <w:rFonts w:ascii="宋体" w:hAnsi="宋体"/>
          <w:szCs w:val="21"/>
        </w:rPr>
      </w:pPr>
      <w:r>
        <w:rPr>
          <w:rFonts w:hint="eastAsia" w:ascii="宋体" w:hAnsi="宋体"/>
          <w:szCs w:val="21"/>
        </w:rPr>
        <w:t>41</w:t>
      </w:r>
      <w:r>
        <w:rPr>
          <w:rFonts w:ascii="宋体" w:hAnsi="宋体"/>
          <w:szCs w:val="21"/>
        </w:rPr>
        <w:t>.</w:t>
      </w:r>
      <w:r>
        <w:rPr>
          <w:rFonts w:hint="eastAsia" w:ascii="宋体" w:hAnsi="宋体"/>
          <w:szCs w:val="21"/>
        </w:rPr>
        <w:t>1</w:t>
      </w:r>
      <w:bookmarkStart w:id="78" w:name="_Hlk72438863"/>
      <w:r>
        <w:rPr>
          <w:rFonts w:hint="eastAsia" w:ascii="宋体" w:hAnsi="宋体"/>
          <w:szCs w:val="21"/>
        </w:rPr>
        <w:t>中标公告公布以后无异常的情况下,中标供应商和采购人可自行登录</w:t>
      </w:r>
      <w:r>
        <w:rPr>
          <w:rFonts w:hint="eastAsia" w:ascii="宋体" w:hAnsi="宋体"/>
          <w:b/>
          <w:bCs/>
          <w:szCs w:val="21"/>
        </w:rPr>
        <w:t>“</w:t>
      </w:r>
      <w:r>
        <w:rPr>
          <w:rFonts w:hint="eastAsia" w:ascii="宋体" w:hAnsi="宋体"/>
        </w:rPr>
        <w:t>深圳政府采购自行采购系统（https://trade.szggzy.com/ggzy/center/#/login）</w:t>
      </w:r>
      <w:r>
        <w:rPr>
          <w:rFonts w:hint="eastAsia" w:ascii="宋体" w:hAnsi="宋体"/>
          <w:b/>
          <w:bCs/>
          <w:szCs w:val="21"/>
        </w:rPr>
        <w:t>”</w:t>
      </w:r>
      <w:r>
        <w:rPr>
          <w:rFonts w:hint="eastAsia" w:ascii="宋体" w:hAnsi="宋体"/>
          <w:szCs w:val="21"/>
        </w:rPr>
        <w:t>上打印</w:t>
      </w:r>
      <w:r>
        <w:rPr>
          <w:rFonts w:hint="eastAsia" w:ascii="宋体" w:hAnsi="宋体"/>
          <w:b/>
          <w:szCs w:val="21"/>
        </w:rPr>
        <w:t>《数字中标通知书》</w:t>
      </w:r>
      <w:r>
        <w:rPr>
          <w:rFonts w:hint="eastAsia" w:ascii="宋体" w:hAnsi="宋体"/>
          <w:szCs w:val="21"/>
        </w:rPr>
        <w:t>。</w:t>
      </w:r>
      <w:bookmarkEnd w:id="78"/>
    </w:p>
    <w:p w14:paraId="699753C3">
      <w:pPr>
        <w:ind w:firstLine="411" w:firstLineChars="196"/>
        <w:rPr>
          <w:rFonts w:ascii="宋体" w:hAnsi="宋体"/>
          <w:szCs w:val="21"/>
        </w:rPr>
      </w:pPr>
      <w:r>
        <w:rPr>
          <w:rFonts w:hint="eastAsia" w:ascii="宋体" w:hAnsi="宋体"/>
          <w:szCs w:val="21"/>
        </w:rPr>
        <w:t>41</w:t>
      </w:r>
      <w:r>
        <w:rPr>
          <w:rFonts w:ascii="宋体" w:hAnsi="宋体"/>
          <w:szCs w:val="21"/>
        </w:rPr>
        <w:t>.2</w:t>
      </w:r>
      <w:r>
        <w:rPr>
          <w:rFonts w:hint="eastAsia" w:ascii="宋体" w:hAnsi="宋体"/>
          <w:szCs w:val="21"/>
        </w:rPr>
        <w:t>中标通知书是合同的重要组成部分。</w:t>
      </w:r>
    </w:p>
    <w:p w14:paraId="788765EC">
      <w:pPr>
        <w:ind w:firstLine="411" w:firstLineChars="196"/>
        <w:rPr>
          <w:rFonts w:ascii="宋体" w:hAnsi="宋体"/>
          <w:szCs w:val="21"/>
        </w:rPr>
      </w:pPr>
      <w:bookmarkStart w:id="79" w:name="_Hlk71407340"/>
      <w:r>
        <w:rPr>
          <w:rFonts w:hint="eastAsia" w:ascii="宋体" w:hAnsi="宋体"/>
          <w:szCs w:val="21"/>
        </w:rPr>
        <w:t>41.3因质疑投诉或其它原因导致项目结果变更或采购终止的，</w:t>
      </w:r>
      <w:r>
        <w:rPr>
          <w:rFonts w:eastAsia="宋体"/>
          <w:kern w:val="2"/>
          <w:sz w:val="21"/>
          <w:szCs w:val="21"/>
          <w:lang w:eastAsia="zh-CN"/>
        </w:rPr>
        <w:t>招标（采购）代理机构</w:t>
      </w:r>
      <w:r>
        <w:rPr>
          <w:rFonts w:hint="eastAsia" w:ascii="宋体" w:hAnsi="宋体"/>
          <w:szCs w:val="21"/>
        </w:rPr>
        <w:t>有权吊销中标通知书。</w:t>
      </w:r>
    </w:p>
    <w:bookmarkEnd w:id="79"/>
    <w:p w14:paraId="69073F4B">
      <w:pPr>
        <w:ind w:firstLine="411" w:firstLineChars="196"/>
        <w:rPr>
          <w:rFonts w:ascii="宋体" w:hAnsi="宋体"/>
          <w:szCs w:val="21"/>
        </w:rPr>
      </w:pPr>
    </w:p>
    <w:p w14:paraId="27D8C222">
      <w:pPr>
        <w:pStyle w:val="4"/>
        <w:numPr>
          <w:ilvl w:val="0"/>
          <w:numId w:val="13"/>
        </w:numPr>
        <w:spacing w:before="156" w:beforeLines="50" w:after="156" w:afterLines="50"/>
        <w:ind w:left="562" w:hanging="562"/>
        <w:rPr>
          <w:sz w:val="28"/>
          <w:szCs w:val="28"/>
        </w:rPr>
      </w:pPr>
      <w:r>
        <w:rPr>
          <w:rFonts w:hint="eastAsia"/>
          <w:sz w:val="28"/>
          <w:szCs w:val="28"/>
        </w:rPr>
        <w:t>公开招标失败的后续处理</w:t>
      </w:r>
    </w:p>
    <w:p w14:paraId="241B93DA">
      <w:pPr>
        <w:rPr>
          <w:rFonts w:ascii="黑体" w:hAnsi="宋体" w:eastAsia="黑体"/>
          <w:sz w:val="24"/>
        </w:rPr>
      </w:pPr>
      <w:r>
        <w:rPr>
          <w:rFonts w:hint="eastAsia" w:ascii="黑体" w:hAnsi="宋体" w:eastAsia="黑体"/>
          <w:sz w:val="24"/>
        </w:rPr>
        <w:t>42．公开招标失败的处理</w:t>
      </w:r>
    </w:p>
    <w:p w14:paraId="07D9DBEC">
      <w:pPr>
        <w:ind w:firstLine="411" w:firstLineChars="196"/>
        <w:rPr>
          <w:rFonts w:ascii="宋体" w:hAnsi="宋体"/>
        </w:rPr>
      </w:pPr>
      <w:r>
        <w:rPr>
          <w:rFonts w:hint="eastAsia" w:ascii="宋体" w:hAnsi="宋体"/>
          <w:szCs w:val="21"/>
        </w:rPr>
        <w:t>42.1本项目公开招标过程中若由于投标截止后</w:t>
      </w:r>
      <w:r>
        <w:rPr>
          <w:rFonts w:hint="eastAsia" w:ascii="宋体" w:hAnsi="宋体"/>
        </w:rPr>
        <w:t>实际递交</w:t>
      </w:r>
      <w:r>
        <w:rPr>
          <w:rFonts w:ascii="宋体" w:hAnsi="宋体"/>
        </w:rPr>
        <w:t>投标</w:t>
      </w:r>
      <w:r>
        <w:rPr>
          <w:rFonts w:hint="eastAsia" w:ascii="宋体" w:hAnsi="宋体"/>
        </w:rPr>
        <w:t>文件的供应商数量不足、经</w:t>
      </w:r>
      <w:r>
        <w:rPr>
          <w:rFonts w:hint="eastAsia" w:ascii="宋体" w:hAnsi="宋体"/>
          <w:szCs w:val="21"/>
        </w:rPr>
        <w:t>评审委员会</w:t>
      </w:r>
      <w:r>
        <w:rPr>
          <w:rFonts w:hint="eastAsia" w:ascii="宋体" w:hAnsi="宋体"/>
        </w:rPr>
        <w:t>评审对招标文件作实质响应的供应商不足等原因造成公开招标失败，可由</w:t>
      </w:r>
      <w:r>
        <w:rPr>
          <w:rFonts w:eastAsia="宋体"/>
          <w:kern w:val="2"/>
          <w:sz w:val="21"/>
          <w:szCs w:val="21"/>
          <w:lang w:eastAsia="zh-CN"/>
        </w:rPr>
        <w:t>招标（采购）代理机构</w:t>
      </w:r>
      <w:r>
        <w:rPr>
          <w:rFonts w:hint="eastAsia" w:ascii="宋体" w:hAnsi="宋体"/>
        </w:rPr>
        <w:t>重新组织采购。</w:t>
      </w:r>
    </w:p>
    <w:p w14:paraId="3C0F9913">
      <w:pPr>
        <w:ind w:firstLine="411" w:firstLineChars="196"/>
        <w:rPr>
          <w:rFonts w:ascii="宋体" w:hAnsi="宋体"/>
          <w:szCs w:val="21"/>
        </w:rPr>
      </w:pPr>
      <w:r>
        <w:rPr>
          <w:rFonts w:hint="eastAsia" w:ascii="宋体" w:hAnsi="宋体"/>
          <w:szCs w:val="21"/>
        </w:rPr>
        <w:t>42.2对公开招标失败的项目，评审委员会在出具该项目招标失败结论的同时，可以提出重新采购组织形式的建议，以及进一步完善招标文件的资格、技术、商务要求的修改建议。</w:t>
      </w:r>
    </w:p>
    <w:p w14:paraId="33734CB0">
      <w:pPr>
        <w:ind w:firstLine="411" w:firstLineChars="196"/>
        <w:rPr>
          <w:rFonts w:ascii="宋体" w:hAnsi="宋体"/>
          <w:szCs w:val="21"/>
        </w:rPr>
      </w:pPr>
      <w:r>
        <w:rPr>
          <w:rFonts w:hint="eastAsia" w:ascii="宋体" w:hAnsi="宋体"/>
          <w:szCs w:val="21"/>
        </w:rPr>
        <w:t>42.3重新组织采购有以下两种组织形式：</w:t>
      </w:r>
    </w:p>
    <w:p w14:paraId="2BDEE0E5">
      <w:pPr>
        <w:ind w:firstLine="411" w:firstLineChars="196"/>
        <w:rPr>
          <w:rFonts w:ascii="宋体" w:hAnsi="宋体"/>
        </w:rPr>
      </w:pPr>
      <w:r>
        <w:rPr>
          <w:rFonts w:hint="eastAsia" w:ascii="宋体" w:hAnsi="宋体"/>
        </w:rPr>
        <w:t>（1）由</w:t>
      </w:r>
      <w:r>
        <w:rPr>
          <w:rFonts w:eastAsia="宋体"/>
          <w:kern w:val="2"/>
          <w:sz w:val="21"/>
          <w:szCs w:val="21"/>
          <w:lang w:eastAsia="zh-CN"/>
        </w:rPr>
        <w:t>招标（采购）代理机构</w:t>
      </w:r>
      <w:r>
        <w:rPr>
          <w:rFonts w:hint="eastAsia" w:ascii="宋体" w:hAnsi="宋体"/>
        </w:rPr>
        <w:t>重新组织公开招标；</w:t>
      </w:r>
    </w:p>
    <w:p w14:paraId="191994D0">
      <w:pPr>
        <w:ind w:firstLine="411" w:firstLineChars="196"/>
        <w:rPr>
          <w:rFonts w:ascii="宋体" w:hAnsi="宋体"/>
        </w:rPr>
      </w:pPr>
      <w:r>
        <w:rPr>
          <w:rFonts w:hint="eastAsia" w:ascii="宋体" w:hAnsi="宋体"/>
        </w:rPr>
        <w:t>（2）根据实际情况需要向同级财政部门提出非公开招标方式申请，经同级财政部门批准，公开招标失败采购项目可转为竞争性谈判或单一来源谈判方式采购。</w:t>
      </w:r>
    </w:p>
    <w:p w14:paraId="02230667">
      <w:pPr>
        <w:ind w:firstLine="411" w:firstLineChars="196"/>
        <w:rPr>
          <w:rFonts w:ascii="宋体" w:hAnsi="宋体"/>
        </w:rPr>
      </w:pPr>
      <w:r>
        <w:rPr>
          <w:rFonts w:hint="eastAsia" w:ascii="宋体" w:hAnsi="宋体"/>
        </w:rPr>
        <w:t>42.4公开招标失败的采购项目重新组织公开招标，由</w:t>
      </w:r>
      <w:r>
        <w:rPr>
          <w:rFonts w:eastAsia="宋体"/>
          <w:kern w:val="2"/>
          <w:sz w:val="21"/>
          <w:szCs w:val="21"/>
          <w:lang w:eastAsia="zh-CN"/>
        </w:rPr>
        <w:t>招标（采购）代理机构</w:t>
      </w:r>
      <w:r>
        <w:rPr>
          <w:rFonts w:hint="eastAsia" w:ascii="宋体" w:hAnsi="宋体"/>
        </w:rPr>
        <w:t>重新按公开招标流程组织采购活动。</w:t>
      </w:r>
    </w:p>
    <w:p w14:paraId="21FB90FC">
      <w:pPr>
        <w:rPr>
          <w:rFonts w:ascii="宋体" w:hAnsi="宋体"/>
        </w:rPr>
      </w:pPr>
      <w:r>
        <w:rPr>
          <w:rFonts w:hint="eastAsia" w:ascii="黑体" w:hAnsi="宋体" w:eastAsia="黑体"/>
          <w:sz w:val="24"/>
        </w:rPr>
        <w:t xml:space="preserve">    </w:t>
      </w:r>
      <w:r>
        <w:rPr>
          <w:rFonts w:hint="eastAsia" w:ascii="宋体" w:hAnsi="宋体"/>
        </w:rPr>
        <w:t>42.5公开招标失败的采购项目经同级财政部门批准转为竞争性谈判或单一来源谈判方式采购的，按规定要求组织政府采购工作。</w:t>
      </w:r>
    </w:p>
    <w:p w14:paraId="11C14551">
      <w:pPr>
        <w:rPr>
          <w:rFonts w:ascii="黑体" w:hAnsi="宋体" w:eastAsia="黑体"/>
          <w:sz w:val="24"/>
        </w:rPr>
      </w:pPr>
    </w:p>
    <w:p w14:paraId="153A2F82">
      <w:pPr>
        <w:pStyle w:val="4"/>
        <w:numPr>
          <w:ilvl w:val="0"/>
          <w:numId w:val="13"/>
        </w:numPr>
        <w:spacing w:before="156" w:beforeLines="50" w:after="156" w:afterLines="50"/>
        <w:ind w:left="562" w:hanging="562"/>
        <w:rPr>
          <w:sz w:val="28"/>
          <w:szCs w:val="28"/>
        </w:rPr>
      </w:pPr>
      <w:bookmarkStart w:id="80" w:name="_Hlk72439043"/>
      <w:r>
        <w:rPr>
          <w:rFonts w:hint="eastAsia"/>
          <w:sz w:val="28"/>
          <w:szCs w:val="28"/>
        </w:rPr>
        <w:t>合同的授予与备案</w:t>
      </w:r>
      <w:bookmarkEnd w:id="80"/>
    </w:p>
    <w:p w14:paraId="35C53B35">
      <w:pPr>
        <w:rPr>
          <w:rFonts w:ascii="黑体" w:hAnsi="宋体" w:eastAsia="黑体"/>
          <w:sz w:val="24"/>
        </w:rPr>
      </w:pPr>
      <w:bookmarkStart w:id="81" w:name="_Toc73518157"/>
      <w:bookmarkStart w:id="82" w:name="_Toc100052408"/>
      <w:bookmarkStart w:id="83" w:name="_Toc73521586"/>
      <w:bookmarkStart w:id="84" w:name="_Toc73517679"/>
      <w:bookmarkStart w:id="85" w:name="_Toc73521674"/>
      <w:bookmarkStart w:id="86" w:name="_Hlk72439088"/>
      <w:r>
        <w:rPr>
          <w:rFonts w:hint="eastAsia" w:ascii="黑体" w:hAnsi="宋体" w:eastAsia="黑体"/>
          <w:sz w:val="24"/>
        </w:rPr>
        <w:t>43．合同授予标准</w:t>
      </w:r>
      <w:bookmarkEnd w:id="81"/>
      <w:bookmarkEnd w:id="82"/>
      <w:bookmarkEnd w:id="83"/>
      <w:bookmarkEnd w:id="84"/>
      <w:bookmarkEnd w:id="85"/>
    </w:p>
    <w:p w14:paraId="4F9D1F01">
      <w:pPr>
        <w:ind w:firstLine="411" w:firstLineChars="196"/>
        <w:rPr>
          <w:rFonts w:ascii="宋体" w:hAnsi="宋体"/>
          <w:szCs w:val="21"/>
        </w:rPr>
      </w:pPr>
      <w:r>
        <w:rPr>
          <w:rFonts w:hint="eastAsia" w:ascii="宋体" w:hAnsi="宋体"/>
          <w:szCs w:val="21"/>
        </w:rPr>
        <w:t>本项目的合同将授予经本招标文件规定评审确定的中标供应商。</w:t>
      </w:r>
    </w:p>
    <w:p w14:paraId="32D07386">
      <w:pPr>
        <w:rPr>
          <w:rFonts w:ascii="黑体" w:hAnsi="宋体" w:eastAsia="黑体"/>
          <w:sz w:val="24"/>
        </w:rPr>
      </w:pPr>
      <w:bookmarkStart w:id="87" w:name="_Toc73521675"/>
      <w:bookmarkStart w:id="88" w:name="_Toc73521587"/>
      <w:bookmarkStart w:id="89" w:name="_Toc73517680"/>
      <w:bookmarkStart w:id="90" w:name="_Toc73518158"/>
      <w:bookmarkStart w:id="91" w:name="_Toc100052409"/>
      <w:r>
        <w:rPr>
          <w:rFonts w:hint="eastAsia" w:ascii="黑体" w:hAnsi="宋体" w:eastAsia="黑体"/>
          <w:sz w:val="24"/>
        </w:rPr>
        <w:t>44．</w:t>
      </w:r>
      <w:bookmarkEnd w:id="87"/>
      <w:bookmarkEnd w:id="88"/>
      <w:bookmarkEnd w:id="89"/>
      <w:bookmarkEnd w:id="90"/>
      <w:bookmarkEnd w:id="91"/>
      <w:r>
        <w:rPr>
          <w:rFonts w:hint="eastAsia" w:ascii="黑体" w:hAnsi="宋体" w:eastAsia="黑体"/>
          <w:sz w:val="24"/>
        </w:rPr>
        <w:t>接受和拒绝任何或所有投标的权力</w:t>
      </w:r>
    </w:p>
    <w:p w14:paraId="1825429B">
      <w:pPr>
        <w:ind w:firstLine="411" w:firstLineChars="196"/>
        <w:rPr>
          <w:rFonts w:ascii="宋体" w:hAnsi="宋体"/>
          <w:szCs w:val="21"/>
        </w:rPr>
      </w:pPr>
      <w:r>
        <w:rPr>
          <w:rFonts w:eastAsia="宋体"/>
          <w:kern w:val="2"/>
          <w:sz w:val="21"/>
          <w:szCs w:val="21"/>
          <w:lang w:eastAsia="zh-CN"/>
        </w:rPr>
        <w:t>招标（采购）代理机构</w:t>
      </w:r>
      <w:r>
        <w:rPr>
          <w:rFonts w:hint="eastAsia" w:ascii="宋体" w:hAnsi="宋体"/>
          <w:szCs w:val="21"/>
        </w:rPr>
        <w:t>和采购人保留在投标之前任何时候接受或拒绝任何投标或所有投标，以及宣布招标无效的权力，对受影响的投标人不承担任何责任，也无义务向受影响的投标人解释采取这一行动的理由。</w:t>
      </w:r>
    </w:p>
    <w:p w14:paraId="23FAB90D">
      <w:pPr>
        <w:rPr>
          <w:rFonts w:ascii="黑体" w:hAnsi="宋体" w:eastAsia="黑体"/>
          <w:sz w:val="24"/>
        </w:rPr>
      </w:pPr>
      <w:bookmarkStart w:id="92" w:name="_Toc73518160"/>
      <w:bookmarkStart w:id="93" w:name="_Toc100052410"/>
      <w:bookmarkStart w:id="94" w:name="_Toc73517682"/>
      <w:bookmarkStart w:id="95" w:name="_Toc73521589"/>
      <w:bookmarkStart w:id="96" w:name="_Toc73521677"/>
      <w:r>
        <w:rPr>
          <w:rFonts w:hint="eastAsia" w:ascii="黑体" w:hAnsi="宋体" w:eastAsia="黑体"/>
          <w:sz w:val="24"/>
        </w:rPr>
        <w:t>45．合同的签订</w:t>
      </w:r>
      <w:bookmarkEnd w:id="92"/>
      <w:bookmarkEnd w:id="93"/>
      <w:bookmarkEnd w:id="94"/>
      <w:bookmarkEnd w:id="95"/>
      <w:bookmarkEnd w:id="96"/>
    </w:p>
    <w:p w14:paraId="72EB626F">
      <w:pPr>
        <w:ind w:firstLine="411" w:firstLineChars="196"/>
        <w:rPr>
          <w:rFonts w:ascii="宋体" w:hAnsi="宋体"/>
          <w:szCs w:val="21"/>
        </w:rPr>
      </w:pPr>
      <w:r>
        <w:rPr>
          <w:rFonts w:hint="eastAsia" w:ascii="宋体" w:hAnsi="宋体"/>
          <w:szCs w:val="21"/>
        </w:rPr>
        <w:t>45.1中标人将于中标通知书发出之日起十个工作日内，按照采购文件（招标文件和投标文件等）内容与采购人签订政府采购合同；合同的实质性内容应当符合招标文件的规定；</w:t>
      </w:r>
    </w:p>
    <w:p w14:paraId="62C2F939">
      <w:pPr>
        <w:ind w:firstLine="411" w:firstLineChars="196"/>
        <w:rPr>
          <w:rFonts w:ascii="宋体" w:hAnsi="宋体"/>
          <w:szCs w:val="21"/>
        </w:rPr>
      </w:pPr>
      <w:r>
        <w:rPr>
          <w:rFonts w:hint="eastAsia" w:ascii="宋体" w:hAnsi="宋体"/>
          <w:szCs w:val="21"/>
        </w:rPr>
        <w:t>45.2中标人如不按本通用条款第45</w:t>
      </w:r>
      <w:r>
        <w:rPr>
          <w:rFonts w:ascii="宋体" w:hAnsi="宋体"/>
          <w:szCs w:val="21"/>
        </w:rPr>
        <w:t>.1</w:t>
      </w:r>
      <w:r>
        <w:rPr>
          <w:rFonts w:hint="eastAsia" w:ascii="宋体" w:hAnsi="宋体"/>
          <w:szCs w:val="21"/>
        </w:rPr>
        <w:t>款的规定与采购人签订合同，</w:t>
      </w:r>
      <w:r>
        <w:rPr>
          <w:rFonts w:ascii="宋体" w:hAnsi="宋体" w:cs="宋体"/>
          <w:kern w:val="0"/>
          <w:szCs w:val="21"/>
        </w:rPr>
        <w:t>情节严重的，由</w:t>
      </w:r>
      <w:r>
        <w:rPr>
          <w:rFonts w:hint="eastAsia" w:ascii="宋体" w:hAnsi="宋体" w:cs="宋体"/>
          <w:kern w:val="0"/>
          <w:szCs w:val="21"/>
        </w:rPr>
        <w:t>同级财政</w:t>
      </w:r>
      <w:r>
        <w:rPr>
          <w:rFonts w:ascii="宋体" w:hAnsi="宋体" w:cs="宋体"/>
          <w:kern w:val="0"/>
          <w:szCs w:val="21"/>
        </w:rPr>
        <w:t>部门记入供应商诚信档案，予以通报</w:t>
      </w:r>
      <w:r>
        <w:rPr>
          <w:rFonts w:hint="eastAsia" w:ascii="宋体" w:hAnsi="宋体"/>
          <w:szCs w:val="21"/>
        </w:rPr>
        <w:t>；</w:t>
      </w:r>
    </w:p>
    <w:p w14:paraId="53B8ADA2">
      <w:pPr>
        <w:ind w:firstLine="411" w:firstLineChars="196"/>
        <w:rPr>
          <w:rFonts w:ascii="宋体" w:hAnsi="宋体"/>
          <w:szCs w:val="21"/>
        </w:rPr>
      </w:pPr>
      <w:r>
        <w:rPr>
          <w:rFonts w:hint="eastAsia" w:ascii="宋体" w:hAnsi="宋体"/>
          <w:szCs w:val="21"/>
        </w:rPr>
        <w:t>45.3中标人应当按照合同约定履行义务，完成中标项目，不得将中标项目转让（转包）给他人。</w:t>
      </w:r>
    </w:p>
    <w:p w14:paraId="782B522B">
      <w:pPr>
        <w:rPr>
          <w:rFonts w:ascii="黑体" w:hAnsi="宋体" w:eastAsia="黑体"/>
          <w:sz w:val="24"/>
        </w:rPr>
      </w:pPr>
      <w:bookmarkStart w:id="97" w:name="_Toc73521678"/>
      <w:bookmarkStart w:id="98" w:name="_Toc73517683"/>
      <w:bookmarkStart w:id="99" w:name="_Toc73521590"/>
      <w:bookmarkStart w:id="100" w:name="_Toc100052411"/>
      <w:bookmarkStart w:id="101" w:name="_Toc73518161"/>
      <w:r>
        <w:rPr>
          <w:rFonts w:hint="eastAsia" w:ascii="黑体" w:hAnsi="宋体" w:eastAsia="黑体"/>
          <w:sz w:val="24"/>
        </w:rPr>
        <w:t>46．履约担保</w:t>
      </w:r>
      <w:bookmarkEnd w:id="97"/>
      <w:bookmarkEnd w:id="98"/>
      <w:bookmarkEnd w:id="99"/>
      <w:bookmarkEnd w:id="100"/>
      <w:bookmarkEnd w:id="101"/>
    </w:p>
    <w:p w14:paraId="78378E30">
      <w:pPr>
        <w:ind w:firstLine="411" w:firstLineChars="196"/>
        <w:rPr>
          <w:rFonts w:ascii="宋体" w:hAnsi="宋体"/>
          <w:szCs w:val="21"/>
        </w:rPr>
      </w:pPr>
      <w:r>
        <w:rPr>
          <w:rFonts w:hint="eastAsia" w:ascii="宋体" w:hAnsi="宋体"/>
          <w:szCs w:val="21"/>
        </w:rPr>
        <w:t>46.1在签订项目合同的同时，中标人应按“对通用条款的补充内容”中规定的金额向采购人提交履约担保；</w:t>
      </w:r>
    </w:p>
    <w:p w14:paraId="3F3B740B">
      <w:pPr>
        <w:ind w:firstLine="411" w:firstLineChars="196"/>
        <w:rPr>
          <w:rFonts w:ascii="宋体" w:hAnsi="宋体"/>
          <w:szCs w:val="21"/>
        </w:rPr>
      </w:pPr>
      <w:r>
        <w:rPr>
          <w:rFonts w:hint="eastAsia" w:ascii="宋体" w:hAnsi="宋体"/>
          <w:szCs w:val="21"/>
        </w:rPr>
        <w:t>46.2，允许供应商自主选择以支票、汇票、本票、保函等非现金方式提交履约担保；</w:t>
      </w:r>
      <w:r>
        <w:t>中标</w:t>
      </w:r>
      <w:r>
        <w:rPr>
          <w:rFonts w:hint="eastAsia"/>
        </w:rPr>
        <w:t>人</w:t>
      </w:r>
      <w:r>
        <w:t>提交履约</w:t>
      </w:r>
      <w:r>
        <w:rPr>
          <w:rFonts w:hint="eastAsia"/>
        </w:rPr>
        <w:t>担保不是</w:t>
      </w:r>
      <w:r>
        <w:t>合同签订的</w:t>
      </w:r>
      <w:r>
        <w:rPr>
          <w:rFonts w:hint="eastAsia"/>
        </w:rPr>
        <w:t>前提</w:t>
      </w:r>
      <w:r>
        <w:t>条件，不要求中标</w:t>
      </w:r>
      <w:r>
        <w:rPr>
          <w:rFonts w:hint="eastAsia"/>
        </w:rPr>
        <w:t>人</w:t>
      </w:r>
      <w:r>
        <w:t>提供除法律、法规明确规定外的其他担保</w:t>
      </w:r>
      <w:r>
        <w:rPr>
          <w:rFonts w:hint="eastAsia"/>
        </w:rPr>
        <w:t>。</w:t>
      </w:r>
    </w:p>
    <w:p w14:paraId="3CC85392">
      <w:pPr>
        <w:rPr>
          <w:rFonts w:ascii="黑体" w:hAnsi="宋体" w:eastAsia="黑体"/>
          <w:sz w:val="24"/>
        </w:rPr>
      </w:pPr>
      <w:r>
        <w:rPr>
          <w:rFonts w:hint="eastAsia" w:ascii="黑体" w:hAnsi="宋体" w:eastAsia="黑体"/>
          <w:sz w:val="24"/>
        </w:rPr>
        <w:t>47. 合同备案</w:t>
      </w:r>
    </w:p>
    <w:p w14:paraId="1AF0FC04">
      <w:pPr>
        <w:rPr>
          <w:rFonts w:ascii="黑体" w:hAnsi="宋体" w:eastAsia="黑体"/>
          <w:sz w:val="24"/>
        </w:rPr>
      </w:pPr>
      <w:r>
        <w:rPr>
          <w:rFonts w:hint="eastAsia" w:ascii="宋体" w:hAnsi="宋体" w:eastAsia="宋体" w:cs="Times New Roman"/>
          <w:szCs w:val="21"/>
          <w:lang w:eastAsia="zh-Hans"/>
        </w:rPr>
        <w:t>采购人与中标供应商自中标通知书发出之日起10个工作日内签订政府采购合同，</w:t>
      </w:r>
      <w:r>
        <w:rPr>
          <w:rFonts w:hint="eastAsia" w:ascii="宋体" w:hAnsi="宋体" w:eastAsia="宋体" w:cs="Times New Roman"/>
          <w:szCs w:val="21"/>
        </w:rPr>
        <w:t>并按财政部门规定提交备案。</w:t>
      </w:r>
      <w:r>
        <w:rPr>
          <w:rFonts w:hint="eastAsia" w:ascii="黑体" w:hAnsi="宋体" w:eastAsia="黑体"/>
          <w:sz w:val="24"/>
        </w:rPr>
        <w:t>48. 合同变更</w:t>
      </w:r>
    </w:p>
    <w:p w14:paraId="69967BCE">
      <w:pPr>
        <w:ind w:firstLine="411" w:firstLineChars="196"/>
        <w:rPr>
          <w:rFonts w:ascii="宋体" w:hAnsi="宋体"/>
          <w:szCs w:val="21"/>
        </w:rPr>
      </w:pPr>
      <w:r>
        <w:rPr>
          <w:rFonts w:hint="eastAsia" w:ascii="宋体" w:hAnsi="宋体"/>
          <w:szCs w:val="21"/>
        </w:rPr>
        <w:t>合同变更事宜按《深圳市财政局关于优化政府采购合同备案的通知》（深财发保〔2022〕2号）相关规定执行。</w:t>
      </w:r>
    </w:p>
    <w:p w14:paraId="6FEB9E0D">
      <w:pPr>
        <w:rPr>
          <w:rFonts w:ascii="黑体" w:hAnsi="宋体" w:eastAsia="黑体"/>
          <w:sz w:val="24"/>
        </w:rPr>
      </w:pPr>
      <w:r>
        <w:rPr>
          <w:rFonts w:hint="eastAsia" w:ascii="黑体" w:hAnsi="宋体" w:eastAsia="黑体"/>
          <w:sz w:val="24"/>
        </w:rPr>
        <w:t>49. 项目验收</w:t>
      </w:r>
    </w:p>
    <w:p w14:paraId="3DBC675B">
      <w:pPr>
        <w:widowControl/>
        <w:ind w:right="176" w:firstLine="420"/>
        <w:jc w:val="left"/>
        <w:rPr>
          <w:rFonts w:ascii="宋体" w:hAnsi="宋体"/>
        </w:rPr>
      </w:pPr>
      <w:r>
        <w:rPr>
          <w:rFonts w:hint="eastAsia" w:ascii="宋体" w:hAnsi="宋体"/>
        </w:rPr>
        <w:t>49.1采购人应当按照招标文件和合同规定的标准和方法，及时组织验收。</w:t>
      </w:r>
      <w:r>
        <w:rPr>
          <w:rFonts w:ascii="宋体" w:hAnsi="宋体"/>
        </w:rPr>
        <w:t xml:space="preserve"> </w:t>
      </w:r>
    </w:p>
    <w:p w14:paraId="146A4590">
      <w:pPr>
        <w:rPr>
          <w:rFonts w:ascii="黑体" w:hAnsi="宋体" w:eastAsia="黑体"/>
          <w:sz w:val="24"/>
        </w:rPr>
      </w:pPr>
      <w:r>
        <w:rPr>
          <w:rFonts w:hint="eastAsia" w:ascii="黑体" w:hAnsi="宋体" w:eastAsia="黑体"/>
          <w:sz w:val="24"/>
        </w:rPr>
        <w:t>50. 宣传</w:t>
      </w:r>
    </w:p>
    <w:p w14:paraId="0CBB8192">
      <w:pPr>
        <w:ind w:left="210" w:leftChars="100" w:firstLine="411" w:firstLineChars="196"/>
        <w:rPr>
          <w:rFonts w:ascii="宋体" w:hAnsi="宋体"/>
        </w:rPr>
      </w:pPr>
      <w:r>
        <w:rPr>
          <w:rFonts w:hint="eastAsia" w:ascii="宋体" w:hAnsi="宋体"/>
        </w:rPr>
        <w:t>凡与政府采购活动有关的宣传或广告，若当中提及政府采购，</w:t>
      </w:r>
      <w:r>
        <w:rPr>
          <w:rFonts w:ascii="宋体" w:hAnsi="宋体"/>
        </w:rPr>
        <w:t>必须事先将具体对外宣传方案报</w:t>
      </w:r>
      <w:r>
        <w:rPr>
          <w:rFonts w:hint="eastAsia" w:ascii="宋体" w:hAnsi="宋体"/>
        </w:rPr>
        <w:t>同级财政部门</w:t>
      </w:r>
      <w:r>
        <w:rPr>
          <w:rFonts w:ascii="宋体" w:hAnsi="宋体"/>
        </w:rPr>
        <w:t>和</w:t>
      </w:r>
      <w:r>
        <w:rPr>
          <w:rFonts w:hint="eastAsia" w:ascii="宋体" w:hAnsi="宋体"/>
        </w:rPr>
        <w:t>政府集中采购机构</w:t>
      </w:r>
      <w:r>
        <w:rPr>
          <w:rFonts w:ascii="宋体" w:hAnsi="宋体"/>
        </w:rPr>
        <w:t>，并征得其同意。对外市场宣传包括但不限于以下形式：</w:t>
      </w:r>
    </w:p>
    <w:p w14:paraId="473A4AF8">
      <w:pPr>
        <w:ind w:left="210" w:leftChars="100" w:firstLine="411" w:firstLineChars="196"/>
        <w:rPr>
          <w:rFonts w:ascii="宋体" w:hAnsi="宋体"/>
        </w:rPr>
      </w:pPr>
      <w:r>
        <w:rPr>
          <w:rFonts w:ascii="宋体" w:hAnsi="宋体"/>
        </w:rPr>
        <w:t>a.名片、宣传册、广告标语等；</w:t>
      </w:r>
    </w:p>
    <w:p w14:paraId="2652C3A1">
      <w:pPr>
        <w:ind w:left="210" w:leftChars="100" w:firstLine="411" w:firstLineChars="196"/>
        <w:rPr>
          <w:rFonts w:ascii="宋体" w:hAnsi="宋体"/>
        </w:rPr>
      </w:pPr>
      <w:r>
        <w:rPr>
          <w:rFonts w:ascii="宋体" w:hAnsi="宋体"/>
        </w:rPr>
        <w:t>b.案例介绍、推广等；</w:t>
      </w:r>
    </w:p>
    <w:p w14:paraId="206DB941">
      <w:pPr>
        <w:ind w:left="210" w:leftChars="100" w:firstLine="411" w:firstLineChars="196"/>
        <w:rPr>
          <w:rFonts w:ascii="宋体" w:hAnsi="宋体"/>
        </w:rPr>
      </w:pPr>
      <w:r>
        <w:rPr>
          <w:rFonts w:hint="eastAsia" w:ascii="宋体" w:hAnsi="宋体"/>
        </w:rPr>
        <w:t>c.工作</w:t>
      </w:r>
      <w:r>
        <w:rPr>
          <w:rFonts w:ascii="宋体" w:hAnsi="宋体"/>
        </w:rPr>
        <w:t>人员向其他消费群体宣传。</w:t>
      </w:r>
    </w:p>
    <w:p w14:paraId="26D8156B">
      <w:pPr>
        <w:rPr>
          <w:rFonts w:ascii="黑体" w:hAnsi="宋体" w:eastAsia="黑体"/>
          <w:sz w:val="24"/>
        </w:rPr>
      </w:pPr>
      <w:r>
        <w:rPr>
          <w:rFonts w:hint="eastAsia" w:ascii="黑体" w:hAnsi="宋体" w:eastAsia="黑体"/>
          <w:sz w:val="24"/>
        </w:rPr>
        <w:t>51. 供应商违法责任</w:t>
      </w:r>
    </w:p>
    <w:p w14:paraId="4172A600">
      <w:pPr>
        <w:ind w:firstLine="411" w:firstLineChars="196"/>
        <w:rPr>
          <w:rFonts w:ascii="宋体" w:hAnsi="宋体"/>
          <w:szCs w:val="21"/>
        </w:rPr>
      </w:pPr>
      <w:r>
        <w:rPr>
          <w:rFonts w:hint="eastAsia" w:ascii="宋体" w:hAnsi="宋体"/>
          <w:szCs w:val="21"/>
        </w:rPr>
        <w:t>5</w:t>
      </w:r>
      <w:r>
        <w:rPr>
          <w:rFonts w:ascii="宋体" w:hAnsi="宋体"/>
          <w:szCs w:val="21"/>
        </w:rPr>
        <w:t>1.1</w:t>
      </w:r>
      <w:r>
        <w:rPr>
          <w:rFonts w:hint="eastAsia" w:ascii="宋体" w:hAnsi="宋体"/>
          <w:szCs w:val="21"/>
        </w:rPr>
        <w:t>《深圳经济特区政府采购条例》第五十七条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2C1900E7">
      <w:pPr>
        <w:ind w:firstLine="411" w:firstLineChars="196"/>
        <w:rPr>
          <w:rFonts w:ascii="宋体" w:hAnsi="宋体"/>
          <w:szCs w:val="21"/>
        </w:rPr>
      </w:pPr>
      <w:r>
        <w:rPr>
          <w:rFonts w:hint="eastAsia" w:ascii="宋体" w:hAnsi="宋体"/>
          <w:szCs w:val="21"/>
        </w:rPr>
        <w:t>（1）在采购活动中应当回避而未回避的；</w:t>
      </w:r>
    </w:p>
    <w:p w14:paraId="6F6CAF73">
      <w:pPr>
        <w:ind w:firstLine="411" w:firstLineChars="196"/>
        <w:rPr>
          <w:rFonts w:ascii="宋体" w:hAnsi="宋体"/>
          <w:szCs w:val="21"/>
        </w:rPr>
      </w:pPr>
      <w:r>
        <w:rPr>
          <w:rFonts w:hint="eastAsia" w:ascii="宋体" w:hAnsi="宋体"/>
          <w:szCs w:val="21"/>
        </w:rPr>
        <w:t>（2）未按本条例规定签订、履行采购合同，造成严重后果的；</w:t>
      </w:r>
    </w:p>
    <w:p w14:paraId="7B9E1CFB">
      <w:pPr>
        <w:ind w:firstLine="411" w:firstLineChars="196"/>
        <w:rPr>
          <w:rFonts w:ascii="宋体" w:hAnsi="宋体"/>
          <w:szCs w:val="21"/>
        </w:rPr>
      </w:pPr>
      <w:r>
        <w:rPr>
          <w:rFonts w:hint="eastAsia" w:ascii="宋体" w:hAnsi="宋体"/>
          <w:szCs w:val="21"/>
        </w:rPr>
        <w:t>（3）隐瞒真实情况，提供虚假资料的；</w:t>
      </w:r>
    </w:p>
    <w:p w14:paraId="3AECE0C0">
      <w:pPr>
        <w:ind w:firstLine="411" w:firstLineChars="196"/>
        <w:rPr>
          <w:rFonts w:ascii="宋体" w:hAnsi="宋体"/>
          <w:szCs w:val="21"/>
        </w:rPr>
      </w:pPr>
      <w:r>
        <w:rPr>
          <w:rFonts w:hint="eastAsia" w:ascii="宋体" w:hAnsi="宋体"/>
          <w:szCs w:val="21"/>
        </w:rPr>
        <w:t>（4）以非法手段排斥其他供应商参与竞争的；</w:t>
      </w:r>
    </w:p>
    <w:p w14:paraId="5D776029">
      <w:pPr>
        <w:ind w:firstLine="411" w:firstLineChars="196"/>
        <w:rPr>
          <w:rFonts w:ascii="宋体" w:hAnsi="宋体"/>
          <w:szCs w:val="21"/>
        </w:rPr>
      </w:pPr>
      <w:r>
        <w:rPr>
          <w:rFonts w:hint="eastAsia" w:ascii="宋体" w:hAnsi="宋体"/>
          <w:szCs w:val="21"/>
        </w:rPr>
        <w:t>（5）与其他采购参加人串通投标的；</w:t>
      </w:r>
    </w:p>
    <w:p w14:paraId="76BBE5E2">
      <w:pPr>
        <w:ind w:firstLine="411" w:firstLineChars="196"/>
        <w:rPr>
          <w:rFonts w:ascii="宋体" w:hAnsi="宋体"/>
          <w:szCs w:val="21"/>
        </w:rPr>
      </w:pPr>
      <w:r>
        <w:rPr>
          <w:rFonts w:hint="eastAsia" w:ascii="宋体" w:hAnsi="宋体"/>
          <w:szCs w:val="21"/>
        </w:rPr>
        <w:t>（6）恶意投诉的；</w:t>
      </w:r>
    </w:p>
    <w:p w14:paraId="33530019">
      <w:pPr>
        <w:ind w:firstLine="411" w:firstLineChars="196"/>
        <w:rPr>
          <w:rFonts w:ascii="宋体" w:hAnsi="宋体"/>
          <w:szCs w:val="21"/>
        </w:rPr>
      </w:pPr>
      <w:r>
        <w:rPr>
          <w:rFonts w:hint="eastAsia" w:ascii="宋体" w:hAnsi="宋体"/>
          <w:szCs w:val="21"/>
        </w:rPr>
        <w:t>（7）向采购项目相关人行贿或者提供其他不当利益的；</w:t>
      </w:r>
    </w:p>
    <w:p w14:paraId="2571D6B8">
      <w:pPr>
        <w:ind w:firstLine="411" w:firstLineChars="196"/>
        <w:rPr>
          <w:rFonts w:ascii="宋体" w:hAnsi="宋体"/>
          <w:szCs w:val="21"/>
        </w:rPr>
      </w:pPr>
      <w:r>
        <w:rPr>
          <w:rFonts w:hint="eastAsia" w:ascii="宋体" w:hAnsi="宋体"/>
          <w:szCs w:val="21"/>
        </w:rPr>
        <w:t>（8）阻碍、抗拒主管部门监督检查的；</w:t>
      </w:r>
    </w:p>
    <w:p w14:paraId="35E8E761">
      <w:pPr>
        <w:ind w:firstLine="411" w:firstLineChars="196"/>
        <w:rPr>
          <w:rFonts w:ascii="宋体" w:hAnsi="宋体"/>
          <w:szCs w:val="21"/>
        </w:rPr>
      </w:pPr>
      <w:r>
        <w:rPr>
          <w:rFonts w:hint="eastAsia" w:ascii="宋体" w:hAnsi="宋体"/>
          <w:szCs w:val="21"/>
        </w:rPr>
        <w:t>（9）其他违反本条例规定的行为。</w:t>
      </w:r>
    </w:p>
    <w:p w14:paraId="2B20E60A">
      <w:pPr>
        <w:ind w:firstLine="411" w:firstLineChars="196"/>
        <w:rPr>
          <w:rFonts w:ascii="宋体" w:hAnsi="宋体"/>
          <w:szCs w:val="21"/>
        </w:rPr>
      </w:pPr>
      <w:r>
        <w:rPr>
          <w:rFonts w:hint="eastAsia" w:ascii="宋体" w:hAnsi="宋体"/>
          <w:szCs w:val="21"/>
        </w:rPr>
        <w:t>5</w:t>
      </w:r>
      <w:r>
        <w:rPr>
          <w:rFonts w:ascii="宋体" w:hAnsi="宋体"/>
          <w:szCs w:val="21"/>
        </w:rPr>
        <w:t xml:space="preserve">1.2 </w:t>
      </w:r>
      <w:r>
        <w:rPr>
          <w:rFonts w:hint="eastAsia" w:ascii="宋体" w:hAnsi="宋体"/>
          <w:szCs w:val="21"/>
        </w:rPr>
        <w:t>根据《深圳市财政局关于调整政府采购投标（响应）保证金管理政策的通知 》（深财购〔2021〕51 号）的要求，供应商在政府采购活动中出现《深圳经济特区政府采购条例实施细则》第八十条所列情形的，</w:t>
      </w:r>
      <w:bookmarkStart w:id="102" w:name="_Hlk72440769"/>
      <w:r>
        <w:rPr>
          <w:rFonts w:eastAsia="宋体"/>
          <w:kern w:val="2"/>
          <w:sz w:val="21"/>
          <w:szCs w:val="21"/>
          <w:lang w:eastAsia="zh-CN"/>
        </w:rPr>
        <w:t>招标（采购）代理机构</w:t>
      </w:r>
      <w:r>
        <w:rPr>
          <w:rFonts w:hint="eastAsia" w:ascii="宋体" w:hAnsi="宋体"/>
          <w:szCs w:val="21"/>
        </w:rPr>
        <w:t>或采购人不予退还其交纳的谈判保证金，情节严重的，并由主管部门</w:t>
      </w:r>
      <w:bookmarkEnd w:id="102"/>
      <w:r>
        <w:rPr>
          <w:rFonts w:hint="eastAsia" w:ascii="宋体" w:hAnsi="宋体"/>
          <w:szCs w:val="21"/>
        </w:rPr>
        <w:t>记入供应商诚信档案，予以通报：</w:t>
      </w:r>
    </w:p>
    <w:p w14:paraId="6A5B0205">
      <w:pPr>
        <w:ind w:firstLine="411" w:firstLineChars="196"/>
        <w:rPr>
          <w:rFonts w:ascii="宋体" w:hAnsi="宋体"/>
          <w:szCs w:val="21"/>
        </w:rPr>
      </w:pPr>
      <w:r>
        <w:rPr>
          <w:rFonts w:hint="eastAsia" w:ascii="宋体" w:hAnsi="宋体"/>
          <w:szCs w:val="21"/>
        </w:rPr>
        <w:t>（1</w:t>
      </w:r>
      <w:r>
        <w:rPr>
          <w:rFonts w:ascii="宋体" w:hAnsi="宋体"/>
          <w:szCs w:val="21"/>
        </w:rPr>
        <w:t>）投标截止后，撤销投标的；</w:t>
      </w:r>
    </w:p>
    <w:p w14:paraId="1A8D77B1">
      <w:pPr>
        <w:ind w:firstLine="411" w:firstLineChars="196"/>
        <w:rPr>
          <w:rFonts w:ascii="宋体" w:hAnsi="宋体"/>
          <w:szCs w:val="21"/>
        </w:rPr>
      </w:pPr>
      <w:r>
        <w:rPr>
          <w:rFonts w:ascii="宋体" w:hAnsi="宋体"/>
          <w:szCs w:val="21"/>
        </w:rPr>
        <w:t>（</w:t>
      </w:r>
      <w:r>
        <w:rPr>
          <w:rFonts w:hint="eastAsia" w:ascii="宋体" w:hAnsi="宋体"/>
          <w:szCs w:val="21"/>
        </w:rPr>
        <w:t>2</w:t>
      </w:r>
      <w:r>
        <w:rPr>
          <w:rFonts w:ascii="宋体" w:hAnsi="宋体"/>
          <w:szCs w:val="21"/>
        </w:rPr>
        <w:t>）中标后无正当理由未在规定期限内签订合同的；</w:t>
      </w:r>
    </w:p>
    <w:p w14:paraId="679ED3CF">
      <w:pPr>
        <w:ind w:firstLine="411" w:firstLineChars="196"/>
        <w:rPr>
          <w:rFonts w:ascii="宋体" w:hAnsi="宋体"/>
          <w:szCs w:val="21"/>
        </w:rPr>
      </w:pPr>
      <w:r>
        <w:rPr>
          <w:rFonts w:ascii="宋体" w:hAnsi="宋体"/>
          <w:szCs w:val="21"/>
        </w:rPr>
        <w:t>（</w:t>
      </w:r>
      <w:r>
        <w:rPr>
          <w:rFonts w:hint="eastAsia" w:ascii="宋体" w:hAnsi="宋体"/>
          <w:szCs w:val="21"/>
        </w:rPr>
        <w:t>3</w:t>
      </w:r>
      <w:r>
        <w:rPr>
          <w:rFonts w:ascii="宋体" w:hAnsi="宋体"/>
          <w:szCs w:val="21"/>
        </w:rPr>
        <w:t>）将中标项目转让给他人、或者在投标文件中未说明且未经采购人、采购招标机构同意，将中标项目分包给他人的；</w:t>
      </w:r>
    </w:p>
    <w:p w14:paraId="2EEC2FAA">
      <w:pPr>
        <w:ind w:firstLine="411" w:firstLineChars="196"/>
        <w:rPr>
          <w:rFonts w:ascii="宋体" w:hAnsi="宋体"/>
          <w:szCs w:val="21"/>
        </w:rPr>
      </w:pPr>
      <w:r>
        <w:rPr>
          <w:rFonts w:ascii="宋体" w:hAnsi="宋体"/>
          <w:szCs w:val="21"/>
        </w:rPr>
        <w:t>（</w:t>
      </w:r>
      <w:r>
        <w:rPr>
          <w:rFonts w:hint="eastAsia" w:ascii="宋体" w:hAnsi="宋体"/>
          <w:szCs w:val="21"/>
        </w:rPr>
        <w:t>4</w:t>
      </w:r>
      <w:r>
        <w:rPr>
          <w:rFonts w:ascii="宋体" w:hAnsi="宋体"/>
          <w:szCs w:val="21"/>
        </w:rPr>
        <w:t>）拒绝履行合同义务的</w:t>
      </w:r>
      <w:r>
        <w:rPr>
          <w:rFonts w:hint="eastAsia" w:ascii="宋体" w:hAnsi="宋体"/>
          <w:szCs w:val="21"/>
        </w:rPr>
        <w:t>。</w:t>
      </w:r>
    </w:p>
    <w:bookmarkEnd w:id="86"/>
    <w:p w14:paraId="12FE83DB">
      <w:pPr>
        <w:pStyle w:val="4"/>
        <w:numPr>
          <w:ilvl w:val="0"/>
          <w:numId w:val="13"/>
        </w:numPr>
        <w:spacing w:before="156" w:beforeLines="50" w:after="156" w:afterLines="50"/>
        <w:ind w:left="562" w:hanging="562"/>
        <w:rPr>
          <w:sz w:val="28"/>
          <w:szCs w:val="28"/>
        </w:rPr>
      </w:pPr>
      <w:r>
        <w:rPr>
          <w:rFonts w:hint="eastAsia"/>
          <w:sz w:val="28"/>
          <w:szCs w:val="28"/>
        </w:rPr>
        <w:t>质疑处理</w:t>
      </w:r>
    </w:p>
    <w:p w14:paraId="73BA0336">
      <w:pPr>
        <w:rPr>
          <w:rFonts w:ascii="黑体" w:hAnsi="宋体" w:eastAsia="黑体"/>
          <w:sz w:val="24"/>
        </w:rPr>
      </w:pPr>
      <w:r>
        <w:rPr>
          <w:rFonts w:hint="eastAsia" w:ascii="黑体" w:hAnsi="宋体" w:eastAsia="黑体"/>
          <w:sz w:val="24"/>
        </w:rPr>
        <w:t>52.质疑提出与答复</w:t>
      </w:r>
    </w:p>
    <w:p w14:paraId="57BBE4D2">
      <w:pPr>
        <w:rPr>
          <w:rFonts w:ascii="宋体" w:hAnsi="宋体"/>
          <w:szCs w:val="21"/>
        </w:rPr>
      </w:pPr>
      <w:r>
        <w:rPr>
          <w:rFonts w:hint="eastAsia" w:ascii="宋体" w:hAnsi="宋体"/>
          <w:szCs w:val="21"/>
        </w:rPr>
        <w:t xml:space="preserve">    52.1提出质疑</w:t>
      </w:r>
    </w:p>
    <w:p w14:paraId="7D8E826B">
      <w:pPr>
        <w:rPr>
          <w:rFonts w:ascii="宋体" w:hAnsi="宋体"/>
          <w:szCs w:val="21"/>
        </w:rPr>
      </w:pPr>
      <w:r>
        <w:rPr>
          <w:rFonts w:hint="eastAsia" w:ascii="宋体" w:hAnsi="宋体"/>
          <w:szCs w:val="21"/>
        </w:rPr>
        <w:t xml:space="preserve">    参与政府采购活动的供应商认为自己的权益在采购活动中受到损害的，应当自知道或者应当知道其权益受到损害之日起七个工作日内向采购人、</w:t>
      </w:r>
      <w:r>
        <w:rPr>
          <w:rFonts w:eastAsia="宋体"/>
          <w:kern w:val="2"/>
          <w:sz w:val="21"/>
          <w:szCs w:val="21"/>
          <w:lang w:eastAsia="zh-CN"/>
        </w:rPr>
        <w:t>招标（采购）代理机构</w:t>
      </w:r>
      <w:r>
        <w:rPr>
          <w:rFonts w:hint="eastAsia" w:ascii="宋体" w:hAnsi="宋体"/>
          <w:szCs w:val="21"/>
        </w:rPr>
        <w:t>以书面形式提出质疑。</w:t>
      </w:r>
    </w:p>
    <w:p w14:paraId="01E0F8E1">
      <w:pPr>
        <w:rPr>
          <w:rFonts w:ascii="宋体" w:hAnsi="宋体"/>
          <w:szCs w:val="21"/>
        </w:rPr>
      </w:pPr>
      <w:r>
        <w:rPr>
          <w:rFonts w:hint="eastAsia" w:ascii="宋体" w:hAnsi="宋体"/>
          <w:szCs w:val="21"/>
        </w:rPr>
        <w:t xml:space="preserve">    52.2</w:t>
      </w:r>
      <w:r>
        <w:rPr>
          <w:rFonts w:ascii="宋体" w:hAnsi="宋体"/>
          <w:szCs w:val="21"/>
        </w:rPr>
        <w:t>法律依据</w:t>
      </w:r>
    </w:p>
    <w:p w14:paraId="04ADD2FB">
      <w:pPr>
        <w:rPr>
          <w:rFonts w:ascii="宋体" w:hAnsi="宋体"/>
          <w:szCs w:val="21"/>
        </w:rPr>
      </w:pPr>
      <w:r>
        <w:rPr>
          <w:rFonts w:hint="eastAsia" w:ascii="宋体" w:hAnsi="宋体"/>
          <w:szCs w:val="21"/>
        </w:rPr>
        <w:t xml:space="preserve">    《中华人民共和国政府采购法》、《中华人民共和国政府采购法实施条例》、</w:t>
      </w:r>
      <w:r>
        <w:rPr>
          <w:rFonts w:ascii="宋体" w:hAnsi="宋体"/>
          <w:szCs w:val="21"/>
        </w:rPr>
        <w:t>《</w:t>
      </w:r>
      <w:r>
        <w:rPr>
          <w:rFonts w:hint="eastAsia" w:ascii="宋体" w:hAnsi="宋体"/>
          <w:szCs w:val="21"/>
        </w:rPr>
        <w:t>深圳经济特区政府采购</w:t>
      </w:r>
      <w:r>
        <w:rPr>
          <w:rFonts w:ascii="宋体" w:hAnsi="宋体"/>
          <w:szCs w:val="21"/>
        </w:rPr>
        <w:t>条例</w:t>
      </w:r>
      <w:r>
        <w:rPr>
          <w:rFonts w:hint="eastAsia" w:ascii="宋体" w:hAnsi="宋体"/>
          <w:szCs w:val="21"/>
        </w:rPr>
        <w:t>》、《深圳经济特区政府采购条例实施细则》、《政府采购质疑和投诉办法》（财政部令第94号）和其他有关法律法规规定。</w:t>
      </w:r>
    </w:p>
    <w:p w14:paraId="240B8938">
      <w:pPr>
        <w:rPr>
          <w:rFonts w:ascii="宋体" w:hAnsi="宋体"/>
          <w:szCs w:val="21"/>
        </w:rPr>
      </w:pPr>
      <w:r>
        <w:rPr>
          <w:rFonts w:hint="eastAsia" w:ascii="宋体" w:hAnsi="宋体"/>
          <w:szCs w:val="21"/>
        </w:rPr>
        <w:t xml:space="preserve">  </w:t>
      </w:r>
      <w:r>
        <w:rPr>
          <w:rFonts w:hint="eastAsia" w:ascii="宋体" w:hAnsi="宋体"/>
          <w:color w:val="FF0000"/>
          <w:szCs w:val="21"/>
        </w:rPr>
        <w:t xml:space="preserve">  </w:t>
      </w:r>
      <w:r>
        <w:rPr>
          <w:rFonts w:hint="eastAsia" w:ascii="宋体" w:hAnsi="宋体"/>
          <w:szCs w:val="21"/>
        </w:rPr>
        <w:t>52.3质疑条件</w:t>
      </w:r>
    </w:p>
    <w:p w14:paraId="450FC6E5">
      <w:pPr>
        <w:rPr>
          <w:rFonts w:ascii="宋体" w:hAnsi="宋体"/>
          <w:szCs w:val="21"/>
        </w:rPr>
      </w:pPr>
      <w:r>
        <w:rPr>
          <w:rFonts w:hint="eastAsia" w:ascii="宋体" w:hAnsi="宋体"/>
          <w:szCs w:val="21"/>
        </w:rPr>
        <w:t xml:space="preserve">    52.3.1提出质疑的供应商应当是参与所质疑项目采购活动的供应商；</w:t>
      </w:r>
      <w:bookmarkStart w:id="103" w:name="_Hlk75374941"/>
      <w:r>
        <w:rPr>
          <w:rFonts w:hint="eastAsia" w:ascii="宋体" w:hAnsi="宋体"/>
          <w:szCs w:val="21"/>
        </w:rPr>
        <w:t>以联合体形式参与的，质疑应当由组成联合体的所有成员共同提出</w:t>
      </w:r>
      <w:bookmarkEnd w:id="103"/>
      <w:r>
        <w:rPr>
          <w:rFonts w:hint="eastAsia" w:ascii="宋体" w:hAnsi="宋体"/>
          <w:szCs w:val="21"/>
        </w:rPr>
        <w:t>；</w:t>
      </w:r>
    </w:p>
    <w:p w14:paraId="056D9BAB">
      <w:pPr>
        <w:rPr>
          <w:rFonts w:ascii="宋体" w:hAnsi="宋体"/>
          <w:szCs w:val="21"/>
        </w:rPr>
      </w:pPr>
      <w:r>
        <w:rPr>
          <w:rFonts w:hint="eastAsia" w:ascii="宋体" w:hAnsi="宋体"/>
          <w:szCs w:val="21"/>
        </w:rPr>
        <w:t xml:space="preserve">    52.3.2应当在法定质疑期内一次性提出针对同一采购程序环节的质疑，法定质疑期为自知道或应当知道权益受到损害之日起7个工作日内。应当知道其权益受到损害之日是指：对招标文件的质疑，为招标文件公布之日；对采购过程的质疑，为各采购程序环节结束之日；对中标结果以及评审委员会组成人员的质疑，为中标结果公示之日；</w:t>
      </w:r>
    </w:p>
    <w:p w14:paraId="55CCCB8F">
      <w:pPr>
        <w:ind w:firstLine="420"/>
        <w:rPr>
          <w:rFonts w:ascii="宋体" w:hAnsi="宋体"/>
          <w:szCs w:val="21"/>
        </w:rPr>
      </w:pPr>
      <w:r>
        <w:rPr>
          <w:rFonts w:hint="eastAsia" w:ascii="宋体" w:hAnsi="宋体"/>
          <w:szCs w:val="21"/>
        </w:rPr>
        <w:t>52.3.3应提交书面质疑函，质疑函应当包括以下内容：</w:t>
      </w:r>
      <w:r>
        <w:rPr>
          <w:rFonts w:ascii="宋体" w:hAnsi="宋体"/>
          <w:szCs w:val="21"/>
        </w:rPr>
        <w:t xml:space="preserve"> </w:t>
      </w:r>
    </w:p>
    <w:p w14:paraId="68FA8113">
      <w:pPr>
        <w:ind w:firstLine="420"/>
        <w:rPr>
          <w:rFonts w:ascii="宋体" w:hAnsi="宋体"/>
          <w:szCs w:val="21"/>
        </w:rPr>
      </w:pPr>
      <w:r>
        <w:rPr>
          <w:rFonts w:hint="eastAsia" w:ascii="宋体" w:hAnsi="宋体"/>
          <w:szCs w:val="21"/>
        </w:rPr>
        <w:t>（1）供应商的名称（或者姓名）、地址、邮编、邮箱、联系人及联系电话；</w:t>
      </w:r>
    </w:p>
    <w:p w14:paraId="1A9845D8">
      <w:pPr>
        <w:ind w:firstLine="420" w:firstLineChars="200"/>
        <w:rPr>
          <w:rFonts w:ascii="宋体" w:hAnsi="宋体"/>
          <w:szCs w:val="21"/>
        </w:rPr>
      </w:pPr>
      <w:r>
        <w:rPr>
          <w:rFonts w:hint="eastAsia" w:ascii="宋体" w:hAnsi="宋体"/>
          <w:szCs w:val="21"/>
        </w:rPr>
        <w:t>（2）质疑项目的名称、编号；</w:t>
      </w:r>
    </w:p>
    <w:p w14:paraId="48246794">
      <w:pPr>
        <w:ind w:firstLine="420" w:firstLineChars="200"/>
        <w:rPr>
          <w:rFonts w:ascii="宋体" w:hAnsi="宋体"/>
          <w:szCs w:val="21"/>
        </w:rPr>
      </w:pPr>
      <w:r>
        <w:rPr>
          <w:rFonts w:hint="eastAsia" w:ascii="宋体" w:hAnsi="宋体"/>
          <w:szCs w:val="21"/>
        </w:rPr>
        <w:t>（3）具体、明确的质疑对象、质疑事项和质疑请求；</w:t>
      </w:r>
    </w:p>
    <w:p w14:paraId="6850CA09">
      <w:pPr>
        <w:ind w:firstLine="420" w:firstLineChars="200"/>
        <w:rPr>
          <w:rFonts w:ascii="宋体" w:hAnsi="宋体"/>
          <w:szCs w:val="21"/>
        </w:rPr>
      </w:pPr>
      <w:r>
        <w:rPr>
          <w:rFonts w:hint="eastAsia" w:ascii="宋体" w:hAnsi="宋体"/>
          <w:szCs w:val="21"/>
        </w:rPr>
        <w:t>（4）因质疑事项而受损害的权益；</w:t>
      </w:r>
    </w:p>
    <w:p w14:paraId="24CA780E">
      <w:pPr>
        <w:ind w:firstLine="420" w:firstLineChars="200"/>
        <w:rPr>
          <w:rFonts w:ascii="宋体" w:hAnsi="宋体"/>
          <w:szCs w:val="21"/>
        </w:rPr>
      </w:pPr>
      <w:r>
        <w:rPr>
          <w:rFonts w:hint="eastAsia" w:ascii="宋体" w:hAnsi="宋体"/>
          <w:szCs w:val="21"/>
        </w:rPr>
        <w:t>（5）事实依据；</w:t>
      </w:r>
    </w:p>
    <w:p w14:paraId="37D18DB6">
      <w:pPr>
        <w:ind w:firstLine="420" w:firstLineChars="200"/>
        <w:rPr>
          <w:rFonts w:ascii="宋体" w:hAnsi="宋体"/>
          <w:szCs w:val="21"/>
        </w:rPr>
      </w:pPr>
      <w:r>
        <w:rPr>
          <w:rFonts w:hint="eastAsia" w:ascii="宋体" w:hAnsi="宋体"/>
          <w:szCs w:val="21"/>
        </w:rPr>
        <w:t>（6）必要的法律依据；</w:t>
      </w:r>
    </w:p>
    <w:p w14:paraId="03741E93">
      <w:pPr>
        <w:ind w:firstLine="420" w:firstLineChars="200"/>
        <w:rPr>
          <w:rFonts w:ascii="宋体" w:hAnsi="宋体"/>
          <w:szCs w:val="21"/>
        </w:rPr>
      </w:pPr>
      <w:r>
        <w:rPr>
          <w:rFonts w:hint="eastAsia" w:ascii="宋体" w:hAnsi="宋体"/>
          <w:szCs w:val="21"/>
        </w:rPr>
        <w:t>（7）提出质疑的日期。</w:t>
      </w:r>
    </w:p>
    <w:p w14:paraId="7FE00148">
      <w:pPr>
        <w:ind w:firstLine="420" w:firstLineChars="200"/>
        <w:rPr>
          <w:rFonts w:ascii="宋体" w:hAnsi="宋体"/>
          <w:szCs w:val="21"/>
        </w:rPr>
      </w:pPr>
      <w:r>
        <w:rPr>
          <w:rFonts w:hint="eastAsia" w:ascii="宋体" w:hAnsi="宋体"/>
          <w:szCs w:val="21"/>
        </w:rPr>
        <w:t>供应商为自然人的，应当由本人签字；供应商为法人或者其他组织的，应当由法定代表人（负责人），或者其授权代理人签字或者盖章，并加盖公章。</w:t>
      </w:r>
    </w:p>
    <w:p w14:paraId="4B839AEC">
      <w:pPr>
        <w:ind w:firstLine="420" w:firstLineChars="200"/>
        <w:rPr>
          <w:rFonts w:ascii="宋体" w:hAnsi="宋体"/>
          <w:szCs w:val="21"/>
        </w:rPr>
      </w:pPr>
      <w:r>
        <w:rPr>
          <w:rFonts w:hint="eastAsia" w:ascii="宋体" w:hAnsi="宋体"/>
          <w:szCs w:val="21"/>
        </w:rPr>
        <w:t>52.4提交</w:t>
      </w:r>
      <w:r>
        <w:rPr>
          <w:rFonts w:ascii="宋体" w:hAnsi="宋体"/>
          <w:szCs w:val="21"/>
        </w:rPr>
        <w:t>材料</w:t>
      </w:r>
    </w:p>
    <w:p w14:paraId="63CD57A0">
      <w:pPr>
        <w:ind w:firstLine="420" w:firstLineChars="200"/>
        <w:rPr>
          <w:rFonts w:ascii="宋体" w:hAnsi="宋体"/>
          <w:szCs w:val="21"/>
        </w:rPr>
      </w:pPr>
      <w:r>
        <w:rPr>
          <w:rFonts w:hint="eastAsia" w:ascii="宋体" w:hAnsi="宋体"/>
          <w:szCs w:val="21"/>
        </w:rPr>
        <w:t>供应商质疑实行实名制。供应商为自然人的，应当提交本人身份证复印件；供应商为法人或者其他组织的，应当根据自身性质提交营业执照复印件或者其他证明文件（如事业单位法人证书等）复印件。</w:t>
      </w:r>
    </w:p>
    <w:p w14:paraId="0D77685B">
      <w:pPr>
        <w:ind w:firstLine="420" w:firstLineChars="200"/>
        <w:rPr>
          <w:rFonts w:ascii="宋体" w:hAnsi="宋体"/>
          <w:szCs w:val="21"/>
        </w:rPr>
      </w:pPr>
      <w:r>
        <w:rPr>
          <w:rFonts w:hint="eastAsia" w:ascii="宋体" w:hAnsi="宋体"/>
          <w:szCs w:val="21"/>
        </w:rPr>
        <w:t>供应商可以委托代理人进行质疑。</w:t>
      </w:r>
      <w:r>
        <w:rPr>
          <w:rFonts w:ascii="宋体" w:hAnsi="宋体"/>
          <w:szCs w:val="21"/>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1693396B">
      <w:pPr>
        <w:ind w:firstLine="420" w:firstLineChars="200"/>
        <w:rPr>
          <w:rFonts w:ascii="宋体" w:hAnsi="宋体"/>
          <w:szCs w:val="21"/>
        </w:rPr>
      </w:pPr>
      <w:r>
        <w:rPr>
          <w:rFonts w:hint="eastAsia" w:ascii="宋体" w:hAnsi="宋体"/>
          <w:szCs w:val="21"/>
        </w:rPr>
        <w:t>52.5收文地点</w:t>
      </w:r>
    </w:p>
    <w:p w14:paraId="4CD057B3">
      <w:pPr>
        <w:ind w:firstLine="422" w:firstLineChars="200"/>
        <w:rPr>
          <w:rFonts w:ascii="宋体" w:hAnsi="宋体"/>
          <w:b/>
          <w:bCs/>
          <w:szCs w:val="21"/>
        </w:rPr>
      </w:pPr>
      <w:r>
        <w:rPr>
          <w:rFonts w:hint="eastAsia" w:ascii="宋体" w:hAnsi="宋体"/>
          <w:b/>
          <w:bCs/>
          <w:szCs w:val="21"/>
        </w:rPr>
        <w:t>地址：</w:t>
      </w:r>
      <w:r>
        <w:rPr>
          <w:rFonts w:hint="eastAsia" w:ascii="宋体" w:hAnsi="宋体"/>
          <w:b/>
          <w:bCs/>
          <w:szCs w:val="21"/>
          <w:lang w:eastAsia="zh-CN"/>
        </w:rPr>
        <w:t>深圳市东海国际招标有限公司</w:t>
      </w:r>
      <w:r>
        <w:rPr>
          <w:rFonts w:hint="eastAsia" w:ascii="宋体" w:hAnsi="宋体"/>
          <w:b/>
          <w:bCs/>
          <w:szCs w:val="21"/>
        </w:rPr>
        <w:t>（地址：深圳市罗湖区太宁路2号百仕达大厦27B）。</w:t>
      </w:r>
    </w:p>
    <w:p w14:paraId="50DB19B4">
      <w:pPr>
        <w:ind w:firstLine="420" w:firstLineChars="200"/>
        <w:rPr>
          <w:rFonts w:ascii="宋体" w:hAnsi="宋体"/>
          <w:szCs w:val="21"/>
        </w:rPr>
      </w:pPr>
      <w:r>
        <w:rPr>
          <w:rFonts w:hint="eastAsia" w:ascii="宋体" w:hAnsi="宋体"/>
          <w:szCs w:val="21"/>
        </w:rPr>
        <w:t>52.6收文办理</w:t>
      </w:r>
      <w:r>
        <w:rPr>
          <w:rFonts w:ascii="宋体" w:hAnsi="宋体"/>
          <w:szCs w:val="21"/>
        </w:rPr>
        <w:t>程序</w:t>
      </w:r>
    </w:p>
    <w:p w14:paraId="27AF42C5">
      <w:pPr>
        <w:ind w:firstLine="420" w:firstLineChars="200"/>
        <w:rPr>
          <w:rFonts w:ascii="宋体" w:hAnsi="宋体"/>
          <w:szCs w:val="21"/>
        </w:rPr>
      </w:pPr>
      <w:r>
        <w:rPr>
          <w:rFonts w:hint="eastAsia" w:ascii="宋体" w:hAnsi="宋体"/>
          <w:szCs w:val="21"/>
        </w:rPr>
        <w:t>52.6.1供应商提交的质疑符合受理条件的，</w:t>
      </w:r>
      <w:r>
        <w:rPr>
          <w:rFonts w:eastAsia="宋体"/>
          <w:kern w:val="2"/>
          <w:sz w:val="21"/>
          <w:szCs w:val="21"/>
          <w:lang w:eastAsia="zh-CN"/>
        </w:rPr>
        <w:t>招标（采购）代理机构</w:t>
      </w:r>
      <w:r>
        <w:rPr>
          <w:rFonts w:hint="eastAsia" w:ascii="宋体" w:hAnsi="宋体"/>
          <w:szCs w:val="21"/>
        </w:rPr>
        <w:t>自收到质疑材料之日起即为受理，应当向供应商出具质疑函收文回执并可以要求其递交质疑的法定代表人（负责人）或者授权代理人签署质疑文书送达地址确认书。</w:t>
      </w:r>
    </w:p>
    <w:p w14:paraId="2C4F6A5A">
      <w:pPr>
        <w:ind w:firstLine="420" w:firstLineChars="200"/>
        <w:rPr>
          <w:rFonts w:ascii="仿宋" w:hAnsi="仿宋" w:eastAsia="仿宋"/>
          <w:sz w:val="28"/>
          <w:szCs w:val="28"/>
        </w:rPr>
      </w:pPr>
      <w:r>
        <w:rPr>
          <w:rFonts w:hint="eastAsia" w:ascii="宋体" w:hAnsi="宋体"/>
          <w:szCs w:val="21"/>
        </w:rPr>
        <w:t>52.6.2供应商提交的质疑材料不符合质疑条件的，视情况处理：</w:t>
      </w:r>
    </w:p>
    <w:p w14:paraId="5FAD1F8F">
      <w:pPr>
        <w:ind w:firstLine="420" w:firstLineChars="200"/>
        <w:rPr>
          <w:rFonts w:ascii="宋体" w:hAnsi="宋体"/>
          <w:szCs w:val="21"/>
        </w:rPr>
      </w:pPr>
      <w:r>
        <w:rPr>
          <w:rFonts w:hint="eastAsia" w:ascii="宋体" w:hAnsi="宋体"/>
          <w:szCs w:val="21"/>
        </w:rPr>
        <w:t>供应商提交的质疑材料不全或者未按要求签字或者盖章的，</w:t>
      </w:r>
      <w:r>
        <w:rPr>
          <w:rFonts w:eastAsia="宋体"/>
          <w:kern w:val="2"/>
          <w:sz w:val="21"/>
          <w:szCs w:val="21"/>
          <w:lang w:eastAsia="zh-CN"/>
        </w:rPr>
        <w:t>招标（采购）代理机构</w:t>
      </w:r>
      <w:r>
        <w:rPr>
          <w:rFonts w:hint="eastAsia" w:ascii="宋体" w:hAnsi="宋体"/>
          <w:szCs w:val="21"/>
        </w:rPr>
        <w:t>应当一次性告知供应商需补正的内容和补正期限。</w:t>
      </w:r>
    </w:p>
    <w:p w14:paraId="0100887C">
      <w:pPr>
        <w:ind w:firstLine="420" w:firstLineChars="200"/>
        <w:rPr>
          <w:rFonts w:ascii="宋体" w:hAnsi="宋体"/>
          <w:szCs w:val="21"/>
        </w:rPr>
      </w:pPr>
      <w:r>
        <w:rPr>
          <w:rFonts w:hint="eastAsia" w:ascii="宋体" w:hAnsi="宋体"/>
          <w:szCs w:val="21"/>
        </w:rPr>
        <w:t>供应商提交的质疑存在下列情形之一的，不予受理：</w:t>
      </w:r>
    </w:p>
    <w:p w14:paraId="5A1CDF65">
      <w:pPr>
        <w:ind w:firstLine="420" w:firstLineChars="200"/>
        <w:rPr>
          <w:rFonts w:ascii="宋体" w:hAnsi="宋体"/>
          <w:szCs w:val="21"/>
        </w:rPr>
      </w:pPr>
      <w:r>
        <w:rPr>
          <w:rFonts w:hint="eastAsia" w:ascii="宋体" w:hAnsi="宋体"/>
          <w:szCs w:val="21"/>
        </w:rPr>
        <w:t>（1）质疑主体不满足要求的；</w:t>
      </w:r>
    </w:p>
    <w:p w14:paraId="05000C6C">
      <w:pPr>
        <w:ind w:firstLine="420" w:firstLineChars="200"/>
        <w:rPr>
          <w:rFonts w:ascii="宋体" w:hAnsi="宋体"/>
          <w:szCs w:val="21"/>
        </w:rPr>
      </w:pPr>
      <w:r>
        <w:rPr>
          <w:rFonts w:hint="eastAsia" w:ascii="宋体" w:hAnsi="宋体"/>
          <w:szCs w:val="21"/>
        </w:rPr>
        <w:t>（2）供应商自身权益未受到损害的；</w:t>
      </w:r>
    </w:p>
    <w:p w14:paraId="545309E1">
      <w:pPr>
        <w:ind w:firstLine="420" w:firstLineChars="200"/>
        <w:rPr>
          <w:rFonts w:ascii="宋体" w:hAnsi="宋体"/>
          <w:szCs w:val="21"/>
        </w:rPr>
      </w:pPr>
      <w:r>
        <w:rPr>
          <w:rFonts w:hint="eastAsia" w:ascii="宋体" w:hAnsi="宋体"/>
          <w:szCs w:val="21"/>
        </w:rPr>
        <w:t>（3）供应商未在法定质疑期限内提出质疑的；</w:t>
      </w:r>
    </w:p>
    <w:p w14:paraId="58AF9467">
      <w:pPr>
        <w:ind w:firstLine="420" w:firstLineChars="200"/>
        <w:rPr>
          <w:rFonts w:ascii="宋体" w:hAnsi="宋体"/>
          <w:szCs w:val="21"/>
        </w:rPr>
      </w:pPr>
      <w:r>
        <w:rPr>
          <w:rFonts w:hint="eastAsia" w:ascii="宋体" w:hAnsi="宋体"/>
          <w:szCs w:val="21"/>
        </w:rPr>
        <w:t>（4）质疑材料不全或者未按要求签字或者盖章的情况下，要求补正后，逾期未补正或者补正后仍不符合规定的；</w:t>
      </w:r>
    </w:p>
    <w:p w14:paraId="2E3096C2">
      <w:pPr>
        <w:ind w:firstLine="420" w:firstLineChars="200"/>
        <w:rPr>
          <w:rFonts w:ascii="宋体" w:hAnsi="宋体"/>
          <w:szCs w:val="21"/>
        </w:rPr>
      </w:pPr>
      <w:r>
        <w:rPr>
          <w:rFonts w:hint="eastAsia" w:ascii="宋体" w:hAnsi="宋体"/>
          <w:szCs w:val="21"/>
        </w:rPr>
        <w:t>（5）其他不符合受理条件情形的。</w:t>
      </w:r>
    </w:p>
    <w:p w14:paraId="7E46540B">
      <w:pPr>
        <w:ind w:firstLine="420" w:firstLineChars="200"/>
        <w:rPr>
          <w:rFonts w:ascii="宋体" w:hAnsi="宋体"/>
          <w:szCs w:val="21"/>
        </w:rPr>
      </w:pPr>
      <w:r>
        <w:rPr>
          <w:rFonts w:hint="eastAsia" w:ascii="宋体" w:hAnsi="宋体"/>
          <w:szCs w:val="21"/>
        </w:rPr>
        <w:t>质疑事项不予受理的，</w:t>
      </w:r>
      <w:r>
        <w:rPr>
          <w:rFonts w:eastAsia="宋体"/>
          <w:kern w:val="2"/>
          <w:sz w:val="21"/>
          <w:szCs w:val="21"/>
          <w:lang w:eastAsia="zh-CN"/>
        </w:rPr>
        <w:t>招标（采购）代理机构</w:t>
      </w:r>
      <w:r>
        <w:rPr>
          <w:rFonts w:hint="eastAsia" w:ascii="宋体" w:hAnsi="宋体"/>
          <w:szCs w:val="21"/>
        </w:rPr>
        <w:t>应当向供应商出具不符合质疑条件告知书。</w:t>
      </w:r>
    </w:p>
    <w:p w14:paraId="628CE9E8">
      <w:pPr>
        <w:rPr>
          <w:rFonts w:ascii="宋体" w:hAnsi="宋体"/>
          <w:szCs w:val="21"/>
        </w:rPr>
      </w:pPr>
      <w:r>
        <w:rPr>
          <w:rFonts w:hint="eastAsia" w:ascii="宋体" w:hAnsi="宋体"/>
          <w:color w:val="FF0000"/>
          <w:szCs w:val="21"/>
        </w:rPr>
        <w:t xml:space="preserve">  </w:t>
      </w:r>
      <w:r>
        <w:rPr>
          <w:rFonts w:hint="eastAsia" w:ascii="宋体" w:hAnsi="宋体"/>
          <w:szCs w:val="21"/>
        </w:rPr>
        <w:t xml:space="preserve">  52.7质疑答复时限</w:t>
      </w:r>
    </w:p>
    <w:p w14:paraId="6F6F2B37">
      <w:pPr>
        <w:rPr>
          <w:rFonts w:ascii="宋体" w:hAnsi="宋体"/>
          <w:szCs w:val="21"/>
        </w:rPr>
      </w:pPr>
      <w:r>
        <w:rPr>
          <w:rFonts w:hint="eastAsia" w:ascii="宋体" w:hAnsi="宋体"/>
          <w:szCs w:val="21"/>
        </w:rPr>
        <w:t xml:space="preserve">    自收文之日起七个工作日内。</w:t>
      </w:r>
    </w:p>
    <w:p w14:paraId="09FA4677">
      <w:pPr>
        <w:rPr>
          <w:rFonts w:ascii="宋体" w:hAnsi="宋体"/>
          <w:szCs w:val="21"/>
        </w:rPr>
      </w:pPr>
      <w:r>
        <w:rPr>
          <w:rFonts w:hint="eastAsia" w:ascii="宋体" w:hAnsi="宋体"/>
          <w:szCs w:val="21"/>
        </w:rPr>
        <w:t xml:space="preserve">    52.8投诉</w:t>
      </w:r>
    </w:p>
    <w:p w14:paraId="7211AEDA">
      <w:pPr>
        <w:rPr>
          <w:rFonts w:ascii="宋体" w:hAnsi="宋体"/>
          <w:szCs w:val="21"/>
        </w:rPr>
      </w:pPr>
      <w:r>
        <w:rPr>
          <w:rFonts w:hint="eastAsia" w:ascii="宋体" w:hAnsi="宋体"/>
          <w:szCs w:val="21"/>
        </w:rPr>
        <w:t xml:space="preserve">    对质疑答复不满意或者未在规定时间内答复的，提出质疑的供应商可以在答复期满后15个工作日内向本项目预算主管单位投诉。</w:t>
      </w:r>
    </w:p>
    <w:p w14:paraId="5B81BE44">
      <w:pPr>
        <w:rPr>
          <w:rFonts w:ascii="黑体" w:hAnsi="宋体" w:eastAsia="黑体"/>
          <w:sz w:val="24"/>
        </w:rPr>
      </w:pPr>
      <w:r>
        <w:rPr>
          <w:rFonts w:hint="eastAsia" w:ascii="黑体" w:hAnsi="宋体" w:eastAsia="黑体"/>
          <w:sz w:val="24"/>
        </w:rPr>
        <w:t>53. 质疑后续处理</w:t>
      </w:r>
    </w:p>
    <w:p w14:paraId="13041D85">
      <w:pPr>
        <w:rPr>
          <w:rFonts w:ascii="宋体" w:hAnsi="宋体"/>
          <w:szCs w:val="21"/>
        </w:rPr>
      </w:pPr>
      <w:r>
        <w:rPr>
          <w:rFonts w:hint="eastAsia" w:ascii="宋体" w:hAnsi="宋体"/>
          <w:szCs w:val="21"/>
        </w:rPr>
        <w:t xml:space="preserve">    53.1供应商质疑不成立，或者成立但未对中标、成交结果构成影响的，继续开展采购活动。</w:t>
      </w:r>
    </w:p>
    <w:p w14:paraId="41BE3818">
      <w:pPr>
        <w:jc w:val="center"/>
      </w:pPr>
      <w:r>
        <w:rPr>
          <w:rFonts w:hint="eastAsia" w:ascii="宋体" w:hAnsi="宋体"/>
          <w:szCs w:val="21"/>
        </w:rPr>
        <w:t xml:space="preserve">    53.2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合格供应商符合法定数量时，可以从合格的中标或者成交候选人中另行确定中标、成交供应商的，应当依法另行确定中标、成交供应商；否则应当重新开展采购活动。</w:t>
      </w:r>
      <w:r>
        <w:t>---- END ----</w:t>
      </w:r>
    </w:p>
    <w:p w14:paraId="7E2ED658">
      <w:pPr>
        <w:jc w:val="center"/>
        <w:rPr>
          <w:rFonts w:ascii="Times New Roman" w:hAnsi="Times New Roman" w:eastAsia="宋体" w:cs="Times New Roman"/>
          <w:szCs w:val="24"/>
        </w:rPr>
      </w:pPr>
      <w:r>
        <w:rPr>
          <w:rFonts w:ascii="Times New Roman" w:hAnsi="Times New Roman" w:eastAsia="宋体" w:cs="Times New Roman"/>
          <w:szCs w:val="24"/>
        </w:rPr>
        <w:t>---- END ----</w:t>
      </w:r>
      <w:bookmarkEnd w:id="50"/>
    </w:p>
    <w:p w14:paraId="53AF4559">
      <w:pPr>
        <w:rPr>
          <w:b/>
          <w:color w:val="FF0000"/>
          <w:sz w:val="52"/>
          <w:szCs w:val="52"/>
        </w:rPr>
      </w:pPr>
    </w:p>
    <w:p w14:paraId="31D94B48">
      <w:pPr>
        <w:rPr>
          <w:rFonts w:ascii="宋体" w:hAnsi="宋体" w:eastAsia="黑体" w:cs="Times New Roman"/>
          <w:b/>
          <w:bCs/>
          <w:color w:val="0000FF"/>
          <w:kern w:val="44"/>
          <w:sz w:val="36"/>
          <w:szCs w:val="44"/>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417" w:bottom="1440" w:left="1417"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Segoe UI Symbol">
    <w:panose1 w:val="020B0502040204020203"/>
    <w:charset w:val="00"/>
    <w:family w:val="swiss"/>
    <w:pitch w:val="default"/>
    <w:sig w:usb0="8000006F" w:usb1="1200FBEF" w:usb2="0064C000" w:usb3="00000002" w:csb0="00000001" w:csb1="40000000"/>
  </w:font>
  <w:font w:name="华文楷体">
    <w:altName w:val="楷体_GB2312"/>
    <w:panose1 w:val="02010600040101010101"/>
    <w:charset w:val="86"/>
    <w:family w:val="auto"/>
    <w:pitch w:val="default"/>
    <w:sig w:usb0="00000000" w:usb1="00000000" w:usb2="00000000" w:usb3="00000000" w:csb0="0004009F" w:csb1="DFD70000"/>
  </w:font>
  <w:font w:name="华文中宋">
    <w:altName w:val="宋体"/>
    <w:panose1 w:val="02010600040101010101"/>
    <w:charset w:val="86"/>
    <w:family w:val="auto"/>
    <w:pitch w:val="default"/>
    <w:sig w:usb0="00000000" w:usb1="00000000" w:usb2="00000000" w:usb3="00000000" w:csb0="0004009F" w:csb1="DFD70000"/>
  </w:font>
  <w:font w:name="ˎ̥">
    <w:altName w:val="Times New Roman"/>
    <w:panose1 w:val="00000000000000000000"/>
    <w:charset w:val="00"/>
    <w:family w:val="auto"/>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22060"/>
    </w:sdtPr>
    <w:sdtContent>
      <w:p w14:paraId="79D83962">
        <w:pPr>
          <w:pStyle w:val="11"/>
          <w:jc w:val="center"/>
        </w:pPr>
        <w:r>
          <w:fldChar w:fldCharType="begin"/>
        </w:r>
        <w:r>
          <w:instrText xml:space="preserve"> PAGE   \* MERGEFORMAT </w:instrText>
        </w:r>
        <w:r>
          <w:fldChar w:fldCharType="separate"/>
        </w:r>
        <w:r>
          <w:rPr>
            <w:lang w:val="zh-CN"/>
          </w:rPr>
          <w:t>29</w:t>
        </w:r>
        <w:r>
          <w:rPr>
            <w:lang w:val="zh-CN"/>
          </w:rPr>
          <w:fldChar w:fldCharType="end"/>
        </w:r>
      </w:p>
    </w:sdtContent>
  </w:sdt>
  <w:p w14:paraId="3A6EE359">
    <w:pPr>
      <w:pStyle w:val="11"/>
      <w:spacing w:after="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5A70DD">
    <w:pPr>
      <w:pStyle w:val="11"/>
      <w:spacing w:after="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E2FCC4">
    <w:pPr>
      <w:pStyle w:val="11"/>
      <w:spacing w:after="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47F099">
    <w:pPr>
      <w:pStyle w:val="12"/>
      <w:spacing w:after="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B61062">
    <w:pPr>
      <w:pStyle w:val="12"/>
      <w:spacing w:after="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04297E">
    <w:pPr>
      <w:pStyle w:val="12"/>
      <w:spacing w:after="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CECB40"/>
    <w:multiLevelType w:val="singleLevel"/>
    <w:tmpl w:val="9DCECB40"/>
    <w:lvl w:ilvl="0" w:tentative="0">
      <w:start w:val="1"/>
      <w:numFmt w:val="decimal"/>
      <w:suff w:val="nothing"/>
      <w:lvlText w:val="%1、"/>
      <w:lvlJc w:val="left"/>
    </w:lvl>
  </w:abstractNum>
  <w:abstractNum w:abstractNumId="1">
    <w:nsid w:val="B609221C"/>
    <w:multiLevelType w:val="singleLevel"/>
    <w:tmpl w:val="B609221C"/>
    <w:lvl w:ilvl="0" w:tentative="0">
      <w:start w:val="1"/>
      <w:numFmt w:val="decimal"/>
      <w:suff w:val="nothing"/>
      <w:lvlText w:val="%1、"/>
      <w:lvlJc w:val="left"/>
    </w:lvl>
  </w:abstractNum>
  <w:abstractNum w:abstractNumId="2">
    <w:nsid w:val="B9358C2E"/>
    <w:multiLevelType w:val="singleLevel"/>
    <w:tmpl w:val="B9358C2E"/>
    <w:lvl w:ilvl="0" w:tentative="0">
      <w:start w:val="2"/>
      <w:numFmt w:val="decimal"/>
      <w:suff w:val="nothing"/>
      <w:lvlText w:val="%1、"/>
      <w:lvlJc w:val="left"/>
    </w:lvl>
  </w:abstractNum>
  <w:abstractNum w:abstractNumId="3">
    <w:nsid w:val="BF6BC116"/>
    <w:multiLevelType w:val="singleLevel"/>
    <w:tmpl w:val="BF6BC116"/>
    <w:lvl w:ilvl="0" w:tentative="0">
      <w:start w:val="16"/>
      <w:numFmt w:val="decimal"/>
      <w:suff w:val="space"/>
      <w:lvlText w:val="%1."/>
      <w:lvlJc w:val="left"/>
    </w:lvl>
  </w:abstractNum>
  <w:abstractNum w:abstractNumId="4">
    <w:nsid w:val="D1330340"/>
    <w:multiLevelType w:val="singleLevel"/>
    <w:tmpl w:val="D1330340"/>
    <w:lvl w:ilvl="0" w:tentative="0">
      <w:start w:val="1"/>
      <w:numFmt w:val="decimal"/>
      <w:suff w:val="nothing"/>
      <w:lvlText w:val="%1、"/>
      <w:lvlJc w:val="left"/>
    </w:lvl>
  </w:abstractNum>
  <w:abstractNum w:abstractNumId="5">
    <w:nsid w:val="DDECD3BC"/>
    <w:multiLevelType w:val="singleLevel"/>
    <w:tmpl w:val="DDECD3BC"/>
    <w:lvl w:ilvl="0" w:tentative="0">
      <w:start w:val="6"/>
      <w:numFmt w:val="decimal"/>
      <w:suff w:val="space"/>
      <w:lvlText w:val="%1."/>
      <w:lvlJc w:val="left"/>
    </w:lvl>
  </w:abstractNum>
  <w:abstractNum w:abstractNumId="6">
    <w:nsid w:val="DE759F4B"/>
    <w:multiLevelType w:val="singleLevel"/>
    <w:tmpl w:val="DE759F4B"/>
    <w:lvl w:ilvl="0" w:tentative="0">
      <w:start w:val="2"/>
      <w:numFmt w:val="decimal"/>
      <w:suff w:val="space"/>
      <w:lvlText w:val="%1."/>
      <w:lvlJc w:val="left"/>
    </w:lvl>
  </w:abstractNum>
  <w:abstractNum w:abstractNumId="7">
    <w:nsid w:val="DEABE1DB"/>
    <w:multiLevelType w:val="singleLevel"/>
    <w:tmpl w:val="DEABE1DB"/>
    <w:lvl w:ilvl="0" w:tentative="0">
      <w:start w:val="23"/>
      <w:numFmt w:val="decimal"/>
      <w:suff w:val="space"/>
      <w:lvlText w:val="%1."/>
      <w:lvlJc w:val="left"/>
    </w:lvl>
  </w:abstractNum>
  <w:abstractNum w:abstractNumId="8">
    <w:nsid w:val="EF16EE38"/>
    <w:multiLevelType w:val="singleLevel"/>
    <w:tmpl w:val="EF16EE38"/>
    <w:lvl w:ilvl="0" w:tentative="0">
      <w:start w:val="1"/>
      <w:numFmt w:val="decimal"/>
      <w:lvlText w:val="%1."/>
      <w:lvlJc w:val="left"/>
      <w:pPr>
        <w:ind w:left="425" w:hanging="425"/>
      </w:pPr>
      <w:rPr>
        <w:rFonts w:hint="default"/>
      </w:rPr>
    </w:lvl>
  </w:abstractNum>
  <w:abstractNum w:abstractNumId="9">
    <w:nsid w:val="09F81FD3"/>
    <w:multiLevelType w:val="multilevel"/>
    <w:tmpl w:val="09F81FD3"/>
    <w:lvl w:ilvl="0" w:tentative="0">
      <w:start w:val="1"/>
      <w:numFmt w:val="japaneseCounting"/>
      <w:lvlText w:val="第%1章"/>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34416252"/>
    <w:multiLevelType w:val="multilevel"/>
    <w:tmpl w:val="34416252"/>
    <w:lvl w:ilvl="0" w:tentative="0">
      <w:start w:val="1"/>
      <w:numFmt w:val="japaneseCounting"/>
      <w:lvlText w:val="第%1章"/>
      <w:lvlJc w:val="left"/>
      <w:pPr>
        <w:ind w:left="1080" w:hanging="10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4863B6B5"/>
    <w:multiLevelType w:val="singleLevel"/>
    <w:tmpl w:val="4863B6B5"/>
    <w:lvl w:ilvl="0" w:tentative="0">
      <w:start w:val="6"/>
      <w:numFmt w:val="chineseCounting"/>
      <w:suff w:val="nothing"/>
      <w:lvlText w:val="%1、"/>
      <w:lvlJc w:val="left"/>
      <w:rPr>
        <w:rFonts w:hint="eastAsia"/>
      </w:rPr>
    </w:lvl>
  </w:abstractNum>
  <w:abstractNum w:abstractNumId="12">
    <w:nsid w:val="7B8A85E6"/>
    <w:multiLevelType w:val="singleLevel"/>
    <w:tmpl w:val="7B8A85E6"/>
    <w:lvl w:ilvl="0" w:tentative="0">
      <w:start w:val="1"/>
      <w:numFmt w:val="decimal"/>
      <w:suff w:val="nothing"/>
      <w:lvlText w:val="%1、"/>
      <w:lvlJc w:val="left"/>
    </w:lvl>
  </w:abstractNum>
  <w:num w:numId="1">
    <w:abstractNumId w:val="0"/>
  </w:num>
  <w:num w:numId="2">
    <w:abstractNumId w:val="8"/>
  </w:num>
  <w:num w:numId="3">
    <w:abstractNumId w:val="4"/>
  </w:num>
  <w:num w:numId="4">
    <w:abstractNumId w:val="11"/>
  </w:num>
  <w:num w:numId="5">
    <w:abstractNumId w:val="1"/>
  </w:num>
  <w:num w:numId="6">
    <w:abstractNumId w:val="12"/>
  </w:num>
  <w:num w:numId="7">
    <w:abstractNumId w:val="2"/>
  </w:num>
  <w:num w:numId="8">
    <w:abstractNumId w:val="6"/>
  </w:num>
  <w:num w:numId="9">
    <w:abstractNumId w:val="5"/>
  </w:num>
  <w:num w:numId="10">
    <w:abstractNumId w:val="3"/>
  </w:num>
  <w:num w:numId="11">
    <w:abstractNumId w:val="7"/>
  </w:num>
  <w:num w:numId="12">
    <w:abstractNumId w:val="10"/>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BjMTVjMDgyOTBjZGRlMDk5YTFlNzc5YzVlZDk4MTQifQ=="/>
  </w:docVars>
  <w:rsids>
    <w:rsidRoot w:val="002B296E"/>
    <w:rsid w:val="00005740"/>
    <w:rsid w:val="00005B4D"/>
    <w:rsid w:val="0000723B"/>
    <w:rsid w:val="000102B3"/>
    <w:rsid w:val="00012263"/>
    <w:rsid w:val="00012DCA"/>
    <w:rsid w:val="00015451"/>
    <w:rsid w:val="00015C20"/>
    <w:rsid w:val="000165A0"/>
    <w:rsid w:val="00017ECC"/>
    <w:rsid w:val="000227FD"/>
    <w:rsid w:val="00024DCF"/>
    <w:rsid w:val="00027E40"/>
    <w:rsid w:val="00030B9F"/>
    <w:rsid w:val="00033591"/>
    <w:rsid w:val="00035243"/>
    <w:rsid w:val="00036C4D"/>
    <w:rsid w:val="00036CC4"/>
    <w:rsid w:val="0004487D"/>
    <w:rsid w:val="0004655D"/>
    <w:rsid w:val="00046AE3"/>
    <w:rsid w:val="00047161"/>
    <w:rsid w:val="00047F90"/>
    <w:rsid w:val="0005162F"/>
    <w:rsid w:val="00051863"/>
    <w:rsid w:val="000520B1"/>
    <w:rsid w:val="00055C90"/>
    <w:rsid w:val="000579F6"/>
    <w:rsid w:val="000722BF"/>
    <w:rsid w:val="00073BE1"/>
    <w:rsid w:val="000762AC"/>
    <w:rsid w:val="00082568"/>
    <w:rsid w:val="00083BC2"/>
    <w:rsid w:val="0009130D"/>
    <w:rsid w:val="00094FCC"/>
    <w:rsid w:val="000A08E3"/>
    <w:rsid w:val="000A7A9D"/>
    <w:rsid w:val="000B3AC3"/>
    <w:rsid w:val="000B4D4A"/>
    <w:rsid w:val="000B587C"/>
    <w:rsid w:val="000B7A0E"/>
    <w:rsid w:val="000C0E1A"/>
    <w:rsid w:val="000C2BCB"/>
    <w:rsid w:val="000C4236"/>
    <w:rsid w:val="000C64E7"/>
    <w:rsid w:val="000C689A"/>
    <w:rsid w:val="000C7808"/>
    <w:rsid w:val="000D123C"/>
    <w:rsid w:val="000D5B9F"/>
    <w:rsid w:val="000E0D11"/>
    <w:rsid w:val="000E23D7"/>
    <w:rsid w:val="000E7DAA"/>
    <w:rsid w:val="000F1063"/>
    <w:rsid w:val="000F1328"/>
    <w:rsid w:val="000F2DF3"/>
    <w:rsid w:val="00102CAD"/>
    <w:rsid w:val="001031B0"/>
    <w:rsid w:val="00105092"/>
    <w:rsid w:val="0010582A"/>
    <w:rsid w:val="001075AD"/>
    <w:rsid w:val="00110CBD"/>
    <w:rsid w:val="00122477"/>
    <w:rsid w:val="001232EC"/>
    <w:rsid w:val="00123E98"/>
    <w:rsid w:val="00123EB7"/>
    <w:rsid w:val="00125B86"/>
    <w:rsid w:val="00125EA7"/>
    <w:rsid w:val="00133F32"/>
    <w:rsid w:val="00134804"/>
    <w:rsid w:val="00135452"/>
    <w:rsid w:val="00135D16"/>
    <w:rsid w:val="001423E8"/>
    <w:rsid w:val="0014403A"/>
    <w:rsid w:val="00145A2D"/>
    <w:rsid w:val="00147326"/>
    <w:rsid w:val="001477E0"/>
    <w:rsid w:val="001523C7"/>
    <w:rsid w:val="00152E85"/>
    <w:rsid w:val="001559D5"/>
    <w:rsid w:val="001570FF"/>
    <w:rsid w:val="00157D5E"/>
    <w:rsid w:val="00160312"/>
    <w:rsid w:val="001604FE"/>
    <w:rsid w:val="00164113"/>
    <w:rsid w:val="00164DF0"/>
    <w:rsid w:val="00174F2C"/>
    <w:rsid w:val="001776D1"/>
    <w:rsid w:val="00183B03"/>
    <w:rsid w:val="00184F4C"/>
    <w:rsid w:val="00186AD1"/>
    <w:rsid w:val="00190D4E"/>
    <w:rsid w:val="00192AD1"/>
    <w:rsid w:val="00196ADD"/>
    <w:rsid w:val="001A0653"/>
    <w:rsid w:val="001A62A4"/>
    <w:rsid w:val="001B150F"/>
    <w:rsid w:val="001B3DCD"/>
    <w:rsid w:val="001B77F3"/>
    <w:rsid w:val="001C1026"/>
    <w:rsid w:val="001C146D"/>
    <w:rsid w:val="001C164F"/>
    <w:rsid w:val="001C1957"/>
    <w:rsid w:val="001C3631"/>
    <w:rsid w:val="001D0EB9"/>
    <w:rsid w:val="001D1A0E"/>
    <w:rsid w:val="001D4E88"/>
    <w:rsid w:val="001D5427"/>
    <w:rsid w:val="001D6F99"/>
    <w:rsid w:val="001E7D92"/>
    <w:rsid w:val="001F2FF4"/>
    <w:rsid w:val="001F4DAC"/>
    <w:rsid w:val="0020017A"/>
    <w:rsid w:val="0020780A"/>
    <w:rsid w:val="00210364"/>
    <w:rsid w:val="0021479B"/>
    <w:rsid w:val="00215571"/>
    <w:rsid w:val="00225BA9"/>
    <w:rsid w:val="00231E55"/>
    <w:rsid w:val="00234B58"/>
    <w:rsid w:val="0023517A"/>
    <w:rsid w:val="002360AF"/>
    <w:rsid w:val="002373AF"/>
    <w:rsid w:val="0024137C"/>
    <w:rsid w:val="002425D6"/>
    <w:rsid w:val="002428AB"/>
    <w:rsid w:val="00244C00"/>
    <w:rsid w:val="00245B43"/>
    <w:rsid w:val="00250418"/>
    <w:rsid w:val="002505A6"/>
    <w:rsid w:val="002549D4"/>
    <w:rsid w:val="0026325C"/>
    <w:rsid w:val="0026418F"/>
    <w:rsid w:val="0026450A"/>
    <w:rsid w:val="002709A8"/>
    <w:rsid w:val="00270C27"/>
    <w:rsid w:val="00271D87"/>
    <w:rsid w:val="00272EB2"/>
    <w:rsid w:val="002746A1"/>
    <w:rsid w:val="00280C2F"/>
    <w:rsid w:val="002823CE"/>
    <w:rsid w:val="00285DE2"/>
    <w:rsid w:val="00290910"/>
    <w:rsid w:val="00293B10"/>
    <w:rsid w:val="002966B6"/>
    <w:rsid w:val="0029795C"/>
    <w:rsid w:val="002A0ED3"/>
    <w:rsid w:val="002A29E5"/>
    <w:rsid w:val="002A758C"/>
    <w:rsid w:val="002B296E"/>
    <w:rsid w:val="002B5C22"/>
    <w:rsid w:val="002B6A5A"/>
    <w:rsid w:val="002C3DA7"/>
    <w:rsid w:val="002C3F0A"/>
    <w:rsid w:val="002C500F"/>
    <w:rsid w:val="002C6B4A"/>
    <w:rsid w:val="002D2996"/>
    <w:rsid w:val="002D36C4"/>
    <w:rsid w:val="002D5EB6"/>
    <w:rsid w:val="002D63FF"/>
    <w:rsid w:val="002E0BE7"/>
    <w:rsid w:val="002E1005"/>
    <w:rsid w:val="002E4C9D"/>
    <w:rsid w:val="002E5DA1"/>
    <w:rsid w:val="002E63F0"/>
    <w:rsid w:val="002E6F35"/>
    <w:rsid w:val="002F006C"/>
    <w:rsid w:val="002F019C"/>
    <w:rsid w:val="002F403D"/>
    <w:rsid w:val="002F4FC9"/>
    <w:rsid w:val="002F54BE"/>
    <w:rsid w:val="003045D8"/>
    <w:rsid w:val="00305131"/>
    <w:rsid w:val="00305CE7"/>
    <w:rsid w:val="00305DA0"/>
    <w:rsid w:val="003075D2"/>
    <w:rsid w:val="003103D1"/>
    <w:rsid w:val="00311E94"/>
    <w:rsid w:val="00315035"/>
    <w:rsid w:val="00321622"/>
    <w:rsid w:val="0032311B"/>
    <w:rsid w:val="00323813"/>
    <w:rsid w:val="00324CB2"/>
    <w:rsid w:val="00326B43"/>
    <w:rsid w:val="003277CD"/>
    <w:rsid w:val="0033310F"/>
    <w:rsid w:val="0033356C"/>
    <w:rsid w:val="00335A76"/>
    <w:rsid w:val="003402FF"/>
    <w:rsid w:val="00341AAD"/>
    <w:rsid w:val="00345849"/>
    <w:rsid w:val="00353939"/>
    <w:rsid w:val="003553CD"/>
    <w:rsid w:val="00356426"/>
    <w:rsid w:val="00356A28"/>
    <w:rsid w:val="00362D56"/>
    <w:rsid w:val="0037109F"/>
    <w:rsid w:val="003710C6"/>
    <w:rsid w:val="003731BF"/>
    <w:rsid w:val="00373CC6"/>
    <w:rsid w:val="0037772B"/>
    <w:rsid w:val="003811DD"/>
    <w:rsid w:val="00384FDC"/>
    <w:rsid w:val="00387363"/>
    <w:rsid w:val="0039233C"/>
    <w:rsid w:val="003936FA"/>
    <w:rsid w:val="00395B93"/>
    <w:rsid w:val="003960E2"/>
    <w:rsid w:val="003A0898"/>
    <w:rsid w:val="003A13DC"/>
    <w:rsid w:val="003A22B2"/>
    <w:rsid w:val="003A283F"/>
    <w:rsid w:val="003A3EA6"/>
    <w:rsid w:val="003A5619"/>
    <w:rsid w:val="003B4BF9"/>
    <w:rsid w:val="003B627E"/>
    <w:rsid w:val="003C55EB"/>
    <w:rsid w:val="003D016D"/>
    <w:rsid w:val="003D1101"/>
    <w:rsid w:val="003D2AD2"/>
    <w:rsid w:val="003E32F8"/>
    <w:rsid w:val="003F0159"/>
    <w:rsid w:val="003F0EBF"/>
    <w:rsid w:val="003F1A85"/>
    <w:rsid w:val="0040232B"/>
    <w:rsid w:val="00411AD4"/>
    <w:rsid w:val="004142D5"/>
    <w:rsid w:val="004155CD"/>
    <w:rsid w:val="004159E6"/>
    <w:rsid w:val="00420DE3"/>
    <w:rsid w:val="00421174"/>
    <w:rsid w:val="00422460"/>
    <w:rsid w:val="004303AA"/>
    <w:rsid w:val="004308A1"/>
    <w:rsid w:val="00430AF8"/>
    <w:rsid w:val="00432891"/>
    <w:rsid w:val="0043317D"/>
    <w:rsid w:val="00434018"/>
    <w:rsid w:val="004370D7"/>
    <w:rsid w:val="004432FE"/>
    <w:rsid w:val="004437AE"/>
    <w:rsid w:val="004454D9"/>
    <w:rsid w:val="00446748"/>
    <w:rsid w:val="004468B4"/>
    <w:rsid w:val="0045104F"/>
    <w:rsid w:val="00460807"/>
    <w:rsid w:val="00460ABA"/>
    <w:rsid w:val="00460E5B"/>
    <w:rsid w:val="00461030"/>
    <w:rsid w:val="004621E5"/>
    <w:rsid w:val="00463D37"/>
    <w:rsid w:val="00471274"/>
    <w:rsid w:val="00471E81"/>
    <w:rsid w:val="00472409"/>
    <w:rsid w:val="00480F0D"/>
    <w:rsid w:val="00483179"/>
    <w:rsid w:val="00486E73"/>
    <w:rsid w:val="004A0C96"/>
    <w:rsid w:val="004A19DD"/>
    <w:rsid w:val="004A20E5"/>
    <w:rsid w:val="004A27E3"/>
    <w:rsid w:val="004A5261"/>
    <w:rsid w:val="004A7791"/>
    <w:rsid w:val="004B0CD6"/>
    <w:rsid w:val="004B3152"/>
    <w:rsid w:val="004B5FA8"/>
    <w:rsid w:val="004C3ADD"/>
    <w:rsid w:val="004D1052"/>
    <w:rsid w:val="004D7F2E"/>
    <w:rsid w:val="004E098B"/>
    <w:rsid w:val="004E2AEC"/>
    <w:rsid w:val="004E3FBD"/>
    <w:rsid w:val="004E41AC"/>
    <w:rsid w:val="004E5F5E"/>
    <w:rsid w:val="004E7B5C"/>
    <w:rsid w:val="004F1DAC"/>
    <w:rsid w:val="00501787"/>
    <w:rsid w:val="00501E4E"/>
    <w:rsid w:val="005038E9"/>
    <w:rsid w:val="00506897"/>
    <w:rsid w:val="00511618"/>
    <w:rsid w:val="00516147"/>
    <w:rsid w:val="0052007E"/>
    <w:rsid w:val="00524AB1"/>
    <w:rsid w:val="00530432"/>
    <w:rsid w:val="00532047"/>
    <w:rsid w:val="00535134"/>
    <w:rsid w:val="0053774E"/>
    <w:rsid w:val="00542088"/>
    <w:rsid w:val="0054303D"/>
    <w:rsid w:val="005436FB"/>
    <w:rsid w:val="0055085C"/>
    <w:rsid w:val="0055090F"/>
    <w:rsid w:val="005543A6"/>
    <w:rsid w:val="005554AD"/>
    <w:rsid w:val="005568B0"/>
    <w:rsid w:val="00557C1B"/>
    <w:rsid w:val="005668BA"/>
    <w:rsid w:val="00572D56"/>
    <w:rsid w:val="0057738E"/>
    <w:rsid w:val="00583993"/>
    <w:rsid w:val="00586861"/>
    <w:rsid w:val="0058780A"/>
    <w:rsid w:val="005901F0"/>
    <w:rsid w:val="005912AD"/>
    <w:rsid w:val="00591B30"/>
    <w:rsid w:val="00591BAF"/>
    <w:rsid w:val="00594982"/>
    <w:rsid w:val="005962CA"/>
    <w:rsid w:val="005A0B67"/>
    <w:rsid w:val="005A1E16"/>
    <w:rsid w:val="005A43AB"/>
    <w:rsid w:val="005A482C"/>
    <w:rsid w:val="005A579C"/>
    <w:rsid w:val="005A5B03"/>
    <w:rsid w:val="005A7208"/>
    <w:rsid w:val="005B0170"/>
    <w:rsid w:val="005B1875"/>
    <w:rsid w:val="005B1FAC"/>
    <w:rsid w:val="005B3AB8"/>
    <w:rsid w:val="005B5597"/>
    <w:rsid w:val="005B629B"/>
    <w:rsid w:val="005B7B25"/>
    <w:rsid w:val="005C09EC"/>
    <w:rsid w:val="005C2223"/>
    <w:rsid w:val="005E513F"/>
    <w:rsid w:val="005E6307"/>
    <w:rsid w:val="005F0B55"/>
    <w:rsid w:val="005F0EA2"/>
    <w:rsid w:val="005F464F"/>
    <w:rsid w:val="00602045"/>
    <w:rsid w:val="006137B4"/>
    <w:rsid w:val="00622334"/>
    <w:rsid w:val="00623B5C"/>
    <w:rsid w:val="0062431E"/>
    <w:rsid w:val="0063178E"/>
    <w:rsid w:val="00634CA8"/>
    <w:rsid w:val="00634D11"/>
    <w:rsid w:val="006357F8"/>
    <w:rsid w:val="00637736"/>
    <w:rsid w:val="00642E74"/>
    <w:rsid w:val="0064411E"/>
    <w:rsid w:val="00650F5B"/>
    <w:rsid w:val="006530D0"/>
    <w:rsid w:val="00666B5D"/>
    <w:rsid w:val="00666D92"/>
    <w:rsid w:val="006706B4"/>
    <w:rsid w:val="0067242A"/>
    <w:rsid w:val="00673CED"/>
    <w:rsid w:val="00674722"/>
    <w:rsid w:val="006749FE"/>
    <w:rsid w:val="006801A9"/>
    <w:rsid w:val="0068296E"/>
    <w:rsid w:val="006900CE"/>
    <w:rsid w:val="00690C3A"/>
    <w:rsid w:val="00693C62"/>
    <w:rsid w:val="00693D42"/>
    <w:rsid w:val="00697AEC"/>
    <w:rsid w:val="006A3562"/>
    <w:rsid w:val="006A4089"/>
    <w:rsid w:val="006A5F3A"/>
    <w:rsid w:val="006A6F0A"/>
    <w:rsid w:val="006B00E1"/>
    <w:rsid w:val="006B0A36"/>
    <w:rsid w:val="006B1275"/>
    <w:rsid w:val="006B1578"/>
    <w:rsid w:val="006B1F77"/>
    <w:rsid w:val="006B4428"/>
    <w:rsid w:val="006B56AA"/>
    <w:rsid w:val="006B6BCB"/>
    <w:rsid w:val="006B6F2B"/>
    <w:rsid w:val="006C4C6F"/>
    <w:rsid w:val="006C5C8C"/>
    <w:rsid w:val="006D0314"/>
    <w:rsid w:val="006D1AD5"/>
    <w:rsid w:val="006D20BD"/>
    <w:rsid w:val="006D4663"/>
    <w:rsid w:val="006D66CE"/>
    <w:rsid w:val="006D77F1"/>
    <w:rsid w:val="006E37A8"/>
    <w:rsid w:val="006E4B2D"/>
    <w:rsid w:val="006E4D4C"/>
    <w:rsid w:val="006F75CA"/>
    <w:rsid w:val="00701086"/>
    <w:rsid w:val="00701EE1"/>
    <w:rsid w:val="007031C1"/>
    <w:rsid w:val="007037E0"/>
    <w:rsid w:val="007046E4"/>
    <w:rsid w:val="0070524E"/>
    <w:rsid w:val="00721A12"/>
    <w:rsid w:val="00726CBC"/>
    <w:rsid w:val="00731E2A"/>
    <w:rsid w:val="00734FD4"/>
    <w:rsid w:val="0074155C"/>
    <w:rsid w:val="00744A0C"/>
    <w:rsid w:val="00746502"/>
    <w:rsid w:val="0074718B"/>
    <w:rsid w:val="00750BEB"/>
    <w:rsid w:val="00751194"/>
    <w:rsid w:val="00752F41"/>
    <w:rsid w:val="007553E2"/>
    <w:rsid w:val="00755821"/>
    <w:rsid w:val="00760711"/>
    <w:rsid w:val="00760C63"/>
    <w:rsid w:val="007612BB"/>
    <w:rsid w:val="00763D77"/>
    <w:rsid w:val="00764256"/>
    <w:rsid w:val="0076454F"/>
    <w:rsid w:val="00771537"/>
    <w:rsid w:val="007746E5"/>
    <w:rsid w:val="007764F5"/>
    <w:rsid w:val="0078066F"/>
    <w:rsid w:val="00783694"/>
    <w:rsid w:val="0079172F"/>
    <w:rsid w:val="00791F91"/>
    <w:rsid w:val="00792E1B"/>
    <w:rsid w:val="00793C07"/>
    <w:rsid w:val="00794DAC"/>
    <w:rsid w:val="007958AE"/>
    <w:rsid w:val="0079703B"/>
    <w:rsid w:val="0079727B"/>
    <w:rsid w:val="007A2280"/>
    <w:rsid w:val="007A5B9B"/>
    <w:rsid w:val="007A6674"/>
    <w:rsid w:val="007A7C7A"/>
    <w:rsid w:val="007B3C6D"/>
    <w:rsid w:val="007B48FC"/>
    <w:rsid w:val="007B743A"/>
    <w:rsid w:val="007C3FAA"/>
    <w:rsid w:val="007D1F29"/>
    <w:rsid w:val="007D2D0F"/>
    <w:rsid w:val="007D31C8"/>
    <w:rsid w:val="007D38B1"/>
    <w:rsid w:val="007D3AB6"/>
    <w:rsid w:val="007D4637"/>
    <w:rsid w:val="007D4C6C"/>
    <w:rsid w:val="007D4EC4"/>
    <w:rsid w:val="007D5983"/>
    <w:rsid w:val="007D65BA"/>
    <w:rsid w:val="007D72FB"/>
    <w:rsid w:val="007E4C94"/>
    <w:rsid w:val="007E5F04"/>
    <w:rsid w:val="007F1677"/>
    <w:rsid w:val="007F2C2A"/>
    <w:rsid w:val="007F5169"/>
    <w:rsid w:val="007F647E"/>
    <w:rsid w:val="007F7EC0"/>
    <w:rsid w:val="00801A38"/>
    <w:rsid w:val="00803B40"/>
    <w:rsid w:val="00806F28"/>
    <w:rsid w:val="00807B69"/>
    <w:rsid w:val="00810E85"/>
    <w:rsid w:val="00812244"/>
    <w:rsid w:val="00812D31"/>
    <w:rsid w:val="0081372D"/>
    <w:rsid w:val="008138A3"/>
    <w:rsid w:val="008140E8"/>
    <w:rsid w:val="008166D4"/>
    <w:rsid w:val="00817DB8"/>
    <w:rsid w:val="0082057C"/>
    <w:rsid w:val="008223B6"/>
    <w:rsid w:val="00830E2C"/>
    <w:rsid w:val="00835FB6"/>
    <w:rsid w:val="008363CE"/>
    <w:rsid w:val="00841109"/>
    <w:rsid w:val="00845602"/>
    <w:rsid w:val="00846672"/>
    <w:rsid w:val="00847127"/>
    <w:rsid w:val="00853091"/>
    <w:rsid w:val="00856054"/>
    <w:rsid w:val="00856105"/>
    <w:rsid w:val="0086614D"/>
    <w:rsid w:val="00867F98"/>
    <w:rsid w:val="0087225E"/>
    <w:rsid w:val="00872B38"/>
    <w:rsid w:val="00872CDB"/>
    <w:rsid w:val="008801A3"/>
    <w:rsid w:val="0088330C"/>
    <w:rsid w:val="00883AA8"/>
    <w:rsid w:val="008853B1"/>
    <w:rsid w:val="008859FC"/>
    <w:rsid w:val="00885C49"/>
    <w:rsid w:val="0089165B"/>
    <w:rsid w:val="008920BC"/>
    <w:rsid w:val="008976C8"/>
    <w:rsid w:val="008A1016"/>
    <w:rsid w:val="008A402F"/>
    <w:rsid w:val="008A73D1"/>
    <w:rsid w:val="008B2078"/>
    <w:rsid w:val="008B641C"/>
    <w:rsid w:val="008B6A92"/>
    <w:rsid w:val="008B6F21"/>
    <w:rsid w:val="008B7807"/>
    <w:rsid w:val="008C2951"/>
    <w:rsid w:val="008C4241"/>
    <w:rsid w:val="008C50F1"/>
    <w:rsid w:val="008C6819"/>
    <w:rsid w:val="008D3759"/>
    <w:rsid w:val="008D5DDF"/>
    <w:rsid w:val="008E2B32"/>
    <w:rsid w:val="008E6B4B"/>
    <w:rsid w:val="008F0E1B"/>
    <w:rsid w:val="008F59CA"/>
    <w:rsid w:val="008F615A"/>
    <w:rsid w:val="008F7FE5"/>
    <w:rsid w:val="00900B57"/>
    <w:rsid w:val="00904713"/>
    <w:rsid w:val="009059F6"/>
    <w:rsid w:val="00905D0E"/>
    <w:rsid w:val="00912406"/>
    <w:rsid w:val="009136FB"/>
    <w:rsid w:val="00914845"/>
    <w:rsid w:val="00921A8A"/>
    <w:rsid w:val="009220BF"/>
    <w:rsid w:val="0092669F"/>
    <w:rsid w:val="00933427"/>
    <w:rsid w:val="009356F2"/>
    <w:rsid w:val="00937148"/>
    <w:rsid w:val="00940369"/>
    <w:rsid w:val="009454F4"/>
    <w:rsid w:val="009463A9"/>
    <w:rsid w:val="00946EFC"/>
    <w:rsid w:val="00946F59"/>
    <w:rsid w:val="00950E98"/>
    <w:rsid w:val="0095203B"/>
    <w:rsid w:val="009537E3"/>
    <w:rsid w:val="00957952"/>
    <w:rsid w:val="009612CA"/>
    <w:rsid w:val="00963D52"/>
    <w:rsid w:val="00965A51"/>
    <w:rsid w:val="00970EA5"/>
    <w:rsid w:val="00973CA7"/>
    <w:rsid w:val="009757C4"/>
    <w:rsid w:val="0097679F"/>
    <w:rsid w:val="00987D22"/>
    <w:rsid w:val="009929A4"/>
    <w:rsid w:val="00993BB4"/>
    <w:rsid w:val="009974A8"/>
    <w:rsid w:val="009A0EA8"/>
    <w:rsid w:val="009A1BDE"/>
    <w:rsid w:val="009A6E5F"/>
    <w:rsid w:val="009B170E"/>
    <w:rsid w:val="009B1762"/>
    <w:rsid w:val="009B4107"/>
    <w:rsid w:val="009B6F40"/>
    <w:rsid w:val="009C1E9F"/>
    <w:rsid w:val="009C4AF0"/>
    <w:rsid w:val="009C512B"/>
    <w:rsid w:val="009C75DB"/>
    <w:rsid w:val="009D062B"/>
    <w:rsid w:val="009D39E4"/>
    <w:rsid w:val="009D4278"/>
    <w:rsid w:val="009E444A"/>
    <w:rsid w:val="009E50FB"/>
    <w:rsid w:val="009E5DEE"/>
    <w:rsid w:val="009E66C2"/>
    <w:rsid w:val="009E6EF2"/>
    <w:rsid w:val="009F76F8"/>
    <w:rsid w:val="00A027FE"/>
    <w:rsid w:val="00A049ED"/>
    <w:rsid w:val="00A06F79"/>
    <w:rsid w:val="00A13C69"/>
    <w:rsid w:val="00A13FD3"/>
    <w:rsid w:val="00A15662"/>
    <w:rsid w:val="00A15B4D"/>
    <w:rsid w:val="00A17A05"/>
    <w:rsid w:val="00A20B5D"/>
    <w:rsid w:val="00A21678"/>
    <w:rsid w:val="00A21934"/>
    <w:rsid w:val="00A249CD"/>
    <w:rsid w:val="00A26BE9"/>
    <w:rsid w:val="00A3093B"/>
    <w:rsid w:val="00A30D3A"/>
    <w:rsid w:val="00A32364"/>
    <w:rsid w:val="00A33CFD"/>
    <w:rsid w:val="00A44F53"/>
    <w:rsid w:val="00A50064"/>
    <w:rsid w:val="00A51785"/>
    <w:rsid w:val="00A52400"/>
    <w:rsid w:val="00A53AEC"/>
    <w:rsid w:val="00A55EDA"/>
    <w:rsid w:val="00A57355"/>
    <w:rsid w:val="00A610B1"/>
    <w:rsid w:val="00A63E72"/>
    <w:rsid w:val="00A665D9"/>
    <w:rsid w:val="00A66F56"/>
    <w:rsid w:val="00A675A0"/>
    <w:rsid w:val="00A7451A"/>
    <w:rsid w:val="00A83A06"/>
    <w:rsid w:val="00A925B1"/>
    <w:rsid w:val="00A92A0C"/>
    <w:rsid w:val="00A95ABA"/>
    <w:rsid w:val="00AA0D1E"/>
    <w:rsid w:val="00AA1328"/>
    <w:rsid w:val="00AA470C"/>
    <w:rsid w:val="00AA5E0D"/>
    <w:rsid w:val="00AA6718"/>
    <w:rsid w:val="00AB0EAD"/>
    <w:rsid w:val="00AB2F6A"/>
    <w:rsid w:val="00AB6537"/>
    <w:rsid w:val="00AC01BC"/>
    <w:rsid w:val="00AC108C"/>
    <w:rsid w:val="00AC6148"/>
    <w:rsid w:val="00AD25EB"/>
    <w:rsid w:val="00AD273D"/>
    <w:rsid w:val="00AD3773"/>
    <w:rsid w:val="00AD6720"/>
    <w:rsid w:val="00AD732E"/>
    <w:rsid w:val="00AE1C0F"/>
    <w:rsid w:val="00AE2AFA"/>
    <w:rsid w:val="00AE7D66"/>
    <w:rsid w:val="00AF1DF5"/>
    <w:rsid w:val="00AF7704"/>
    <w:rsid w:val="00AF79C5"/>
    <w:rsid w:val="00B13D11"/>
    <w:rsid w:val="00B1422D"/>
    <w:rsid w:val="00B1504B"/>
    <w:rsid w:val="00B16D72"/>
    <w:rsid w:val="00B17FE0"/>
    <w:rsid w:val="00B20EEA"/>
    <w:rsid w:val="00B21464"/>
    <w:rsid w:val="00B27CA4"/>
    <w:rsid w:val="00B31267"/>
    <w:rsid w:val="00B35B9A"/>
    <w:rsid w:val="00B35E87"/>
    <w:rsid w:val="00B372CB"/>
    <w:rsid w:val="00B41ECA"/>
    <w:rsid w:val="00B45AD9"/>
    <w:rsid w:val="00B46B50"/>
    <w:rsid w:val="00B51FC7"/>
    <w:rsid w:val="00B532E2"/>
    <w:rsid w:val="00B55775"/>
    <w:rsid w:val="00B61F3D"/>
    <w:rsid w:val="00B63142"/>
    <w:rsid w:val="00B63FE9"/>
    <w:rsid w:val="00B70889"/>
    <w:rsid w:val="00B75E35"/>
    <w:rsid w:val="00B762CF"/>
    <w:rsid w:val="00B7694F"/>
    <w:rsid w:val="00B810FB"/>
    <w:rsid w:val="00B85510"/>
    <w:rsid w:val="00B86F8C"/>
    <w:rsid w:val="00B87097"/>
    <w:rsid w:val="00B935F7"/>
    <w:rsid w:val="00B94787"/>
    <w:rsid w:val="00B96CF9"/>
    <w:rsid w:val="00B97368"/>
    <w:rsid w:val="00B97861"/>
    <w:rsid w:val="00BA0C36"/>
    <w:rsid w:val="00BA2DFA"/>
    <w:rsid w:val="00BA5985"/>
    <w:rsid w:val="00BA6DCA"/>
    <w:rsid w:val="00BB2E37"/>
    <w:rsid w:val="00BB3B9D"/>
    <w:rsid w:val="00BB475D"/>
    <w:rsid w:val="00BB612C"/>
    <w:rsid w:val="00BB74E8"/>
    <w:rsid w:val="00BC0022"/>
    <w:rsid w:val="00BC2E32"/>
    <w:rsid w:val="00BC3702"/>
    <w:rsid w:val="00BC3723"/>
    <w:rsid w:val="00BC3A0B"/>
    <w:rsid w:val="00BC425D"/>
    <w:rsid w:val="00BC4367"/>
    <w:rsid w:val="00BC79A5"/>
    <w:rsid w:val="00BD19A7"/>
    <w:rsid w:val="00BD4173"/>
    <w:rsid w:val="00BD7D8C"/>
    <w:rsid w:val="00BE2354"/>
    <w:rsid w:val="00BE5E00"/>
    <w:rsid w:val="00BE7E28"/>
    <w:rsid w:val="00BF134C"/>
    <w:rsid w:val="00BF53C2"/>
    <w:rsid w:val="00BF55BD"/>
    <w:rsid w:val="00C036E1"/>
    <w:rsid w:val="00C06DAA"/>
    <w:rsid w:val="00C13727"/>
    <w:rsid w:val="00C148C6"/>
    <w:rsid w:val="00C14B6A"/>
    <w:rsid w:val="00C15825"/>
    <w:rsid w:val="00C174A1"/>
    <w:rsid w:val="00C24AC7"/>
    <w:rsid w:val="00C25258"/>
    <w:rsid w:val="00C255CE"/>
    <w:rsid w:val="00C26177"/>
    <w:rsid w:val="00C27633"/>
    <w:rsid w:val="00C27BEA"/>
    <w:rsid w:val="00C35401"/>
    <w:rsid w:val="00C3712E"/>
    <w:rsid w:val="00C435E6"/>
    <w:rsid w:val="00C443E4"/>
    <w:rsid w:val="00C446EE"/>
    <w:rsid w:val="00C51F32"/>
    <w:rsid w:val="00C520EF"/>
    <w:rsid w:val="00C5244A"/>
    <w:rsid w:val="00C56E41"/>
    <w:rsid w:val="00C609D6"/>
    <w:rsid w:val="00C622B3"/>
    <w:rsid w:val="00C67553"/>
    <w:rsid w:val="00C676A9"/>
    <w:rsid w:val="00C67EFD"/>
    <w:rsid w:val="00C719FB"/>
    <w:rsid w:val="00C71C81"/>
    <w:rsid w:val="00C71F2E"/>
    <w:rsid w:val="00C72488"/>
    <w:rsid w:val="00C741BF"/>
    <w:rsid w:val="00C746A8"/>
    <w:rsid w:val="00C77F0C"/>
    <w:rsid w:val="00C835AC"/>
    <w:rsid w:val="00C85BA9"/>
    <w:rsid w:val="00C867A5"/>
    <w:rsid w:val="00C86A3C"/>
    <w:rsid w:val="00C87D50"/>
    <w:rsid w:val="00C901A7"/>
    <w:rsid w:val="00C9117D"/>
    <w:rsid w:val="00C91D5D"/>
    <w:rsid w:val="00CA1F6D"/>
    <w:rsid w:val="00CA5ACE"/>
    <w:rsid w:val="00CB2684"/>
    <w:rsid w:val="00CB7888"/>
    <w:rsid w:val="00CB7DE1"/>
    <w:rsid w:val="00CD0810"/>
    <w:rsid w:val="00CD0871"/>
    <w:rsid w:val="00CD15AC"/>
    <w:rsid w:val="00CD3BC6"/>
    <w:rsid w:val="00CD7D7E"/>
    <w:rsid w:val="00CE00DF"/>
    <w:rsid w:val="00CE0851"/>
    <w:rsid w:val="00CE2815"/>
    <w:rsid w:val="00CE52DC"/>
    <w:rsid w:val="00CF1384"/>
    <w:rsid w:val="00CF2476"/>
    <w:rsid w:val="00CF31A3"/>
    <w:rsid w:val="00CF53F3"/>
    <w:rsid w:val="00D0005C"/>
    <w:rsid w:val="00D01223"/>
    <w:rsid w:val="00D0531F"/>
    <w:rsid w:val="00D0649F"/>
    <w:rsid w:val="00D06A2B"/>
    <w:rsid w:val="00D07388"/>
    <w:rsid w:val="00D101DB"/>
    <w:rsid w:val="00D137A0"/>
    <w:rsid w:val="00D14DA8"/>
    <w:rsid w:val="00D152BD"/>
    <w:rsid w:val="00D17566"/>
    <w:rsid w:val="00D20765"/>
    <w:rsid w:val="00D22980"/>
    <w:rsid w:val="00D23242"/>
    <w:rsid w:val="00D23D28"/>
    <w:rsid w:val="00D3713E"/>
    <w:rsid w:val="00D40D69"/>
    <w:rsid w:val="00D43946"/>
    <w:rsid w:val="00D463F3"/>
    <w:rsid w:val="00D46E2E"/>
    <w:rsid w:val="00D526AB"/>
    <w:rsid w:val="00D54B44"/>
    <w:rsid w:val="00D65A9A"/>
    <w:rsid w:val="00D6748D"/>
    <w:rsid w:val="00D67EFB"/>
    <w:rsid w:val="00D8046B"/>
    <w:rsid w:val="00D825BB"/>
    <w:rsid w:val="00D9165B"/>
    <w:rsid w:val="00DA03A3"/>
    <w:rsid w:val="00DA044F"/>
    <w:rsid w:val="00DA0F19"/>
    <w:rsid w:val="00DA1172"/>
    <w:rsid w:val="00DA4D0F"/>
    <w:rsid w:val="00DA72AF"/>
    <w:rsid w:val="00DB05CE"/>
    <w:rsid w:val="00DB09FD"/>
    <w:rsid w:val="00DB214F"/>
    <w:rsid w:val="00DC0B27"/>
    <w:rsid w:val="00DC0DC3"/>
    <w:rsid w:val="00DC5979"/>
    <w:rsid w:val="00DC5E6F"/>
    <w:rsid w:val="00DC683E"/>
    <w:rsid w:val="00DD7ACC"/>
    <w:rsid w:val="00DD7C86"/>
    <w:rsid w:val="00DE210F"/>
    <w:rsid w:val="00DE6729"/>
    <w:rsid w:val="00DE780F"/>
    <w:rsid w:val="00DF005C"/>
    <w:rsid w:val="00DF193F"/>
    <w:rsid w:val="00DF25E1"/>
    <w:rsid w:val="00DF45C1"/>
    <w:rsid w:val="00DF63D3"/>
    <w:rsid w:val="00E01277"/>
    <w:rsid w:val="00E0373F"/>
    <w:rsid w:val="00E07FC2"/>
    <w:rsid w:val="00E10C3F"/>
    <w:rsid w:val="00E16381"/>
    <w:rsid w:val="00E16BE0"/>
    <w:rsid w:val="00E20FDC"/>
    <w:rsid w:val="00E21413"/>
    <w:rsid w:val="00E22D57"/>
    <w:rsid w:val="00E278B7"/>
    <w:rsid w:val="00E30D44"/>
    <w:rsid w:val="00E329CC"/>
    <w:rsid w:val="00E35F37"/>
    <w:rsid w:val="00E426CB"/>
    <w:rsid w:val="00E4477C"/>
    <w:rsid w:val="00E53672"/>
    <w:rsid w:val="00E5578E"/>
    <w:rsid w:val="00E604F1"/>
    <w:rsid w:val="00E61DE2"/>
    <w:rsid w:val="00E71B7C"/>
    <w:rsid w:val="00E72E33"/>
    <w:rsid w:val="00E7592D"/>
    <w:rsid w:val="00E826CD"/>
    <w:rsid w:val="00E8442D"/>
    <w:rsid w:val="00E93D2E"/>
    <w:rsid w:val="00E9738B"/>
    <w:rsid w:val="00E97895"/>
    <w:rsid w:val="00E97ED5"/>
    <w:rsid w:val="00EA6339"/>
    <w:rsid w:val="00EB051B"/>
    <w:rsid w:val="00EB0F3C"/>
    <w:rsid w:val="00EB2414"/>
    <w:rsid w:val="00EB4289"/>
    <w:rsid w:val="00EB44C9"/>
    <w:rsid w:val="00EB5B32"/>
    <w:rsid w:val="00EB75BE"/>
    <w:rsid w:val="00EC1A0F"/>
    <w:rsid w:val="00EC2883"/>
    <w:rsid w:val="00EC3753"/>
    <w:rsid w:val="00EC40A2"/>
    <w:rsid w:val="00EC4659"/>
    <w:rsid w:val="00EC4D83"/>
    <w:rsid w:val="00EC69E5"/>
    <w:rsid w:val="00ED4FC7"/>
    <w:rsid w:val="00ED59E6"/>
    <w:rsid w:val="00EE126C"/>
    <w:rsid w:val="00EE2C1D"/>
    <w:rsid w:val="00EF10A6"/>
    <w:rsid w:val="00EF1CEA"/>
    <w:rsid w:val="00EF31F9"/>
    <w:rsid w:val="00EF4E8F"/>
    <w:rsid w:val="00EF5AA6"/>
    <w:rsid w:val="00EF6432"/>
    <w:rsid w:val="00EF6661"/>
    <w:rsid w:val="00F013C6"/>
    <w:rsid w:val="00F035C6"/>
    <w:rsid w:val="00F04A50"/>
    <w:rsid w:val="00F0516B"/>
    <w:rsid w:val="00F05E51"/>
    <w:rsid w:val="00F0669D"/>
    <w:rsid w:val="00F17533"/>
    <w:rsid w:val="00F21003"/>
    <w:rsid w:val="00F211FE"/>
    <w:rsid w:val="00F238BB"/>
    <w:rsid w:val="00F23BD1"/>
    <w:rsid w:val="00F43EFC"/>
    <w:rsid w:val="00F446EB"/>
    <w:rsid w:val="00F4506A"/>
    <w:rsid w:val="00F508E5"/>
    <w:rsid w:val="00F571BE"/>
    <w:rsid w:val="00F5795E"/>
    <w:rsid w:val="00F57B77"/>
    <w:rsid w:val="00F6136F"/>
    <w:rsid w:val="00F6601D"/>
    <w:rsid w:val="00F67588"/>
    <w:rsid w:val="00F70F28"/>
    <w:rsid w:val="00F72CA9"/>
    <w:rsid w:val="00F739A8"/>
    <w:rsid w:val="00F742EC"/>
    <w:rsid w:val="00F8221A"/>
    <w:rsid w:val="00F87390"/>
    <w:rsid w:val="00F940B3"/>
    <w:rsid w:val="00F95BD0"/>
    <w:rsid w:val="00F95EA8"/>
    <w:rsid w:val="00FA593E"/>
    <w:rsid w:val="00FB45E4"/>
    <w:rsid w:val="00FC18D7"/>
    <w:rsid w:val="00FC62F9"/>
    <w:rsid w:val="00FC6BE7"/>
    <w:rsid w:val="00FD2FD3"/>
    <w:rsid w:val="00FD5E8F"/>
    <w:rsid w:val="00FE26CC"/>
    <w:rsid w:val="00FE48A3"/>
    <w:rsid w:val="00FE692E"/>
    <w:rsid w:val="00FE78A2"/>
    <w:rsid w:val="00FF3E28"/>
    <w:rsid w:val="01031527"/>
    <w:rsid w:val="012C1C02"/>
    <w:rsid w:val="012C586A"/>
    <w:rsid w:val="014063FE"/>
    <w:rsid w:val="016C0109"/>
    <w:rsid w:val="01721FEB"/>
    <w:rsid w:val="01722330"/>
    <w:rsid w:val="01CA5CC8"/>
    <w:rsid w:val="02226211"/>
    <w:rsid w:val="02404E4B"/>
    <w:rsid w:val="0293255D"/>
    <w:rsid w:val="02BE3A7E"/>
    <w:rsid w:val="02D20C1F"/>
    <w:rsid w:val="02E25F12"/>
    <w:rsid w:val="030516AD"/>
    <w:rsid w:val="03631B64"/>
    <w:rsid w:val="03830824"/>
    <w:rsid w:val="038A3F97"/>
    <w:rsid w:val="03993BA4"/>
    <w:rsid w:val="03A66B69"/>
    <w:rsid w:val="03E017D2"/>
    <w:rsid w:val="03E47515"/>
    <w:rsid w:val="042C4F6C"/>
    <w:rsid w:val="04442CEB"/>
    <w:rsid w:val="04446205"/>
    <w:rsid w:val="045A1585"/>
    <w:rsid w:val="04722178"/>
    <w:rsid w:val="047255F5"/>
    <w:rsid w:val="048C54B6"/>
    <w:rsid w:val="049A4077"/>
    <w:rsid w:val="05130EC4"/>
    <w:rsid w:val="052D6C99"/>
    <w:rsid w:val="05452235"/>
    <w:rsid w:val="05590B62"/>
    <w:rsid w:val="055E4284"/>
    <w:rsid w:val="059017B4"/>
    <w:rsid w:val="05A21435"/>
    <w:rsid w:val="05C82C12"/>
    <w:rsid w:val="06127C3D"/>
    <w:rsid w:val="06215480"/>
    <w:rsid w:val="06255BC2"/>
    <w:rsid w:val="062E0FB2"/>
    <w:rsid w:val="062E1176"/>
    <w:rsid w:val="063323B9"/>
    <w:rsid w:val="063E255E"/>
    <w:rsid w:val="064078C4"/>
    <w:rsid w:val="065D710A"/>
    <w:rsid w:val="06664F3E"/>
    <w:rsid w:val="069468A4"/>
    <w:rsid w:val="06971860"/>
    <w:rsid w:val="06CB0518"/>
    <w:rsid w:val="06D86E6E"/>
    <w:rsid w:val="06DD20DC"/>
    <w:rsid w:val="06E710CA"/>
    <w:rsid w:val="06E94E42"/>
    <w:rsid w:val="070D64AF"/>
    <w:rsid w:val="07101435"/>
    <w:rsid w:val="072B0FB7"/>
    <w:rsid w:val="07724E37"/>
    <w:rsid w:val="07770B93"/>
    <w:rsid w:val="078D7EC3"/>
    <w:rsid w:val="07927288"/>
    <w:rsid w:val="07B37245"/>
    <w:rsid w:val="07C165CD"/>
    <w:rsid w:val="07EC1177"/>
    <w:rsid w:val="08713D58"/>
    <w:rsid w:val="08897F9F"/>
    <w:rsid w:val="08A54D99"/>
    <w:rsid w:val="08C43471"/>
    <w:rsid w:val="08CB2A51"/>
    <w:rsid w:val="08D631A4"/>
    <w:rsid w:val="08DA0EE6"/>
    <w:rsid w:val="08E33B14"/>
    <w:rsid w:val="09631F69"/>
    <w:rsid w:val="096E162E"/>
    <w:rsid w:val="099217C1"/>
    <w:rsid w:val="09B4074E"/>
    <w:rsid w:val="09B47989"/>
    <w:rsid w:val="09CB6A81"/>
    <w:rsid w:val="09D86A10"/>
    <w:rsid w:val="09F2225F"/>
    <w:rsid w:val="09FE7FF8"/>
    <w:rsid w:val="0A0106F5"/>
    <w:rsid w:val="0A40121D"/>
    <w:rsid w:val="0A522CFE"/>
    <w:rsid w:val="0A537E82"/>
    <w:rsid w:val="0A622F41"/>
    <w:rsid w:val="0A670558"/>
    <w:rsid w:val="0ABE6095"/>
    <w:rsid w:val="0AD27591"/>
    <w:rsid w:val="0ADE0DB4"/>
    <w:rsid w:val="0B04049C"/>
    <w:rsid w:val="0B217F91"/>
    <w:rsid w:val="0B5051F9"/>
    <w:rsid w:val="0B5C3158"/>
    <w:rsid w:val="0B845139"/>
    <w:rsid w:val="0B913B41"/>
    <w:rsid w:val="0B932773"/>
    <w:rsid w:val="0B9510F4"/>
    <w:rsid w:val="0BB023D2"/>
    <w:rsid w:val="0BB43C70"/>
    <w:rsid w:val="0BC027C4"/>
    <w:rsid w:val="0BC750CE"/>
    <w:rsid w:val="0BE16F32"/>
    <w:rsid w:val="0C204376"/>
    <w:rsid w:val="0C254A1B"/>
    <w:rsid w:val="0C4274CE"/>
    <w:rsid w:val="0C526FE5"/>
    <w:rsid w:val="0C6875C2"/>
    <w:rsid w:val="0C913FB2"/>
    <w:rsid w:val="0CA77331"/>
    <w:rsid w:val="0CB16402"/>
    <w:rsid w:val="0CEC0DE7"/>
    <w:rsid w:val="0D0227BA"/>
    <w:rsid w:val="0D504885"/>
    <w:rsid w:val="0D605732"/>
    <w:rsid w:val="0D823B7E"/>
    <w:rsid w:val="0D844388"/>
    <w:rsid w:val="0D9C7D6D"/>
    <w:rsid w:val="0DEB17F3"/>
    <w:rsid w:val="0DEE34CD"/>
    <w:rsid w:val="0E0B7D94"/>
    <w:rsid w:val="0E230C39"/>
    <w:rsid w:val="0E5D2BF2"/>
    <w:rsid w:val="0E607F86"/>
    <w:rsid w:val="0E8A0CB9"/>
    <w:rsid w:val="0E9C279A"/>
    <w:rsid w:val="0EB421D9"/>
    <w:rsid w:val="0EE607E4"/>
    <w:rsid w:val="0F142273"/>
    <w:rsid w:val="0F16254C"/>
    <w:rsid w:val="0F5B4403"/>
    <w:rsid w:val="0F5D008C"/>
    <w:rsid w:val="0F854687"/>
    <w:rsid w:val="0F930041"/>
    <w:rsid w:val="0FD3114F"/>
    <w:rsid w:val="0FEB5787"/>
    <w:rsid w:val="0FED7E24"/>
    <w:rsid w:val="0FEE5EBF"/>
    <w:rsid w:val="100B5E29"/>
    <w:rsid w:val="108300B5"/>
    <w:rsid w:val="108654B0"/>
    <w:rsid w:val="108C64EF"/>
    <w:rsid w:val="10BE733F"/>
    <w:rsid w:val="10CA1840"/>
    <w:rsid w:val="10D97CD5"/>
    <w:rsid w:val="10FC5772"/>
    <w:rsid w:val="11000EA2"/>
    <w:rsid w:val="11024D92"/>
    <w:rsid w:val="11093651"/>
    <w:rsid w:val="11124F95"/>
    <w:rsid w:val="111F6967"/>
    <w:rsid w:val="112E1DCF"/>
    <w:rsid w:val="113444BF"/>
    <w:rsid w:val="11662604"/>
    <w:rsid w:val="11796EDC"/>
    <w:rsid w:val="119D5A3B"/>
    <w:rsid w:val="11A72525"/>
    <w:rsid w:val="11B10761"/>
    <w:rsid w:val="11BF6366"/>
    <w:rsid w:val="11F00DE3"/>
    <w:rsid w:val="12635AA8"/>
    <w:rsid w:val="127840D2"/>
    <w:rsid w:val="12900790"/>
    <w:rsid w:val="12900868"/>
    <w:rsid w:val="12A65CC1"/>
    <w:rsid w:val="132C1585"/>
    <w:rsid w:val="134F24D1"/>
    <w:rsid w:val="13634D12"/>
    <w:rsid w:val="13672B1A"/>
    <w:rsid w:val="13961EAE"/>
    <w:rsid w:val="13AA7707"/>
    <w:rsid w:val="13FF3EF7"/>
    <w:rsid w:val="143A4F2F"/>
    <w:rsid w:val="144E2788"/>
    <w:rsid w:val="147C5547"/>
    <w:rsid w:val="14806439"/>
    <w:rsid w:val="149C1746"/>
    <w:rsid w:val="14BB1F5D"/>
    <w:rsid w:val="14E4477F"/>
    <w:rsid w:val="14ED7807"/>
    <w:rsid w:val="14FB646C"/>
    <w:rsid w:val="14FC21E4"/>
    <w:rsid w:val="150D2643"/>
    <w:rsid w:val="15360E51"/>
    <w:rsid w:val="153D7C96"/>
    <w:rsid w:val="158B374C"/>
    <w:rsid w:val="15BD1BCA"/>
    <w:rsid w:val="16105DC5"/>
    <w:rsid w:val="161377E5"/>
    <w:rsid w:val="164120D0"/>
    <w:rsid w:val="165B6AB6"/>
    <w:rsid w:val="16730284"/>
    <w:rsid w:val="16750620"/>
    <w:rsid w:val="16753FFC"/>
    <w:rsid w:val="16B965DF"/>
    <w:rsid w:val="171750B3"/>
    <w:rsid w:val="1741793A"/>
    <w:rsid w:val="1743234C"/>
    <w:rsid w:val="177B5642"/>
    <w:rsid w:val="17933E49"/>
    <w:rsid w:val="17966F3F"/>
    <w:rsid w:val="179901BE"/>
    <w:rsid w:val="17996410"/>
    <w:rsid w:val="17AB7F52"/>
    <w:rsid w:val="17C077E1"/>
    <w:rsid w:val="17C24EE1"/>
    <w:rsid w:val="17C261B5"/>
    <w:rsid w:val="17C27715"/>
    <w:rsid w:val="17C57205"/>
    <w:rsid w:val="17E4768B"/>
    <w:rsid w:val="17FC3BA5"/>
    <w:rsid w:val="182513C0"/>
    <w:rsid w:val="18397E11"/>
    <w:rsid w:val="183A09B0"/>
    <w:rsid w:val="184243B2"/>
    <w:rsid w:val="185145F5"/>
    <w:rsid w:val="18B8578E"/>
    <w:rsid w:val="194505FE"/>
    <w:rsid w:val="19645891"/>
    <w:rsid w:val="19687E48"/>
    <w:rsid w:val="196B1CEA"/>
    <w:rsid w:val="19867FF4"/>
    <w:rsid w:val="198E1EAE"/>
    <w:rsid w:val="1A24288D"/>
    <w:rsid w:val="1A307B3F"/>
    <w:rsid w:val="1AE16104"/>
    <w:rsid w:val="1B0B74D4"/>
    <w:rsid w:val="1B1B5294"/>
    <w:rsid w:val="1B2B3823"/>
    <w:rsid w:val="1B356450"/>
    <w:rsid w:val="1B434F04"/>
    <w:rsid w:val="1B9C14FB"/>
    <w:rsid w:val="1BA333BA"/>
    <w:rsid w:val="1BBB3AE4"/>
    <w:rsid w:val="1BE95EF7"/>
    <w:rsid w:val="1BEB4F4B"/>
    <w:rsid w:val="1BEF4851"/>
    <w:rsid w:val="1BFE3C79"/>
    <w:rsid w:val="1C234AE6"/>
    <w:rsid w:val="1C2C01A7"/>
    <w:rsid w:val="1C4D79A6"/>
    <w:rsid w:val="1C4F3541"/>
    <w:rsid w:val="1C58030E"/>
    <w:rsid w:val="1C584649"/>
    <w:rsid w:val="1C792E22"/>
    <w:rsid w:val="1CB57848"/>
    <w:rsid w:val="1CBF2475"/>
    <w:rsid w:val="1CDF0421"/>
    <w:rsid w:val="1CF71C0F"/>
    <w:rsid w:val="1D2D5631"/>
    <w:rsid w:val="1D345E0F"/>
    <w:rsid w:val="1D484219"/>
    <w:rsid w:val="1D880AB9"/>
    <w:rsid w:val="1D9A2C64"/>
    <w:rsid w:val="1DB9452C"/>
    <w:rsid w:val="1DD94940"/>
    <w:rsid w:val="1DE33F41"/>
    <w:rsid w:val="1DE71C83"/>
    <w:rsid w:val="1DF919B7"/>
    <w:rsid w:val="1E151104"/>
    <w:rsid w:val="1E206809"/>
    <w:rsid w:val="1E5A29B0"/>
    <w:rsid w:val="1E71779F"/>
    <w:rsid w:val="1E8A6AB3"/>
    <w:rsid w:val="1E9B4F56"/>
    <w:rsid w:val="1EBC6804"/>
    <w:rsid w:val="1ED74933"/>
    <w:rsid w:val="1EFB3211"/>
    <w:rsid w:val="1F100D66"/>
    <w:rsid w:val="1F103EA9"/>
    <w:rsid w:val="1F1D7927"/>
    <w:rsid w:val="1F467409"/>
    <w:rsid w:val="1F5824D8"/>
    <w:rsid w:val="1F784B5D"/>
    <w:rsid w:val="1FA37097"/>
    <w:rsid w:val="1FB14636"/>
    <w:rsid w:val="1FC0311B"/>
    <w:rsid w:val="1FC84912"/>
    <w:rsid w:val="1FCA3C17"/>
    <w:rsid w:val="1FDB296A"/>
    <w:rsid w:val="1FDD44D2"/>
    <w:rsid w:val="1FE909DC"/>
    <w:rsid w:val="1FEB4E59"/>
    <w:rsid w:val="1FF42436"/>
    <w:rsid w:val="1FFB7C68"/>
    <w:rsid w:val="201264D3"/>
    <w:rsid w:val="20277FAC"/>
    <w:rsid w:val="20315438"/>
    <w:rsid w:val="204333BD"/>
    <w:rsid w:val="20457135"/>
    <w:rsid w:val="20631369"/>
    <w:rsid w:val="20755F4B"/>
    <w:rsid w:val="20826FB2"/>
    <w:rsid w:val="209E05F3"/>
    <w:rsid w:val="20AF152F"/>
    <w:rsid w:val="20EB5CF5"/>
    <w:rsid w:val="20FA1873"/>
    <w:rsid w:val="21431371"/>
    <w:rsid w:val="2149055F"/>
    <w:rsid w:val="21513626"/>
    <w:rsid w:val="215C64E4"/>
    <w:rsid w:val="215D225D"/>
    <w:rsid w:val="21842C83"/>
    <w:rsid w:val="218F687E"/>
    <w:rsid w:val="219537A4"/>
    <w:rsid w:val="21C36564"/>
    <w:rsid w:val="21DF0EC4"/>
    <w:rsid w:val="21EF19A5"/>
    <w:rsid w:val="220E51F0"/>
    <w:rsid w:val="222114DC"/>
    <w:rsid w:val="223413D7"/>
    <w:rsid w:val="22543660"/>
    <w:rsid w:val="228D0920"/>
    <w:rsid w:val="2292576D"/>
    <w:rsid w:val="23290736"/>
    <w:rsid w:val="23337719"/>
    <w:rsid w:val="23362D65"/>
    <w:rsid w:val="23694DF3"/>
    <w:rsid w:val="236E5E5F"/>
    <w:rsid w:val="2378337E"/>
    <w:rsid w:val="239A32F4"/>
    <w:rsid w:val="23A61C99"/>
    <w:rsid w:val="23B13A44"/>
    <w:rsid w:val="23C5440E"/>
    <w:rsid w:val="23F30C56"/>
    <w:rsid w:val="24266C7C"/>
    <w:rsid w:val="244A2F6C"/>
    <w:rsid w:val="246A64EC"/>
    <w:rsid w:val="248E0882"/>
    <w:rsid w:val="24AB04CD"/>
    <w:rsid w:val="24B85FE4"/>
    <w:rsid w:val="24D67678"/>
    <w:rsid w:val="252E63EA"/>
    <w:rsid w:val="25451EF3"/>
    <w:rsid w:val="25493224"/>
    <w:rsid w:val="256533FF"/>
    <w:rsid w:val="25714E00"/>
    <w:rsid w:val="25E20F82"/>
    <w:rsid w:val="25E847EB"/>
    <w:rsid w:val="261D1928"/>
    <w:rsid w:val="263C2A02"/>
    <w:rsid w:val="266F1FBA"/>
    <w:rsid w:val="267047E0"/>
    <w:rsid w:val="268767EE"/>
    <w:rsid w:val="26A56238"/>
    <w:rsid w:val="26FB772B"/>
    <w:rsid w:val="270F7B55"/>
    <w:rsid w:val="271106C8"/>
    <w:rsid w:val="272918A9"/>
    <w:rsid w:val="27383B65"/>
    <w:rsid w:val="273B6B9C"/>
    <w:rsid w:val="27427F2B"/>
    <w:rsid w:val="27857F9B"/>
    <w:rsid w:val="2795721C"/>
    <w:rsid w:val="27A641C3"/>
    <w:rsid w:val="27A6670B"/>
    <w:rsid w:val="27B4471F"/>
    <w:rsid w:val="27C546B8"/>
    <w:rsid w:val="280C2A6F"/>
    <w:rsid w:val="28215D92"/>
    <w:rsid w:val="282633A8"/>
    <w:rsid w:val="284461F5"/>
    <w:rsid w:val="28584889"/>
    <w:rsid w:val="286F1880"/>
    <w:rsid w:val="28A10C81"/>
    <w:rsid w:val="28C66122"/>
    <w:rsid w:val="28CB1312"/>
    <w:rsid w:val="28EC2844"/>
    <w:rsid w:val="29114058"/>
    <w:rsid w:val="295403E9"/>
    <w:rsid w:val="29745A9F"/>
    <w:rsid w:val="29895F6F"/>
    <w:rsid w:val="29995DFC"/>
    <w:rsid w:val="29AC6F9B"/>
    <w:rsid w:val="29B91807"/>
    <w:rsid w:val="29E821D3"/>
    <w:rsid w:val="29F75268"/>
    <w:rsid w:val="2A7C3FE1"/>
    <w:rsid w:val="2A930A9D"/>
    <w:rsid w:val="2A967EB2"/>
    <w:rsid w:val="2AD417E1"/>
    <w:rsid w:val="2AE01F34"/>
    <w:rsid w:val="2AFE098F"/>
    <w:rsid w:val="2B065713"/>
    <w:rsid w:val="2B07006B"/>
    <w:rsid w:val="2B2871E7"/>
    <w:rsid w:val="2B41036D"/>
    <w:rsid w:val="2B4F2C16"/>
    <w:rsid w:val="2B9B768E"/>
    <w:rsid w:val="2BA9299F"/>
    <w:rsid w:val="2BE51E3D"/>
    <w:rsid w:val="2BF832AE"/>
    <w:rsid w:val="2BFE65C2"/>
    <w:rsid w:val="2C003740"/>
    <w:rsid w:val="2C02412C"/>
    <w:rsid w:val="2C12290F"/>
    <w:rsid w:val="2C1665B8"/>
    <w:rsid w:val="2C295297"/>
    <w:rsid w:val="2C6E17C2"/>
    <w:rsid w:val="2C8C39F6"/>
    <w:rsid w:val="2CE70520"/>
    <w:rsid w:val="2D393B7E"/>
    <w:rsid w:val="2D7F69DE"/>
    <w:rsid w:val="2DB16F26"/>
    <w:rsid w:val="2DB3388B"/>
    <w:rsid w:val="2DCA6ECC"/>
    <w:rsid w:val="2E432744"/>
    <w:rsid w:val="2E644390"/>
    <w:rsid w:val="2E81569C"/>
    <w:rsid w:val="2E815E80"/>
    <w:rsid w:val="2E954277"/>
    <w:rsid w:val="2EDF69A7"/>
    <w:rsid w:val="2EFE507F"/>
    <w:rsid w:val="2F1A79DF"/>
    <w:rsid w:val="2F1E59C3"/>
    <w:rsid w:val="2F2A413F"/>
    <w:rsid w:val="2F363171"/>
    <w:rsid w:val="2F486E57"/>
    <w:rsid w:val="2F90361B"/>
    <w:rsid w:val="2F9A6BD2"/>
    <w:rsid w:val="2FD12471"/>
    <w:rsid w:val="30311375"/>
    <w:rsid w:val="30473F91"/>
    <w:rsid w:val="306058C5"/>
    <w:rsid w:val="30A96703"/>
    <w:rsid w:val="30B023A9"/>
    <w:rsid w:val="30C714A1"/>
    <w:rsid w:val="311772A4"/>
    <w:rsid w:val="312406A1"/>
    <w:rsid w:val="312F34BF"/>
    <w:rsid w:val="31B92B8B"/>
    <w:rsid w:val="32327209"/>
    <w:rsid w:val="324D032D"/>
    <w:rsid w:val="3257574A"/>
    <w:rsid w:val="32655415"/>
    <w:rsid w:val="32683EB7"/>
    <w:rsid w:val="327F64D7"/>
    <w:rsid w:val="32C72FD5"/>
    <w:rsid w:val="32CC40EF"/>
    <w:rsid w:val="32FB3683"/>
    <w:rsid w:val="32FD564D"/>
    <w:rsid w:val="3328091C"/>
    <w:rsid w:val="33631954"/>
    <w:rsid w:val="33884F17"/>
    <w:rsid w:val="338C003D"/>
    <w:rsid w:val="338F3097"/>
    <w:rsid w:val="33A51F6D"/>
    <w:rsid w:val="33C06DA7"/>
    <w:rsid w:val="33D11655"/>
    <w:rsid w:val="33FD3397"/>
    <w:rsid w:val="342509B8"/>
    <w:rsid w:val="34256C0A"/>
    <w:rsid w:val="34297F29"/>
    <w:rsid w:val="346516FC"/>
    <w:rsid w:val="349D38D4"/>
    <w:rsid w:val="34AE6BFF"/>
    <w:rsid w:val="34CA3E45"/>
    <w:rsid w:val="34D34153"/>
    <w:rsid w:val="34F33733"/>
    <w:rsid w:val="350E1D87"/>
    <w:rsid w:val="352B64A2"/>
    <w:rsid w:val="35373099"/>
    <w:rsid w:val="35495969"/>
    <w:rsid w:val="355672AE"/>
    <w:rsid w:val="3584428E"/>
    <w:rsid w:val="35885FC6"/>
    <w:rsid w:val="359758E5"/>
    <w:rsid w:val="359D5EEA"/>
    <w:rsid w:val="35BA1D81"/>
    <w:rsid w:val="35D02BA5"/>
    <w:rsid w:val="35E8637E"/>
    <w:rsid w:val="35FA5E74"/>
    <w:rsid w:val="35FC7E3E"/>
    <w:rsid w:val="36137144"/>
    <w:rsid w:val="36155ADF"/>
    <w:rsid w:val="363C3B17"/>
    <w:rsid w:val="36474247"/>
    <w:rsid w:val="365612FD"/>
    <w:rsid w:val="366003CD"/>
    <w:rsid w:val="3677309A"/>
    <w:rsid w:val="36926BFA"/>
    <w:rsid w:val="36C85441"/>
    <w:rsid w:val="36CB6C7A"/>
    <w:rsid w:val="36F40B16"/>
    <w:rsid w:val="36FD6674"/>
    <w:rsid w:val="3702282A"/>
    <w:rsid w:val="370C52DF"/>
    <w:rsid w:val="370C5E5F"/>
    <w:rsid w:val="3732420F"/>
    <w:rsid w:val="374B6987"/>
    <w:rsid w:val="374D6BA3"/>
    <w:rsid w:val="375A306E"/>
    <w:rsid w:val="37B81B43"/>
    <w:rsid w:val="37CE1367"/>
    <w:rsid w:val="37D746BF"/>
    <w:rsid w:val="37DF5322"/>
    <w:rsid w:val="38305B7D"/>
    <w:rsid w:val="38644A4C"/>
    <w:rsid w:val="38C84008"/>
    <w:rsid w:val="38CA5FD2"/>
    <w:rsid w:val="38E177E0"/>
    <w:rsid w:val="38EB0F04"/>
    <w:rsid w:val="38EE1CC0"/>
    <w:rsid w:val="3902751A"/>
    <w:rsid w:val="3911775D"/>
    <w:rsid w:val="39411452"/>
    <w:rsid w:val="39495149"/>
    <w:rsid w:val="39646419"/>
    <w:rsid w:val="397B72CC"/>
    <w:rsid w:val="397C49C3"/>
    <w:rsid w:val="39B22FFA"/>
    <w:rsid w:val="39B44EA0"/>
    <w:rsid w:val="39C15930"/>
    <w:rsid w:val="39C2243E"/>
    <w:rsid w:val="39E9431A"/>
    <w:rsid w:val="3A173499"/>
    <w:rsid w:val="3A1D3638"/>
    <w:rsid w:val="3A30022F"/>
    <w:rsid w:val="3A371445"/>
    <w:rsid w:val="3A3C6A5B"/>
    <w:rsid w:val="3A886145"/>
    <w:rsid w:val="3A8D72B7"/>
    <w:rsid w:val="3AAA536B"/>
    <w:rsid w:val="3AB900AC"/>
    <w:rsid w:val="3AC52EF5"/>
    <w:rsid w:val="3AED5FA8"/>
    <w:rsid w:val="3B007A89"/>
    <w:rsid w:val="3B027CA5"/>
    <w:rsid w:val="3B0400D5"/>
    <w:rsid w:val="3B2E2848"/>
    <w:rsid w:val="3B3836C7"/>
    <w:rsid w:val="3B5129DA"/>
    <w:rsid w:val="3B5D4EDB"/>
    <w:rsid w:val="3B762441"/>
    <w:rsid w:val="3B81506E"/>
    <w:rsid w:val="3B8D0D14"/>
    <w:rsid w:val="3BA6272A"/>
    <w:rsid w:val="3BB22833"/>
    <w:rsid w:val="3BE27C97"/>
    <w:rsid w:val="3BE473AB"/>
    <w:rsid w:val="3C3D420B"/>
    <w:rsid w:val="3C5C1637"/>
    <w:rsid w:val="3C891D96"/>
    <w:rsid w:val="3C92482D"/>
    <w:rsid w:val="3C9A513B"/>
    <w:rsid w:val="3CCD2793"/>
    <w:rsid w:val="3CD52C29"/>
    <w:rsid w:val="3CE332F8"/>
    <w:rsid w:val="3CFA57E4"/>
    <w:rsid w:val="3D0221DE"/>
    <w:rsid w:val="3D1E60DF"/>
    <w:rsid w:val="3DA72A27"/>
    <w:rsid w:val="3DC22E60"/>
    <w:rsid w:val="3DE2008C"/>
    <w:rsid w:val="3DE2791A"/>
    <w:rsid w:val="3E0D7B56"/>
    <w:rsid w:val="3E151A9D"/>
    <w:rsid w:val="3E1675C3"/>
    <w:rsid w:val="3E2C62E0"/>
    <w:rsid w:val="3E375EB7"/>
    <w:rsid w:val="3E38205E"/>
    <w:rsid w:val="3E587BDC"/>
    <w:rsid w:val="3E6160D3"/>
    <w:rsid w:val="3E6B5B61"/>
    <w:rsid w:val="3E7728E3"/>
    <w:rsid w:val="3EA47C68"/>
    <w:rsid w:val="3EB97927"/>
    <w:rsid w:val="3ED03C16"/>
    <w:rsid w:val="3ED41958"/>
    <w:rsid w:val="3EEB27FE"/>
    <w:rsid w:val="3F087854"/>
    <w:rsid w:val="3F3423F7"/>
    <w:rsid w:val="3F3C6758"/>
    <w:rsid w:val="3F813922"/>
    <w:rsid w:val="3F890995"/>
    <w:rsid w:val="3F8E1B07"/>
    <w:rsid w:val="3F9D7F9C"/>
    <w:rsid w:val="40161AFD"/>
    <w:rsid w:val="403326AF"/>
    <w:rsid w:val="407E7DCE"/>
    <w:rsid w:val="408B6047"/>
    <w:rsid w:val="40923879"/>
    <w:rsid w:val="40A11D0E"/>
    <w:rsid w:val="40AF442B"/>
    <w:rsid w:val="40B54D5C"/>
    <w:rsid w:val="40E165AE"/>
    <w:rsid w:val="410C362B"/>
    <w:rsid w:val="411C75E7"/>
    <w:rsid w:val="4134048C"/>
    <w:rsid w:val="414125C6"/>
    <w:rsid w:val="41540B2E"/>
    <w:rsid w:val="415B7067"/>
    <w:rsid w:val="415E333C"/>
    <w:rsid w:val="418F600A"/>
    <w:rsid w:val="419B5FD1"/>
    <w:rsid w:val="419E1DAA"/>
    <w:rsid w:val="41CA0100"/>
    <w:rsid w:val="41F60AD4"/>
    <w:rsid w:val="420D5851"/>
    <w:rsid w:val="424B3CDF"/>
    <w:rsid w:val="426D19F0"/>
    <w:rsid w:val="429C09DF"/>
    <w:rsid w:val="42D31F27"/>
    <w:rsid w:val="42D33CD5"/>
    <w:rsid w:val="42FC5208"/>
    <w:rsid w:val="432F0422"/>
    <w:rsid w:val="43341596"/>
    <w:rsid w:val="435766B4"/>
    <w:rsid w:val="43673D15"/>
    <w:rsid w:val="436A288B"/>
    <w:rsid w:val="436B57D2"/>
    <w:rsid w:val="436F3776"/>
    <w:rsid w:val="436F7EA2"/>
    <w:rsid w:val="43860D47"/>
    <w:rsid w:val="439E4A66"/>
    <w:rsid w:val="43ED0DC6"/>
    <w:rsid w:val="43FB4652"/>
    <w:rsid w:val="43FF1225"/>
    <w:rsid w:val="44226CC2"/>
    <w:rsid w:val="4429359A"/>
    <w:rsid w:val="444A7FC7"/>
    <w:rsid w:val="445F4788"/>
    <w:rsid w:val="449A2CFC"/>
    <w:rsid w:val="44B32884"/>
    <w:rsid w:val="44E73A68"/>
    <w:rsid w:val="45223845"/>
    <w:rsid w:val="45247441"/>
    <w:rsid w:val="45290298"/>
    <w:rsid w:val="458624A4"/>
    <w:rsid w:val="45B44292"/>
    <w:rsid w:val="45B51211"/>
    <w:rsid w:val="45BD6D52"/>
    <w:rsid w:val="45D327A1"/>
    <w:rsid w:val="45EF52CA"/>
    <w:rsid w:val="46276812"/>
    <w:rsid w:val="462A4554"/>
    <w:rsid w:val="46517D32"/>
    <w:rsid w:val="46753001"/>
    <w:rsid w:val="46794B93"/>
    <w:rsid w:val="46821C9A"/>
    <w:rsid w:val="46BE6B5C"/>
    <w:rsid w:val="46E51A75"/>
    <w:rsid w:val="470D5A07"/>
    <w:rsid w:val="472924B7"/>
    <w:rsid w:val="47356D0C"/>
    <w:rsid w:val="47762C36"/>
    <w:rsid w:val="477C0DDF"/>
    <w:rsid w:val="478005D2"/>
    <w:rsid w:val="478D2FDF"/>
    <w:rsid w:val="47FD5FB7"/>
    <w:rsid w:val="4800731A"/>
    <w:rsid w:val="480212E4"/>
    <w:rsid w:val="482B73A4"/>
    <w:rsid w:val="486017CE"/>
    <w:rsid w:val="48963FD0"/>
    <w:rsid w:val="48A24875"/>
    <w:rsid w:val="48B171B1"/>
    <w:rsid w:val="48BB1D99"/>
    <w:rsid w:val="48C04CFB"/>
    <w:rsid w:val="48DF0D6D"/>
    <w:rsid w:val="48FF5824"/>
    <w:rsid w:val="49043881"/>
    <w:rsid w:val="49266FC3"/>
    <w:rsid w:val="492B03C7"/>
    <w:rsid w:val="493C6A78"/>
    <w:rsid w:val="49425710"/>
    <w:rsid w:val="4948541D"/>
    <w:rsid w:val="498E5824"/>
    <w:rsid w:val="49974D32"/>
    <w:rsid w:val="49DE053E"/>
    <w:rsid w:val="49E1317B"/>
    <w:rsid w:val="49E50EBD"/>
    <w:rsid w:val="4A575FAC"/>
    <w:rsid w:val="4A5D6CA6"/>
    <w:rsid w:val="4A625D30"/>
    <w:rsid w:val="4A767D68"/>
    <w:rsid w:val="4AD36F68"/>
    <w:rsid w:val="4AFD3FE5"/>
    <w:rsid w:val="4B2A17F4"/>
    <w:rsid w:val="4B475260"/>
    <w:rsid w:val="4B4C2876"/>
    <w:rsid w:val="4B991F60"/>
    <w:rsid w:val="4B9E1324"/>
    <w:rsid w:val="4BBF201F"/>
    <w:rsid w:val="4BC24EA7"/>
    <w:rsid w:val="4BDA4326"/>
    <w:rsid w:val="4BE17463"/>
    <w:rsid w:val="4C2B677F"/>
    <w:rsid w:val="4C3B6274"/>
    <w:rsid w:val="4CA26BF2"/>
    <w:rsid w:val="4CAF7561"/>
    <w:rsid w:val="4CB4058E"/>
    <w:rsid w:val="4CEE1E37"/>
    <w:rsid w:val="4D145F92"/>
    <w:rsid w:val="4D1D096E"/>
    <w:rsid w:val="4D330192"/>
    <w:rsid w:val="4D461C73"/>
    <w:rsid w:val="4D5A18A7"/>
    <w:rsid w:val="4D76605E"/>
    <w:rsid w:val="4D8D1839"/>
    <w:rsid w:val="4DA545B9"/>
    <w:rsid w:val="4E092CA1"/>
    <w:rsid w:val="4E37780E"/>
    <w:rsid w:val="4E4156DB"/>
    <w:rsid w:val="4E5959D6"/>
    <w:rsid w:val="4E93713A"/>
    <w:rsid w:val="4EC45545"/>
    <w:rsid w:val="4EFD1898"/>
    <w:rsid w:val="4F1456D4"/>
    <w:rsid w:val="4F361873"/>
    <w:rsid w:val="4F820F5D"/>
    <w:rsid w:val="4F9905AE"/>
    <w:rsid w:val="4FC1760F"/>
    <w:rsid w:val="4FC33F25"/>
    <w:rsid w:val="4FD001C7"/>
    <w:rsid w:val="4FFF6109"/>
    <w:rsid w:val="5004379F"/>
    <w:rsid w:val="500B71A4"/>
    <w:rsid w:val="502E60F8"/>
    <w:rsid w:val="50334005"/>
    <w:rsid w:val="503576B7"/>
    <w:rsid w:val="505E4B9C"/>
    <w:rsid w:val="508A00C9"/>
    <w:rsid w:val="50A30487"/>
    <w:rsid w:val="50A43053"/>
    <w:rsid w:val="50DD1804"/>
    <w:rsid w:val="511570ED"/>
    <w:rsid w:val="51A52CE0"/>
    <w:rsid w:val="51F24178"/>
    <w:rsid w:val="51F36B09"/>
    <w:rsid w:val="51F91CDB"/>
    <w:rsid w:val="52195EFA"/>
    <w:rsid w:val="525A7F6F"/>
    <w:rsid w:val="529674E9"/>
    <w:rsid w:val="52B84574"/>
    <w:rsid w:val="52D23907"/>
    <w:rsid w:val="533605A8"/>
    <w:rsid w:val="5357201B"/>
    <w:rsid w:val="535D3873"/>
    <w:rsid w:val="53876B42"/>
    <w:rsid w:val="53931C74"/>
    <w:rsid w:val="53A45945"/>
    <w:rsid w:val="53F86A2E"/>
    <w:rsid w:val="54153BAB"/>
    <w:rsid w:val="543E18F6"/>
    <w:rsid w:val="545B0E61"/>
    <w:rsid w:val="546808AF"/>
    <w:rsid w:val="546B1FBF"/>
    <w:rsid w:val="54996B2C"/>
    <w:rsid w:val="54EA4EEF"/>
    <w:rsid w:val="550A7A2A"/>
    <w:rsid w:val="554A7E27"/>
    <w:rsid w:val="555E1B24"/>
    <w:rsid w:val="556A04C9"/>
    <w:rsid w:val="559E5653"/>
    <w:rsid w:val="55AB3C2F"/>
    <w:rsid w:val="55BF587A"/>
    <w:rsid w:val="55EC35D4"/>
    <w:rsid w:val="560E77BA"/>
    <w:rsid w:val="561F3061"/>
    <w:rsid w:val="56383CF3"/>
    <w:rsid w:val="56455CD4"/>
    <w:rsid w:val="565C42B5"/>
    <w:rsid w:val="56AE76A6"/>
    <w:rsid w:val="56C834D3"/>
    <w:rsid w:val="56D4209E"/>
    <w:rsid w:val="56DB2C2D"/>
    <w:rsid w:val="56E4418B"/>
    <w:rsid w:val="56F3629C"/>
    <w:rsid w:val="57064221"/>
    <w:rsid w:val="570E7A86"/>
    <w:rsid w:val="575256B8"/>
    <w:rsid w:val="5773022F"/>
    <w:rsid w:val="57770C7B"/>
    <w:rsid w:val="57AD4960"/>
    <w:rsid w:val="58016415"/>
    <w:rsid w:val="580A1AEF"/>
    <w:rsid w:val="58776655"/>
    <w:rsid w:val="58B74216"/>
    <w:rsid w:val="58C16652"/>
    <w:rsid w:val="590752B6"/>
    <w:rsid w:val="591F15CA"/>
    <w:rsid w:val="59630464"/>
    <w:rsid w:val="596D67DA"/>
    <w:rsid w:val="596E43D2"/>
    <w:rsid w:val="59760D08"/>
    <w:rsid w:val="599E6993"/>
    <w:rsid w:val="59AC5554"/>
    <w:rsid w:val="5A564466"/>
    <w:rsid w:val="5A902780"/>
    <w:rsid w:val="5A9F4737"/>
    <w:rsid w:val="5AA75D1B"/>
    <w:rsid w:val="5AAE2C06"/>
    <w:rsid w:val="5AE8436A"/>
    <w:rsid w:val="5AF80325"/>
    <w:rsid w:val="5B350353"/>
    <w:rsid w:val="5B392E17"/>
    <w:rsid w:val="5B6339F0"/>
    <w:rsid w:val="5BAB2F47"/>
    <w:rsid w:val="5BBC75A4"/>
    <w:rsid w:val="5BF6561B"/>
    <w:rsid w:val="5BFA4C14"/>
    <w:rsid w:val="5C084598"/>
    <w:rsid w:val="5C2A6C04"/>
    <w:rsid w:val="5C3543D2"/>
    <w:rsid w:val="5C406532"/>
    <w:rsid w:val="5C586D7F"/>
    <w:rsid w:val="5C6644ED"/>
    <w:rsid w:val="5C720168"/>
    <w:rsid w:val="5C7C5B98"/>
    <w:rsid w:val="5CCC1D5B"/>
    <w:rsid w:val="5CD346A3"/>
    <w:rsid w:val="5CD526CC"/>
    <w:rsid w:val="5CDA3841"/>
    <w:rsid w:val="5CE36031"/>
    <w:rsid w:val="5CEE2074"/>
    <w:rsid w:val="5D235E58"/>
    <w:rsid w:val="5D37777A"/>
    <w:rsid w:val="5D4B2A96"/>
    <w:rsid w:val="5DAB6E16"/>
    <w:rsid w:val="5DB26EB1"/>
    <w:rsid w:val="5DBA559D"/>
    <w:rsid w:val="5DD25566"/>
    <w:rsid w:val="5DFE3EA4"/>
    <w:rsid w:val="5E465887"/>
    <w:rsid w:val="5E473A9D"/>
    <w:rsid w:val="5E761C8C"/>
    <w:rsid w:val="5E8425FB"/>
    <w:rsid w:val="5EA165BA"/>
    <w:rsid w:val="5ED92ACF"/>
    <w:rsid w:val="5EE50BC0"/>
    <w:rsid w:val="5F0E0F80"/>
    <w:rsid w:val="5F181B76"/>
    <w:rsid w:val="5F32465D"/>
    <w:rsid w:val="5F463D55"/>
    <w:rsid w:val="5F771EE7"/>
    <w:rsid w:val="5FD4389C"/>
    <w:rsid w:val="5FEB0458"/>
    <w:rsid w:val="5FEC48FC"/>
    <w:rsid w:val="6013374F"/>
    <w:rsid w:val="602D090F"/>
    <w:rsid w:val="60652DA3"/>
    <w:rsid w:val="60B116A2"/>
    <w:rsid w:val="60B42F40"/>
    <w:rsid w:val="60B7767B"/>
    <w:rsid w:val="60BE3D7B"/>
    <w:rsid w:val="60E63D3F"/>
    <w:rsid w:val="61416CB2"/>
    <w:rsid w:val="61696F59"/>
    <w:rsid w:val="619A2136"/>
    <w:rsid w:val="61D672CA"/>
    <w:rsid w:val="61E63AF5"/>
    <w:rsid w:val="62362A18"/>
    <w:rsid w:val="626A2DAC"/>
    <w:rsid w:val="62784498"/>
    <w:rsid w:val="62944DD7"/>
    <w:rsid w:val="629848C7"/>
    <w:rsid w:val="62B70A1E"/>
    <w:rsid w:val="63293771"/>
    <w:rsid w:val="637C7D45"/>
    <w:rsid w:val="639808F7"/>
    <w:rsid w:val="63F62DDB"/>
    <w:rsid w:val="645F2960"/>
    <w:rsid w:val="64654C7D"/>
    <w:rsid w:val="64915A72"/>
    <w:rsid w:val="64BD496D"/>
    <w:rsid w:val="64BE25DF"/>
    <w:rsid w:val="64C44758"/>
    <w:rsid w:val="64F93617"/>
    <w:rsid w:val="655D3BA6"/>
    <w:rsid w:val="65655387"/>
    <w:rsid w:val="657A1239"/>
    <w:rsid w:val="658904F7"/>
    <w:rsid w:val="659A6BA8"/>
    <w:rsid w:val="65CD1A40"/>
    <w:rsid w:val="65FE7BFD"/>
    <w:rsid w:val="669748D6"/>
    <w:rsid w:val="66EC6F90"/>
    <w:rsid w:val="66F2031E"/>
    <w:rsid w:val="66F37323"/>
    <w:rsid w:val="66F62281"/>
    <w:rsid w:val="67027686"/>
    <w:rsid w:val="671958AB"/>
    <w:rsid w:val="676E7C98"/>
    <w:rsid w:val="67722FCD"/>
    <w:rsid w:val="67AA7E58"/>
    <w:rsid w:val="67AB0BF9"/>
    <w:rsid w:val="67AE693B"/>
    <w:rsid w:val="68077DF9"/>
    <w:rsid w:val="6833204F"/>
    <w:rsid w:val="68382663"/>
    <w:rsid w:val="686314D3"/>
    <w:rsid w:val="68727968"/>
    <w:rsid w:val="6888718C"/>
    <w:rsid w:val="68D6423C"/>
    <w:rsid w:val="68E5527F"/>
    <w:rsid w:val="69477296"/>
    <w:rsid w:val="69A578CA"/>
    <w:rsid w:val="69CE68E5"/>
    <w:rsid w:val="69DE2BEB"/>
    <w:rsid w:val="6A036304"/>
    <w:rsid w:val="6A7343B6"/>
    <w:rsid w:val="6A7B707A"/>
    <w:rsid w:val="6AA125B3"/>
    <w:rsid w:val="6AB029CA"/>
    <w:rsid w:val="6AB40090"/>
    <w:rsid w:val="6ADC141C"/>
    <w:rsid w:val="6ADE7537"/>
    <w:rsid w:val="6AE34B4E"/>
    <w:rsid w:val="6B036F9E"/>
    <w:rsid w:val="6B0C2013"/>
    <w:rsid w:val="6B1F6200"/>
    <w:rsid w:val="6B483AD7"/>
    <w:rsid w:val="6B4A3375"/>
    <w:rsid w:val="6B825FC3"/>
    <w:rsid w:val="6B8359E9"/>
    <w:rsid w:val="6B970455"/>
    <w:rsid w:val="6C027255"/>
    <w:rsid w:val="6C2D46A8"/>
    <w:rsid w:val="6C613F7C"/>
    <w:rsid w:val="6C806253"/>
    <w:rsid w:val="6C857302"/>
    <w:rsid w:val="6C9500C9"/>
    <w:rsid w:val="6CB20956"/>
    <w:rsid w:val="6CF748E0"/>
    <w:rsid w:val="6D15191A"/>
    <w:rsid w:val="6D7D3037"/>
    <w:rsid w:val="6D934609"/>
    <w:rsid w:val="6DAE50AD"/>
    <w:rsid w:val="6DD11CEE"/>
    <w:rsid w:val="6DDA2238"/>
    <w:rsid w:val="6E0E1EE1"/>
    <w:rsid w:val="6E2037FE"/>
    <w:rsid w:val="6E265416"/>
    <w:rsid w:val="6E34121C"/>
    <w:rsid w:val="6E5A21EA"/>
    <w:rsid w:val="6E871399"/>
    <w:rsid w:val="6E8B1784"/>
    <w:rsid w:val="6EB8009F"/>
    <w:rsid w:val="6EC72090"/>
    <w:rsid w:val="6ECE1671"/>
    <w:rsid w:val="6EDA6267"/>
    <w:rsid w:val="6F1B41CB"/>
    <w:rsid w:val="6F354CAF"/>
    <w:rsid w:val="6F3E041D"/>
    <w:rsid w:val="6F834B73"/>
    <w:rsid w:val="6F857F81"/>
    <w:rsid w:val="6FA110A6"/>
    <w:rsid w:val="6FC62348"/>
    <w:rsid w:val="6FE10E18"/>
    <w:rsid w:val="6FEA2D4D"/>
    <w:rsid w:val="6FEC14A9"/>
    <w:rsid w:val="6FEC6252"/>
    <w:rsid w:val="70087E56"/>
    <w:rsid w:val="7019691C"/>
    <w:rsid w:val="702E23C7"/>
    <w:rsid w:val="703A2BF0"/>
    <w:rsid w:val="706447A2"/>
    <w:rsid w:val="70A15EF2"/>
    <w:rsid w:val="70CB230C"/>
    <w:rsid w:val="710F33E9"/>
    <w:rsid w:val="71874A5E"/>
    <w:rsid w:val="71BB2380"/>
    <w:rsid w:val="71E60A7F"/>
    <w:rsid w:val="71F37403"/>
    <w:rsid w:val="71FD4747"/>
    <w:rsid w:val="72182A31"/>
    <w:rsid w:val="721E46BD"/>
    <w:rsid w:val="72267932"/>
    <w:rsid w:val="72271FEC"/>
    <w:rsid w:val="72655E48"/>
    <w:rsid w:val="72693B5C"/>
    <w:rsid w:val="726B5B54"/>
    <w:rsid w:val="72824C4C"/>
    <w:rsid w:val="728A3B01"/>
    <w:rsid w:val="72D93738"/>
    <w:rsid w:val="732860C2"/>
    <w:rsid w:val="73434202"/>
    <w:rsid w:val="734819F2"/>
    <w:rsid w:val="735B7378"/>
    <w:rsid w:val="73727615"/>
    <w:rsid w:val="737A608E"/>
    <w:rsid w:val="73A806E2"/>
    <w:rsid w:val="73BC418E"/>
    <w:rsid w:val="73D5080C"/>
    <w:rsid w:val="73D52723"/>
    <w:rsid w:val="74077C61"/>
    <w:rsid w:val="741D2E7E"/>
    <w:rsid w:val="746F2FAE"/>
    <w:rsid w:val="74A16CBA"/>
    <w:rsid w:val="74B03CF2"/>
    <w:rsid w:val="74CB28DA"/>
    <w:rsid w:val="74D53759"/>
    <w:rsid w:val="74DF348D"/>
    <w:rsid w:val="74F33BDF"/>
    <w:rsid w:val="752B5D11"/>
    <w:rsid w:val="752C70F1"/>
    <w:rsid w:val="75387844"/>
    <w:rsid w:val="753903C8"/>
    <w:rsid w:val="75564C30"/>
    <w:rsid w:val="75CC2E8E"/>
    <w:rsid w:val="75DC4AB5"/>
    <w:rsid w:val="75DE1906"/>
    <w:rsid w:val="75EF406B"/>
    <w:rsid w:val="76125D2B"/>
    <w:rsid w:val="76391AC6"/>
    <w:rsid w:val="76515061"/>
    <w:rsid w:val="76571F4C"/>
    <w:rsid w:val="765B7C8E"/>
    <w:rsid w:val="76707B96"/>
    <w:rsid w:val="76726D86"/>
    <w:rsid w:val="768D36C7"/>
    <w:rsid w:val="76C3504D"/>
    <w:rsid w:val="76EC79CF"/>
    <w:rsid w:val="76EE465E"/>
    <w:rsid w:val="770422FE"/>
    <w:rsid w:val="772E6EB3"/>
    <w:rsid w:val="7746449A"/>
    <w:rsid w:val="775546DD"/>
    <w:rsid w:val="775E5A5C"/>
    <w:rsid w:val="778C3E77"/>
    <w:rsid w:val="77E31CE9"/>
    <w:rsid w:val="77FC724F"/>
    <w:rsid w:val="781F4CEB"/>
    <w:rsid w:val="78376C25"/>
    <w:rsid w:val="78597FC3"/>
    <w:rsid w:val="78746DE5"/>
    <w:rsid w:val="78A72AF0"/>
    <w:rsid w:val="78ED0487"/>
    <w:rsid w:val="78FF10D9"/>
    <w:rsid w:val="790F6B0E"/>
    <w:rsid w:val="79134850"/>
    <w:rsid w:val="79200163"/>
    <w:rsid w:val="79261AEA"/>
    <w:rsid w:val="7956473D"/>
    <w:rsid w:val="798624FA"/>
    <w:rsid w:val="798661F3"/>
    <w:rsid w:val="799314ED"/>
    <w:rsid w:val="79A47B9E"/>
    <w:rsid w:val="79EE2C15"/>
    <w:rsid w:val="7A4F4E61"/>
    <w:rsid w:val="7A5C2227"/>
    <w:rsid w:val="7A6179EB"/>
    <w:rsid w:val="7AA239B5"/>
    <w:rsid w:val="7AA46F38"/>
    <w:rsid w:val="7AF728FC"/>
    <w:rsid w:val="7B2A7DDF"/>
    <w:rsid w:val="7B467F1D"/>
    <w:rsid w:val="7BA7772C"/>
    <w:rsid w:val="7BAF448F"/>
    <w:rsid w:val="7BE81B55"/>
    <w:rsid w:val="7C0924C9"/>
    <w:rsid w:val="7C0A708B"/>
    <w:rsid w:val="7C0F17A1"/>
    <w:rsid w:val="7C507B69"/>
    <w:rsid w:val="7C603012"/>
    <w:rsid w:val="7C711A95"/>
    <w:rsid w:val="7C8664E0"/>
    <w:rsid w:val="7C8D4919"/>
    <w:rsid w:val="7CBA4FE2"/>
    <w:rsid w:val="7CD24A22"/>
    <w:rsid w:val="7CE9012A"/>
    <w:rsid w:val="7D152314"/>
    <w:rsid w:val="7D2F777E"/>
    <w:rsid w:val="7D5854A0"/>
    <w:rsid w:val="7D5F0561"/>
    <w:rsid w:val="7D60202E"/>
    <w:rsid w:val="7D6458CE"/>
    <w:rsid w:val="7D853355"/>
    <w:rsid w:val="7D8555F0"/>
    <w:rsid w:val="7D9029B9"/>
    <w:rsid w:val="7D910439"/>
    <w:rsid w:val="7D916095"/>
    <w:rsid w:val="7DB14637"/>
    <w:rsid w:val="7DC51E91"/>
    <w:rsid w:val="7DE710D5"/>
    <w:rsid w:val="7E141A72"/>
    <w:rsid w:val="7E17093E"/>
    <w:rsid w:val="7E703977"/>
    <w:rsid w:val="7E7062A0"/>
    <w:rsid w:val="7E7C6AA2"/>
    <w:rsid w:val="7E963DC6"/>
    <w:rsid w:val="7EC36D96"/>
    <w:rsid w:val="7EE6449C"/>
    <w:rsid w:val="7EF02F3D"/>
    <w:rsid w:val="7EFD18A2"/>
    <w:rsid w:val="7F1B1599"/>
    <w:rsid w:val="7F550EAD"/>
    <w:rsid w:val="7F5F65D1"/>
    <w:rsid w:val="7F606315"/>
    <w:rsid w:val="7F6210EB"/>
    <w:rsid w:val="7F892F09"/>
    <w:rsid w:val="7F8B73C1"/>
    <w:rsid w:val="7F961D37"/>
    <w:rsid w:val="7FAC3308"/>
    <w:rsid w:val="7FDD7966"/>
    <w:rsid w:val="7FF245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27"/>
    <w:qFormat/>
    <w:uiPriority w:val="0"/>
    <w:pPr>
      <w:keepNext/>
      <w:keepLines/>
      <w:spacing w:before="340" w:afterLines="25" w:line="578" w:lineRule="auto"/>
      <w:outlineLvl w:val="0"/>
    </w:pPr>
    <w:rPr>
      <w:rFonts w:ascii="Arial" w:hAnsi="Arial" w:eastAsia="宋体" w:cs="Times New Roman"/>
      <w:b/>
      <w:bCs/>
      <w:kern w:val="44"/>
      <w:sz w:val="44"/>
      <w:szCs w:val="44"/>
    </w:rPr>
  </w:style>
  <w:style w:type="paragraph" w:styleId="4">
    <w:name w:val="heading 2"/>
    <w:basedOn w:val="1"/>
    <w:next w:val="1"/>
    <w:link w:val="30"/>
    <w:semiHidden/>
    <w:unhideWhenUsed/>
    <w:qFormat/>
    <w:uiPriority w:val="9"/>
    <w:pPr>
      <w:keepNext/>
      <w:keepLines/>
      <w:spacing w:before="260" w:after="260" w:line="416" w:lineRule="auto"/>
      <w:outlineLvl w:val="1"/>
    </w:pPr>
    <w:rPr>
      <w:rFonts w:asciiTheme="majorHAnsi" w:hAnsiTheme="majorHAnsi" w:eastAsiaTheme="majorEastAsia" w:cstheme="majorBidi"/>
      <w:sz w:val="32"/>
      <w:szCs w:val="32"/>
    </w:rPr>
  </w:style>
  <w:style w:type="paragraph" w:styleId="5">
    <w:name w:val="heading 3"/>
    <w:basedOn w:val="6"/>
    <w:next w:val="1"/>
    <w:qFormat/>
    <w:uiPriority w:val="9"/>
    <w:pPr>
      <w:spacing w:before="260" w:after="260" w:line="240" w:lineRule="auto"/>
      <w:outlineLvl w:val="2"/>
    </w:pPr>
    <w:rPr>
      <w:rFonts w:ascii="宋体" w:hAnsi="宋体" w:eastAsia="宋体"/>
      <w:szCs w:val="32"/>
    </w:rPr>
  </w:style>
  <w:style w:type="paragraph" w:styleId="6">
    <w:name w:val="heading 4"/>
    <w:basedOn w:val="1"/>
    <w:next w:val="1"/>
    <w:qFormat/>
    <w:uiPriority w:val="9"/>
    <w:pPr>
      <w:keepNext/>
      <w:keepLines/>
      <w:spacing w:before="280" w:after="290" w:line="376" w:lineRule="auto"/>
      <w:outlineLvl w:val="3"/>
    </w:pPr>
    <w:rPr>
      <w:rFonts w:ascii="Arial" w:hAnsi="Arial" w:eastAsia="黑体"/>
      <w:b/>
      <w:bCs/>
      <w:sz w:val="28"/>
      <w:szCs w:val="28"/>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line="360" w:lineRule="auto"/>
    </w:pPr>
    <w:rPr>
      <w:b/>
      <w:bCs/>
      <w:sz w:val="24"/>
    </w:rPr>
  </w:style>
  <w:style w:type="paragraph" w:styleId="7">
    <w:name w:val="Normal Indent"/>
    <w:basedOn w:val="1"/>
    <w:qFormat/>
    <w:uiPriority w:val="0"/>
    <w:pPr>
      <w:ind w:firstLine="420"/>
    </w:pPr>
    <w:rPr>
      <w:szCs w:val="20"/>
    </w:rPr>
  </w:style>
  <w:style w:type="paragraph" w:styleId="8">
    <w:name w:val="Document Map"/>
    <w:basedOn w:val="1"/>
    <w:link w:val="29"/>
    <w:semiHidden/>
    <w:unhideWhenUsed/>
    <w:qFormat/>
    <w:uiPriority w:val="99"/>
    <w:rPr>
      <w:rFonts w:ascii="宋体" w:eastAsia="宋体"/>
      <w:sz w:val="18"/>
      <w:szCs w:val="18"/>
    </w:rPr>
  </w:style>
  <w:style w:type="paragraph" w:styleId="9">
    <w:name w:val="annotation text"/>
    <w:basedOn w:val="1"/>
    <w:link w:val="31"/>
    <w:unhideWhenUsed/>
    <w:qFormat/>
    <w:uiPriority w:val="99"/>
    <w:pPr>
      <w:jc w:val="left"/>
    </w:pPr>
  </w:style>
  <w:style w:type="paragraph" w:styleId="10">
    <w:name w:val="Balloon Text"/>
    <w:basedOn w:val="1"/>
    <w:link w:val="25"/>
    <w:semiHidden/>
    <w:unhideWhenUsed/>
    <w:qFormat/>
    <w:uiPriority w:val="99"/>
    <w:rPr>
      <w:sz w:val="18"/>
      <w:szCs w:val="18"/>
    </w:rPr>
  </w:style>
  <w:style w:type="paragraph" w:styleId="11">
    <w:name w:val="footer"/>
    <w:basedOn w:val="1"/>
    <w:link w:val="24"/>
    <w:unhideWhenUsed/>
    <w:qFormat/>
    <w:uiPriority w:val="99"/>
    <w:pPr>
      <w:tabs>
        <w:tab w:val="center" w:pos="4153"/>
        <w:tab w:val="right" w:pos="8306"/>
      </w:tabs>
      <w:snapToGrid w:val="0"/>
      <w:jc w:val="left"/>
    </w:pPr>
    <w:rPr>
      <w:sz w:val="18"/>
      <w:szCs w:val="18"/>
    </w:rPr>
  </w:style>
  <w:style w:type="paragraph" w:styleId="12">
    <w:name w:val="header"/>
    <w:basedOn w:val="1"/>
    <w:link w:val="23"/>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Body Text 2"/>
    <w:basedOn w:val="1"/>
    <w:qFormat/>
    <w:uiPriority w:val="0"/>
    <w:pPr>
      <w:spacing w:line="360" w:lineRule="auto"/>
    </w:pPr>
    <w:rPr>
      <w:sz w:val="24"/>
    </w:rPr>
  </w:style>
  <w:style w:type="paragraph" w:styleId="14">
    <w:name w:val="Normal (Web)"/>
    <w:basedOn w:val="1"/>
    <w:link w:val="26"/>
    <w:qFormat/>
    <w:uiPriority w:val="99"/>
    <w:pPr>
      <w:widowControl/>
      <w:spacing w:before="100" w:beforeAutospacing="1" w:afterAutospacing="1"/>
      <w:jc w:val="left"/>
    </w:pPr>
    <w:rPr>
      <w:rFonts w:ascii="宋体" w:hAnsi="宋体"/>
      <w:sz w:val="24"/>
      <w:szCs w:val="24"/>
    </w:rPr>
  </w:style>
  <w:style w:type="paragraph" w:styleId="15">
    <w:name w:val="annotation subject"/>
    <w:basedOn w:val="9"/>
    <w:next w:val="9"/>
    <w:link w:val="33"/>
    <w:semiHidden/>
    <w:unhideWhenUsed/>
    <w:qFormat/>
    <w:uiPriority w:val="99"/>
    <w:rPr>
      <w:b/>
      <w:bCs/>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Strong"/>
    <w:qFormat/>
    <w:uiPriority w:val="0"/>
    <w:rPr>
      <w:b/>
      <w:bCs/>
    </w:rPr>
  </w:style>
  <w:style w:type="character" w:styleId="20">
    <w:name w:val="FollowedHyperlink"/>
    <w:basedOn w:val="18"/>
    <w:semiHidden/>
    <w:unhideWhenUsed/>
    <w:qFormat/>
    <w:uiPriority w:val="99"/>
    <w:rPr>
      <w:color w:val="800080" w:themeColor="followedHyperlink"/>
      <w:u w:val="single"/>
      <w14:textFill>
        <w14:solidFill>
          <w14:schemeClr w14:val="folHlink"/>
        </w14:solidFill>
      </w14:textFill>
    </w:rPr>
  </w:style>
  <w:style w:type="character" w:styleId="21">
    <w:name w:val="Hyperlink"/>
    <w:basedOn w:val="18"/>
    <w:unhideWhenUsed/>
    <w:qFormat/>
    <w:uiPriority w:val="99"/>
    <w:rPr>
      <w:color w:val="0000FF" w:themeColor="hyperlink"/>
      <w:u w:val="single"/>
      <w14:textFill>
        <w14:solidFill>
          <w14:schemeClr w14:val="hlink"/>
        </w14:solidFill>
      </w14:textFill>
    </w:rPr>
  </w:style>
  <w:style w:type="character" w:styleId="22">
    <w:name w:val="annotation reference"/>
    <w:basedOn w:val="18"/>
    <w:semiHidden/>
    <w:unhideWhenUsed/>
    <w:qFormat/>
    <w:uiPriority w:val="99"/>
    <w:rPr>
      <w:sz w:val="21"/>
      <w:szCs w:val="21"/>
    </w:rPr>
  </w:style>
  <w:style w:type="character" w:customStyle="1" w:styleId="23">
    <w:name w:val="页眉 Char"/>
    <w:basedOn w:val="18"/>
    <w:link w:val="12"/>
    <w:qFormat/>
    <w:uiPriority w:val="99"/>
    <w:rPr>
      <w:sz w:val="18"/>
      <w:szCs w:val="18"/>
    </w:rPr>
  </w:style>
  <w:style w:type="character" w:customStyle="1" w:styleId="24">
    <w:name w:val="页脚 Char"/>
    <w:basedOn w:val="18"/>
    <w:link w:val="11"/>
    <w:qFormat/>
    <w:uiPriority w:val="99"/>
    <w:rPr>
      <w:sz w:val="18"/>
      <w:szCs w:val="18"/>
    </w:rPr>
  </w:style>
  <w:style w:type="character" w:customStyle="1" w:styleId="25">
    <w:name w:val="批注框文本 Char"/>
    <w:basedOn w:val="18"/>
    <w:link w:val="10"/>
    <w:semiHidden/>
    <w:qFormat/>
    <w:uiPriority w:val="99"/>
    <w:rPr>
      <w:sz w:val="18"/>
      <w:szCs w:val="18"/>
    </w:rPr>
  </w:style>
  <w:style w:type="character" w:customStyle="1" w:styleId="26">
    <w:name w:val="普通(网站) Char"/>
    <w:link w:val="14"/>
    <w:qFormat/>
    <w:uiPriority w:val="99"/>
    <w:rPr>
      <w:rFonts w:ascii="宋体" w:hAnsi="宋体"/>
      <w:sz w:val="24"/>
      <w:szCs w:val="24"/>
    </w:rPr>
  </w:style>
  <w:style w:type="character" w:customStyle="1" w:styleId="27">
    <w:name w:val="标题 1 Char"/>
    <w:basedOn w:val="18"/>
    <w:link w:val="3"/>
    <w:qFormat/>
    <w:uiPriority w:val="0"/>
    <w:rPr>
      <w:rFonts w:ascii="Arial" w:hAnsi="Arial" w:eastAsia="宋体" w:cs="Times New Roman"/>
      <w:b/>
      <w:bCs/>
      <w:kern w:val="44"/>
      <w:sz w:val="44"/>
      <w:szCs w:val="44"/>
    </w:rPr>
  </w:style>
  <w:style w:type="paragraph" w:styleId="28">
    <w:name w:val="List Paragraph"/>
    <w:basedOn w:val="1"/>
    <w:qFormat/>
    <w:uiPriority w:val="34"/>
    <w:pPr>
      <w:ind w:firstLine="420" w:firstLineChars="200"/>
    </w:pPr>
  </w:style>
  <w:style w:type="character" w:customStyle="1" w:styleId="29">
    <w:name w:val="文档结构图 Char"/>
    <w:basedOn w:val="18"/>
    <w:link w:val="8"/>
    <w:semiHidden/>
    <w:qFormat/>
    <w:uiPriority w:val="99"/>
    <w:rPr>
      <w:rFonts w:ascii="宋体" w:eastAsia="宋体"/>
      <w:sz w:val="18"/>
      <w:szCs w:val="18"/>
    </w:rPr>
  </w:style>
  <w:style w:type="character" w:customStyle="1" w:styleId="30">
    <w:name w:val="标题 2 Char"/>
    <w:basedOn w:val="18"/>
    <w:link w:val="4"/>
    <w:semiHidden/>
    <w:qFormat/>
    <w:uiPriority w:val="9"/>
    <w:rPr>
      <w:rFonts w:asciiTheme="majorHAnsi" w:hAnsiTheme="majorHAnsi" w:eastAsiaTheme="majorEastAsia" w:cstheme="majorBidi"/>
      <w:b/>
      <w:bCs/>
      <w:sz w:val="32"/>
      <w:szCs w:val="32"/>
    </w:rPr>
  </w:style>
  <w:style w:type="character" w:customStyle="1" w:styleId="31">
    <w:name w:val="批注文字 Char"/>
    <w:basedOn w:val="18"/>
    <w:link w:val="9"/>
    <w:qFormat/>
    <w:uiPriority w:val="99"/>
  </w:style>
  <w:style w:type="character" w:customStyle="1" w:styleId="32">
    <w:name w:val="标题 3 Char"/>
    <w:qFormat/>
    <w:uiPriority w:val="0"/>
    <w:rPr>
      <w:rFonts w:ascii="黑体" w:eastAsia="黑体"/>
      <w:bCs/>
      <w:sz w:val="30"/>
    </w:rPr>
  </w:style>
  <w:style w:type="character" w:customStyle="1" w:styleId="33">
    <w:name w:val="批注主题 Char"/>
    <w:basedOn w:val="31"/>
    <w:link w:val="15"/>
    <w:semiHidden/>
    <w:qFormat/>
    <w:uiPriority w:val="99"/>
    <w:rPr>
      <w:b/>
      <w:bCs/>
    </w:rPr>
  </w:style>
  <w:style w:type="table" w:customStyle="1" w:styleId="34">
    <w:name w:val="网格型1"/>
    <w:basedOn w:val="16"/>
    <w:qFormat/>
    <w:uiPriority w:val="39"/>
    <w:pPr>
      <w:widowControl w:val="0"/>
      <w:jc w:val="both"/>
    </w:pPr>
    <w:rPr>
      <w:rFonts w:eastAsiaTheme="minorEastAs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35">
    <w:name w:val="Table Paragraph"/>
    <w:qFormat/>
    <w:uiPriority w:val="1"/>
    <w:pPr>
      <w:widowControl w:val="0"/>
      <w:jc w:val="both"/>
    </w:pPr>
    <w:rPr>
      <w:rFonts w:ascii="宋体" w:hAnsi="宋体" w:eastAsia="宋体" w:cs="宋体"/>
      <w:kern w:val="2"/>
      <w:sz w:val="21"/>
      <w:szCs w:val="24"/>
      <w:lang w:val="zh-CN" w:eastAsia="zh-CN" w:bidi="zh-CN"/>
    </w:rPr>
  </w:style>
  <w:style w:type="paragraph" w:customStyle="1" w:styleId="36">
    <w:name w:val="正文-公1"/>
    <w:basedOn w:val="1"/>
    <w:next w:val="12"/>
    <w:qFormat/>
    <w:uiPriority w:val="0"/>
    <w:pPr>
      <w:ind w:firstLine="200" w:firstLineChars="200"/>
    </w:pPr>
    <w:rPr>
      <w:color w:val="000000"/>
    </w:rPr>
  </w:style>
  <w:style w:type="character" w:customStyle="1" w:styleId="37">
    <w:name w:val="font11"/>
    <w:basedOn w:val="18"/>
    <w:qFormat/>
    <w:uiPriority w:val="0"/>
    <w:rPr>
      <w:rFonts w:hint="eastAsia" w:ascii="宋体" w:hAnsi="宋体" w:eastAsia="宋体" w:cs="宋体"/>
      <w:b/>
      <w:bCs/>
      <w:color w:val="000000"/>
      <w:sz w:val="21"/>
      <w:szCs w:val="21"/>
      <w:u w:val="none"/>
    </w:rPr>
  </w:style>
  <w:style w:type="character" w:customStyle="1" w:styleId="38">
    <w:name w:val="font31"/>
    <w:basedOn w:val="18"/>
    <w:qFormat/>
    <w:uiPriority w:val="0"/>
    <w:rPr>
      <w:rFonts w:hint="eastAsia" w:ascii="宋体" w:hAnsi="宋体" w:eastAsia="宋体" w:cs="宋体"/>
      <w:color w:val="000000"/>
      <w:sz w:val="21"/>
      <w:szCs w:val="21"/>
      <w:u w:val="none"/>
    </w:rPr>
  </w:style>
  <w:style w:type="character" w:customStyle="1" w:styleId="39">
    <w:name w:val="font41"/>
    <w:basedOn w:val="18"/>
    <w:qFormat/>
    <w:uiPriority w:val="0"/>
    <w:rPr>
      <w:rFonts w:hint="eastAsia" w:ascii="宋体" w:hAnsi="宋体" w:eastAsia="宋体" w:cs="宋体"/>
      <w:color w:val="0C0C0C"/>
      <w:sz w:val="21"/>
      <w:szCs w:val="21"/>
      <w:u w:val="none"/>
    </w:rPr>
  </w:style>
  <w:style w:type="character" w:customStyle="1" w:styleId="40">
    <w:name w:val="font81"/>
    <w:basedOn w:val="18"/>
    <w:qFormat/>
    <w:uiPriority w:val="0"/>
    <w:rPr>
      <w:rFonts w:hint="eastAsia" w:ascii="宋体" w:hAnsi="宋体" w:eastAsia="宋体" w:cs="宋体"/>
      <w:b/>
      <w:bCs/>
      <w:color w:val="0C0C0C"/>
      <w:sz w:val="21"/>
      <w:szCs w:val="21"/>
      <w:u w:val="none"/>
    </w:rPr>
  </w:style>
  <w:style w:type="character" w:customStyle="1" w:styleId="41">
    <w:name w:val="font91"/>
    <w:basedOn w:val="18"/>
    <w:qFormat/>
    <w:uiPriority w:val="0"/>
    <w:rPr>
      <w:rFonts w:hint="eastAsia" w:ascii="宋体" w:hAnsi="宋体" w:eastAsia="宋体" w:cs="宋体"/>
      <w:b/>
      <w:bCs/>
      <w:color w:val="FF0000"/>
      <w:sz w:val="21"/>
      <w:szCs w:val="21"/>
      <w:u w:val="none"/>
    </w:rPr>
  </w:style>
  <w:style w:type="character" w:customStyle="1" w:styleId="42">
    <w:name w:val="font61"/>
    <w:basedOn w:val="18"/>
    <w:qFormat/>
    <w:uiPriority w:val="0"/>
    <w:rPr>
      <w:rFonts w:hint="default" w:ascii="Calibri" w:hAnsi="Calibri" w:cs="Calibri"/>
      <w:b/>
      <w:bCs/>
      <w:color w:val="FF0000"/>
      <w:sz w:val="21"/>
      <w:szCs w:val="21"/>
      <w:u w:val="none"/>
    </w:rPr>
  </w:style>
  <w:style w:type="character" w:customStyle="1" w:styleId="43">
    <w:name w:val="font51"/>
    <w:basedOn w:val="18"/>
    <w:qFormat/>
    <w:uiPriority w:val="0"/>
    <w:rPr>
      <w:rFonts w:hint="eastAsia" w:ascii="宋体" w:hAnsi="宋体" w:eastAsia="宋体" w:cs="宋体"/>
      <w:color w:val="000000"/>
      <w:sz w:val="20"/>
      <w:szCs w:val="20"/>
      <w:u w:val="none"/>
    </w:rPr>
  </w:style>
  <w:style w:type="character" w:customStyle="1" w:styleId="44">
    <w:name w:val="font101"/>
    <w:basedOn w:val="18"/>
    <w:qFormat/>
    <w:uiPriority w:val="0"/>
    <w:rPr>
      <w:rFonts w:hint="default" w:ascii="Calibri" w:hAnsi="Calibri" w:cs="Calibri"/>
      <w:color w:val="000000"/>
      <w:sz w:val="21"/>
      <w:szCs w:val="21"/>
      <w:u w:val="none"/>
    </w:rPr>
  </w:style>
  <w:style w:type="character" w:customStyle="1" w:styleId="45">
    <w:name w:val="font71"/>
    <w:basedOn w:val="18"/>
    <w:qFormat/>
    <w:uiPriority w:val="0"/>
    <w:rPr>
      <w:rFonts w:hint="eastAsia" w:ascii="宋体" w:hAnsi="宋体" w:eastAsia="宋体" w:cs="宋体"/>
      <w:color w:val="000000"/>
      <w:sz w:val="21"/>
      <w:szCs w:val="21"/>
      <w:u w:val="none"/>
    </w:rPr>
  </w:style>
  <w:style w:type="character" w:customStyle="1" w:styleId="46">
    <w:name w:val="font112"/>
    <w:basedOn w:val="18"/>
    <w:qFormat/>
    <w:uiPriority w:val="0"/>
    <w:rPr>
      <w:rFonts w:hint="eastAsia" w:ascii="宋体" w:hAnsi="宋体" w:eastAsia="宋体" w:cs="宋体"/>
      <w:b/>
      <w:bCs/>
      <w:color w:val="000000"/>
      <w:sz w:val="21"/>
      <w:szCs w:val="21"/>
      <w:u w:val="none"/>
    </w:rPr>
  </w:style>
  <w:style w:type="character" w:customStyle="1" w:styleId="47">
    <w:name w:val="font12"/>
    <w:basedOn w:val="18"/>
    <w:qFormat/>
    <w:uiPriority w:val="0"/>
    <w:rPr>
      <w:rFonts w:hint="eastAsia" w:ascii="宋体" w:hAnsi="宋体" w:eastAsia="宋体" w:cs="宋体"/>
      <w:b/>
      <w:bCs/>
      <w:color w:val="000000"/>
      <w:sz w:val="21"/>
      <w:szCs w:val="21"/>
      <w:u w:val="none"/>
    </w:rPr>
  </w:style>
  <w:style w:type="character" w:customStyle="1" w:styleId="48">
    <w:name w:val="font111"/>
    <w:basedOn w:val="18"/>
    <w:qFormat/>
    <w:uiPriority w:val="0"/>
    <w:rPr>
      <w:rFonts w:hint="eastAsia" w:ascii="宋体" w:hAnsi="宋体" w:eastAsia="宋体" w:cs="宋体"/>
      <w:b/>
      <w:bCs/>
      <w:color w:val="000000"/>
      <w:sz w:val="21"/>
      <w:szCs w:val="21"/>
      <w:u w:val="none"/>
    </w:rPr>
  </w:style>
  <w:style w:type="paragraph" w:customStyle="1" w:styleId="4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50">
    <w:name w:val="font21"/>
    <w:basedOn w:val="18"/>
    <w:qFormat/>
    <w:uiPriority w:val="0"/>
    <w:rPr>
      <w:rFonts w:hint="eastAsia" w:ascii="宋体" w:hAnsi="宋体" w:eastAsia="宋体" w:cs="宋体"/>
      <w:color w:val="000000"/>
      <w:sz w:val="24"/>
      <w:szCs w:val="24"/>
      <w:u w:val="none"/>
    </w:rPr>
  </w:style>
  <w:style w:type="character" w:customStyle="1" w:styleId="51">
    <w:name w:val="font01"/>
    <w:basedOn w:val="18"/>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77</Pages>
  <Words>57498</Words>
  <Characters>60998</Characters>
  <Lines>1</Lines>
  <Paragraphs>1</Paragraphs>
  <TotalTime>44</TotalTime>
  <ScaleCrop>false</ScaleCrop>
  <LinksUpToDate>false</LinksUpToDate>
  <CharactersWithSpaces>63068</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2024-07-24T10:13:00Z</dcterms:created>
  <dc:creator>win7-1</dc:creator>
  <cp:lastModifiedBy>东海国际</cp:lastModifiedBy>
  <cp:lastPrinted>2021-01-15T01:17:00Z</cp:lastPrinted>
  <dcterms:modified xsi:type="dcterms:W3CDTF">2024-09-11T02:55:48Z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6D9DC45F679F4C46B785E197447BD92A_13</vt:lpwstr>
  </property>
</Properties>
</file>