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C2DA0C">
      <w:pPr>
        <w:widowControl/>
        <w:adjustRightInd w:val="0"/>
        <w:snapToGrid w:val="0"/>
        <w:ind w:firstLine="3092" w:firstLineChars="700"/>
        <w:rPr>
          <w:rFonts w:hint="eastAsia" w:asciiTheme="minorEastAsia" w:hAnsiTheme="minorEastAsia" w:eastAsiaTheme="minorEastAsia"/>
          <w:b/>
          <w:bCs/>
          <w:color w:val="000000"/>
          <w:sz w:val="44"/>
          <w:szCs w:val="44"/>
        </w:rPr>
      </w:pPr>
    </w:p>
    <w:p w14:paraId="3833EF94">
      <w:pPr>
        <w:widowControl/>
        <w:adjustRightInd w:val="0"/>
        <w:snapToGrid w:val="0"/>
        <w:rPr>
          <w:rFonts w:hint="eastAsia" w:asciiTheme="minorEastAsia" w:hAnsiTheme="minorEastAsia" w:eastAsiaTheme="minorEastAsia"/>
          <w:b/>
          <w:bCs/>
          <w:color w:val="000000"/>
          <w:sz w:val="44"/>
          <w:szCs w:val="44"/>
        </w:rPr>
      </w:pPr>
    </w:p>
    <w:p w14:paraId="3B7AC5ED">
      <w:pPr>
        <w:widowControl/>
        <w:adjustRightInd w:val="0"/>
        <w:snapToGrid w:val="0"/>
        <w:jc w:val="center"/>
        <w:rPr>
          <w:rFonts w:hint="eastAsia" w:asciiTheme="minorEastAsia" w:hAnsiTheme="minorEastAsia" w:eastAsiaTheme="minorEastAsia"/>
          <w:b/>
          <w:bCs/>
          <w:color w:val="000000"/>
          <w:sz w:val="44"/>
          <w:szCs w:val="44"/>
        </w:rPr>
      </w:pPr>
    </w:p>
    <w:p w14:paraId="7007E1AC">
      <w:pPr>
        <w:widowControl/>
        <w:adjustRightInd w:val="0"/>
        <w:snapToGrid w:val="0"/>
        <w:jc w:val="center"/>
      </w:pPr>
    </w:p>
    <w:p w14:paraId="796975BF">
      <w:pPr>
        <w:widowControl/>
        <w:adjustRightInd w:val="0"/>
        <w:snapToGrid w:val="0"/>
        <w:jc w:val="center"/>
      </w:pPr>
    </w:p>
    <w:p w14:paraId="5DD720BD">
      <w:pPr>
        <w:widowControl/>
        <w:adjustRightInd w:val="0"/>
        <w:snapToGrid w:val="0"/>
        <w:rPr>
          <w:rFonts w:hint="eastAsia" w:asciiTheme="minorEastAsia" w:hAnsiTheme="minorEastAsia" w:eastAsiaTheme="minorEastAsia"/>
          <w:b/>
          <w:bCs/>
          <w:color w:val="000000"/>
          <w:szCs w:val="21"/>
        </w:rPr>
      </w:pPr>
      <w:r>
        <w:rPr>
          <w:rFonts w:hint="eastAsia" w:asciiTheme="minorEastAsia" w:hAnsiTheme="minorEastAsia" w:eastAsiaTheme="minorEastAsia"/>
          <w:b/>
          <w:bCs/>
          <w:color w:val="000000"/>
          <w:szCs w:val="21"/>
        </w:rPr>
        <w:drawing>
          <wp:inline distT="0" distB="0" distL="114300" distR="114300">
            <wp:extent cx="5267325" cy="1410335"/>
            <wp:effectExtent l="0" t="0" r="3175" b="12065"/>
            <wp:docPr id="1" name="图片 1" descr="深宝所logo 图片 2018年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深宝所logo 图片 2018年新"/>
                    <pic:cNvPicPr>
                      <a:picLocks noChangeAspect="1"/>
                    </pic:cNvPicPr>
                  </pic:nvPicPr>
                  <pic:blipFill>
                    <a:blip r:embed="rId9" cstate="print"/>
                    <a:stretch>
                      <a:fillRect/>
                    </a:stretch>
                  </pic:blipFill>
                  <pic:spPr>
                    <a:xfrm>
                      <a:off x="0" y="0"/>
                      <a:ext cx="5267325" cy="1410335"/>
                    </a:xfrm>
                    <a:prstGeom prst="rect">
                      <a:avLst/>
                    </a:prstGeom>
                  </pic:spPr>
                </pic:pic>
              </a:graphicData>
            </a:graphic>
          </wp:inline>
        </w:drawing>
      </w:r>
    </w:p>
    <w:p w14:paraId="210FD259">
      <w:pPr>
        <w:widowControl/>
        <w:adjustRightInd w:val="0"/>
        <w:snapToGrid w:val="0"/>
        <w:rPr>
          <w:rFonts w:hint="eastAsia" w:asciiTheme="minorEastAsia" w:hAnsiTheme="minorEastAsia" w:eastAsiaTheme="minorEastAsia"/>
          <w:b/>
          <w:bCs/>
          <w:color w:val="000000"/>
          <w:sz w:val="44"/>
          <w:szCs w:val="44"/>
        </w:rPr>
      </w:pPr>
    </w:p>
    <w:p w14:paraId="77055215">
      <w:pPr>
        <w:widowControl/>
        <w:adjustRightInd w:val="0"/>
        <w:snapToGrid w:val="0"/>
        <w:rPr>
          <w:rFonts w:hint="eastAsia" w:asciiTheme="minorEastAsia" w:hAnsiTheme="minorEastAsia" w:eastAsiaTheme="minorEastAsia"/>
          <w:b/>
          <w:bCs/>
          <w:color w:val="000000"/>
          <w:sz w:val="44"/>
          <w:szCs w:val="44"/>
        </w:rPr>
      </w:pPr>
      <w:r>
        <w:rPr>
          <w:rFonts w:hint="eastAsia"/>
          <w:sz w:val="96"/>
        </w:rPr>
        <mc:AlternateContent>
          <mc:Choice Requires="wps">
            <w:drawing>
              <wp:anchor distT="0" distB="0" distL="114300" distR="114300" simplePos="0" relativeHeight="251659264" behindDoc="1" locked="0" layoutInCell="1" allowOverlap="1">
                <wp:simplePos x="0" y="0"/>
                <wp:positionH relativeFrom="column">
                  <wp:posOffset>-1628775</wp:posOffset>
                </wp:positionH>
                <wp:positionV relativeFrom="paragraph">
                  <wp:posOffset>304165</wp:posOffset>
                </wp:positionV>
                <wp:extent cx="8972550" cy="2466975"/>
                <wp:effectExtent l="0" t="0" r="0" b="9525"/>
                <wp:wrapNone/>
                <wp:docPr id="3" name="矩形 3"/>
                <wp:cNvGraphicFramePr/>
                <a:graphic xmlns:a="http://schemas.openxmlformats.org/drawingml/2006/main">
                  <a:graphicData uri="http://schemas.microsoft.com/office/word/2010/wordprocessingShape">
                    <wps:wsp>
                      <wps:cNvSpPr/>
                      <wps:spPr>
                        <a:xfrm>
                          <a:off x="-290830" y="4558665"/>
                          <a:ext cx="8972550" cy="2466975"/>
                        </a:xfrm>
                        <a:prstGeom prst="rect">
                          <a:avLst/>
                        </a:prstGeom>
                        <a:solidFill>
                          <a:srgbClr val="D9D9D9">
                            <a:lumMod val="85000"/>
                            <a:alpha val="63000"/>
                          </a:srgbClr>
                        </a:solidFill>
                        <a:ln w="25400" cap="flat" cmpd="sng" algn="ctr">
                          <a:noFill/>
                          <a:prstDash val="solid"/>
                        </a:ln>
                        <a:effectLst/>
                      </wps:spPr>
                      <wps:txbx>
                        <w:txbxContent>
                          <w:p w14:paraId="0B6B4841">
                            <w:pPr>
                              <w:ind w:firstLine="2891" w:firstLineChars="400"/>
                              <w:rPr>
                                <w:rFonts w:hint="eastAsia" w:ascii="宋体" w:hAnsi="宋体" w:cs="宋体"/>
                                <w:b/>
                                <w:bCs/>
                                <w:sz w:val="72"/>
                                <w:szCs w:val="72"/>
                              </w:rPr>
                            </w:pPr>
                            <w:r>
                              <w:rPr>
                                <w:rFonts w:hint="eastAsia" w:ascii="宋体" w:hAnsi="宋体" w:cs="宋体"/>
                                <w:b/>
                                <w:bCs/>
                                <w:color w:val="000000"/>
                                <w:sz w:val="72"/>
                                <w:szCs w:val="72"/>
                              </w:rPr>
                              <w:t>常年法律顾问服务合同</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8.25pt;margin-top:23.95pt;height:194.25pt;width:706.5pt;z-index:-251657216;v-text-anchor:middle;mso-width-relative:page;mso-height-relative:page;" fillcolor="#B8B8B8" filled="t" stroked="f" coordsize="21600,21600" o:gfxdata="UEsDBAoAAAAAAIdO4kAAAAAAAAAAAAAAAAAEAAAAZHJzL1BLAwQUAAAACACHTuJA9zI82tkAAAAM&#10;AQAADwAAAGRycy9kb3ducmV2LnhtbE2PTU/DMAyG70j8h8hI3La0YytQmu6AxAkhwQAJbllj2mqN&#10;UzVe1/Hr8bjA0a8fvR/FevKdGnGIbSAD6TwBhVQF11Jt4O31YXYDKrIlZ7tAaOCIEdbl+VlhcxcO&#10;9ILjhmslJhRza6Bh7nOtY9Wgt3EeeiT5fYXBW5ZzqLUb7EHMfacXSZJpb1uShMb2eN9gtdvsvYTw&#10;Y7rrw/QxHb+rz2fOeHyvn4y5vEiTO1CME//BcKov1aGUTtuwJxdVZ2C2WGUrYQ0sr29BnYj0V9mK&#10;cpUtQZeF/j+i/AFQSwMEFAAAAAgAh07iQOnMYzCVAgAAEgUAAA4AAABkcnMvZTJvRG9jLnhtbK1U&#10;yW7bMBC9F+g/ELwnkhc5thE5MGKkKJA2BtKiZ5qiLAHcStJL+jMFeutH9HOK/kYfKWVp2kMOhQF6&#10;Nr2ZeZzh+cVRSbIXzrdGl3RwmlMiNDdVq7cl/fjh6mRKiQ9MV0waLUp6Jzy9WLx+dX6wczE0jZGV&#10;cAQg2s8PtqRNCHaeZZ43QjF/aqzQcNbGKRagum1WOXYAupLZMM8n2cG4yjrDhfewrjon7RHdSwBN&#10;XbdcrAzfKaFDh+qEZAEt+aa1ni5StXUteLipay8CkSVFpyGdSAJ5E89scc7mW8ds0/K+BPaSEp71&#10;pFirkfQBasUCIzvX/gWlWu6MN3U45UZlXSOJEXQxyJ9xc9swK1IvoNrbB9L9/4Pl7/drR9qqpCNK&#10;NFO48F9fv//88Y2MIjcH6+cIubVr12seYmz0WDsV/9ECOZb0ZDjLpyOwelfScVFMJ5Oi41YcA+EI&#10;mM7OhkWBAI6I4XgymZ2liOwRyjof3gijSBRK6nB5iVO2v/YB6RF6HxIzeyPb6qqVMiluu7mUjuwZ&#10;Lno1i7/0rdypd6bqzNMiz/sbZ9I2rLNORr0V8L5DSan+gJeaHFB2MQYA4QxjX2PcICoL6rzeUsLk&#10;FvvEg0t5tYmVpemKNa+Yb7p0CTZSg3RSx9JFGtO+xUh4R3GUwnFz7HnfmOoON+VMN8Le8qsWwNfM&#10;hzVzmFkUhq0ONzhqaVCt6SVKGuO+/Mse4zFK8FJywA6gk8875gQl8q3GkM0G4zFgQ1LGxdkQinvq&#10;2Tz16J26NGB/gPfD8iTG+CDvxdoZ9QnLv4xZ4WKaI3fHWa9chm438XxwsVymMCyKZeFa31oewSNl&#10;2ix3wdRtmopIVMcOSI0KViXR26913MWneop6fMoWv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D3&#10;Mjza2QAAAAwBAAAPAAAAAAAAAAEAIAAAACIAAABkcnMvZG93bnJldi54bWxQSwECFAAUAAAACACH&#10;TuJA6cxjMJUCAAASBQAADgAAAAAAAAABACAAAAAoAQAAZHJzL2Uyb0RvYy54bWxQSwUGAAAAAAYA&#10;BgBZAQAALwYAAAAA&#10;">
                <v:fill on="t" opacity="41287f" focussize="0,0"/>
                <v:stroke on="f" weight="2pt"/>
                <v:imagedata o:title=""/>
                <o:lock v:ext="edit" aspectratio="f"/>
                <v:textbox>
                  <w:txbxContent>
                    <w:p w14:paraId="0B6B4841">
                      <w:pPr>
                        <w:ind w:firstLine="2891" w:firstLineChars="400"/>
                        <w:rPr>
                          <w:rFonts w:hint="eastAsia" w:ascii="宋体" w:hAnsi="宋体" w:cs="宋体"/>
                          <w:b/>
                          <w:bCs/>
                          <w:sz w:val="72"/>
                          <w:szCs w:val="72"/>
                        </w:rPr>
                      </w:pPr>
                      <w:r>
                        <w:rPr>
                          <w:rFonts w:hint="eastAsia" w:ascii="宋体" w:hAnsi="宋体" w:cs="宋体"/>
                          <w:b/>
                          <w:bCs/>
                          <w:color w:val="000000"/>
                          <w:sz w:val="72"/>
                          <w:szCs w:val="72"/>
                        </w:rPr>
                        <w:t>常年法律顾问服务合同</w:t>
                      </w:r>
                    </w:p>
                  </w:txbxContent>
                </v:textbox>
              </v:rect>
            </w:pict>
          </mc:Fallback>
        </mc:AlternateContent>
      </w:r>
    </w:p>
    <w:p w14:paraId="222AE0D9">
      <w:pPr>
        <w:widowControl/>
        <w:adjustRightInd w:val="0"/>
        <w:snapToGrid w:val="0"/>
        <w:rPr>
          <w:rFonts w:hint="eastAsia" w:asciiTheme="minorEastAsia" w:hAnsiTheme="minorEastAsia" w:eastAsiaTheme="minorEastAsia"/>
          <w:b/>
          <w:bCs/>
          <w:color w:val="000000"/>
          <w:sz w:val="44"/>
          <w:szCs w:val="44"/>
        </w:rPr>
      </w:pPr>
    </w:p>
    <w:p w14:paraId="6200A9FD">
      <w:pPr>
        <w:widowControl/>
        <w:adjustRightInd w:val="0"/>
        <w:snapToGrid w:val="0"/>
        <w:rPr>
          <w:rFonts w:hint="eastAsia" w:asciiTheme="minorEastAsia" w:hAnsiTheme="minorEastAsia" w:eastAsiaTheme="minorEastAsia"/>
          <w:b/>
          <w:bCs/>
          <w:color w:val="000000"/>
          <w:sz w:val="44"/>
          <w:szCs w:val="44"/>
        </w:rPr>
      </w:pPr>
    </w:p>
    <w:p w14:paraId="4E8641D9">
      <w:pPr>
        <w:widowControl/>
        <w:adjustRightInd w:val="0"/>
        <w:snapToGrid w:val="0"/>
        <w:rPr>
          <w:sz w:val="96"/>
        </w:rPr>
      </w:pPr>
    </w:p>
    <w:p w14:paraId="0F99141A">
      <w:pPr>
        <w:rPr>
          <w:sz w:val="96"/>
        </w:rPr>
      </w:pPr>
    </w:p>
    <w:p w14:paraId="7EA4DCFE">
      <w:pPr>
        <w:rPr>
          <w:sz w:val="72"/>
        </w:rPr>
      </w:pPr>
    </w:p>
    <w:p w14:paraId="15BEFB48">
      <w:pPr>
        <w:rPr>
          <w:sz w:val="72"/>
        </w:rPr>
      </w:pPr>
    </w:p>
    <w:p w14:paraId="5ABAA823">
      <w:pPr>
        <w:spacing w:line="440" w:lineRule="exact"/>
        <w:rPr>
          <w:rFonts w:hint="eastAsia" w:ascii="仿宋" w:hAnsi="仿宋" w:eastAsia="仿宋" w:cs="仿宋"/>
          <w:bCs/>
          <w:sz w:val="28"/>
          <w:szCs w:val="28"/>
        </w:rPr>
      </w:pPr>
    </w:p>
    <w:p w14:paraId="45D11C48">
      <w:pPr>
        <w:spacing w:line="440" w:lineRule="exact"/>
        <w:rPr>
          <w:rFonts w:hint="eastAsia" w:ascii="仿宋" w:hAnsi="仿宋" w:eastAsia="仿宋" w:cs="仿宋"/>
          <w:bCs/>
          <w:sz w:val="28"/>
          <w:szCs w:val="28"/>
        </w:rPr>
      </w:pPr>
    </w:p>
    <w:p w14:paraId="00600BC6">
      <w:pPr>
        <w:spacing w:line="440" w:lineRule="exact"/>
        <w:ind w:firstLine="560" w:firstLineChars="200"/>
        <w:rPr>
          <w:rFonts w:eastAsia="仿宋"/>
          <w:bCs/>
          <w:sz w:val="28"/>
          <w:szCs w:val="28"/>
        </w:rPr>
        <w:sectPr>
          <w:headerReference r:id="rId4" w:type="first"/>
          <w:headerReference r:id="rId3" w:type="default"/>
          <w:footerReference r:id="rId5" w:type="default"/>
          <w:pgSz w:w="11906" w:h="16838"/>
          <w:pgMar w:top="1440" w:right="1800" w:bottom="1440" w:left="1800" w:header="851" w:footer="992" w:gutter="0"/>
          <w:pgNumType w:start="1"/>
          <w:cols w:space="425" w:num="1"/>
          <w:titlePg/>
          <w:docGrid w:type="lines" w:linePitch="312" w:charSpace="0"/>
        </w:sectPr>
      </w:pPr>
      <w:r>
        <w:rPr>
          <w:rFonts w:hint="eastAsia" w:ascii="仿宋" w:hAnsi="仿宋" w:eastAsia="仿宋" w:cs="仿宋"/>
          <w:bCs/>
          <w:sz w:val="28"/>
          <w:szCs w:val="28"/>
        </w:rPr>
        <w:t>地址：深圳市宝安中心区宝兴路6号海纳百川大厦B座3层</w:t>
      </w:r>
    </w:p>
    <w:p w14:paraId="0E545E9A">
      <w:pPr>
        <w:adjustRightInd w:val="0"/>
        <w:snapToGrid w:val="0"/>
        <w:spacing w:line="312" w:lineRule="auto"/>
        <w:jc w:val="center"/>
        <w:rPr>
          <w:rFonts w:hint="eastAsia" w:ascii="黑体" w:hAnsi="黑体" w:eastAsia="黑体" w:cs="仿宋"/>
          <w:b/>
          <w:bCs/>
          <w:color w:val="000000"/>
          <w:sz w:val="44"/>
          <w:szCs w:val="44"/>
        </w:rPr>
      </w:pPr>
    </w:p>
    <w:p w14:paraId="55BDF2D1">
      <w:pPr>
        <w:adjustRightInd w:val="0"/>
        <w:snapToGrid w:val="0"/>
        <w:spacing w:line="312" w:lineRule="auto"/>
        <w:rPr>
          <w:rFonts w:hint="eastAsia" w:ascii="黑体" w:hAnsi="黑体" w:eastAsia="黑体" w:cs="仿宋"/>
          <w:b/>
          <w:bCs/>
          <w:color w:val="000000"/>
          <w:sz w:val="44"/>
          <w:szCs w:val="44"/>
        </w:rPr>
      </w:pPr>
    </w:p>
    <w:p w14:paraId="73192798">
      <w:pPr>
        <w:adjustRightInd w:val="0"/>
        <w:snapToGrid w:val="0"/>
        <w:spacing w:line="440" w:lineRule="exact"/>
        <w:jc w:val="center"/>
        <w:rPr>
          <w:rFonts w:hint="eastAsia" w:ascii="黑体" w:hAnsi="黑体" w:eastAsia="黑体" w:cs="仿宋"/>
          <w:b/>
          <w:bCs/>
          <w:color w:val="000000"/>
          <w:sz w:val="36"/>
          <w:szCs w:val="36"/>
        </w:rPr>
      </w:pPr>
      <w:r>
        <w:rPr>
          <w:rFonts w:hint="eastAsia" w:ascii="黑体" w:hAnsi="黑体" w:eastAsia="黑体" w:cs="仿宋"/>
          <w:b/>
          <w:bCs/>
          <w:color w:val="000000"/>
          <w:sz w:val="36"/>
          <w:szCs w:val="36"/>
        </w:rPr>
        <w:t>常年法律顾问服务合同</w:t>
      </w:r>
    </w:p>
    <w:p w14:paraId="2710F319">
      <w:pPr>
        <w:adjustRightInd w:val="0"/>
        <w:snapToGrid w:val="0"/>
        <w:spacing w:line="440" w:lineRule="exact"/>
        <w:jc w:val="right"/>
        <w:rPr>
          <w:rFonts w:hint="eastAsia" w:ascii="仿宋" w:hAnsi="仿宋" w:eastAsia="仿宋" w:cs="仿宋"/>
          <w:sz w:val="24"/>
        </w:rPr>
      </w:pPr>
      <w:r>
        <w:rPr>
          <w:rFonts w:hint="eastAsia" w:ascii="仿宋" w:hAnsi="仿宋" w:eastAsia="仿宋" w:cs="仿宋"/>
          <w:sz w:val="24"/>
        </w:rPr>
        <w:t>（</w:t>
      </w:r>
      <w:r>
        <w:rPr>
          <w:rFonts w:ascii="仿宋" w:hAnsi="仿宋" w:eastAsia="仿宋" w:cs="仿宋"/>
          <w:sz w:val="24"/>
        </w:rPr>
        <w:t>202</w:t>
      </w:r>
      <w:r>
        <w:rPr>
          <w:rFonts w:hint="eastAsia" w:ascii="仿宋" w:hAnsi="仿宋" w:eastAsia="仿宋" w:cs="仿宋"/>
          <w:sz w:val="24"/>
          <w:lang w:val="en-US" w:eastAsia="zh-CN"/>
        </w:rPr>
        <w:t>6</w:t>
      </w:r>
      <w:r>
        <w:rPr>
          <w:rFonts w:hint="eastAsia" w:ascii="仿宋" w:hAnsi="仿宋" w:eastAsia="仿宋" w:cs="仿宋"/>
          <w:sz w:val="24"/>
        </w:rPr>
        <w:t xml:space="preserve">）粤宝顾字第 </w:t>
      </w:r>
      <w:r>
        <w:rPr>
          <w:rFonts w:hint="eastAsia" w:ascii="仿宋" w:hAnsi="仿宋" w:eastAsia="仿宋" w:cs="仿宋"/>
          <w:sz w:val="24"/>
          <w:lang w:val="en-US" w:eastAsia="zh-CN"/>
        </w:rPr>
        <w:t xml:space="preserve">   </w:t>
      </w:r>
      <w:r>
        <w:rPr>
          <w:rFonts w:hint="eastAsia" w:ascii="仿宋" w:hAnsi="仿宋" w:eastAsia="仿宋" w:cs="仿宋"/>
          <w:sz w:val="24"/>
        </w:rPr>
        <w:t>号</w:t>
      </w:r>
    </w:p>
    <w:p w14:paraId="504AC9BE">
      <w:pPr>
        <w:adjustRightInd w:val="0"/>
        <w:snapToGrid w:val="0"/>
        <w:spacing w:line="440" w:lineRule="exact"/>
        <w:jc w:val="right"/>
        <w:rPr>
          <w:rFonts w:hint="eastAsia" w:ascii="仿宋" w:hAnsi="仿宋" w:eastAsia="仿宋" w:cs="仿宋"/>
          <w:sz w:val="24"/>
        </w:rPr>
      </w:pPr>
    </w:p>
    <w:p w14:paraId="602A58AF">
      <w:pPr>
        <w:adjustRightInd w:val="0"/>
        <w:snapToGrid w:val="0"/>
        <w:spacing w:line="440" w:lineRule="exact"/>
        <w:ind w:firstLine="562" w:firstLineChars="200"/>
        <w:rPr>
          <w:rFonts w:hint="eastAsia" w:ascii="仿宋" w:hAnsi="仿宋" w:eastAsia="仿宋" w:cs="仿宋"/>
          <w:bCs/>
          <w:color w:val="000000"/>
          <w:sz w:val="28"/>
          <w:szCs w:val="28"/>
        </w:rPr>
      </w:pPr>
      <w:r>
        <w:rPr>
          <w:rFonts w:hint="eastAsia" w:ascii="仿宋" w:hAnsi="仿宋" w:eastAsia="仿宋" w:cs="仿宋"/>
          <w:b/>
          <w:bCs/>
          <w:color w:val="000000"/>
          <w:sz w:val="28"/>
          <w:szCs w:val="28"/>
        </w:rPr>
        <w:t>甲方（委托方）</w:t>
      </w:r>
      <w:r>
        <w:rPr>
          <w:rFonts w:hint="eastAsia" w:ascii="仿宋" w:hAnsi="仿宋" w:eastAsia="仿宋" w:cs="仿宋"/>
          <w:bCs/>
          <w:color w:val="000000"/>
          <w:sz w:val="28"/>
          <w:szCs w:val="28"/>
        </w:rPr>
        <w:t>：</w:t>
      </w:r>
      <w:r>
        <w:rPr>
          <w:rFonts w:hint="eastAsia" w:ascii="仿宋" w:hAnsi="仿宋" w:eastAsia="仿宋"/>
          <w:b/>
          <w:bCs/>
          <w:sz w:val="28"/>
          <w:szCs w:val="28"/>
        </w:rPr>
        <w:t>深圳市深粮贝格厨房食品供应链有限公司</w:t>
      </w:r>
    </w:p>
    <w:p w14:paraId="53992989">
      <w:pPr>
        <w:adjustRightInd w:val="0"/>
        <w:snapToGrid w:val="0"/>
        <w:spacing w:line="440" w:lineRule="exact"/>
        <w:ind w:firstLine="560" w:firstLineChars="200"/>
        <w:rPr>
          <w:rFonts w:hint="eastAsia" w:ascii="仿宋" w:hAnsi="仿宋" w:eastAsia="仿宋" w:cs="仿宋"/>
          <w:bCs/>
          <w:color w:val="000000"/>
          <w:sz w:val="28"/>
          <w:szCs w:val="28"/>
        </w:rPr>
      </w:pPr>
      <w:r>
        <w:rPr>
          <w:rFonts w:hint="eastAsia" w:ascii="仿宋" w:hAnsi="仿宋" w:eastAsia="仿宋" w:cs="仿宋"/>
          <w:bCs/>
          <w:color w:val="000000"/>
          <w:sz w:val="28"/>
          <w:szCs w:val="28"/>
        </w:rPr>
        <w:t>社会统一信用码：</w:t>
      </w:r>
      <w:r>
        <w:rPr>
          <w:rFonts w:hint="eastAsia" w:ascii="仿宋" w:hAnsi="仿宋" w:eastAsia="仿宋"/>
          <w:sz w:val="28"/>
          <w:szCs w:val="28"/>
        </w:rPr>
        <w:t>91440300326320063G</w:t>
      </w:r>
      <w:r>
        <w:rPr>
          <w:rFonts w:hint="eastAsia" w:ascii="仿宋" w:hAnsi="仿宋" w:eastAsia="仿宋" w:cs="仿宋"/>
          <w:bCs/>
          <w:color w:val="000000"/>
          <w:sz w:val="28"/>
          <w:szCs w:val="28"/>
        </w:rPr>
        <w:t xml:space="preserve"> </w:t>
      </w:r>
    </w:p>
    <w:p w14:paraId="35DB3F31">
      <w:pPr>
        <w:adjustRightInd w:val="0"/>
        <w:snapToGrid w:val="0"/>
        <w:spacing w:line="440" w:lineRule="exact"/>
        <w:ind w:firstLine="560" w:firstLineChars="200"/>
        <w:rPr>
          <w:rFonts w:hint="eastAsia" w:ascii="仿宋" w:hAnsi="仿宋" w:eastAsia="仿宋" w:cs="仿宋"/>
          <w:bCs/>
          <w:color w:val="000000"/>
          <w:sz w:val="28"/>
          <w:szCs w:val="28"/>
          <w:lang w:eastAsia="zh-CN"/>
        </w:rPr>
      </w:pPr>
      <w:r>
        <w:rPr>
          <w:rFonts w:hint="eastAsia" w:ascii="仿宋" w:hAnsi="仿宋" w:eastAsia="仿宋" w:cs="仿宋"/>
          <w:bCs/>
          <w:color w:val="000000"/>
          <w:sz w:val="28"/>
          <w:szCs w:val="28"/>
        </w:rPr>
        <w:t>法定代表人：</w:t>
      </w:r>
      <w:r>
        <w:rPr>
          <w:rFonts w:hint="eastAsia" w:ascii="仿宋" w:hAnsi="仿宋" w:eastAsia="仿宋"/>
          <w:sz w:val="28"/>
          <w:szCs w:val="28"/>
          <w:lang w:val="en-US" w:eastAsia="zh-CN"/>
        </w:rPr>
        <w:t>岳建涛</w:t>
      </w:r>
    </w:p>
    <w:p w14:paraId="37140D26">
      <w:pPr>
        <w:adjustRightInd w:val="0"/>
        <w:snapToGrid w:val="0"/>
        <w:spacing w:line="440" w:lineRule="exact"/>
        <w:ind w:firstLine="560" w:firstLineChars="200"/>
        <w:rPr>
          <w:rFonts w:hint="eastAsia" w:ascii="仿宋" w:hAnsi="仿宋" w:eastAsia="仿宋" w:cs="仿宋"/>
          <w:bCs/>
          <w:color w:val="000000"/>
          <w:sz w:val="28"/>
          <w:szCs w:val="28"/>
        </w:rPr>
      </w:pPr>
      <w:r>
        <w:rPr>
          <w:rFonts w:hint="eastAsia" w:ascii="仿宋" w:hAnsi="仿宋" w:eastAsia="仿宋" w:cs="仿宋"/>
          <w:bCs/>
          <w:color w:val="000000"/>
          <w:sz w:val="28"/>
          <w:szCs w:val="28"/>
        </w:rPr>
        <w:t>地址：</w:t>
      </w:r>
      <w:r>
        <w:rPr>
          <w:rFonts w:hint="eastAsia" w:ascii="仿宋" w:hAnsi="仿宋" w:eastAsia="仿宋" w:cs="Arial"/>
          <w:color w:val="333333"/>
          <w:kern w:val="0"/>
          <w:sz w:val="28"/>
          <w:szCs w:val="28"/>
        </w:rPr>
        <w:t>深圳市南山区西丽街道松坪山社区高新北六道19号面粉公司大院内厂房1栋501</w:t>
      </w:r>
    </w:p>
    <w:p w14:paraId="1749362F">
      <w:pPr>
        <w:adjustRightInd w:val="0"/>
        <w:snapToGrid w:val="0"/>
        <w:spacing w:line="440" w:lineRule="exact"/>
        <w:ind w:firstLine="560" w:firstLineChars="200"/>
        <w:rPr>
          <w:rFonts w:hint="eastAsia" w:ascii="仿宋" w:hAnsi="仿宋" w:eastAsia="仿宋" w:cs="仿宋"/>
          <w:bCs/>
          <w:color w:val="000000"/>
          <w:sz w:val="28"/>
          <w:szCs w:val="28"/>
        </w:rPr>
      </w:pPr>
    </w:p>
    <w:p w14:paraId="6EB07892">
      <w:pPr>
        <w:adjustRightInd w:val="0"/>
        <w:snapToGrid w:val="0"/>
        <w:spacing w:line="440" w:lineRule="exact"/>
        <w:ind w:firstLine="562" w:firstLineChars="200"/>
        <w:rPr>
          <w:rFonts w:hint="eastAsia" w:ascii="仿宋" w:hAnsi="仿宋" w:eastAsia="仿宋" w:cs="仿宋"/>
          <w:b/>
          <w:color w:val="000000"/>
          <w:sz w:val="28"/>
          <w:szCs w:val="28"/>
        </w:rPr>
      </w:pPr>
      <w:r>
        <w:rPr>
          <w:rFonts w:hint="eastAsia" w:ascii="仿宋" w:hAnsi="仿宋" w:eastAsia="仿宋" w:cs="仿宋"/>
          <w:b/>
          <w:color w:val="000000"/>
          <w:sz w:val="28"/>
          <w:szCs w:val="28"/>
        </w:rPr>
        <w:t>乙方（受托方）：广东深宝律师事务所</w:t>
      </w:r>
    </w:p>
    <w:p w14:paraId="030E6E88">
      <w:pPr>
        <w:adjustRightInd w:val="0"/>
        <w:snapToGrid w:val="0"/>
        <w:spacing w:line="440" w:lineRule="exact"/>
        <w:ind w:firstLine="560" w:firstLineChars="200"/>
        <w:rPr>
          <w:rFonts w:hint="eastAsia" w:ascii="仿宋" w:hAnsi="仿宋" w:eastAsia="仿宋" w:cs="仿宋"/>
          <w:bCs/>
          <w:color w:val="000000"/>
          <w:sz w:val="28"/>
          <w:szCs w:val="28"/>
        </w:rPr>
      </w:pPr>
      <w:r>
        <w:rPr>
          <w:rFonts w:hint="eastAsia" w:ascii="仿宋" w:hAnsi="仿宋" w:eastAsia="仿宋" w:cs="仿宋"/>
          <w:bCs/>
          <w:color w:val="000000"/>
          <w:sz w:val="28"/>
          <w:szCs w:val="28"/>
        </w:rPr>
        <w:t>地址：</w:t>
      </w:r>
      <w:r>
        <w:rPr>
          <w:rFonts w:hint="eastAsia" w:ascii="仿宋" w:hAnsi="仿宋" w:eastAsia="仿宋" w:cs="仿宋"/>
          <w:bCs/>
          <w:sz w:val="28"/>
          <w:szCs w:val="28"/>
        </w:rPr>
        <w:t>深圳市宝安中心区宝兴路6号海纳百川大厦B座3层</w:t>
      </w:r>
    </w:p>
    <w:p w14:paraId="5BB303B0">
      <w:pPr>
        <w:adjustRightInd w:val="0"/>
        <w:snapToGrid w:val="0"/>
        <w:spacing w:line="440" w:lineRule="exact"/>
        <w:ind w:firstLine="560" w:firstLineChars="200"/>
        <w:rPr>
          <w:rFonts w:hint="eastAsia" w:ascii="仿宋" w:hAnsi="仿宋" w:eastAsia="仿宋" w:cs="仿宋"/>
          <w:bCs/>
          <w:color w:val="000000"/>
          <w:sz w:val="28"/>
          <w:szCs w:val="28"/>
        </w:rPr>
      </w:pPr>
      <w:r>
        <w:rPr>
          <w:rFonts w:hint="eastAsia" w:ascii="仿宋" w:hAnsi="仿宋" w:eastAsia="仿宋" w:cs="仿宋"/>
          <w:bCs/>
          <w:color w:val="000000"/>
          <w:sz w:val="28"/>
          <w:szCs w:val="28"/>
        </w:rPr>
        <w:t>电话：0755-27787122                  邮政编码：518000</w:t>
      </w:r>
    </w:p>
    <w:p w14:paraId="7DA15E30">
      <w:pPr>
        <w:adjustRightInd w:val="0"/>
        <w:snapToGrid w:val="0"/>
        <w:spacing w:line="440" w:lineRule="exact"/>
        <w:ind w:firstLine="548" w:firstLineChars="196"/>
        <w:rPr>
          <w:rFonts w:hint="eastAsia" w:ascii="仿宋" w:hAnsi="仿宋" w:eastAsia="仿宋" w:cs="仿宋"/>
          <w:bCs/>
          <w:color w:val="000000"/>
          <w:sz w:val="28"/>
          <w:szCs w:val="28"/>
        </w:rPr>
      </w:pPr>
    </w:p>
    <w:p w14:paraId="32A753D2">
      <w:pPr>
        <w:adjustRightInd w:val="0"/>
        <w:snapToGrid w:val="0"/>
        <w:spacing w:line="400" w:lineRule="exact"/>
        <w:ind w:firstLine="560" w:firstLineChars="200"/>
        <w:rPr>
          <w:rFonts w:hint="eastAsia" w:ascii="仿宋" w:hAnsi="仿宋" w:eastAsia="仿宋" w:cs="仿宋"/>
          <w:b/>
          <w:color w:val="000000"/>
          <w:sz w:val="28"/>
          <w:szCs w:val="28"/>
        </w:rPr>
      </w:pPr>
      <w:r>
        <w:rPr>
          <w:rFonts w:hint="eastAsia" w:ascii="仿宋" w:hAnsi="仿宋" w:eastAsia="仿宋" w:cs="仿宋"/>
          <w:color w:val="000000"/>
          <w:sz w:val="28"/>
          <w:szCs w:val="28"/>
        </w:rPr>
        <w:t>甲方因业务发展及维护自身利益的需要，委托乙方提供常年法律服务。双方就常年法律服务事宜达成以下条款，供遵照执行。</w:t>
      </w:r>
    </w:p>
    <w:p w14:paraId="584766D8">
      <w:pPr>
        <w:spacing w:line="400" w:lineRule="exact"/>
        <w:ind w:firstLine="562" w:firstLineChars="200"/>
        <w:rPr>
          <w:rFonts w:hint="eastAsia" w:ascii="仿宋" w:hAnsi="仿宋" w:eastAsia="仿宋" w:cs="仿宋"/>
          <w:b/>
          <w:sz w:val="28"/>
          <w:szCs w:val="28"/>
        </w:rPr>
      </w:pPr>
      <w:r>
        <w:rPr>
          <w:rFonts w:hint="eastAsia" w:ascii="仿宋" w:hAnsi="仿宋" w:eastAsia="仿宋" w:cs="仿宋"/>
          <w:b/>
          <w:sz w:val="28"/>
          <w:szCs w:val="28"/>
        </w:rPr>
        <w:t>第一条  聘请与授权</w:t>
      </w:r>
    </w:p>
    <w:p w14:paraId="46415837">
      <w:pPr>
        <w:adjustRightInd w:val="0"/>
        <w:snapToGrid w:val="0"/>
        <w:spacing w:line="400" w:lineRule="exact"/>
        <w:ind w:firstLine="560" w:firstLineChars="200"/>
        <w:rPr>
          <w:rFonts w:hint="eastAsia" w:ascii="仿宋" w:hAnsi="仿宋" w:eastAsia="仿宋" w:cs="仿宋"/>
          <w:sz w:val="28"/>
          <w:szCs w:val="28"/>
          <w:u w:val="single"/>
        </w:rPr>
      </w:pPr>
      <w:r>
        <w:rPr>
          <w:rFonts w:hint="eastAsia" w:ascii="仿宋" w:hAnsi="仿宋" w:eastAsia="仿宋" w:cs="仿宋"/>
          <w:sz w:val="28"/>
          <w:szCs w:val="28"/>
        </w:rPr>
        <w:t>甲方聘请乙方担任常年法律顾问，乙方指派</w:t>
      </w:r>
      <w:r>
        <w:rPr>
          <w:rFonts w:hint="eastAsia" w:ascii="仿宋" w:hAnsi="仿宋" w:eastAsia="仿宋" w:cs="仿宋"/>
          <w:sz w:val="28"/>
          <w:szCs w:val="28"/>
          <w:u w:val="single"/>
        </w:rPr>
        <w:t xml:space="preserve"> 戴凯             </w:t>
      </w:r>
      <w:r>
        <w:rPr>
          <w:rFonts w:hint="eastAsia" w:ascii="仿宋" w:hAnsi="仿宋" w:eastAsia="仿宋" w:cs="仿宋"/>
          <w:sz w:val="28"/>
          <w:szCs w:val="28"/>
        </w:rPr>
        <w:t>律师为甲方的常年法律顾问律师（下称“顾问律师”）。顾问律师因故不能履行其职责时，乙方可另行指派律师临时代行职责。除本合同另有约定外，乙方指派的临时律师享有顾问律师之权利，承担顾问律师之义务。</w:t>
      </w:r>
    </w:p>
    <w:p w14:paraId="53E21776">
      <w:pPr>
        <w:spacing w:line="400" w:lineRule="exact"/>
        <w:ind w:firstLine="562" w:firstLineChars="200"/>
        <w:rPr>
          <w:rFonts w:hint="eastAsia" w:ascii="仿宋" w:hAnsi="仿宋" w:eastAsia="仿宋" w:cs="仿宋"/>
          <w:b/>
          <w:sz w:val="28"/>
          <w:szCs w:val="28"/>
        </w:rPr>
      </w:pPr>
      <w:r>
        <w:rPr>
          <w:rFonts w:hint="eastAsia" w:ascii="仿宋" w:hAnsi="仿宋" w:eastAsia="仿宋" w:cs="仿宋"/>
          <w:b/>
          <w:sz w:val="28"/>
          <w:szCs w:val="28"/>
        </w:rPr>
        <w:t>第二条  乙方的服务范围</w:t>
      </w:r>
    </w:p>
    <w:p w14:paraId="23AAEFC6">
      <w:pPr>
        <w:spacing w:line="4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一、乙方的一般服务内容包括：</w:t>
      </w:r>
    </w:p>
    <w:p w14:paraId="6FBD339A">
      <w:pPr>
        <w:spacing w:line="4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1、开展与甲方业务活动有关的日常性法律咨询，提供意见、建议和依据，解释有关法律规定，为甲方及时提供对发展经营密切相关或可能产生重大影响的法律信息及专业分析；</w:t>
      </w:r>
    </w:p>
    <w:p w14:paraId="48718F62">
      <w:pPr>
        <w:spacing w:line="4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2、根据甲方设计的业务方案，协助甲方草拟、审查、修改各类合同，主要确保甲方对外合同的规范性和有效性，争取为甲方获得法律允许范围内的最大利益，并健全甲方内部规章制度；</w:t>
      </w:r>
    </w:p>
    <w:p w14:paraId="479686EE">
      <w:pPr>
        <w:spacing w:line="4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3、在需要时参加或列席有关甲方的重大行政、经营等工作会议，为决策提供相应的法律依据和指导；</w:t>
      </w:r>
    </w:p>
    <w:p w14:paraId="74C33A9D">
      <w:pPr>
        <w:spacing w:line="4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4、应甲方要求发表授权律师声明、律师函或者作其他相关的说明。主要因经营、管理等事宜，对甲方以外的其他相关企、事业单位或者个人，以律师名义做出的法律文书，不包括特殊法律服务所列的法律文书；</w:t>
      </w:r>
    </w:p>
    <w:p w14:paraId="00AC974B">
      <w:pPr>
        <w:spacing w:line="4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5、根据甲方需要举行法制宣传和举办法律培训活动，提高甲方工作人员的法律知识水平；</w:t>
      </w:r>
    </w:p>
    <w:p w14:paraId="7834CE44">
      <w:pPr>
        <w:spacing w:line="4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6、受甲方委托，签署、送达或者接受法律文件；</w:t>
      </w:r>
    </w:p>
    <w:p w14:paraId="1CDA057C">
      <w:pPr>
        <w:spacing w:line="4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7、</w:t>
      </w:r>
      <w:r>
        <w:rPr>
          <w:rFonts w:hint="eastAsia" w:ascii="仿宋" w:hAnsi="仿宋" w:eastAsia="仿宋" w:cs="仿宋"/>
          <w:sz w:val="28"/>
          <w:szCs w:val="28"/>
          <w:lang w:eastAsia="zh-CN"/>
        </w:rPr>
        <w:t>其他</w:t>
      </w:r>
      <w:r>
        <w:rPr>
          <w:rFonts w:hint="eastAsia" w:ascii="仿宋" w:hAnsi="仿宋" w:eastAsia="仿宋" w:cs="仿宋"/>
          <w:sz w:val="28"/>
          <w:szCs w:val="28"/>
        </w:rPr>
        <w:t>简单且耗时较少的法律服务。</w:t>
      </w:r>
    </w:p>
    <w:p w14:paraId="731131F2">
      <w:pPr>
        <w:spacing w:line="4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二、乙方的特殊法律顾问服务内容包括：</w:t>
      </w:r>
    </w:p>
    <w:p w14:paraId="75B61130">
      <w:pPr>
        <w:spacing w:line="4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1、代理甲方参加诉讼、仲裁和执行等专案法律事务，维护甲方的合法权益；受甲方专项委托，参与发生一般性纠纷时尚不具备诉讼条件之前的非诉讼谈判、协调和调解；</w:t>
      </w:r>
    </w:p>
    <w:p w14:paraId="64BE5D70">
      <w:pPr>
        <w:spacing w:line="4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2、承办甲方委托的有关工商、税务、海关、知识产权等相关项目的具体手续，争取项目成功获得有关行政部门的审批或者备案；</w:t>
      </w:r>
    </w:p>
    <w:p w14:paraId="76138D64">
      <w:pPr>
        <w:spacing w:line="4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3、 应甲方的要求，为甲方操作的重大经济合同或具体项目提供尽职调查、方案设计、谈判、文件起草、履约风险监控管理等提供法律支持；</w:t>
      </w:r>
    </w:p>
    <w:p w14:paraId="67243142">
      <w:pPr>
        <w:spacing w:line="4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4、出具法律意见书或者专项法律建议书，主要为应甲方的要求或国家有关行政部门的要求出具的法律研究报告或法律可行性报告，或者是甲方已经面临或者可能发生的纠纷，进行法律论证，提出解决方案；</w:t>
      </w:r>
    </w:p>
    <w:p w14:paraId="72829B99">
      <w:pPr>
        <w:spacing w:line="4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5、其他繁杂且耗时较多的法律服务。</w:t>
      </w:r>
    </w:p>
    <w:p w14:paraId="179828A2">
      <w:pPr>
        <w:spacing w:line="400" w:lineRule="exact"/>
        <w:ind w:firstLine="562" w:firstLineChars="200"/>
        <w:rPr>
          <w:rFonts w:hint="eastAsia" w:ascii="仿宋" w:hAnsi="仿宋" w:eastAsia="仿宋" w:cs="仿宋"/>
          <w:b/>
          <w:sz w:val="28"/>
          <w:szCs w:val="28"/>
        </w:rPr>
      </w:pPr>
      <w:r>
        <w:rPr>
          <w:rFonts w:hint="eastAsia" w:ascii="仿宋" w:hAnsi="仿宋" w:eastAsia="仿宋" w:cs="仿宋"/>
          <w:b/>
          <w:sz w:val="28"/>
          <w:szCs w:val="28"/>
        </w:rPr>
        <w:t>第三条  乙方的义务</w:t>
      </w:r>
    </w:p>
    <w:p w14:paraId="435B7FA1">
      <w:pPr>
        <w:adjustRightInd w:val="0"/>
        <w:snapToGrid w:val="0"/>
        <w:spacing w:line="400" w:lineRule="exact"/>
        <w:ind w:firstLine="548" w:firstLineChars="196"/>
        <w:rPr>
          <w:rFonts w:hint="eastAsia" w:ascii="仿宋" w:hAnsi="仿宋" w:eastAsia="仿宋" w:cs="仿宋"/>
          <w:color w:val="000000"/>
          <w:sz w:val="28"/>
          <w:szCs w:val="28"/>
        </w:rPr>
      </w:pPr>
      <w:r>
        <w:rPr>
          <w:rFonts w:hint="eastAsia" w:ascii="仿宋" w:hAnsi="仿宋" w:eastAsia="仿宋" w:cs="仿宋"/>
          <w:color w:val="000000"/>
          <w:sz w:val="28"/>
          <w:szCs w:val="28"/>
        </w:rPr>
        <w:t>1、乙方应运用自己的法律知识、专业知识、社会经验和技能，尽心尽职地完成本合同约定的事务；</w:t>
      </w:r>
    </w:p>
    <w:p w14:paraId="283C26D8">
      <w:pPr>
        <w:adjustRightInd w:val="0"/>
        <w:snapToGrid w:val="0"/>
        <w:spacing w:line="400" w:lineRule="exact"/>
        <w:ind w:firstLine="548" w:firstLineChars="196"/>
        <w:rPr>
          <w:rFonts w:hint="eastAsia" w:ascii="仿宋" w:hAnsi="仿宋" w:eastAsia="仿宋" w:cs="仿宋"/>
          <w:color w:val="000000"/>
          <w:sz w:val="28"/>
          <w:szCs w:val="28"/>
        </w:rPr>
      </w:pPr>
      <w:r>
        <w:rPr>
          <w:rFonts w:hint="eastAsia" w:ascii="仿宋" w:hAnsi="仿宋" w:eastAsia="仿宋" w:cs="仿宋"/>
          <w:color w:val="000000"/>
          <w:sz w:val="28"/>
          <w:szCs w:val="28"/>
        </w:rPr>
        <w:t>2、为维护甲方权益，如遇特殊情况乙方指派的顾问律师不能履行受托事项时乙方可另行指派律师提供法律服务，不需经甲方同意，但须及时告知甲方；</w:t>
      </w:r>
      <w:r>
        <w:rPr>
          <w:rFonts w:hint="eastAsia" w:ascii="仿宋" w:hAnsi="仿宋" w:eastAsia="仿宋" w:cs="仿宋"/>
          <w:sz w:val="28"/>
          <w:szCs w:val="28"/>
        </w:rPr>
        <w:t>甲方同意前述顾问律师指派其他业务助理等辅助人员配合完成辅助工作；</w:t>
      </w:r>
    </w:p>
    <w:p w14:paraId="26AB00C4">
      <w:pPr>
        <w:adjustRightInd w:val="0"/>
        <w:snapToGrid w:val="0"/>
        <w:spacing w:line="400" w:lineRule="exact"/>
        <w:ind w:firstLine="548" w:firstLineChars="196"/>
        <w:rPr>
          <w:rFonts w:hint="eastAsia" w:ascii="仿宋" w:hAnsi="仿宋" w:eastAsia="仿宋" w:cs="仿宋"/>
          <w:color w:val="000000"/>
          <w:sz w:val="28"/>
          <w:szCs w:val="28"/>
        </w:rPr>
      </w:pPr>
      <w:r>
        <w:rPr>
          <w:rFonts w:hint="eastAsia" w:ascii="仿宋" w:hAnsi="仿宋" w:eastAsia="仿宋" w:cs="仿宋"/>
          <w:color w:val="000000"/>
          <w:sz w:val="28"/>
          <w:szCs w:val="28"/>
        </w:rPr>
        <w:t>3、乙方律师在涉及甲方的对抗性案件或者交易活动中，未经甲方同意，不得担任与甲方具有利益冲突的相对方的法律顾问或者代理人；</w:t>
      </w:r>
    </w:p>
    <w:p w14:paraId="09491FF2">
      <w:pPr>
        <w:adjustRightInd w:val="0"/>
        <w:snapToGrid w:val="0"/>
        <w:spacing w:line="400" w:lineRule="exact"/>
        <w:ind w:firstLine="548" w:firstLineChars="196"/>
        <w:rPr>
          <w:rFonts w:hint="eastAsia" w:ascii="仿宋" w:hAnsi="仿宋" w:eastAsia="仿宋" w:cs="仿宋"/>
          <w:color w:val="000000"/>
          <w:sz w:val="28"/>
          <w:szCs w:val="28"/>
        </w:rPr>
      </w:pPr>
      <w:r>
        <w:rPr>
          <w:rFonts w:hint="eastAsia" w:ascii="仿宋" w:hAnsi="仿宋" w:eastAsia="仿宋" w:cs="仿宋"/>
          <w:color w:val="000000"/>
          <w:sz w:val="28"/>
          <w:szCs w:val="28"/>
        </w:rPr>
        <w:t>4、乙方应严格遵守职业道德，对所知晓的甲方的商业秘密予以保密。</w:t>
      </w:r>
    </w:p>
    <w:p w14:paraId="555B37FE">
      <w:pPr>
        <w:spacing w:line="400" w:lineRule="exact"/>
        <w:ind w:firstLine="562" w:firstLineChars="200"/>
        <w:rPr>
          <w:rFonts w:hint="eastAsia" w:ascii="仿宋" w:hAnsi="仿宋" w:eastAsia="仿宋" w:cs="仿宋"/>
          <w:b/>
          <w:sz w:val="28"/>
          <w:szCs w:val="28"/>
        </w:rPr>
      </w:pPr>
      <w:r>
        <w:rPr>
          <w:rFonts w:hint="eastAsia" w:ascii="仿宋" w:hAnsi="仿宋" w:eastAsia="仿宋" w:cs="仿宋"/>
          <w:b/>
          <w:sz w:val="28"/>
          <w:szCs w:val="28"/>
        </w:rPr>
        <w:t>第四条  甲方的义务</w:t>
      </w:r>
    </w:p>
    <w:p w14:paraId="277FE424">
      <w:pPr>
        <w:adjustRightInd w:val="0"/>
        <w:snapToGrid w:val="0"/>
        <w:spacing w:line="40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甲方应当积极、主动地配合乙方律师的工作，全面、客观、真实地向乙方提供与法律服务有关的各种情况、文件、资料；若甲方隐瞒事实与材料、虚假陈述或者迟延提供材料的，因此出现的一切后果由甲方承担；</w:t>
      </w:r>
    </w:p>
    <w:p w14:paraId="705FFCE3">
      <w:pPr>
        <w:adjustRightInd w:val="0"/>
        <w:snapToGrid w:val="0"/>
        <w:spacing w:line="40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2、甲方指定</w:t>
      </w:r>
      <w:r>
        <w:rPr>
          <w:rFonts w:hint="eastAsia" w:ascii="仿宋" w:hAnsi="仿宋" w:eastAsia="仿宋" w:cs="仿宋"/>
          <w:color w:val="000000"/>
          <w:sz w:val="28"/>
          <w:szCs w:val="28"/>
          <w:u w:val="single"/>
        </w:rPr>
        <w:t xml:space="preserve">  </w:t>
      </w:r>
      <w:r>
        <w:rPr>
          <w:rFonts w:hint="eastAsia" w:ascii="仿宋" w:hAnsi="仿宋" w:eastAsia="仿宋" w:cs="仿宋"/>
          <w:b/>
          <w:color w:val="000000"/>
          <w:sz w:val="28"/>
          <w:szCs w:val="28"/>
          <w:u w:val="single"/>
        </w:rPr>
        <w:t xml:space="preserve"> </w:t>
      </w:r>
      <w:r>
        <w:rPr>
          <w:rFonts w:hint="eastAsia" w:ascii="仿宋" w:hAnsi="仿宋" w:eastAsia="仿宋" w:cs="仿宋"/>
          <w:b/>
          <w:color w:val="000000"/>
          <w:sz w:val="28"/>
          <w:szCs w:val="28"/>
          <w:u w:val="single"/>
          <w:lang w:val="en-US" w:eastAsia="zh-CN"/>
        </w:rPr>
        <w:t>张磊</w:t>
      </w:r>
      <w:r>
        <w:rPr>
          <w:rFonts w:hint="eastAsia" w:ascii="仿宋" w:hAnsi="仿宋" w:eastAsia="仿宋" w:cs="仿宋"/>
          <w:b/>
          <w:color w:val="000000"/>
          <w:sz w:val="28"/>
          <w:szCs w:val="28"/>
          <w:u w:val="single"/>
        </w:rPr>
        <w:t xml:space="preserve"> </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为与乙方律师联系的联系人，负责转达甲方的指示和要求，提供文件材料、传达公司指示和意见等。甲方更换联系人应当书面通知乙方律师；</w:t>
      </w:r>
    </w:p>
    <w:p w14:paraId="2D757911">
      <w:pPr>
        <w:adjustRightInd w:val="0"/>
        <w:snapToGrid w:val="0"/>
        <w:spacing w:line="40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3、甲方有责任对委托事项依法做出独立的判断、决策。甲方根据乙方律师提供的法律意见、建议、方案所做出的决定而导致的损失，除非因乙方律师故意或严重过失等失职行为造成，由甲方自行承担；</w:t>
      </w:r>
    </w:p>
    <w:p w14:paraId="0EB24A89">
      <w:pPr>
        <w:adjustRightInd w:val="0"/>
        <w:snapToGrid w:val="0"/>
        <w:spacing w:line="40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4、甲方不得要求乙方律师为其提供违反</w:t>
      </w:r>
      <w:r>
        <w:rPr>
          <w:rFonts w:hint="eastAsia" w:ascii="仿宋" w:hAnsi="仿宋" w:eastAsia="仿宋" w:cs="仿宋"/>
          <w:color w:val="000000"/>
          <w:sz w:val="28"/>
          <w:szCs w:val="28"/>
          <w:lang w:eastAsia="zh-CN"/>
        </w:rPr>
        <w:t>法律法规</w:t>
      </w:r>
      <w:r>
        <w:rPr>
          <w:rFonts w:hint="eastAsia" w:ascii="仿宋" w:hAnsi="仿宋" w:eastAsia="仿宋" w:cs="仿宋"/>
          <w:color w:val="000000"/>
          <w:sz w:val="28"/>
          <w:szCs w:val="28"/>
        </w:rPr>
        <w:t>和社会公德</w:t>
      </w:r>
      <w:r>
        <w:rPr>
          <w:rFonts w:hint="eastAsia" w:ascii="仿宋" w:hAnsi="仿宋" w:eastAsia="仿宋" w:cs="仿宋"/>
          <w:color w:val="000000"/>
          <w:sz w:val="28"/>
          <w:szCs w:val="28"/>
          <w:lang w:eastAsia="zh-CN"/>
        </w:rPr>
        <w:t>以及其他</w:t>
      </w:r>
      <w:r>
        <w:rPr>
          <w:rFonts w:hint="eastAsia" w:ascii="仿宋" w:hAnsi="仿宋" w:eastAsia="仿宋" w:cs="仿宋"/>
          <w:color w:val="000000"/>
          <w:sz w:val="28"/>
          <w:szCs w:val="28"/>
        </w:rPr>
        <w:t>损害社会公共利益或他人合法权益的服务。</w:t>
      </w:r>
    </w:p>
    <w:p w14:paraId="68E21693">
      <w:pPr>
        <w:spacing w:line="400" w:lineRule="exact"/>
        <w:ind w:firstLine="562" w:firstLineChars="200"/>
        <w:rPr>
          <w:rFonts w:hint="eastAsia" w:ascii="仿宋" w:hAnsi="仿宋" w:eastAsia="仿宋" w:cs="仿宋"/>
          <w:b/>
          <w:sz w:val="28"/>
          <w:szCs w:val="28"/>
        </w:rPr>
      </w:pPr>
      <w:r>
        <w:rPr>
          <w:rFonts w:hint="eastAsia" w:ascii="仿宋" w:hAnsi="仿宋" w:eastAsia="仿宋" w:cs="仿宋"/>
          <w:b/>
          <w:sz w:val="28"/>
          <w:szCs w:val="28"/>
        </w:rPr>
        <w:t>第五条  服务期限</w:t>
      </w:r>
    </w:p>
    <w:p w14:paraId="4488F712">
      <w:pPr>
        <w:adjustRightInd w:val="0"/>
        <w:snapToGrid w:val="0"/>
        <w:spacing w:line="40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服务期限为</w:t>
      </w:r>
      <w:r>
        <w:rPr>
          <w:rFonts w:hint="eastAsia" w:ascii="仿宋" w:hAnsi="仿宋" w:eastAsia="仿宋" w:cs="仿宋"/>
          <w:color w:val="000000"/>
          <w:sz w:val="28"/>
          <w:szCs w:val="28"/>
          <w:u w:val="single"/>
        </w:rPr>
        <w:t xml:space="preserve"> 壹 </w:t>
      </w:r>
      <w:r>
        <w:rPr>
          <w:rFonts w:hint="eastAsia" w:ascii="仿宋" w:hAnsi="仿宋" w:eastAsia="仿宋" w:cs="仿宋"/>
          <w:color w:val="000000"/>
          <w:sz w:val="28"/>
          <w:szCs w:val="28"/>
        </w:rPr>
        <w:t>年，自</w:t>
      </w:r>
      <w:r>
        <w:rPr>
          <w:rFonts w:hint="eastAsia" w:ascii="仿宋" w:hAnsi="仿宋" w:eastAsia="仿宋" w:cs="仿宋"/>
          <w:color w:val="000000"/>
          <w:sz w:val="28"/>
          <w:szCs w:val="28"/>
          <w:u w:val="single"/>
        </w:rPr>
        <w:t xml:space="preserve"> </w:t>
      </w:r>
      <w:r>
        <w:rPr>
          <w:rFonts w:ascii="仿宋" w:hAnsi="仿宋" w:eastAsia="仿宋" w:cs="仿宋"/>
          <w:color w:val="000000"/>
          <w:sz w:val="28"/>
          <w:szCs w:val="28"/>
          <w:u w:val="single"/>
        </w:rPr>
        <w:t>202</w:t>
      </w:r>
      <w:r>
        <w:rPr>
          <w:rFonts w:hint="eastAsia" w:ascii="仿宋" w:hAnsi="仿宋" w:eastAsia="仿宋" w:cs="仿宋"/>
          <w:color w:val="000000"/>
          <w:sz w:val="28"/>
          <w:szCs w:val="28"/>
          <w:u w:val="single"/>
          <w:lang w:val="en-US" w:eastAsia="zh-CN"/>
        </w:rPr>
        <w:t>6</w:t>
      </w:r>
      <w:r>
        <w:rPr>
          <w:rFonts w:hint="eastAsia" w:ascii="仿宋" w:hAnsi="仿宋" w:eastAsia="仿宋" w:cs="仿宋"/>
          <w:color w:val="000000"/>
          <w:sz w:val="28"/>
          <w:szCs w:val="28"/>
        </w:rPr>
        <w:t>年</w:t>
      </w:r>
      <w:r>
        <w:rPr>
          <w:rFonts w:hint="eastAsia" w:ascii="仿宋" w:hAnsi="仿宋" w:eastAsia="仿宋" w:cs="仿宋"/>
          <w:color w:val="000000"/>
          <w:sz w:val="28"/>
          <w:szCs w:val="28"/>
          <w:u w:val="single"/>
        </w:rPr>
        <w:t xml:space="preserve"> 8 </w:t>
      </w:r>
      <w:r>
        <w:rPr>
          <w:rFonts w:hint="eastAsia" w:ascii="仿宋" w:hAnsi="仿宋" w:eastAsia="仿宋" w:cs="仿宋"/>
          <w:color w:val="000000"/>
          <w:sz w:val="28"/>
          <w:szCs w:val="28"/>
        </w:rPr>
        <w:t>月</w:t>
      </w:r>
      <w:r>
        <w:rPr>
          <w:rFonts w:hint="eastAsia" w:ascii="仿宋" w:hAnsi="仿宋" w:eastAsia="仿宋" w:cs="仿宋"/>
          <w:color w:val="000000"/>
          <w:sz w:val="28"/>
          <w:szCs w:val="28"/>
          <w:u w:val="single"/>
        </w:rPr>
        <w:t xml:space="preserve"> </w:t>
      </w:r>
      <w:r>
        <w:rPr>
          <w:rFonts w:ascii="仿宋" w:hAnsi="仿宋" w:eastAsia="仿宋" w:cs="仿宋"/>
          <w:color w:val="000000"/>
          <w:sz w:val="28"/>
          <w:szCs w:val="28"/>
          <w:u w:val="single"/>
        </w:rPr>
        <w:t>6</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日起至</w:t>
      </w:r>
      <w:r>
        <w:rPr>
          <w:rFonts w:hint="eastAsia" w:ascii="仿宋" w:hAnsi="仿宋" w:eastAsia="仿宋" w:cs="仿宋"/>
          <w:color w:val="000000"/>
          <w:sz w:val="28"/>
          <w:szCs w:val="28"/>
          <w:u w:val="single"/>
        </w:rPr>
        <w:t xml:space="preserve"> </w:t>
      </w:r>
      <w:r>
        <w:rPr>
          <w:rFonts w:ascii="仿宋" w:hAnsi="仿宋" w:eastAsia="仿宋" w:cs="仿宋"/>
          <w:color w:val="000000"/>
          <w:sz w:val="28"/>
          <w:szCs w:val="28"/>
          <w:u w:val="single"/>
        </w:rPr>
        <w:t>202</w:t>
      </w:r>
      <w:r>
        <w:rPr>
          <w:rFonts w:hint="eastAsia" w:ascii="仿宋" w:hAnsi="仿宋" w:eastAsia="仿宋" w:cs="仿宋"/>
          <w:color w:val="000000"/>
          <w:sz w:val="28"/>
          <w:szCs w:val="28"/>
          <w:u w:val="single"/>
          <w:lang w:val="en-US" w:eastAsia="zh-CN"/>
        </w:rPr>
        <w:t>7</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年</w:t>
      </w:r>
      <w:r>
        <w:rPr>
          <w:rFonts w:hint="eastAsia" w:ascii="仿宋" w:hAnsi="仿宋" w:eastAsia="仿宋" w:cs="仿宋"/>
          <w:color w:val="000000"/>
          <w:sz w:val="28"/>
          <w:szCs w:val="28"/>
          <w:u w:val="single"/>
        </w:rPr>
        <w:t xml:space="preserve"> 8 </w:t>
      </w:r>
      <w:r>
        <w:rPr>
          <w:rFonts w:hint="eastAsia" w:ascii="仿宋" w:hAnsi="仿宋" w:eastAsia="仿宋" w:cs="仿宋"/>
          <w:color w:val="000000"/>
          <w:sz w:val="28"/>
          <w:szCs w:val="28"/>
        </w:rPr>
        <w:t>月</w:t>
      </w:r>
      <w:r>
        <w:rPr>
          <w:rFonts w:hint="eastAsia" w:ascii="仿宋" w:hAnsi="仿宋" w:eastAsia="仿宋" w:cs="仿宋"/>
          <w:color w:val="000000"/>
          <w:sz w:val="28"/>
          <w:szCs w:val="28"/>
          <w:u w:val="single"/>
        </w:rPr>
        <w:t xml:space="preserve">  </w:t>
      </w:r>
      <w:r>
        <w:rPr>
          <w:rFonts w:ascii="仿宋" w:hAnsi="仿宋" w:eastAsia="仿宋" w:cs="仿宋"/>
          <w:color w:val="000000"/>
          <w:sz w:val="28"/>
          <w:szCs w:val="28"/>
          <w:u w:val="single"/>
        </w:rPr>
        <w:t>5</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日止。合同期满前30日内，由甲、乙双方协商决定是否续签常年法律顾问合同。</w:t>
      </w:r>
    </w:p>
    <w:p w14:paraId="557B3612">
      <w:pPr>
        <w:spacing w:line="400" w:lineRule="exact"/>
        <w:ind w:firstLine="562" w:firstLineChars="200"/>
        <w:rPr>
          <w:rFonts w:hint="eastAsia" w:ascii="仿宋" w:hAnsi="仿宋" w:eastAsia="仿宋" w:cs="仿宋"/>
          <w:b/>
          <w:sz w:val="28"/>
          <w:szCs w:val="28"/>
        </w:rPr>
      </w:pPr>
      <w:r>
        <w:rPr>
          <w:rFonts w:hint="eastAsia" w:ascii="仿宋" w:hAnsi="仿宋" w:eastAsia="仿宋" w:cs="仿宋"/>
          <w:b/>
          <w:sz w:val="28"/>
          <w:szCs w:val="28"/>
        </w:rPr>
        <w:t>第六条  顾问费用及其支付</w:t>
      </w:r>
    </w:p>
    <w:p w14:paraId="72D623C8">
      <w:pPr>
        <w:adjustRightInd w:val="0"/>
        <w:snapToGrid w:val="0"/>
        <w:spacing w:line="400" w:lineRule="exact"/>
        <w:ind w:firstLine="560" w:firstLineChars="200"/>
        <w:rPr>
          <w:rFonts w:hint="eastAsia" w:ascii="仿宋" w:hAnsi="仿宋" w:eastAsia="仿宋" w:cs="仿宋"/>
          <w:bCs/>
          <w:color w:val="000000"/>
          <w:sz w:val="28"/>
          <w:szCs w:val="28"/>
        </w:rPr>
      </w:pPr>
      <w:r>
        <w:rPr>
          <w:rFonts w:hint="eastAsia" w:ascii="仿宋" w:hAnsi="仿宋" w:eastAsia="仿宋" w:cs="仿宋"/>
          <w:bCs/>
          <w:color w:val="000000"/>
          <w:sz w:val="28"/>
          <w:szCs w:val="28"/>
        </w:rPr>
        <w:t>1、</w:t>
      </w:r>
      <w:bookmarkStart w:id="0" w:name="OLE_LINK2"/>
      <w:r>
        <w:rPr>
          <w:rFonts w:hint="eastAsia" w:ascii="仿宋" w:hAnsi="仿宋" w:eastAsia="仿宋" w:cs="仿宋"/>
          <w:bCs/>
          <w:color w:val="000000"/>
          <w:sz w:val="28"/>
          <w:szCs w:val="28"/>
        </w:rPr>
        <w:t>本合同项下甲方向乙方支付的法律顾问费用为每年人民币（大写</w:t>
      </w:r>
      <w:r>
        <w:rPr>
          <w:rFonts w:hint="eastAsia" w:ascii="仿宋" w:hAnsi="仿宋" w:eastAsia="仿宋" w:cs="仿宋"/>
          <w:bCs/>
          <w:color w:val="000000"/>
          <w:sz w:val="28"/>
          <w:szCs w:val="28"/>
          <w:u w:val="single"/>
        </w:rPr>
        <w:t xml:space="preserve">）  捌万  </w:t>
      </w:r>
      <w:r>
        <w:rPr>
          <w:rFonts w:hint="eastAsia" w:ascii="仿宋" w:hAnsi="仿宋" w:eastAsia="仿宋" w:cs="仿宋"/>
          <w:bCs/>
          <w:color w:val="000000"/>
          <w:sz w:val="28"/>
          <w:szCs w:val="28"/>
        </w:rPr>
        <w:t>元整（小写：</w:t>
      </w:r>
      <w:r>
        <w:rPr>
          <w:rFonts w:hint="eastAsia" w:ascii="仿宋" w:hAnsi="仿宋" w:eastAsia="仿宋" w:cs="仿宋"/>
          <w:bCs/>
          <w:color w:val="000000"/>
          <w:sz w:val="28"/>
          <w:szCs w:val="28"/>
          <w:u w:val="single"/>
        </w:rPr>
        <w:t xml:space="preserve">￥ 80000.00元 </w:t>
      </w:r>
      <w:r>
        <w:rPr>
          <w:rFonts w:hint="eastAsia" w:ascii="仿宋" w:hAnsi="仿宋" w:eastAsia="仿宋" w:cs="仿宋"/>
          <w:bCs/>
          <w:color w:val="000000"/>
          <w:sz w:val="28"/>
          <w:szCs w:val="28"/>
        </w:rPr>
        <w:t>）。</w:t>
      </w:r>
    </w:p>
    <w:p w14:paraId="1C27A84B">
      <w:pPr>
        <w:adjustRightInd w:val="0"/>
        <w:snapToGrid w:val="0"/>
        <w:spacing w:line="400" w:lineRule="exact"/>
        <w:ind w:firstLine="560" w:firstLineChars="200"/>
        <w:rPr>
          <w:rFonts w:hint="eastAsia" w:ascii="仿宋" w:hAnsi="仿宋" w:eastAsia="仿宋" w:cs="仿宋"/>
          <w:bCs/>
          <w:color w:val="000000"/>
          <w:sz w:val="28"/>
          <w:szCs w:val="28"/>
        </w:rPr>
      </w:pPr>
      <w:r>
        <w:rPr>
          <w:rFonts w:hint="eastAsia" w:ascii="仿宋" w:hAnsi="仿宋" w:eastAsia="仿宋" w:cs="仿宋"/>
          <w:bCs/>
          <w:color w:val="000000"/>
          <w:sz w:val="28"/>
          <w:szCs w:val="28"/>
        </w:rPr>
        <w:t>2、乙方提供第二条规定的一般法律顾问服务内容时，除上述费用外，不再收取其他费用；提供第二条规定的特殊法律顾问服务内容时，甲方应向乙方另行支付律师费，但律</w:t>
      </w:r>
      <w:bookmarkStart w:id="3" w:name="_GoBack"/>
      <w:bookmarkEnd w:id="3"/>
      <w:r>
        <w:rPr>
          <w:rFonts w:hint="eastAsia" w:ascii="仿宋" w:hAnsi="仿宋" w:eastAsia="仿宋" w:cs="仿宋"/>
          <w:bCs/>
          <w:color w:val="000000"/>
          <w:sz w:val="28"/>
          <w:szCs w:val="28"/>
        </w:rPr>
        <w:t>师费应在收费标准基础上给予</w:t>
      </w:r>
      <w:r>
        <w:rPr>
          <w:rFonts w:hint="eastAsia" w:ascii="仿宋" w:hAnsi="仿宋" w:eastAsia="仿宋" w:cs="仿宋"/>
          <w:bCs/>
          <w:color w:val="000000"/>
          <w:sz w:val="28"/>
          <w:szCs w:val="28"/>
          <w:u w:val="single"/>
        </w:rPr>
        <w:t xml:space="preserve">  捌折 </w:t>
      </w:r>
      <w:r>
        <w:rPr>
          <w:rFonts w:hint="eastAsia" w:ascii="仿宋" w:hAnsi="仿宋" w:eastAsia="仿宋" w:cs="仿宋"/>
          <w:bCs/>
          <w:color w:val="000000"/>
          <w:sz w:val="28"/>
          <w:szCs w:val="28"/>
        </w:rPr>
        <w:t>优惠，且优惠后律师费不少于人民币12000元的深圳地区最低收费标准。</w:t>
      </w:r>
    </w:p>
    <w:p w14:paraId="387009CE">
      <w:pPr>
        <w:adjustRightInd w:val="0"/>
        <w:snapToGrid w:val="0"/>
        <w:spacing w:line="400" w:lineRule="exact"/>
        <w:ind w:firstLine="560" w:firstLineChars="200"/>
        <w:rPr>
          <w:rFonts w:hint="eastAsia" w:ascii="仿宋" w:hAnsi="仿宋" w:eastAsia="仿宋" w:cs="仿宋"/>
          <w:bCs/>
          <w:color w:val="000000"/>
          <w:sz w:val="28"/>
          <w:szCs w:val="28"/>
        </w:rPr>
      </w:pPr>
      <w:r>
        <w:rPr>
          <w:rFonts w:hint="eastAsia" w:ascii="仿宋" w:hAnsi="仿宋" w:eastAsia="仿宋" w:cs="仿宋"/>
          <w:bCs/>
          <w:color w:val="000000"/>
          <w:sz w:val="28"/>
          <w:szCs w:val="28"/>
        </w:rPr>
        <w:t>3、甲方应于本合同签订之日起</w:t>
      </w:r>
      <w:r>
        <w:rPr>
          <w:rFonts w:hint="eastAsia" w:ascii="仿宋" w:hAnsi="仿宋" w:eastAsia="仿宋" w:cs="仿宋"/>
          <w:bCs/>
          <w:color w:val="000000"/>
          <w:sz w:val="28"/>
          <w:szCs w:val="28"/>
          <w:u w:val="single"/>
        </w:rPr>
        <w:t xml:space="preserve">  3  </w:t>
      </w:r>
      <w:r>
        <w:rPr>
          <w:rFonts w:hint="eastAsia" w:ascii="仿宋" w:hAnsi="仿宋" w:eastAsia="仿宋" w:cs="仿宋"/>
          <w:bCs/>
          <w:color w:val="000000"/>
          <w:sz w:val="28"/>
          <w:szCs w:val="28"/>
        </w:rPr>
        <w:t>天内将上述费用汇至乙方指定的账户：</w:t>
      </w:r>
    </w:p>
    <w:p w14:paraId="3D350565">
      <w:pPr>
        <w:adjustRightInd w:val="0"/>
        <w:snapToGrid w:val="0"/>
        <w:spacing w:line="400" w:lineRule="exact"/>
        <w:ind w:firstLine="560" w:firstLineChars="200"/>
        <w:rPr>
          <w:rFonts w:hint="eastAsia" w:ascii="仿宋" w:hAnsi="仿宋" w:eastAsia="仿宋" w:cs="仿宋"/>
          <w:bCs/>
          <w:color w:val="000000"/>
          <w:sz w:val="28"/>
          <w:szCs w:val="28"/>
        </w:rPr>
      </w:pPr>
      <w:r>
        <w:rPr>
          <w:rFonts w:hint="eastAsia" w:ascii="仿宋" w:hAnsi="仿宋" w:eastAsia="仿宋" w:cs="仿宋"/>
          <w:bCs/>
          <w:color w:val="000000"/>
          <w:sz w:val="28"/>
          <w:szCs w:val="28"/>
        </w:rPr>
        <w:t xml:space="preserve">账户名称：广东深宝律师事务所 </w:t>
      </w:r>
    </w:p>
    <w:p w14:paraId="361CBA33">
      <w:pPr>
        <w:adjustRightInd w:val="0"/>
        <w:snapToGrid w:val="0"/>
        <w:spacing w:line="400" w:lineRule="exact"/>
        <w:ind w:firstLine="560" w:firstLineChars="200"/>
        <w:rPr>
          <w:rFonts w:hint="eastAsia" w:ascii="仿宋" w:hAnsi="仿宋" w:eastAsia="仿宋" w:cs="仿宋"/>
          <w:bCs/>
          <w:color w:val="000000"/>
          <w:sz w:val="28"/>
          <w:szCs w:val="28"/>
        </w:rPr>
      </w:pPr>
      <w:r>
        <w:rPr>
          <w:rFonts w:hint="eastAsia" w:ascii="仿宋" w:hAnsi="仿宋" w:eastAsia="仿宋" w:cs="仿宋"/>
          <w:bCs/>
          <w:color w:val="000000"/>
          <w:sz w:val="28"/>
          <w:szCs w:val="28"/>
        </w:rPr>
        <w:t xml:space="preserve">开户行：工商银行深圳市宝安支行     </w:t>
      </w:r>
    </w:p>
    <w:p w14:paraId="07200D73">
      <w:pPr>
        <w:adjustRightInd w:val="0"/>
        <w:snapToGrid w:val="0"/>
        <w:spacing w:line="400" w:lineRule="exact"/>
        <w:ind w:firstLine="560" w:firstLineChars="200"/>
        <w:rPr>
          <w:rFonts w:hint="eastAsia" w:ascii="仿宋" w:hAnsi="仿宋" w:eastAsia="仿宋" w:cs="仿宋"/>
          <w:bCs/>
          <w:color w:val="000000"/>
          <w:sz w:val="28"/>
          <w:szCs w:val="28"/>
        </w:rPr>
      </w:pPr>
      <w:r>
        <w:rPr>
          <w:rFonts w:hint="eastAsia" w:ascii="仿宋" w:hAnsi="仿宋" w:eastAsia="仿宋" w:cs="仿宋"/>
          <w:bCs/>
          <w:color w:val="000000"/>
          <w:sz w:val="28"/>
          <w:szCs w:val="28"/>
        </w:rPr>
        <w:t xml:space="preserve">账号：4000021409024929492 </w:t>
      </w:r>
    </w:p>
    <w:p w14:paraId="73B09CDC">
      <w:pPr>
        <w:adjustRightInd w:val="0"/>
        <w:snapToGrid w:val="0"/>
        <w:spacing w:line="400" w:lineRule="exact"/>
        <w:ind w:firstLine="560" w:firstLineChars="200"/>
        <w:rPr>
          <w:rFonts w:hint="eastAsia" w:ascii="仿宋" w:hAnsi="仿宋" w:eastAsia="仿宋" w:cs="仿宋"/>
          <w:bCs/>
          <w:color w:val="000000"/>
          <w:sz w:val="28"/>
          <w:szCs w:val="28"/>
        </w:rPr>
      </w:pPr>
      <w:r>
        <w:rPr>
          <w:rFonts w:hint="eastAsia" w:ascii="仿宋" w:hAnsi="仿宋" w:eastAsia="仿宋" w:cs="仿宋"/>
          <w:bCs/>
          <w:color w:val="000000"/>
          <w:sz w:val="28"/>
          <w:szCs w:val="28"/>
        </w:rPr>
        <w:t>4、甲方向乙方支付的顾问费用，乙方应向甲方开具等额的、符合国家税务法律法规相关规定的正规发票。如甲方要求乙方先开具发票再付款的，其顾问费用支付完成以相应的款项支付至乙方账户为准。</w:t>
      </w:r>
    </w:p>
    <w:bookmarkEnd w:id="0"/>
    <w:p w14:paraId="597EAAF1">
      <w:pPr>
        <w:spacing w:line="400" w:lineRule="exact"/>
        <w:ind w:firstLine="562" w:firstLineChars="200"/>
        <w:rPr>
          <w:rFonts w:hint="eastAsia" w:ascii="仿宋" w:hAnsi="仿宋" w:eastAsia="仿宋" w:cs="仿宋"/>
          <w:b/>
          <w:sz w:val="28"/>
          <w:szCs w:val="28"/>
        </w:rPr>
      </w:pPr>
      <w:bookmarkStart w:id="1" w:name="OLE_LINK3"/>
      <w:r>
        <w:rPr>
          <w:rFonts w:hint="eastAsia" w:ascii="仿宋" w:hAnsi="仿宋" w:eastAsia="仿宋" w:cs="仿宋"/>
          <w:b/>
          <w:sz w:val="28"/>
          <w:szCs w:val="28"/>
        </w:rPr>
        <w:t>第七条  工作费用</w:t>
      </w:r>
    </w:p>
    <w:p w14:paraId="6B70C5AD">
      <w:pPr>
        <w:pStyle w:val="3"/>
        <w:spacing w:line="400" w:lineRule="exact"/>
        <w:rPr>
          <w:rFonts w:hint="eastAsia" w:ascii="仿宋" w:hAnsi="仿宋" w:eastAsia="仿宋" w:cs="仿宋"/>
          <w:sz w:val="28"/>
          <w:szCs w:val="28"/>
        </w:rPr>
      </w:pPr>
      <w:r>
        <w:rPr>
          <w:rFonts w:hint="eastAsia" w:ascii="仿宋" w:hAnsi="仿宋" w:eastAsia="仿宋" w:cs="仿宋"/>
          <w:sz w:val="28"/>
          <w:szCs w:val="28"/>
        </w:rPr>
        <w:t>乙方律师办理甲方委托事项所发生的下列工作费用，应当由甲方另行承担：</w:t>
      </w:r>
    </w:p>
    <w:p w14:paraId="605C6DCA">
      <w:pPr>
        <w:spacing w:line="400" w:lineRule="exact"/>
        <w:ind w:right="28" w:firstLine="560" w:firstLineChars="200"/>
        <w:rPr>
          <w:rFonts w:hint="eastAsia" w:ascii="仿宋" w:hAnsi="仿宋" w:eastAsia="仿宋" w:cs="仿宋"/>
          <w:sz w:val="28"/>
          <w:szCs w:val="28"/>
        </w:rPr>
      </w:pPr>
      <w:r>
        <w:rPr>
          <w:rFonts w:hint="eastAsia" w:ascii="仿宋" w:hAnsi="仿宋" w:eastAsia="仿宋" w:cs="仿宋"/>
          <w:sz w:val="28"/>
          <w:szCs w:val="28"/>
        </w:rPr>
        <w:t>1、相关行政、司法、鉴定、公证等部门收取的费用；</w:t>
      </w:r>
    </w:p>
    <w:p w14:paraId="54ECC69B">
      <w:pPr>
        <w:pStyle w:val="3"/>
        <w:spacing w:line="4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2、乙方律师及辅助人员在深圳市外地区所发生的差旅费、跨境长途通讯费等费用；</w:t>
      </w:r>
    </w:p>
    <w:bookmarkEnd w:id="1"/>
    <w:p w14:paraId="1A8C1B8D">
      <w:pPr>
        <w:pStyle w:val="3"/>
        <w:spacing w:line="4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3、征得甲方同意后支出的其他费用。</w:t>
      </w:r>
    </w:p>
    <w:p w14:paraId="0C09B1A3">
      <w:pPr>
        <w:spacing w:line="400" w:lineRule="exact"/>
        <w:ind w:firstLine="562" w:firstLineChars="200"/>
        <w:rPr>
          <w:rFonts w:hint="eastAsia" w:ascii="仿宋" w:hAnsi="仿宋" w:eastAsia="仿宋" w:cs="仿宋"/>
          <w:b/>
          <w:sz w:val="28"/>
          <w:szCs w:val="28"/>
        </w:rPr>
      </w:pPr>
      <w:r>
        <w:rPr>
          <w:rFonts w:hint="eastAsia" w:ascii="仿宋" w:hAnsi="仿宋" w:eastAsia="仿宋" w:cs="仿宋"/>
          <w:b/>
          <w:sz w:val="28"/>
          <w:szCs w:val="28"/>
        </w:rPr>
        <w:t xml:space="preserve">第八条 </w:t>
      </w:r>
      <w:r>
        <w:rPr>
          <w:rFonts w:ascii="Calibri" w:hAnsi="Calibri" w:eastAsia="仿宋" w:cs="Calibri"/>
          <w:b/>
          <w:sz w:val="28"/>
          <w:szCs w:val="28"/>
        </w:rPr>
        <w:t xml:space="preserve"> </w:t>
      </w:r>
      <w:r>
        <w:rPr>
          <w:rFonts w:hint="eastAsia" w:ascii="仿宋" w:hAnsi="仿宋" w:eastAsia="仿宋" w:cs="仿宋"/>
          <w:b/>
          <w:sz w:val="28"/>
          <w:szCs w:val="28"/>
        </w:rPr>
        <w:t>合同的变更和解除</w:t>
      </w:r>
    </w:p>
    <w:p w14:paraId="6AF083A4">
      <w:pPr>
        <w:spacing w:line="4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1、甲、乙双方可通过协商的方式变更或者解除本合同，除法定及约定情形外，不得不合理地单方解除本合同。</w:t>
      </w:r>
    </w:p>
    <w:p w14:paraId="27F72B15">
      <w:pPr>
        <w:spacing w:line="400" w:lineRule="exact"/>
        <w:ind w:firstLine="560" w:firstLineChars="200"/>
        <w:rPr>
          <w:rFonts w:hint="eastAsia" w:ascii="仿宋" w:hAnsi="仿宋" w:eastAsia="仿宋" w:cs="仿宋"/>
          <w:sz w:val="28"/>
          <w:szCs w:val="28"/>
        </w:rPr>
      </w:pPr>
      <w:r>
        <w:rPr>
          <w:rFonts w:ascii="仿宋" w:hAnsi="仿宋" w:eastAsia="仿宋" w:cs="仿宋"/>
          <w:sz w:val="28"/>
          <w:szCs w:val="28"/>
        </w:rPr>
        <w:t>2</w:t>
      </w:r>
      <w:r>
        <w:rPr>
          <w:rFonts w:hint="eastAsia" w:ascii="仿宋" w:hAnsi="仿宋" w:eastAsia="仿宋" w:cs="仿宋"/>
          <w:sz w:val="28"/>
          <w:szCs w:val="28"/>
        </w:rPr>
        <w:t>、甲方有下列情形之一的，乙方有权解除本合同或暂停工作直至甲方纠正，由此造成的损失和后果由甲方自行承担：</w:t>
      </w:r>
    </w:p>
    <w:p w14:paraId="503C8BE3">
      <w:pPr>
        <w:spacing w:line="4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（1）甲方的委托事务违反法律或者违反律师执业规范的；</w:t>
      </w:r>
    </w:p>
    <w:p w14:paraId="3DCF5357">
      <w:pPr>
        <w:spacing w:line="4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（2）甲方有捏造事实、伪造证据材料或者隐瞒重要事实情节等情形的；</w:t>
      </w:r>
    </w:p>
    <w:p w14:paraId="55BCFC35">
      <w:pPr>
        <w:spacing w:line="4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（3）甲方逾期五日仍不向乙方支付顾问费用或者工作费用的；</w:t>
      </w:r>
    </w:p>
    <w:p w14:paraId="4E2461A8">
      <w:pPr>
        <w:spacing w:line="4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（4）甲方对顾问律师实施侮辱、贬低人格或暴力行为的。</w:t>
      </w:r>
    </w:p>
    <w:p w14:paraId="64C35327">
      <w:pPr>
        <w:spacing w:line="400" w:lineRule="exact"/>
        <w:ind w:firstLine="562" w:firstLineChars="200"/>
        <w:rPr>
          <w:rFonts w:hint="eastAsia" w:ascii="仿宋" w:hAnsi="仿宋" w:eastAsia="仿宋" w:cs="仿宋"/>
          <w:b/>
          <w:sz w:val="28"/>
          <w:szCs w:val="28"/>
        </w:rPr>
      </w:pPr>
      <w:r>
        <w:rPr>
          <w:rFonts w:hint="eastAsia" w:ascii="仿宋" w:hAnsi="仿宋" w:eastAsia="仿宋" w:cs="仿宋"/>
          <w:b/>
          <w:sz w:val="28"/>
          <w:szCs w:val="28"/>
        </w:rPr>
        <w:t>第九条</w:t>
      </w:r>
      <w:r>
        <w:rPr>
          <w:rFonts w:ascii="仿宋" w:hAnsi="仿宋" w:eastAsia="仿宋" w:cs="仿宋"/>
          <w:b/>
          <w:sz w:val="28"/>
          <w:szCs w:val="28"/>
        </w:rPr>
        <w:t xml:space="preserve">  </w:t>
      </w:r>
      <w:r>
        <w:rPr>
          <w:rFonts w:hint="eastAsia" w:ascii="仿宋" w:hAnsi="仿宋" w:eastAsia="仿宋" w:cs="仿宋"/>
          <w:b/>
          <w:sz w:val="28"/>
          <w:szCs w:val="28"/>
        </w:rPr>
        <w:t>违约责任</w:t>
      </w:r>
    </w:p>
    <w:p w14:paraId="3459F94D">
      <w:pPr>
        <w:spacing w:line="4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color w:val="000000"/>
          <w:sz w:val="28"/>
          <w:szCs w:val="28"/>
        </w:rPr>
        <w:t>甲方无正当理由不支付律师顾问费、工作费用，或者</w:t>
      </w:r>
      <w:r>
        <w:rPr>
          <w:rFonts w:hint="eastAsia" w:ascii="仿宋" w:hAnsi="仿宋" w:eastAsia="仿宋" w:cs="仿宋"/>
          <w:sz w:val="28"/>
          <w:szCs w:val="28"/>
        </w:rPr>
        <w:t>非因乙方、乙方律师的原因而单方解除本合同的，甲方已支付的律师顾问费和工作费用，乙方不予退还；甲方应付未付的律师顾问费、未报销的工作费用，乙方有权要求甲方继续支付，并赔偿由此造成的利息损失（利息损失=应付未付金额*</w:t>
      </w:r>
      <w:r>
        <w:rPr>
          <w:rFonts w:ascii="仿宋" w:hAnsi="仿宋" w:eastAsia="仿宋" w:cs="仿宋"/>
          <w:sz w:val="28"/>
          <w:szCs w:val="28"/>
        </w:rPr>
        <w:t>24%*</w:t>
      </w:r>
      <w:r>
        <w:rPr>
          <w:rFonts w:hint="eastAsia" w:ascii="仿宋" w:hAnsi="仿宋" w:eastAsia="仿宋" w:cs="仿宋"/>
          <w:sz w:val="28"/>
          <w:szCs w:val="28"/>
        </w:rPr>
        <w:t>逾期天数/</w:t>
      </w:r>
      <w:r>
        <w:rPr>
          <w:rFonts w:ascii="仿宋" w:hAnsi="仿宋" w:eastAsia="仿宋" w:cs="仿宋"/>
          <w:sz w:val="28"/>
          <w:szCs w:val="28"/>
        </w:rPr>
        <w:t>360</w:t>
      </w:r>
      <w:r>
        <w:rPr>
          <w:rFonts w:hint="eastAsia" w:ascii="仿宋" w:hAnsi="仿宋" w:eastAsia="仿宋" w:cs="仿宋"/>
          <w:sz w:val="28"/>
          <w:szCs w:val="28"/>
        </w:rPr>
        <w:t>）；</w:t>
      </w:r>
    </w:p>
    <w:p w14:paraId="7ABDDBA8">
      <w:pPr>
        <w:spacing w:line="4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在法律规定的范围内，因乙方律师故意或严重过失等失职行为而造成甲方直接经济损失的，乙方应当通过所投保的执业保险向甲方承担赔偿责任；执业保险赔偿的不足部分由乙方自行承担，但不超过乙方收取的</w:t>
      </w:r>
      <w:r>
        <w:rPr>
          <w:rFonts w:hint="eastAsia" w:ascii="仿宋" w:hAnsi="仿宋" w:eastAsia="仿宋" w:cs="仿宋"/>
          <w:color w:val="000000"/>
          <w:sz w:val="28"/>
          <w:szCs w:val="28"/>
        </w:rPr>
        <w:t>律师顾问费总额。</w:t>
      </w:r>
    </w:p>
    <w:p w14:paraId="60A0B051">
      <w:pPr>
        <w:spacing w:line="400" w:lineRule="exact"/>
        <w:ind w:firstLine="562" w:firstLineChars="200"/>
        <w:rPr>
          <w:rFonts w:hint="eastAsia" w:ascii="仿宋" w:hAnsi="仿宋" w:eastAsia="仿宋" w:cs="仿宋"/>
          <w:b/>
          <w:sz w:val="28"/>
          <w:szCs w:val="28"/>
        </w:rPr>
      </w:pPr>
      <w:r>
        <w:rPr>
          <w:rFonts w:hint="eastAsia" w:ascii="仿宋" w:hAnsi="仿宋" w:eastAsia="仿宋" w:cs="仿宋"/>
          <w:b/>
          <w:sz w:val="28"/>
          <w:szCs w:val="28"/>
        </w:rPr>
        <w:t>第十条  争议的解决</w:t>
      </w:r>
    </w:p>
    <w:p w14:paraId="0F991009">
      <w:pPr>
        <w:spacing w:line="400" w:lineRule="exact"/>
        <w:ind w:right="28" w:firstLine="560" w:firstLineChars="200"/>
        <w:rPr>
          <w:rFonts w:hint="eastAsia" w:ascii="仿宋" w:hAnsi="仿宋" w:eastAsia="仿宋" w:cs="仿宋"/>
          <w:sz w:val="28"/>
          <w:szCs w:val="28"/>
        </w:rPr>
      </w:pPr>
      <w:r>
        <w:rPr>
          <w:rFonts w:hint="eastAsia" w:ascii="仿宋" w:hAnsi="仿宋" w:eastAsia="仿宋" w:cs="仿宋"/>
          <w:sz w:val="28"/>
          <w:szCs w:val="28"/>
        </w:rPr>
        <w:t>本合同履行期间如发生争议，甲乙双方应友好协商解决。协商不成，任何一方有权向乙方所在地人民法院提起诉讼。</w:t>
      </w:r>
    </w:p>
    <w:p w14:paraId="7E08DF5D">
      <w:pPr>
        <w:spacing w:line="400" w:lineRule="exact"/>
        <w:ind w:firstLine="562" w:firstLineChars="200"/>
        <w:rPr>
          <w:rFonts w:hint="eastAsia" w:ascii="仿宋" w:hAnsi="仿宋" w:eastAsia="仿宋" w:cs="仿宋"/>
          <w:b/>
          <w:sz w:val="28"/>
          <w:szCs w:val="28"/>
        </w:rPr>
      </w:pPr>
      <w:r>
        <w:rPr>
          <w:rFonts w:hint="eastAsia" w:ascii="仿宋" w:hAnsi="仿宋" w:eastAsia="仿宋" w:cs="仿宋"/>
          <w:b/>
          <w:sz w:val="28"/>
          <w:szCs w:val="28"/>
        </w:rPr>
        <w:t>第十一条  合同的生效与失效</w:t>
      </w:r>
    </w:p>
    <w:p w14:paraId="356DF888">
      <w:pPr>
        <w:adjustRightInd w:val="0"/>
        <w:snapToGrid w:val="0"/>
        <w:spacing w:line="40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本合同一式三份，甲、乙双方及乙方律师各执一份，每份均有同等法律效力。自甲、乙双方有权签字人签字或加盖公章起生效，自本合同所约定的服务期限届满或解除本合同时终止。</w:t>
      </w:r>
    </w:p>
    <w:p w14:paraId="56E45C16">
      <w:pPr>
        <w:spacing w:line="400" w:lineRule="exact"/>
        <w:ind w:firstLine="562" w:firstLineChars="200"/>
        <w:rPr>
          <w:rFonts w:hint="eastAsia" w:ascii="仿宋" w:hAnsi="仿宋" w:eastAsia="仿宋" w:cs="仿宋"/>
          <w:b/>
          <w:sz w:val="28"/>
          <w:szCs w:val="28"/>
        </w:rPr>
      </w:pPr>
      <w:r>
        <w:rPr>
          <w:rFonts w:hint="eastAsia" w:ascii="仿宋" w:hAnsi="仿宋" w:eastAsia="仿宋" w:cs="仿宋"/>
          <w:b/>
          <w:sz w:val="28"/>
          <w:szCs w:val="28"/>
        </w:rPr>
        <w:t>第十二条  通知和送达</w:t>
      </w:r>
    </w:p>
    <w:p w14:paraId="11AD9A4D">
      <w:pPr>
        <w:spacing w:line="40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1、甲、乙双方因履行本合同而相互发出或者提供的所有通知、文件、材料，可通过当面交付、电子文档交付、邮寄交付的方式进行送达；</w:t>
      </w:r>
    </w:p>
    <w:p w14:paraId="4C053B70">
      <w:pPr>
        <w:adjustRightInd w:val="0"/>
        <w:snapToGrid w:val="0"/>
        <w:spacing w:before="156" w:beforeLines="50" w:line="400" w:lineRule="exact"/>
        <w:ind w:firstLine="560" w:firstLineChars="200"/>
        <w:rPr>
          <w:rFonts w:hint="eastAsia" w:ascii="仿宋" w:hAnsi="仿宋" w:eastAsia="仿宋" w:cs="仿宋"/>
          <w:bCs/>
          <w:color w:val="000000"/>
          <w:sz w:val="28"/>
          <w:szCs w:val="28"/>
        </w:rPr>
      </w:pPr>
      <w:r>
        <w:rPr>
          <w:rFonts w:hint="eastAsia" w:ascii="仿宋" w:hAnsi="仿宋" w:eastAsia="仿宋" w:cs="仿宋"/>
          <w:bCs/>
          <w:sz w:val="28"/>
          <w:szCs w:val="28"/>
        </w:rPr>
        <w:t>2、甲方确认以下信息为正确、有效的送达信息，如发生迁址或者变更邮箱、电话的，应当书面通知乙方律师；</w:t>
      </w:r>
    </w:p>
    <w:tbl>
      <w:tblPr>
        <w:tblStyle w:val="9"/>
        <w:tblW w:w="7513"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5953"/>
      </w:tblGrid>
      <w:tr w14:paraId="6ED42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14:paraId="7FC60BC1">
            <w:pPr>
              <w:adjustRightInd w:val="0"/>
              <w:snapToGrid w:val="0"/>
              <w:spacing w:line="400" w:lineRule="exact"/>
              <w:jc w:val="center"/>
              <w:rPr>
                <w:rFonts w:hint="eastAsia" w:ascii="仿宋" w:hAnsi="仿宋" w:eastAsia="仿宋" w:cs="仿宋"/>
                <w:bCs/>
                <w:sz w:val="28"/>
                <w:szCs w:val="28"/>
              </w:rPr>
            </w:pPr>
            <w:r>
              <w:rPr>
                <w:rFonts w:hint="eastAsia" w:ascii="仿宋" w:hAnsi="仿宋" w:eastAsia="仿宋" w:cs="仿宋"/>
                <w:bCs/>
                <w:sz w:val="28"/>
                <w:szCs w:val="28"/>
              </w:rPr>
              <w:t>联系人</w:t>
            </w:r>
          </w:p>
        </w:tc>
        <w:tc>
          <w:tcPr>
            <w:tcW w:w="5953" w:type="dxa"/>
          </w:tcPr>
          <w:p w14:paraId="6BBDE3AC">
            <w:pPr>
              <w:adjustRightInd w:val="0"/>
              <w:snapToGrid w:val="0"/>
              <w:spacing w:line="400" w:lineRule="exact"/>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张磊</w:t>
            </w:r>
          </w:p>
        </w:tc>
      </w:tr>
      <w:tr w14:paraId="782EC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14:paraId="5B10CB91">
            <w:pPr>
              <w:adjustRightInd w:val="0"/>
              <w:snapToGrid w:val="0"/>
              <w:spacing w:line="400" w:lineRule="exact"/>
              <w:jc w:val="center"/>
              <w:rPr>
                <w:rFonts w:hint="eastAsia" w:ascii="仿宋" w:hAnsi="仿宋" w:eastAsia="仿宋" w:cs="仿宋"/>
                <w:bCs/>
                <w:sz w:val="28"/>
                <w:szCs w:val="28"/>
              </w:rPr>
            </w:pPr>
            <w:r>
              <w:rPr>
                <w:rFonts w:hint="eastAsia" w:ascii="仿宋" w:hAnsi="仿宋" w:eastAsia="仿宋" w:cs="仿宋"/>
                <w:bCs/>
                <w:color w:val="000000"/>
                <w:sz w:val="28"/>
                <w:szCs w:val="28"/>
              </w:rPr>
              <w:t>联系电话</w:t>
            </w:r>
          </w:p>
        </w:tc>
        <w:tc>
          <w:tcPr>
            <w:tcW w:w="5953" w:type="dxa"/>
          </w:tcPr>
          <w:p w14:paraId="2E5E7156">
            <w:pPr>
              <w:adjustRightInd w:val="0"/>
              <w:snapToGrid w:val="0"/>
              <w:spacing w:line="400" w:lineRule="exact"/>
              <w:rPr>
                <w:rFonts w:hint="default" w:ascii="仿宋" w:hAnsi="仿宋" w:eastAsia="仿宋" w:cs="仿宋"/>
                <w:bCs/>
                <w:sz w:val="28"/>
                <w:szCs w:val="28"/>
                <w:lang w:val="en-US" w:eastAsia="zh-CN"/>
              </w:rPr>
            </w:pPr>
            <w:r>
              <w:rPr>
                <w:rFonts w:hint="eastAsia" w:ascii="仿宋" w:hAnsi="仿宋" w:eastAsia="仿宋" w:cs="仿宋"/>
                <w:bCs/>
                <w:sz w:val="28"/>
                <w:szCs w:val="28"/>
                <w:lang w:val="en-US" w:eastAsia="zh-CN"/>
              </w:rPr>
              <w:t>18688788404</w:t>
            </w:r>
          </w:p>
        </w:tc>
      </w:tr>
      <w:tr w14:paraId="4F824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14:paraId="36813400">
            <w:pPr>
              <w:adjustRightInd w:val="0"/>
              <w:snapToGrid w:val="0"/>
              <w:spacing w:line="400" w:lineRule="exact"/>
              <w:jc w:val="center"/>
              <w:rPr>
                <w:rFonts w:hint="eastAsia" w:ascii="仿宋" w:hAnsi="仿宋" w:eastAsia="仿宋" w:cs="仿宋"/>
                <w:bCs/>
                <w:sz w:val="28"/>
                <w:szCs w:val="28"/>
              </w:rPr>
            </w:pPr>
            <w:r>
              <w:rPr>
                <w:rFonts w:hint="eastAsia" w:ascii="仿宋" w:hAnsi="仿宋" w:eastAsia="仿宋" w:cs="仿宋"/>
                <w:bCs/>
                <w:color w:val="000000"/>
                <w:sz w:val="28"/>
                <w:szCs w:val="28"/>
              </w:rPr>
              <w:t>电子邮箱</w:t>
            </w:r>
          </w:p>
        </w:tc>
        <w:tc>
          <w:tcPr>
            <w:tcW w:w="5953" w:type="dxa"/>
          </w:tcPr>
          <w:p w14:paraId="15B4ADF5">
            <w:pPr>
              <w:adjustRightInd w:val="0"/>
              <w:snapToGrid w:val="0"/>
              <w:spacing w:line="400" w:lineRule="exact"/>
              <w:rPr>
                <w:rFonts w:hint="default" w:ascii="仿宋" w:hAnsi="仿宋" w:eastAsia="仿宋" w:cs="仿宋"/>
                <w:bCs/>
                <w:sz w:val="28"/>
                <w:szCs w:val="28"/>
                <w:lang w:val="en-US" w:eastAsia="zh-CN"/>
              </w:rPr>
            </w:pPr>
            <w:r>
              <w:rPr>
                <w:rFonts w:hint="eastAsia" w:ascii="仿宋" w:hAnsi="仿宋" w:eastAsia="仿宋" w:cs="仿宋"/>
                <w:bCs/>
                <w:sz w:val="28"/>
                <w:szCs w:val="28"/>
                <w:lang w:val="en-US" w:eastAsia="zh-CN"/>
              </w:rPr>
              <w:t>907532663@qq.com</w:t>
            </w:r>
          </w:p>
        </w:tc>
      </w:tr>
      <w:tr w14:paraId="62727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14:paraId="54FEA4DC">
            <w:pPr>
              <w:adjustRightInd w:val="0"/>
              <w:snapToGrid w:val="0"/>
              <w:spacing w:line="400" w:lineRule="exact"/>
              <w:jc w:val="center"/>
              <w:rPr>
                <w:rFonts w:hint="eastAsia" w:ascii="仿宋" w:hAnsi="仿宋" w:eastAsia="仿宋" w:cs="仿宋"/>
                <w:bCs/>
                <w:sz w:val="28"/>
                <w:szCs w:val="28"/>
              </w:rPr>
            </w:pPr>
            <w:r>
              <w:rPr>
                <w:rFonts w:hint="eastAsia" w:ascii="仿宋" w:hAnsi="仿宋" w:eastAsia="仿宋" w:cs="仿宋"/>
                <w:bCs/>
                <w:sz w:val="28"/>
                <w:szCs w:val="28"/>
              </w:rPr>
              <w:t xml:space="preserve">地 </w:t>
            </w:r>
            <w:r>
              <w:rPr>
                <w:rFonts w:ascii="仿宋" w:hAnsi="仿宋" w:eastAsia="仿宋" w:cs="仿宋"/>
                <w:bCs/>
                <w:sz w:val="28"/>
                <w:szCs w:val="28"/>
              </w:rPr>
              <w:t xml:space="preserve">   </w:t>
            </w:r>
            <w:r>
              <w:rPr>
                <w:rFonts w:hint="eastAsia" w:ascii="仿宋" w:hAnsi="仿宋" w:eastAsia="仿宋" w:cs="仿宋"/>
                <w:bCs/>
                <w:sz w:val="28"/>
                <w:szCs w:val="28"/>
              </w:rPr>
              <w:t>址</w:t>
            </w:r>
          </w:p>
        </w:tc>
        <w:tc>
          <w:tcPr>
            <w:tcW w:w="5953" w:type="dxa"/>
          </w:tcPr>
          <w:p w14:paraId="48077DD0">
            <w:pPr>
              <w:adjustRightInd w:val="0"/>
              <w:snapToGrid w:val="0"/>
              <w:spacing w:line="400" w:lineRule="exact"/>
              <w:rPr>
                <w:rFonts w:hint="default" w:ascii="仿宋" w:hAnsi="仿宋" w:eastAsia="仿宋" w:cs="仿宋"/>
                <w:bCs/>
                <w:sz w:val="28"/>
                <w:szCs w:val="28"/>
                <w:lang w:val="en-US" w:eastAsia="zh-CN"/>
              </w:rPr>
            </w:pPr>
            <w:r>
              <w:rPr>
                <w:rFonts w:hint="eastAsia" w:ascii="仿宋" w:hAnsi="仿宋" w:eastAsia="仿宋" w:cs="仿宋"/>
                <w:bCs/>
                <w:sz w:val="28"/>
                <w:szCs w:val="28"/>
                <w:lang w:val="en-US" w:eastAsia="zh-CN"/>
              </w:rPr>
              <w:t>深圳市龙岗区南湾街道平吉大道粮库一号路深粮储备库深粮贝格公司</w:t>
            </w:r>
          </w:p>
        </w:tc>
      </w:tr>
    </w:tbl>
    <w:p w14:paraId="5B8C30E1">
      <w:pPr>
        <w:spacing w:line="400" w:lineRule="exact"/>
        <w:ind w:firstLine="560" w:firstLineChars="200"/>
        <w:rPr>
          <w:rFonts w:hint="eastAsia" w:ascii="仿宋" w:hAnsi="仿宋" w:eastAsia="仿宋" w:cs="仿宋"/>
          <w:bCs/>
          <w:sz w:val="28"/>
          <w:szCs w:val="28"/>
        </w:rPr>
      </w:pPr>
      <w:r>
        <w:rPr>
          <w:rFonts w:hint="eastAsia" w:ascii="仿宋" w:hAnsi="仿宋" w:eastAsia="仿宋" w:cs="仿宋"/>
          <w:bCs/>
          <w:color w:val="000000"/>
          <w:sz w:val="28"/>
          <w:szCs w:val="28"/>
        </w:rPr>
        <w:t>3、以当面交付文件方式送达的，交付之时视为送达；以电子文档交付送达的，发出电子文档时视为送达；以邮寄方式送达的，应尽量选择EMS特快专递或者顺丰速递，邮件交邮当日视为送达</w:t>
      </w:r>
      <w:r>
        <w:rPr>
          <w:rFonts w:hint="eastAsia" w:ascii="仿宋" w:hAnsi="仿宋" w:eastAsia="仿宋" w:cs="仿宋"/>
          <w:bCs/>
          <w:sz w:val="28"/>
          <w:szCs w:val="28"/>
        </w:rPr>
        <w:t>。</w:t>
      </w:r>
    </w:p>
    <w:p w14:paraId="2C3C2180">
      <w:pPr>
        <w:spacing w:line="400" w:lineRule="exact"/>
        <w:ind w:firstLine="562" w:firstLineChars="200"/>
        <w:rPr>
          <w:rFonts w:hint="eastAsia" w:ascii="仿宋" w:hAnsi="仿宋" w:eastAsia="仿宋" w:cs="仿宋"/>
          <w:b/>
          <w:bCs/>
          <w:color w:val="000000"/>
          <w:sz w:val="28"/>
          <w:szCs w:val="28"/>
        </w:rPr>
      </w:pPr>
      <w:r>
        <w:rPr>
          <w:rFonts w:hint="eastAsia" w:ascii="仿宋" w:hAnsi="仿宋" w:eastAsia="仿宋" w:cs="仿宋"/>
          <w:b/>
          <w:sz w:val="28"/>
          <w:szCs w:val="28"/>
        </w:rPr>
        <w:t>第十三条  其他特别约定</w:t>
      </w:r>
    </w:p>
    <w:p w14:paraId="19DDE559">
      <w:pPr>
        <w:adjustRightInd w:val="0"/>
        <w:snapToGrid w:val="0"/>
        <w:spacing w:line="400" w:lineRule="exact"/>
        <w:ind w:firstLine="480"/>
        <w:rPr>
          <w:rFonts w:hint="eastAsia" w:ascii="仿宋" w:hAnsi="仿宋" w:eastAsia="仿宋" w:cs="仿宋"/>
          <w:bCs/>
          <w:color w:val="000000"/>
          <w:sz w:val="28"/>
          <w:szCs w:val="28"/>
        </w:rPr>
      </w:pPr>
      <w:r>
        <w:rPr>
          <w:rFonts w:ascii="仿宋" w:hAnsi="仿宋" w:eastAsia="仿宋" w:cs="仿宋"/>
          <w:bCs/>
          <w:color w:val="000000"/>
          <w:sz w:val="28"/>
          <w:szCs w:val="28"/>
        </w:rPr>
        <w:t>1</w:t>
      </w:r>
      <w:r>
        <w:rPr>
          <w:rFonts w:hint="eastAsia" w:ascii="仿宋" w:hAnsi="仿宋" w:eastAsia="仿宋" w:cs="仿宋"/>
          <w:bCs/>
          <w:color w:val="000000"/>
          <w:sz w:val="28"/>
          <w:szCs w:val="28"/>
        </w:rPr>
        <w:t>、乙方在签订本合同之前已经向甲方解释了收费规定及标准；在本合同签署之前甲乙双方已就本合同涉及事项进行了详细的研究，本合同系双方友好协商，自愿一致达成；</w:t>
      </w:r>
    </w:p>
    <w:p w14:paraId="70B4437F">
      <w:pPr>
        <w:adjustRightInd w:val="0"/>
        <w:snapToGrid w:val="0"/>
        <w:spacing w:line="400" w:lineRule="exact"/>
        <w:ind w:firstLine="480"/>
        <w:rPr>
          <w:rFonts w:hint="eastAsia" w:ascii="仿宋" w:hAnsi="仿宋" w:eastAsia="仿宋" w:cs="仿宋"/>
          <w:bCs/>
          <w:color w:val="000000"/>
          <w:sz w:val="28"/>
          <w:szCs w:val="28"/>
        </w:rPr>
      </w:pPr>
      <w:r>
        <w:rPr>
          <w:rFonts w:ascii="仿宋" w:hAnsi="仿宋" w:eastAsia="仿宋" w:cs="仿宋"/>
          <w:bCs/>
          <w:color w:val="000000"/>
          <w:sz w:val="28"/>
          <w:szCs w:val="28"/>
        </w:rPr>
        <w:t>2</w:t>
      </w:r>
      <w:r>
        <w:rPr>
          <w:rFonts w:hint="eastAsia" w:ascii="仿宋" w:hAnsi="仿宋" w:eastAsia="仿宋" w:cs="仿宋"/>
          <w:bCs/>
          <w:color w:val="000000"/>
          <w:sz w:val="28"/>
          <w:szCs w:val="28"/>
        </w:rPr>
        <w:t>、甲方应自行保管案件材料的原件，乙方不承担甲方原件损毁或者遗失的责任。</w:t>
      </w:r>
    </w:p>
    <w:p w14:paraId="4E8E59DE">
      <w:pPr>
        <w:adjustRightInd w:val="0"/>
        <w:snapToGrid w:val="0"/>
        <w:spacing w:line="400" w:lineRule="exact"/>
        <w:ind w:firstLine="560" w:firstLineChars="200"/>
        <w:rPr>
          <w:rFonts w:hint="eastAsia" w:ascii="仿宋" w:hAnsi="仿宋" w:eastAsia="仿宋" w:cs="仿宋"/>
          <w:bCs/>
          <w:color w:val="000000"/>
          <w:sz w:val="28"/>
          <w:szCs w:val="28"/>
        </w:rPr>
      </w:pPr>
      <w:r>
        <w:rPr>
          <w:rFonts w:hint="eastAsia" w:ascii="仿宋" w:hAnsi="仿宋" w:eastAsia="仿宋" w:cs="仿宋"/>
          <w:bCs/>
          <w:color w:val="000000"/>
          <w:sz w:val="28"/>
          <w:szCs w:val="28"/>
        </w:rPr>
        <w:t>（以下无正文）</w:t>
      </w:r>
    </w:p>
    <w:p w14:paraId="461A87DE">
      <w:pPr>
        <w:adjustRightInd w:val="0"/>
        <w:snapToGrid w:val="0"/>
        <w:spacing w:line="400" w:lineRule="exact"/>
        <w:ind w:firstLine="480"/>
        <w:rPr>
          <w:rFonts w:hint="eastAsia" w:ascii="仿宋" w:hAnsi="仿宋" w:eastAsia="仿宋" w:cs="仿宋"/>
          <w:bCs/>
          <w:color w:val="000000"/>
          <w:sz w:val="28"/>
          <w:szCs w:val="28"/>
        </w:rPr>
      </w:pPr>
    </w:p>
    <w:p w14:paraId="02DB30E9">
      <w:pPr>
        <w:adjustRightInd w:val="0"/>
        <w:snapToGrid w:val="0"/>
        <w:spacing w:line="440" w:lineRule="exact"/>
        <w:ind w:firstLine="480"/>
        <w:rPr>
          <w:rFonts w:hint="eastAsia" w:ascii="仿宋" w:hAnsi="仿宋" w:eastAsia="仿宋" w:cs="仿宋"/>
          <w:bCs/>
          <w:color w:val="000000"/>
          <w:sz w:val="28"/>
          <w:szCs w:val="28"/>
        </w:rPr>
      </w:pPr>
    </w:p>
    <w:p w14:paraId="2DF00548">
      <w:pPr>
        <w:adjustRightInd w:val="0"/>
        <w:snapToGrid w:val="0"/>
        <w:spacing w:line="440" w:lineRule="exact"/>
        <w:rPr>
          <w:rFonts w:hint="eastAsia" w:ascii="仿宋" w:hAnsi="仿宋" w:eastAsia="仿宋" w:cs="仿宋"/>
          <w:b/>
          <w:bCs/>
          <w:color w:val="000000"/>
          <w:sz w:val="28"/>
          <w:szCs w:val="28"/>
        </w:rPr>
      </w:pPr>
      <w:r>
        <w:rPr>
          <w:rFonts w:hint="eastAsia" w:ascii="仿宋" w:hAnsi="仿宋" w:eastAsia="仿宋" w:cs="仿宋"/>
          <w:b/>
          <w:bCs/>
          <w:color w:val="000000"/>
          <w:sz w:val="28"/>
          <w:szCs w:val="28"/>
        </w:rPr>
        <w:t>甲方（签约代表）：                 乙方：广东深宝律师事务所</w:t>
      </w:r>
    </w:p>
    <w:p w14:paraId="6C075C32">
      <w:pPr>
        <w:adjustRightInd w:val="0"/>
        <w:snapToGrid w:val="0"/>
        <w:spacing w:line="440" w:lineRule="exact"/>
        <w:rPr>
          <w:rFonts w:hint="eastAsia" w:ascii="仿宋" w:hAnsi="仿宋" w:eastAsia="仿宋" w:cs="仿宋"/>
          <w:b/>
          <w:bCs/>
          <w:color w:val="000000"/>
          <w:sz w:val="28"/>
          <w:szCs w:val="28"/>
        </w:rPr>
      </w:pPr>
      <w:r>
        <w:rPr>
          <w:rFonts w:hint="eastAsia" w:ascii="仿宋" w:hAnsi="仿宋" w:eastAsia="仿宋" w:cs="仿宋"/>
          <w:b/>
          <w:bCs/>
          <w:color w:val="000000"/>
          <w:sz w:val="28"/>
          <w:szCs w:val="28"/>
        </w:rPr>
        <w:t xml:space="preserve">                                  承办律师：</w:t>
      </w:r>
    </w:p>
    <w:p w14:paraId="7168CE1E">
      <w:pPr>
        <w:adjustRightInd w:val="0"/>
        <w:snapToGrid w:val="0"/>
        <w:spacing w:line="440" w:lineRule="exact"/>
        <w:rPr>
          <w:rFonts w:hint="eastAsia" w:ascii="仿宋" w:hAnsi="仿宋" w:eastAsia="仿宋" w:cs="仿宋"/>
          <w:color w:val="000000"/>
          <w:sz w:val="28"/>
          <w:szCs w:val="28"/>
        </w:rPr>
      </w:pPr>
      <w:bookmarkStart w:id="2" w:name="OLE_LINK1"/>
    </w:p>
    <w:p w14:paraId="5CB83AB9">
      <w:pPr>
        <w:adjustRightInd w:val="0"/>
        <w:snapToGrid w:val="0"/>
        <w:spacing w:line="440" w:lineRule="exact"/>
        <w:ind w:firstLine="4200" w:firstLineChars="1500"/>
        <w:rPr>
          <w:rFonts w:hint="eastAsia" w:ascii="仿宋" w:hAnsi="仿宋" w:eastAsia="仿宋" w:cs="仿宋"/>
          <w:color w:val="000000"/>
          <w:sz w:val="28"/>
          <w:szCs w:val="28"/>
        </w:rPr>
      </w:pPr>
    </w:p>
    <w:p w14:paraId="22B1C5B8">
      <w:pPr>
        <w:adjustRightInd w:val="0"/>
        <w:snapToGrid w:val="0"/>
        <w:spacing w:line="440" w:lineRule="exact"/>
        <w:rPr>
          <w:rFonts w:hint="eastAsia" w:ascii="仿宋" w:hAnsi="仿宋" w:eastAsia="仿宋" w:cs="仿宋"/>
          <w:color w:val="000000"/>
          <w:sz w:val="28"/>
          <w:szCs w:val="28"/>
        </w:rPr>
      </w:pPr>
      <w:r>
        <w:rPr>
          <w:rFonts w:hint="eastAsia" w:ascii="仿宋" w:hAnsi="仿宋" w:eastAsia="仿宋" w:cs="仿宋"/>
          <w:color w:val="000000"/>
          <w:sz w:val="28"/>
          <w:szCs w:val="28"/>
        </w:rPr>
        <w:t xml:space="preserve">签订日期：    年   月   </w:t>
      </w:r>
      <w:bookmarkEnd w:id="2"/>
      <w:r>
        <w:rPr>
          <w:rFonts w:hint="eastAsia" w:ascii="仿宋" w:hAnsi="仿宋" w:eastAsia="仿宋" w:cs="仿宋"/>
          <w:color w:val="000000"/>
          <w:sz w:val="28"/>
          <w:szCs w:val="28"/>
        </w:rPr>
        <w:t>日</w:t>
      </w:r>
      <w:r>
        <w:rPr>
          <w:rFonts w:ascii="仿宋" w:hAnsi="仿宋" w:eastAsia="仿宋" w:cs="仿宋"/>
          <w:color w:val="000000"/>
          <w:sz w:val="28"/>
          <w:szCs w:val="28"/>
        </w:rPr>
        <w:t xml:space="preserve">        </w:t>
      </w:r>
      <w:r>
        <w:rPr>
          <w:rFonts w:hint="eastAsia" w:ascii="仿宋" w:hAnsi="仿宋" w:eastAsia="仿宋" w:cs="仿宋"/>
          <w:color w:val="000000"/>
          <w:sz w:val="28"/>
          <w:szCs w:val="28"/>
        </w:rPr>
        <w:t>签订日期：    年   月   日</w:t>
      </w:r>
    </w:p>
    <w:p w14:paraId="18FAD6A6">
      <w:pPr>
        <w:adjustRightInd w:val="0"/>
        <w:snapToGrid w:val="0"/>
        <w:spacing w:line="440" w:lineRule="exact"/>
        <w:rPr>
          <w:rFonts w:hint="eastAsia" w:ascii="仿宋" w:hAnsi="仿宋" w:eastAsia="仿宋" w:cs="仿宋"/>
          <w:color w:val="000000"/>
          <w:sz w:val="28"/>
          <w:szCs w:val="28"/>
        </w:rPr>
      </w:pPr>
    </w:p>
    <w:sectPr>
      <w:footerReference r:id="rId7" w:type="first"/>
      <w:footerReference r:id="rId6" w:type="default"/>
      <w:type w:val="continuous"/>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2000000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19707772"/>
    </w:sdtPr>
    <w:sdtContent>
      <w:sdt>
        <w:sdtPr>
          <w:id w:val="-1705238520"/>
        </w:sdtPr>
        <w:sdtContent>
          <w:p w14:paraId="718070D8">
            <w:pPr>
              <w:pStyle w:val="5"/>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6</w:t>
            </w:r>
            <w:r>
              <w:rPr>
                <w:b/>
                <w:bCs/>
                <w:sz w:val="24"/>
                <w:szCs w:val="24"/>
              </w:rPr>
              <w:fldChar w:fldCharType="end"/>
            </w:r>
          </w:p>
        </w:sdtContent>
      </w:sdt>
    </w:sdtContent>
  </w:sdt>
  <w:p w14:paraId="6775FB0A">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49995488"/>
    </w:sdtPr>
    <w:sdtContent>
      <w:p w14:paraId="1DCD62A6">
        <w:pPr>
          <w:pStyle w:val="5"/>
          <w:jc w:val="center"/>
        </w:pPr>
        <w:r>
          <w:fldChar w:fldCharType="begin"/>
        </w:r>
        <w:r>
          <w:instrText xml:space="preserve">PAGE   \* MERGEFORMAT</w:instrText>
        </w:r>
        <w:r>
          <w:fldChar w:fldCharType="separate"/>
        </w:r>
        <w:r>
          <w:rPr>
            <w:lang w:val="zh-CN"/>
          </w:rPr>
          <w:t>6</w:t>
        </w:r>
        <w:r>
          <w:fldChar w:fldCharType="end"/>
        </w:r>
      </w:p>
    </w:sdtContent>
  </w:sdt>
  <w:p w14:paraId="6B4E381E">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303BD1">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162C46">
    <w:pPr>
      <w:pStyle w:val="6"/>
      <w:pBdr>
        <w:bottom w:val="none" w:color="auto" w:sz="0" w:space="1"/>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A18E70">
    <w:pPr>
      <w:pStyle w:val="6"/>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4"/>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k5Y2IwNzM3OGU3YTA0YjRhMmE5ZGYyMmY5ODRjMzgifQ=="/>
  </w:docVars>
  <w:rsids>
    <w:rsidRoot w:val="00235298"/>
    <w:rsid w:val="00026ABC"/>
    <w:rsid w:val="000305B8"/>
    <w:rsid w:val="000606E4"/>
    <w:rsid w:val="000609F3"/>
    <w:rsid w:val="0006466A"/>
    <w:rsid w:val="00076174"/>
    <w:rsid w:val="00096ECE"/>
    <w:rsid w:val="00097304"/>
    <w:rsid w:val="000A645F"/>
    <w:rsid w:val="000D0F3B"/>
    <w:rsid w:val="000D6545"/>
    <w:rsid w:val="000E277D"/>
    <w:rsid w:val="000F2AE2"/>
    <w:rsid w:val="0010364A"/>
    <w:rsid w:val="0015090B"/>
    <w:rsid w:val="001867D8"/>
    <w:rsid w:val="00187F30"/>
    <w:rsid w:val="00191B11"/>
    <w:rsid w:val="001923E4"/>
    <w:rsid w:val="00193AEF"/>
    <w:rsid w:val="001A652B"/>
    <w:rsid w:val="001C4295"/>
    <w:rsid w:val="001D0743"/>
    <w:rsid w:val="001D152A"/>
    <w:rsid w:val="001E2D1F"/>
    <w:rsid w:val="00232671"/>
    <w:rsid w:val="00233803"/>
    <w:rsid w:val="00235298"/>
    <w:rsid w:val="00242763"/>
    <w:rsid w:val="0025578E"/>
    <w:rsid w:val="002670F7"/>
    <w:rsid w:val="00281A13"/>
    <w:rsid w:val="002963D0"/>
    <w:rsid w:val="002E22DA"/>
    <w:rsid w:val="00306FED"/>
    <w:rsid w:val="00310F21"/>
    <w:rsid w:val="00314F35"/>
    <w:rsid w:val="00320127"/>
    <w:rsid w:val="003351E6"/>
    <w:rsid w:val="003441C3"/>
    <w:rsid w:val="003565EF"/>
    <w:rsid w:val="0036134B"/>
    <w:rsid w:val="003C2091"/>
    <w:rsid w:val="003C375B"/>
    <w:rsid w:val="003F7341"/>
    <w:rsid w:val="0040229D"/>
    <w:rsid w:val="00404653"/>
    <w:rsid w:val="00406474"/>
    <w:rsid w:val="0042127A"/>
    <w:rsid w:val="00422212"/>
    <w:rsid w:val="00437997"/>
    <w:rsid w:val="00437D91"/>
    <w:rsid w:val="00451602"/>
    <w:rsid w:val="004838F7"/>
    <w:rsid w:val="004A22CF"/>
    <w:rsid w:val="004A5B33"/>
    <w:rsid w:val="004B1537"/>
    <w:rsid w:val="004B348B"/>
    <w:rsid w:val="004C0EAF"/>
    <w:rsid w:val="004C24A9"/>
    <w:rsid w:val="004F098E"/>
    <w:rsid w:val="0050359F"/>
    <w:rsid w:val="005117DB"/>
    <w:rsid w:val="005221EB"/>
    <w:rsid w:val="00537977"/>
    <w:rsid w:val="00557391"/>
    <w:rsid w:val="005744B5"/>
    <w:rsid w:val="0057740D"/>
    <w:rsid w:val="00584FBC"/>
    <w:rsid w:val="005A1C12"/>
    <w:rsid w:val="005B1972"/>
    <w:rsid w:val="005B4BA7"/>
    <w:rsid w:val="005C0184"/>
    <w:rsid w:val="006032E8"/>
    <w:rsid w:val="00615E9B"/>
    <w:rsid w:val="00632CCE"/>
    <w:rsid w:val="006570BA"/>
    <w:rsid w:val="00671C8B"/>
    <w:rsid w:val="00677C58"/>
    <w:rsid w:val="00684C3D"/>
    <w:rsid w:val="00693F19"/>
    <w:rsid w:val="006943FE"/>
    <w:rsid w:val="006A30C8"/>
    <w:rsid w:val="006A318E"/>
    <w:rsid w:val="006B0EC4"/>
    <w:rsid w:val="006C010E"/>
    <w:rsid w:val="006E09C0"/>
    <w:rsid w:val="006E79F2"/>
    <w:rsid w:val="006F3542"/>
    <w:rsid w:val="0072240D"/>
    <w:rsid w:val="00734A24"/>
    <w:rsid w:val="007708F0"/>
    <w:rsid w:val="00786604"/>
    <w:rsid w:val="007A2F06"/>
    <w:rsid w:val="007D2D3A"/>
    <w:rsid w:val="007D7DBA"/>
    <w:rsid w:val="0082047A"/>
    <w:rsid w:val="008362A4"/>
    <w:rsid w:val="00880060"/>
    <w:rsid w:val="00884687"/>
    <w:rsid w:val="0089604E"/>
    <w:rsid w:val="008A0EFA"/>
    <w:rsid w:val="008A1DBC"/>
    <w:rsid w:val="008B147F"/>
    <w:rsid w:val="008C3555"/>
    <w:rsid w:val="0090584F"/>
    <w:rsid w:val="00907C19"/>
    <w:rsid w:val="009139D2"/>
    <w:rsid w:val="00933B63"/>
    <w:rsid w:val="00941DC6"/>
    <w:rsid w:val="00944E99"/>
    <w:rsid w:val="00950652"/>
    <w:rsid w:val="009703E6"/>
    <w:rsid w:val="00985DAE"/>
    <w:rsid w:val="009A081A"/>
    <w:rsid w:val="009B0399"/>
    <w:rsid w:val="009B20E4"/>
    <w:rsid w:val="009C34A5"/>
    <w:rsid w:val="009F2998"/>
    <w:rsid w:val="009F355D"/>
    <w:rsid w:val="00A12FEE"/>
    <w:rsid w:val="00A31E3C"/>
    <w:rsid w:val="00A411D9"/>
    <w:rsid w:val="00A620DF"/>
    <w:rsid w:val="00A630FD"/>
    <w:rsid w:val="00AA32B8"/>
    <w:rsid w:val="00AB1C99"/>
    <w:rsid w:val="00AD709D"/>
    <w:rsid w:val="00AD727D"/>
    <w:rsid w:val="00AF4E46"/>
    <w:rsid w:val="00B02347"/>
    <w:rsid w:val="00B73E61"/>
    <w:rsid w:val="00B7510A"/>
    <w:rsid w:val="00B829CB"/>
    <w:rsid w:val="00B86A95"/>
    <w:rsid w:val="00B97F77"/>
    <w:rsid w:val="00BA45B3"/>
    <w:rsid w:val="00BA6273"/>
    <w:rsid w:val="00BB1E9A"/>
    <w:rsid w:val="00BF2B46"/>
    <w:rsid w:val="00C125E2"/>
    <w:rsid w:val="00C23F10"/>
    <w:rsid w:val="00C246EE"/>
    <w:rsid w:val="00C2563F"/>
    <w:rsid w:val="00C25F83"/>
    <w:rsid w:val="00C26BA4"/>
    <w:rsid w:val="00C3065A"/>
    <w:rsid w:val="00C31230"/>
    <w:rsid w:val="00C3322F"/>
    <w:rsid w:val="00C34259"/>
    <w:rsid w:val="00C46708"/>
    <w:rsid w:val="00C548E3"/>
    <w:rsid w:val="00C845FB"/>
    <w:rsid w:val="00C907E3"/>
    <w:rsid w:val="00C9125F"/>
    <w:rsid w:val="00CC4C07"/>
    <w:rsid w:val="00CD3E70"/>
    <w:rsid w:val="00CD53DC"/>
    <w:rsid w:val="00CD68C4"/>
    <w:rsid w:val="00CE5C41"/>
    <w:rsid w:val="00D14AEE"/>
    <w:rsid w:val="00D17324"/>
    <w:rsid w:val="00D27E05"/>
    <w:rsid w:val="00D31FAF"/>
    <w:rsid w:val="00D61E47"/>
    <w:rsid w:val="00D902D0"/>
    <w:rsid w:val="00DE52CF"/>
    <w:rsid w:val="00E529C4"/>
    <w:rsid w:val="00E61652"/>
    <w:rsid w:val="00E637FB"/>
    <w:rsid w:val="00E709C8"/>
    <w:rsid w:val="00E80CD7"/>
    <w:rsid w:val="00EA00FE"/>
    <w:rsid w:val="00EB1C78"/>
    <w:rsid w:val="00EC4BCA"/>
    <w:rsid w:val="00EC6A1A"/>
    <w:rsid w:val="00ED3A0F"/>
    <w:rsid w:val="00EE677C"/>
    <w:rsid w:val="00EF536D"/>
    <w:rsid w:val="00F21C15"/>
    <w:rsid w:val="00F2351B"/>
    <w:rsid w:val="00F270E2"/>
    <w:rsid w:val="00F47692"/>
    <w:rsid w:val="00F64714"/>
    <w:rsid w:val="00F64E7B"/>
    <w:rsid w:val="00FA2217"/>
    <w:rsid w:val="00FE2C8E"/>
    <w:rsid w:val="011B6808"/>
    <w:rsid w:val="011F202D"/>
    <w:rsid w:val="02473C3A"/>
    <w:rsid w:val="07E33CA8"/>
    <w:rsid w:val="07F20783"/>
    <w:rsid w:val="0A172659"/>
    <w:rsid w:val="0A2E50CF"/>
    <w:rsid w:val="0A3B6786"/>
    <w:rsid w:val="0B0E5FCC"/>
    <w:rsid w:val="0CD03330"/>
    <w:rsid w:val="0CD0779A"/>
    <w:rsid w:val="0E175C06"/>
    <w:rsid w:val="0E4A3557"/>
    <w:rsid w:val="0E651B83"/>
    <w:rsid w:val="0EE96807"/>
    <w:rsid w:val="0F897663"/>
    <w:rsid w:val="0FD076EB"/>
    <w:rsid w:val="1178785A"/>
    <w:rsid w:val="131F0B86"/>
    <w:rsid w:val="1393305E"/>
    <w:rsid w:val="13A81B6D"/>
    <w:rsid w:val="13E86E65"/>
    <w:rsid w:val="1559629C"/>
    <w:rsid w:val="15D64911"/>
    <w:rsid w:val="163F26B0"/>
    <w:rsid w:val="17DC6AA0"/>
    <w:rsid w:val="1A3F1876"/>
    <w:rsid w:val="1A5C25A4"/>
    <w:rsid w:val="1A6B1D63"/>
    <w:rsid w:val="1B2A04DA"/>
    <w:rsid w:val="1B551C35"/>
    <w:rsid w:val="1CF22211"/>
    <w:rsid w:val="1E53561C"/>
    <w:rsid w:val="1E887DED"/>
    <w:rsid w:val="20F51147"/>
    <w:rsid w:val="21C345DC"/>
    <w:rsid w:val="24190C49"/>
    <w:rsid w:val="25106C44"/>
    <w:rsid w:val="2A6C7BF9"/>
    <w:rsid w:val="2A8E3CE0"/>
    <w:rsid w:val="2AEE1467"/>
    <w:rsid w:val="2D291B6B"/>
    <w:rsid w:val="2E6F64ED"/>
    <w:rsid w:val="2F232B4B"/>
    <w:rsid w:val="32A474BB"/>
    <w:rsid w:val="33CD50F0"/>
    <w:rsid w:val="38402F7B"/>
    <w:rsid w:val="3C5716AC"/>
    <w:rsid w:val="3C847BDC"/>
    <w:rsid w:val="3D0068E9"/>
    <w:rsid w:val="3D7619A3"/>
    <w:rsid w:val="3FC62BD1"/>
    <w:rsid w:val="40AA23EF"/>
    <w:rsid w:val="41D947C7"/>
    <w:rsid w:val="42784668"/>
    <w:rsid w:val="449F0724"/>
    <w:rsid w:val="44EE0D22"/>
    <w:rsid w:val="44EF6755"/>
    <w:rsid w:val="4680188F"/>
    <w:rsid w:val="47F15991"/>
    <w:rsid w:val="49D66DB1"/>
    <w:rsid w:val="4A4955F7"/>
    <w:rsid w:val="4A9B4C01"/>
    <w:rsid w:val="4AB17699"/>
    <w:rsid w:val="4B4312A8"/>
    <w:rsid w:val="4BA43B4A"/>
    <w:rsid w:val="4D083AC7"/>
    <w:rsid w:val="4D652C43"/>
    <w:rsid w:val="4D761900"/>
    <w:rsid w:val="4EBE7F2F"/>
    <w:rsid w:val="4F5B11E4"/>
    <w:rsid w:val="4F7F3E2F"/>
    <w:rsid w:val="502E4951"/>
    <w:rsid w:val="50A0190B"/>
    <w:rsid w:val="5130017A"/>
    <w:rsid w:val="519A251E"/>
    <w:rsid w:val="54BD2C25"/>
    <w:rsid w:val="5B9F34CF"/>
    <w:rsid w:val="5BFF5754"/>
    <w:rsid w:val="5CA016A5"/>
    <w:rsid w:val="5E8C1131"/>
    <w:rsid w:val="5F51216C"/>
    <w:rsid w:val="5FDD23BA"/>
    <w:rsid w:val="62183D55"/>
    <w:rsid w:val="63EF73B0"/>
    <w:rsid w:val="655D3752"/>
    <w:rsid w:val="659B3F18"/>
    <w:rsid w:val="683C4DB9"/>
    <w:rsid w:val="68530619"/>
    <w:rsid w:val="6A29421C"/>
    <w:rsid w:val="6C4C2489"/>
    <w:rsid w:val="6E5763AD"/>
    <w:rsid w:val="70203EA9"/>
    <w:rsid w:val="78603C43"/>
    <w:rsid w:val="798C15AF"/>
    <w:rsid w:val="79BD68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8"/>
    <w:unhideWhenUsed/>
    <w:qFormat/>
    <w:uiPriority w:val="99"/>
    <w:pPr>
      <w:jc w:val="left"/>
    </w:pPr>
  </w:style>
  <w:style w:type="paragraph" w:styleId="3">
    <w:name w:val="Body Text Indent"/>
    <w:basedOn w:val="1"/>
    <w:unhideWhenUsed/>
    <w:qFormat/>
    <w:uiPriority w:val="99"/>
    <w:pPr>
      <w:spacing w:line="360" w:lineRule="auto"/>
      <w:ind w:firstLine="480"/>
    </w:pPr>
    <w:rPr>
      <w:rFonts w:ascii="仿宋_GB2312" w:eastAsia="仿宋_GB2312"/>
      <w:sz w:val="24"/>
    </w:rPr>
  </w:style>
  <w:style w:type="paragraph" w:styleId="4">
    <w:name w:val="Balloon Text"/>
    <w:basedOn w:val="1"/>
    <w:link w:val="16"/>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2"/>
    <w:next w:val="2"/>
    <w:link w:val="19"/>
    <w:semiHidden/>
    <w:unhideWhenUsed/>
    <w:qFormat/>
    <w:uiPriority w:val="99"/>
    <w:rPr>
      <w:b/>
      <w:bCs/>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0"/>
  </w:style>
  <w:style w:type="character" w:styleId="12">
    <w:name w:val="Hyperlink"/>
    <w:basedOn w:val="10"/>
    <w:semiHidden/>
    <w:unhideWhenUsed/>
    <w:qFormat/>
    <w:uiPriority w:val="99"/>
    <w:rPr>
      <w:color w:val="0000FF" w:themeColor="hyperlink"/>
      <w:u w:val="single"/>
    </w:rPr>
  </w:style>
  <w:style w:type="character" w:styleId="13">
    <w:name w:val="annotation reference"/>
    <w:basedOn w:val="10"/>
    <w:semiHidden/>
    <w:unhideWhenUsed/>
    <w:qFormat/>
    <w:uiPriority w:val="99"/>
    <w:rPr>
      <w:sz w:val="21"/>
      <w:szCs w:val="21"/>
    </w:rPr>
  </w:style>
  <w:style w:type="character" w:customStyle="1" w:styleId="14">
    <w:name w:val="页眉 字符"/>
    <w:basedOn w:val="10"/>
    <w:link w:val="6"/>
    <w:qFormat/>
    <w:uiPriority w:val="99"/>
    <w:rPr>
      <w:sz w:val="18"/>
      <w:szCs w:val="18"/>
    </w:rPr>
  </w:style>
  <w:style w:type="character" w:customStyle="1" w:styleId="15">
    <w:name w:val="页脚 字符"/>
    <w:basedOn w:val="10"/>
    <w:link w:val="5"/>
    <w:qFormat/>
    <w:uiPriority w:val="99"/>
    <w:rPr>
      <w:sz w:val="18"/>
      <w:szCs w:val="18"/>
    </w:rPr>
  </w:style>
  <w:style w:type="character" w:customStyle="1" w:styleId="16">
    <w:name w:val="批注框文本 字符"/>
    <w:basedOn w:val="10"/>
    <w:link w:val="4"/>
    <w:semiHidden/>
    <w:qFormat/>
    <w:uiPriority w:val="99"/>
    <w:rPr>
      <w:rFonts w:ascii="Times New Roman" w:hAnsi="Times New Roman" w:eastAsia="宋体" w:cs="Times New Roman"/>
      <w:sz w:val="18"/>
      <w:szCs w:val="18"/>
    </w:rPr>
  </w:style>
  <w:style w:type="paragraph" w:customStyle="1" w:styleId="17">
    <w:name w:val="列出段落1"/>
    <w:basedOn w:val="1"/>
    <w:qFormat/>
    <w:uiPriority w:val="34"/>
    <w:pPr>
      <w:ind w:firstLine="420" w:firstLineChars="200"/>
    </w:pPr>
  </w:style>
  <w:style w:type="character" w:customStyle="1" w:styleId="18">
    <w:name w:val="批注文字 字符"/>
    <w:basedOn w:val="10"/>
    <w:link w:val="2"/>
    <w:qFormat/>
    <w:uiPriority w:val="99"/>
    <w:rPr>
      <w:rFonts w:ascii="Times New Roman" w:hAnsi="Times New Roman" w:eastAsia="宋体" w:cs="Times New Roman"/>
      <w:kern w:val="2"/>
      <w:sz w:val="21"/>
      <w:szCs w:val="24"/>
    </w:rPr>
  </w:style>
  <w:style w:type="character" w:customStyle="1" w:styleId="19">
    <w:name w:val="批注主题 字符"/>
    <w:basedOn w:val="18"/>
    <w:link w:val="7"/>
    <w:semiHidden/>
    <w:qFormat/>
    <w:uiPriority w:val="99"/>
    <w:rPr>
      <w:rFonts w:ascii="Times New Roman" w:hAnsi="Times New Roman" w:eastAsia="宋体" w:cs="Times New Roman"/>
      <w:b/>
      <w:bCs/>
      <w:kern w:val="2"/>
      <w:sz w:val="21"/>
      <w:szCs w:val="24"/>
    </w:rPr>
  </w:style>
  <w:style w:type="paragraph" w:styleId="2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A7D33A1-77BB-4E29-8014-DE50B1FFAD6F}">
  <ds:schemaRefs/>
</ds:datastoreItem>
</file>

<file path=docProps/app.xml><?xml version="1.0" encoding="utf-8"?>
<Properties xmlns="http://schemas.openxmlformats.org/officeDocument/2006/extended-properties" xmlns:vt="http://schemas.openxmlformats.org/officeDocument/2006/docPropsVTypes">
  <Template>Normal</Template>
  <Company>HaoXiTong.Com</Company>
  <Pages>6</Pages>
  <Words>46</Words>
  <Characters>51</Characters>
  <Lines>25</Lines>
  <Paragraphs>7</Paragraphs>
  <TotalTime>117</TotalTime>
  <ScaleCrop>false</ScaleCrop>
  <LinksUpToDate>false</LinksUpToDate>
  <CharactersWithSpaces>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2015-11-24T03:00:00Z</dcterms:created>
  <dc:creator>魏昊</dc:creator>
  <cp:lastModifiedBy>西瓜</cp:lastModifiedBy>
  <cp:lastPrinted>2021-08-07T00:55:00Z</cp:lastPrinted>
  <dcterms:modified xsi:type="dcterms:W3CDTF">2026-07-23T10:30:20Z</dcterms:modified>
  <cp:revision>121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295B59D12F034D8D97094C4314E2B323_13</vt:lpwstr>
  </property>
  <property fmtid="{D5CDD505-2E9C-101B-9397-08002B2CF9AE}" pid="4" name="KSOTemplateDocerSaveRecord">
    <vt:lpwstr>eyJoZGlkIjoiMzk5Y2IwNzM3OGU3YTA0YjRhMmE5ZGYyMmY5ODRjMzgiLCJ1c2VySWQiOiIxNDg4MTk0OTIifQ==</vt:lpwstr>
  </property>
</Properties>
</file>