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56F9FB97">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49</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深圳市龙华中学体育馆篮球场主场地运动木地板采购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50</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spacing w:line="240" w:lineRule="exact"/>
              <w:jc w:val="center"/>
              <w:rPr>
                <w:rFonts w:hint="eastAsia" w:ascii="宋体" w:hAnsi="宋体"/>
                <w:szCs w:val="21"/>
                <w:highlight w:val="none"/>
              </w:rPr>
            </w:pPr>
            <w:r>
              <w:rPr>
                <w:rFonts w:hint="eastAsia" w:ascii="宋体" w:hAnsi="宋体"/>
                <w:szCs w:val="21"/>
                <w:highlight w:val="none"/>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spacing w:line="240" w:lineRule="exact"/>
              <w:jc w:val="center"/>
              <w:rPr>
                <w:rFonts w:hint="eastAsia" w:ascii="宋体" w:hAnsi="宋体"/>
                <w:szCs w:val="21"/>
                <w:highlight w:val="none"/>
                <w:lang w:val="en-US" w:eastAsia="zh-CN"/>
              </w:rPr>
            </w:pPr>
            <w:r>
              <w:rPr>
                <w:rFonts w:hint="eastAsia" w:ascii="宋体" w:hAnsi="宋体"/>
                <w:szCs w:val="21"/>
                <w:highlight w:val="none"/>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C0615B">
            <w:pPr>
              <w:spacing w:line="240" w:lineRule="exact"/>
              <w:jc w:val="left"/>
              <w:rPr>
                <w:rFonts w:hint="eastAsia" w:ascii="宋体" w:hAnsi="宋体"/>
                <w:szCs w:val="21"/>
                <w:highlight w:val="none"/>
              </w:rPr>
            </w:pPr>
            <w:r>
              <w:rPr>
                <w:rFonts w:hint="eastAsia" w:ascii="宋体" w:hAnsi="宋体"/>
                <w:szCs w:val="21"/>
                <w:highlight w:val="none"/>
              </w:rPr>
              <w:t>投标人针对本项目提供的技术保障措施，包括但不限于</w:t>
            </w:r>
          </w:p>
          <w:p w14:paraId="47079E4F">
            <w:pPr>
              <w:spacing w:line="240" w:lineRule="exact"/>
              <w:jc w:val="left"/>
              <w:rPr>
                <w:rFonts w:hint="eastAsia" w:ascii="宋体" w:hAnsi="宋体" w:eastAsiaTheme="minorEastAsia"/>
                <w:szCs w:val="21"/>
                <w:highlight w:val="none"/>
                <w:lang w:eastAsia="zh-CN"/>
              </w:rPr>
            </w:pPr>
            <w:r>
              <w:rPr>
                <w:rFonts w:hint="eastAsia" w:ascii="宋体" w:hAnsi="宋体"/>
                <w:szCs w:val="21"/>
                <w:highlight w:val="none"/>
              </w:rPr>
              <w:t>①</w:t>
            </w:r>
            <w:r>
              <w:rPr>
                <w:rFonts w:hint="eastAsia" w:ascii="宋体" w:hAnsi="宋体"/>
                <w:szCs w:val="21"/>
                <w:highlight w:val="none"/>
                <w:lang w:eastAsia="zh-CN"/>
              </w:rPr>
              <w:t>技术团队</w:t>
            </w:r>
          </w:p>
          <w:p w14:paraId="72A7DE98">
            <w:pPr>
              <w:spacing w:line="240" w:lineRule="exact"/>
              <w:jc w:val="left"/>
              <w:rPr>
                <w:rFonts w:hint="eastAsia" w:ascii="宋体" w:hAnsi="宋体" w:eastAsiaTheme="minorEastAsia"/>
                <w:szCs w:val="21"/>
                <w:highlight w:val="none"/>
                <w:lang w:eastAsia="zh-CN"/>
              </w:rPr>
            </w:pPr>
            <w:r>
              <w:rPr>
                <w:rFonts w:hint="eastAsia" w:ascii="宋体" w:hAnsi="宋体"/>
                <w:szCs w:val="21"/>
                <w:highlight w:val="none"/>
              </w:rPr>
              <w:t>②</w:t>
            </w:r>
            <w:r>
              <w:rPr>
                <w:rFonts w:hint="eastAsia" w:ascii="宋体" w:hAnsi="宋体"/>
                <w:szCs w:val="21"/>
                <w:highlight w:val="none"/>
                <w:lang w:eastAsia="zh-CN"/>
              </w:rPr>
              <w:t>技术方案</w:t>
            </w:r>
          </w:p>
          <w:p w14:paraId="26AC1FD8">
            <w:pPr>
              <w:spacing w:line="240" w:lineRule="exact"/>
              <w:jc w:val="left"/>
              <w:rPr>
                <w:rFonts w:hint="eastAsia" w:ascii="宋体" w:hAnsi="宋体"/>
                <w:szCs w:val="21"/>
                <w:highlight w:val="none"/>
              </w:rPr>
            </w:pPr>
            <w:r>
              <w:rPr>
                <w:rFonts w:hint="eastAsia" w:ascii="宋体" w:hAnsi="宋体"/>
                <w:szCs w:val="21"/>
                <w:highlight w:val="none"/>
              </w:rPr>
              <w:t>③</w:t>
            </w:r>
            <w:r>
              <w:rPr>
                <w:rFonts w:hint="eastAsia" w:ascii="宋体" w:hAnsi="宋体"/>
                <w:szCs w:val="21"/>
                <w:highlight w:val="none"/>
                <w:lang w:eastAsia="zh-CN"/>
              </w:rPr>
              <w:t>场地</w:t>
            </w:r>
            <w:r>
              <w:rPr>
                <w:rFonts w:hint="eastAsia" w:ascii="宋体" w:hAnsi="宋体"/>
                <w:szCs w:val="21"/>
                <w:highlight w:val="none"/>
              </w:rPr>
              <w:t>方案</w:t>
            </w:r>
          </w:p>
          <w:p w14:paraId="63E168C0">
            <w:pPr>
              <w:spacing w:line="240" w:lineRule="exact"/>
              <w:jc w:val="left"/>
              <w:rPr>
                <w:rFonts w:hint="eastAsia" w:ascii="宋体" w:hAnsi="宋体"/>
                <w:szCs w:val="21"/>
                <w:highlight w:val="none"/>
              </w:rPr>
            </w:pPr>
            <w:r>
              <w:rPr>
                <w:rFonts w:hint="eastAsia" w:ascii="宋体" w:hAnsi="宋体"/>
                <w:szCs w:val="21"/>
                <w:highlight w:val="none"/>
              </w:rPr>
              <w:t>④</w:t>
            </w:r>
            <w:r>
              <w:rPr>
                <w:rFonts w:hint="eastAsia" w:ascii="宋体" w:hAnsi="宋体"/>
                <w:szCs w:val="21"/>
                <w:highlight w:val="none"/>
                <w:lang w:eastAsia="zh-CN"/>
              </w:rPr>
              <w:t>车辆</w:t>
            </w:r>
            <w:r>
              <w:rPr>
                <w:rFonts w:hint="eastAsia" w:ascii="宋体" w:hAnsi="宋体"/>
                <w:szCs w:val="21"/>
                <w:highlight w:val="none"/>
              </w:rPr>
              <w:t>方案；</w:t>
            </w:r>
          </w:p>
          <w:p w14:paraId="3B28AE76">
            <w:pPr>
              <w:spacing w:line="240" w:lineRule="exact"/>
              <w:jc w:val="left"/>
              <w:rPr>
                <w:rFonts w:hint="eastAsia" w:ascii="宋体" w:hAnsi="宋体"/>
                <w:szCs w:val="21"/>
                <w:highlight w:val="none"/>
              </w:rPr>
            </w:pPr>
            <w:r>
              <w:rPr>
                <w:rFonts w:hint="eastAsia" w:ascii="宋体" w:hAnsi="宋体"/>
                <w:szCs w:val="21"/>
                <w:highlight w:val="none"/>
              </w:rPr>
              <w:t>评审小组根据响应情况进行分档评分：</w:t>
            </w:r>
          </w:p>
          <w:p w14:paraId="50C58478">
            <w:pPr>
              <w:spacing w:line="240" w:lineRule="exact"/>
              <w:jc w:val="left"/>
              <w:rPr>
                <w:rFonts w:hint="eastAsia" w:ascii="宋体" w:hAnsi="宋体"/>
                <w:szCs w:val="21"/>
                <w:highlight w:val="none"/>
              </w:rPr>
            </w:pPr>
            <w:r>
              <w:rPr>
                <w:rFonts w:hint="eastAsia" w:ascii="宋体" w:hAnsi="宋体"/>
                <w:szCs w:val="21"/>
                <w:highlight w:val="none"/>
              </w:rPr>
              <w:t>技术保障措施方案包括以上</w:t>
            </w:r>
            <w:r>
              <w:rPr>
                <w:rFonts w:hint="eastAsia" w:ascii="宋体" w:hAnsi="宋体"/>
                <w:szCs w:val="21"/>
                <w:highlight w:val="none"/>
                <w:lang w:eastAsia="zh-CN"/>
              </w:rPr>
              <w:t>四</w:t>
            </w:r>
            <w:r>
              <w:rPr>
                <w:rFonts w:hint="eastAsia" w:ascii="宋体" w:hAnsi="宋体"/>
                <w:szCs w:val="21"/>
                <w:highlight w:val="none"/>
              </w:rPr>
              <w:t>点的，得</w:t>
            </w:r>
            <w:r>
              <w:rPr>
                <w:rFonts w:hint="eastAsia" w:ascii="宋体" w:hAnsi="宋体"/>
                <w:szCs w:val="21"/>
                <w:highlight w:val="none"/>
                <w:lang w:val="en-US" w:eastAsia="zh-CN"/>
              </w:rPr>
              <w:t>4</w:t>
            </w:r>
            <w:r>
              <w:rPr>
                <w:rFonts w:hint="eastAsia" w:ascii="宋体" w:hAnsi="宋体"/>
                <w:szCs w:val="21"/>
                <w:highlight w:val="none"/>
              </w:rPr>
              <w:t>0分，不满足则0分。</w:t>
            </w:r>
          </w:p>
          <w:p w14:paraId="3456041C">
            <w:pPr>
              <w:spacing w:line="240" w:lineRule="exact"/>
              <w:jc w:val="left"/>
              <w:rPr>
                <w:rFonts w:hint="eastAsia" w:ascii="宋体" w:hAnsi="宋体"/>
                <w:szCs w:val="21"/>
                <w:highlight w:val="none"/>
              </w:rPr>
            </w:pPr>
            <w:r>
              <w:rPr>
                <w:rFonts w:hint="eastAsia" w:ascii="宋体" w:hAnsi="宋体"/>
                <w:szCs w:val="21"/>
                <w:highlight w:val="none"/>
              </w:rPr>
              <w:t>在满足以上</w:t>
            </w:r>
            <w:r>
              <w:rPr>
                <w:rFonts w:hint="eastAsia" w:ascii="宋体" w:hAnsi="宋体"/>
                <w:szCs w:val="21"/>
                <w:highlight w:val="none"/>
                <w:lang w:eastAsia="zh-CN"/>
              </w:rPr>
              <w:t>四</w:t>
            </w:r>
            <w:r>
              <w:rPr>
                <w:rFonts w:hint="eastAsia" w:ascii="宋体" w:hAnsi="宋体"/>
                <w:szCs w:val="21"/>
                <w:highlight w:val="none"/>
              </w:rPr>
              <w:t>点的基础上，评审委员会可以对方案进行评审打分，具体如下：</w:t>
            </w:r>
          </w:p>
          <w:p w14:paraId="6528ED1D">
            <w:pPr>
              <w:spacing w:line="240" w:lineRule="exact"/>
              <w:jc w:val="left"/>
              <w:rPr>
                <w:rFonts w:hint="eastAsia" w:ascii="宋体" w:hAnsi="宋体"/>
                <w:szCs w:val="21"/>
                <w:highlight w:val="none"/>
              </w:rPr>
            </w:pPr>
            <w:r>
              <w:rPr>
                <w:rFonts w:hint="eastAsia" w:ascii="宋体" w:hAnsi="宋体"/>
                <w:szCs w:val="21"/>
                <w:highlight w:val="none"/>
              </w:rPr>
              <w:t>1、技术保障措施契合项目需求、售后服务保障及时、内容具体详细、可操作性强评价为优</w:t>
            </w:r>
            <w:r>
              <w:rPr>
                <w:rFonts w:hint="eastAsia" w:ascii="宋体" w:hAnsi="宋体"/>
                <w:szCs w:val="21"/>
                <w:highlight w:val="none"/>
                <w:lang w:eastAsia="zh-CN"/>
              </w:rPr>
              <w:t>，</w:t>
            </w:r>
            <w:r>
              <w:rPr>
                <w:rFonts w:hint="eastAsia" w:ascii="宋体" w:hAnsi="宋体"/>
                <w:szCs w:val="21"/>
                <w:highlight w:val="none"/>
              </w:rPr>
              <w:t>得</w:t>
            </w:r>
            <w:r>
              <w:rPr>
                <w:rFonts w:hint="eastAsia" w:ascii="宋体" w:hAnsi="宋体"/>
                <w:szCs w:val="21"/>
                <w:highlight w:val="none"/>
                <w:lang w:val="en-US" w:eastAsia="zh-CN"/>
              </w:rPr>
              <w:t>6</w:t>
            </w:r>
            <w:r>
              <w:rPr>
                <w:rFonts w:hint="eastAsia" w:ascii="宋体" w:hAnsi="宋体"/>
                <w:szCs w:val="21"/>
                <w:highlight w:val="none"/>
              </w:rPr>
              <w:t>0分；</w:t>
            </w:r>
          </w:p>
          <w:p w14:paraId="74D0338A">
            <w:pPr>
              <w:spacing w:line="240" w:lineRule="exact"/>
              <w:jc w:val="left"/>
              <w:rPr>
                <w:rFonts w:hint="eastAsia" w:ascii="宋体" w:hAnsi="宋体"/>
                <w:szCs w:val="21"/>
                <w:highlight w:val="none"/>
              </w:rPr>
            </w:pPr>
            <w:r>
              <w:rPr>
                <w:rFonts w:hint="eastAsia" w:ascii="宋体" w:hAnsi="宋体"/>
                <w:szCs w:val="21"/>
                <w:highlight w:val="none"/>
              </w:rPr>
              <w:t>2、</w:t>
            </w:r>
            <w:r>
              <w:rPr>
                <w:rFonts w:hint="eastAsia" w:ascii="宋体" w:hAnsi="宋体" w:cs="宋体"/>
                <w:color w:val="000000"/>
                <w:szCs w:val="21"/>
                <w:highlight w:val="none"/>
              </w:rPr>
              <w:t>技术保障措施较契合项目需求、售后服务保障较及时、内容较具体详细、可操作性较强评价为良</w:t>
            </w:r>
            <w:r>
              <w:rPr>
                <w:rFonts w:hint="eastAsia" w:ascii="宋体" w:hAnsi="宋体" w:cs="宋体"/>
                <w:color w:val="000000"/>
                <w:szCs w:val="21"/>
                <w:highlight w:val="none"/>
                <w:lang w:eastAsia="zh-CN"/>
              </w:rPr>
              <w:t>，</w:t>
            </w:r>
            <w:r>
              <w:rPr>
                <w:rFonts w:hint="eastAsia" w:ascii="宋体" w:hAnsi="宋体"/>
                <w:szCs w:val="21"/>
                <w:highlight w:val="none"/>
              </w:rPr>
              <w:t>得30分；</w:t>
            </w:r>
          </w:p>
          <w:p w14:paraId="4B03F4B1">
            <w:pPr>
              <w:spacing w:line="240" w:lineRule="exact"/>
              <w:jc w:val="left"/>
              <w:rPr>
                <w:rFonts w:hint="eastAsia" w:ascii="宋体" w:hAnsi="宋体"/>
                <w:szCs w:val="21"/>
                <w:highlight w:val="none"/>
              </w:rPr>
            </w:pPr>
            <w:r>
              <w:rPr>
                <w:rFonts w:hint="eastAsia" w:ascii="宋体" w:hAnsi="宋体"/>
                <w:szCs w:val="21"/>
                <w:highlight w:val="none"/>
              </w:rPr>
              <w:t>3、</w:t>
            </w:r>
            <w:r>
              <w:rPr>
                <w:rFonts w:hint="eastAsia" w:ascii="宋体" w:hAnsi="宋体" w:cs="宋体"/>
                <w:color w:val="000000"/>
                <w:szCs w:val="21"/>
                <w:highlight w:val="none"/>
              </w:rPr>
              <w:t>技术保障措施基本满足项目需求、有相应售后服务保障举措、内容不全面、可操作性一般评价为中</w:t>
            </w:r>
            <w:r>
              <w:rPr>
                <w:rFonts w:hint="eastAsia" w:ascii="宋体" w:hAnsi="宋体" w:cs="宋体"/>
                <w:color w:val="000000"/>
                <w:szCs w:val="21"/>
                <w:highlight w:val="none"/>
                <w:lang w:eastAsia="zh-CN"/>
              </w:rPr>
              <w:t>，</w:t>
            </w:r>
            <w:r>
              <w:rPr>
                <w:rFonts w:hint="eastAsia" w:ascii="宋体" w:hAnsi="宋体"/>
                <w:szCs w:val="21"/>
                <w:highlight w:val="none"/>
              </w:rPr>
              <w:t>得10分；</w:t>
            </w:r>
          </w:p>
          <w:p w14:paraId="534CC95B">
            <w:pPr>
              <w:spacing w:line="240" w:lineRule="exact"/>
              <w:jc w:val="left"/>
              <w:rPr>
                <w:rFonts w:hint="eastAsia" w:ascii="宋体" w:hAnsi="宋体"/>
                <w:szCs w:val="21"/>
                <w:highlight w:val="none"/>
              </w:rPr>
            </w:pPr>
            <w:r>
              <w:rPr>
                <w:rFonts w:hint="eastAsia" w:ascii="宋体" w:hAnsi="宋体"/>
                <w:szCs w:val="21"/>
                <w:highlight w:val="none"/>
              </w:rPr>
              <w:t>4、</w:t>
            </w:r>
            <w:r>
              <w:rPr>
                <w:rFonts w:hint="eastAsia" w:ascii="宋体" w:hAnsi="宋体" w:cs="宋体"/>
                <w:color w:val="000000"/>
                <w:szCs w:val="21"/>
                <w:highlight w:val="none"/>
              </w:rPr>
              <w:t>上述情况之外的评价为差</w:t>
            </w:r>
            <w:r>
              <w:rPr>
                <w:rFonts w:hint="eastAsia" w:ascii="宋体" w:hAnsi="宋体" w:cs="宋体"/>
                <w:color w:val="000000"/>
                <w:szCs w:val="21"/>
                <w:highlight w:val="none"/>
                <w:lang w:eastAsia="zh-CN"/>
              </w:rPr>
              <w:t>，</w:t>
            </w:r>
            <w:r>
              <w:rPr>
                <w:rFonts w:hint="eastAsia" w:ascii="宋体" w:hAnsi="宋体"/>
                <w:szCs w:val="21"/>
                <w:highlight w:val="none"/>
              </w:rPr>
              <w:t>得0分。</w:t>
            </w:r>
          </w:p>
          <w:p w14:paraId="00D7F4EC">
            <w:pPr>
              <w:spacing w:line="240" w:lineRule="exact"/>
              <w:jc w:val="left"/>
              <w:rPr>
                <w:rFonts w:hint="eastAsia" w:ascii="宋体" w:hAnsi="宋体"/>
                <w:szCs w:val="21"/>
                <w:highlight w:val="none"/>
              </w:rPr>
            </w:pPr>
            <w:r>
              <w:rPr>
                <w:rFonts w:hint="eastAsia" w:ascii="宋体" w:hAnsi="宋体"/>
                <w:szCs w:val="21"/>
                <w:highlight w:val="none"/>
              </w:rPr>
              <w:t>不提供或提供的不符合要求或提供不清晰导致专家无法判断的均不得分。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spacing w:line="240" w:lineRule="exact"/>
              <w:jc w:val="center"/>
              <w:rPr>
                <w:rFonts w:hint="eastAsia" w:ascii="宋体" w:hAnsi="宋体"/>
                <w:szCs w:val="21"/>
                <w:highlight w:val="none"/>
              </w:rPr>
            </w:pPr>
            <w:r>
              <w:rPr>
                <w:rFonts w:hint="eastAsia" w:ascii="宋体" w:hAnsi="宋体" w:cs="宋体"/>
                <w:kern w:val="0"/>
                <w:szCs w:val="21"/>
                <w:highlight w:val="none"/>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spacing w:line="240" w:lineRule="exact"/>
              <w:jc w:val="center"/>
              <w:rPr>
                <w:rFonts w:hint="eastAsia" w:ascii="宋体" w:hAnsi="宋体"/>
                <w:szCs w:val="21"/>
                <w:highlight w:val="none"/>
                <w:lang w:val="en-US" w:eastAsia="zh-CN"/>
              </w:rPr>
            </w:pPr>
            <w:r>
              <w:rPr>
                <w:rFonts w:hint="eastAsia" w:ascii="宋体" w:hAnsi="宋体" w:eastAsia="宋体"/>
                <w:szCs w:val="21"/>
                <w:highlight w:val="none"/>
                <w:lang w:val="en-US" w:eastAsia="zh-CN"/>
              </w:rPr>
              <w:t>46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0CCEE9">
            <w:pPr>
              <w:spacing w:line="240" w:lineRule="exact"/>
              <w:jc w:val="left"/>
              <w:rPr>
                <w:rFonts w:hint="eastAsia" w:ascii="宋体" w:hAnsi="宋体"/>
                <w:szCs w:val="21"/>
                <w:highlight w:val="none"/>
              </w:rPr>
            </w:pPr>
            <w:r>
              <w:rPr>
                <w:rFonts w:hint="eastAsia" w:ascii="宋体" w:hAnsi="宋体"/>
                <w:szCs w:val="21"/>
                <w:highlight w:val="none"/>
              </w:rPr>
              <w:t>（一）评分内容：</w:t>
            </w:r>
          </w:p>
          <w:p w14:paraId="073670C2">
            <w:pPr>
              <w:spacing w:line="240" w:lineRule="exact"/>
              <w:jc w:val="left"/>
              <w:rPr>
                <w:rFonts w:hint="eastAsia" w:ascii="宋体" w:hAnsi="宋体"/>
                <w:szCs w:val="21"/>
                <w:highlight w:val="none"/>
              </w:rPr>
            </w:pPr>
            <w:r>
              <w:rPr>
                <w:rFonts w:hint="eastAsia" w:ascii="宋体" w:hAnsi="宋体"/>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szCs w:val="21"/>
                <w:highlight w:val="none"/>
                <w:lang w:val="en-US" w:eastAsia="zh-CN"/>
              </w:rPr>
              <w:t>15</w:t>
            </w:r>
            <w:r>
              <w:rPr>
                <w:rFonts w:hint="eastAsia" w:ascii="宋体" w:hAnsi="宋体"/>
                <w:szCs w:val="21"/>
                <w:highlight w:val="none"/>
              </w:rPr>
              <w:t>分，一般参数每负偏离一条扣</w:t>
            </w:r>
            <w:r>
              <w:rPr>
                <w:rFonts w:hint="eastAsia" w:ascii="宋体" w:hAnsi="宋体"/>
                <w:szCs w:val="21"/>
                <w:highlight w:val="none"/>
                <w:lang w:val="en-US" w:eastAsia="zh-CN"/>
              </w:rPr>
              <w:t>5</w:t>
            </w:r>
            <w:r>
              <w:rPr>
                <w:rFonts w:hint="eastAsia" w:ascii="宋体" w:hAnsi="宋体"/>
                <w:szCs w:val="21"/>
                <w:highlight w:val="none"/>
              </w:rPr>
              <w:t>分，扣完为止。</w:t>
            </w:r>
          </w:p>
          <w:p w14:paraId="3379B3B9">
            <w:pPr>
              <w:spacing w:line="240" w:lineRule="exact"/>
              <w:jc w:val="left"/>
              <w:rPr>
                <w:rFonts w:hint="eastAsia" w:ascii="宋体" w:hAnsi="宋体"/>
                <w:szCs w:val="21"/>
                <w:highlight w:val="none"/>
              </w:rPr>
            </w:pPr>
            <w:r>
              <w:rPr>
                <w:rFonts w:hint="eastAsia" w:ascii="宋体" w:hAnsi="宋体"/>
                <w:szCs w:val="21"/>
                <w:highlight w:val="none"/>
              </w:rPr>
              <w:t>（二）评分依据：</w:t>
            </w:r>
          </w:p>
          <w:p w14:paraId="7917DEC3">
            <w:pPr>
              <w:spacing w:line="240" w:lineRule="exact"/>
              <w:jc w:val="left"/>
              <w:rPr>
                <w:rFonts w:hint="eastAsia" w:ascii="宋体" w:hAnsi="宋体"/>
                <w:szCs w:val="21"/>
                <w:highlight w:val="none"/>
              </w:rPr>
            </w:pPr>
            <w:r>
              <w:rPr>
                <w:rFonts w:hint="eastAsia" w:ascii="宋体" w:hAnsi="宋体"/>
                <w:szCs w:val="21"/>
                <w:highlight w:val="none"/>
              </w:rPr>
              <w:t>投标人应如实对应填写所投产品的具体参数。如要求提供“厂家网站截图/说明书/厂家出具的参数文件/检验报告”等证明资料的，需按要求提供相关证明资料；提供的证明资料与所填写内容不一致的，以证明资料为准。若检测报告要求的检测标准有更新的标准也予以认可。</w:t>
            </w:r>
          </w:p>
          <w:p w14:paraId="6A54B8B4">
            <w:pPr>
              <w:spacing w:line="240" w:lineRule="exact"/>
              <w:jc w:val="left"/>
              <w:rPr>
                <w:rFonts w:hint="eastAsia" w:ascii="宋体" w:hAnsi="宋体"/>
                <w:szCs w:val="21"/>
                <w:highlight w:val="none"/>
              </w:rPr>
            </w:pPr>
            <w:r>
              <w:rPr>
                <w:rFonts w:hint="eastAsia" w:ascii="宋体" w:hAnsi="宋体"/>
                <w:szCs w:val="21"/>
                <w:highlight w:val="none"/>
              </w:rPr>
              <w:t>以上证明材料提供扫描件，原件备查，未按要求提供或提供不清晰导致专家无法判断的不得分。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12</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cs="宋体"/>
                <w:kern w:val="0"/>
                <w:szCs w:val="21"/>
                <w:highlight w:val="none"/>
              </w:rPr>
            </w:pPr>
            <w:r>
              <w:rPr>
                <w:rFonts w:hint="eastAsia" w:ascii="宋体" w:hAnsi="宋体"/>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cs="宋体" w:eastAsiaTheme="minorEastAsia"/>
                <w:kern w:val="0"/>
                <w:szCs w:val="21"/>
                <w:highlight w:val="none"/>
                <w:lang w:eastAsia="zh-CN"/>
              </w:rPr>
            </w:pPr>
            <w:r>
              <w:rPr>
                <w:rFonts w:hint="eastAsia" w:ascii="宋体" w:hAnsi="宋体" w:cs="宋体"/>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spacing w:line="240" w:lineRule="exact"/>
              <w:ind w:firstLine="0" w:firstLineChars="0"/>
              <w:rPr>
                <w:rFonts w:hint="eastAsia" w:ascii="宋体" w:hAnsi="宋体" w:cs="仿宋"/>
                <w:kern w:val="0"/>
                <w:szCs w:val="21"/>
                <w:highlight w:val="none"/>
              </w:rPr>
            </w:pPr>
            <w:r>
              <w:rPr>
                <w:rFonts w:hint="eastAsia" w:cs="宋体"/>
                <w:szCs w:val="21"/>
                <w:highlight w:val="none"/>
              </w:rPr>
              <w:t>投标人应如实填写《</w:t>
            </w:r>
            <w:r>
              <w:rPr>
                <w:rFonts w:hint="eastAsia" w:ascii="宋体" w:hAnsi="宋体"/>
                <w:szCs w:val="21"/>
                <w:highlight w:val="none"/>
              </w:rPr>
              <w:t>商务条款偏离情况</w:t>
            </w:r>
            <w:r>
              <w:rPr>
                <w:rFonts w:hint="eastAsia" w:cs="宋体"/>
                <w:szCs w:val="21"/>
                <w:highlight w:val="none"/>
              </w:rPr>
              <w:t>》，评审小组根据响应情况进行打分，全部满足要求的得</w:t>
            </w:r>
            <w:r>
              <w:rPr>
                <w:rFonts w:hint="eastAsia"/>
                <w:szCs w:val="21"/>
                <w:highlight w:val="none"/>
              </w:rPr>
              <w:t>100分</w:t>
            </w:r>
            <w:r>
              <w:rPr>
                <w:rFonts w:hint="eastAsia" w:cs="宋体"/>
                <w:szCs w:val="21"/>
                <w:highlight w:val="none"/>
              </w:rPr>
              <w:t>，每负偏离一项扣</w:t>
            </w:r>
            <w:r>
              <w:rPr>
                <w:rFonts w:hint="eastAsia"/>
                <w:szCs w:val="21"/>
                <w:highlight w:val="none"/>
              </w:rPr>
              <w:t>20分</w:t>
            </w:r>
            <w:r>
              <w:rPr>
                <w:rFonts w:hint="eastAsia" w:cs="宋体"/>
                <w:szCs w:val="21"/>
                <w:highlight w:val="none"/>
              </w:rPr>
              <w:t>。</w:t>
            </w:r>
            <w:r>
              <w:rPr>
                <w:rFonts w:hint="eastAsia" w:ascii="宋体" w:hAnsi="宋体" w:cs="宋体"/>
                <w:szCs w:val="21"/>
                <w:highlight w:val="none"/>
              </w:rPr>
              <w:t>扣完为止。</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spacing w:line="240" w:lineRule="exact"/>
              <w:jc w:val="center"/>
              <w:rPr>
                <w:rFonts w:hint="eastAsia" w:ascii="宋体" w:hAnsi="宋体" w:cs="宋体"/>
                <w:kern w:val="0"/>
                <w:szCs w:val="21"/>
                <w:highlight w:val="none"/>
              </w:rPr>
            </w:pPr>
            <w:r>
              <w:rPr>
                <w:rFonts w:hint="eastAsia" w:ascii="宋体" w:hAnsi="宋体" w:cs="宋体"/>
                <w:szCs w:val="21"/>
                <w:highlight w:val="none"/>
              </w:rPr>
              <w:t>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spacing w:line="240" w:lineRule="exact"/>
              <w:jc w:val="center"/>
              <w:rPr>
                <w:rFonts w:hint="eastAsia" w:ascii="宋体" w:hAnsi="宋体" w:cs="宋体" w:eastAsiaTheme="minorEastAsia"/>
                <w:kern w:val="0"/>
                <w:szCs w:val="21"/>
                <w:highlight w:val="none"/>
                <w:lang w:val="en-US" w:eastAsia="zh-CN"/>
              </w:rPr>
            </w:pPr>
            <w:r>
              <w:rPr>
                <w:rFonts w:hint="eastAsia" w:ascii="宋体" w:hAnsi="宋体" w:cs="宋体"/>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66028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3CD2CAB2">
            <w:pPr>
              <w:spacing w:line="240" w:lineRule="exact"/>
              <w:ind w:firstLine="0" w:firstLineChars="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投标人具备有效的</w:t>
            </w:r>
            <w:r>
              <w:rPr>
                <w:rFonts w:hint="eastAsia" w:ascii="宋体" w:hAnsi="宋体"/>
                <w:szCs w:val="21"/>
                <w:highlight w:val="none"/>
              </w:rPr>
              <w:t>质量管理体系认证、环境管理体系认证</w:t>
            </w:r>
            <w:r>
              <w:rPr>
                <w:rFonts w:hint="eastAsia" w:ascii="宋体" w:hAnsi="宋体"/>
                <w:szCs w:val="21"/>
                <w:highlight w:val="none"/>
                <w:lang w:eastAsia="zh-CN"/>
              </w:rPr>
              <w:t>、</w:t>
            </w:r>
            <w:r>
              <w:rPr>
                <w:rFonts w:hint="eastAsia" w:ascii="宋体" w:hAnsi="宋体" w:eastAsia="宋体" w:cs="宋体"/>
                <w:szCs w:val="21"/>
                <w:highlight w:val="none"/>
                <w:lang w:val="en-US" w:eastAsia="zh-CN"/>
              </w:rPr>
              <w:t>职业健康安全管理体系认证</w:t>
            </w:r>
            <w:r>
              <w:rPr>
                <w:rFonts w:hint="eastAsia" w:ascii="宋体" w:hAnsi="宋体"/>
                <w:szCs w:val="21"/>
                <w:highlight w:val="none"/>
                <w:lang w:eastAsia="zh-CN"/>
              </w:rPr>
              <w:t>、</w:t>
            </w:r>
            <w:r>
              <w:rPr>
                <w:rFonts w:hint="eastAsia" w:ascii="宋体" w:hAnsi="宋体" w:eastAsia="宋体" w:cs="宋体"/>
                <w:szCs w:val="21"/>
                <w:highlight w:val="none"/>
                <w:lang w:val="en-US" w:eastAsia="zh-CN"/>
              </w:rPr>
              <w:t>售后服务认证证书</w:t>
            </w:r>
            <w:r>
              <w:rPr>
                <w:rFonts w:hint="eastAsia" w:ascii="宋体" w:hAnsi="宋体"/>
                <w:szCs w:val="21"/>
                <w:highlight w:val="none"/>
              </w:rPr>
              <w:t>，【</w:t>
            </w:r>
            <w:r>
              <w:rPr>
                <w:rFonts w:hint="eastAsia" w:ascii="宋体" w:hAnsi="宋体" w:eastAsia="宋体" w:cs="宋体"/>
                <w:szCs w:val="21"/>
                <w:highlight w:val="none"/>
                <w:lang w:val="en-US" w:eastAsia="zh-CN"/>
              </w:rPr>
              <w:t>认证范围包含体育设施销售</w:t>
            </w:r>
            <w:r>
              <w:rPr>
                <w:rFonts w:hint="eastAsia" w:ascii="宋体" w:hAnsi="宋体"/>
                <w:szCs w:val="21"/>
                <w:highlight w:val="none"/>
              </w:rPr>
              <w:t>】</w:t>
            </w:r>
            <w:r>
              <w:rPr>
                <w:rFonts w:hint="eastAsia" w:ascii="宋体" w:hAnsi="宋体"/>
                <w:szCs w:val="21"/>
                <w:highlight w:val="none"/>
              </w:rPr>
              <w:t>，每提供一项认证证书且符合认证范围的得</w:t>
            </w:r>
            <w:r>
              <w:rPr>
                <w:rFonts w:hint="eastAsia" w:ascii="宋体" w:hAnsi="宋体"/>
                <w:szCs w:val="21"/>
                <w:highlight w:val="none"/>
                <w:lang w:val="en-US" w:eastAsia="zh-CN"/>
              </w:rPr>
              <w:t>25</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rPr>
              <w:t>累计最高得100分。</w:t>
            </w:r>
          </w:p>
          <w:p w14:paraId="3C1350D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301711C0">
            <w:pPr>
              <w:wordWrap w:val="0"/>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cs="仿宋" w:eastAsiaTheme="minorEastAsia"/>
                <w:kern w:val="0"/>
                <w:szCs w:val="21"/>
                <w:highlight w:val="none"/>
                <w:lang w:val="en-US" w:eastAsia="zh-CN"/>
              </w:rPr>
              <w:t>1.提供有效期内的体系认证证书扫描件及在全国认证认可信息公共服务平台（认e云）（http://cx.cnca.cn/CertECloud/index/index/page）查询有效的截图，原件备查。</w:t>
            </w:r>
          </w:p>
          <w:p w14:paraId="2C04750E">
            <w:pPr>
              <w:wordWrap w:val="0"/>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cs="宋体"/>
                <w:szCs w:val="21"/>
                <w:highlight w:val="none"/>
              </w:rPr>
              <w:t>（未提供或未按要求提供或提供的不清晰导致专家无法判断的，不得分）</w:t>
            </w:r>
            <w:r>
              <w:rPr>
                <w:rFonts w:hint="eastAsia" w:ascii="宋体" w:hAnsi="宋体" w:cs="仿宋" w:eastAsiaTheme="minorEastAsia"/>
                <w:kern w:val="0"/>
                <w:szCs w:val="21"/>
                <w:highlight w:val="none"/>
                <w:lang w:val="en-US" w:eastAsia="zh-CN"/>
              </w:rPr>
              <w:t>（未提供或未按要求提供或提供的不清晰导致专家无法判断的，不得分）</w:t>
            </w:r>
          </w:p>
        </w:tc>
      </w:tr>
      <w:tr w14:paraId="5F2E5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3E0CB5EF">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F123BB">
            <w:pPr>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365EEC">
            <w:pPr>
              <w:spacing w:line="240" w:lineRule="exact"/>
              <w:jc w:val="center"/>
              <w:rPr>
                <w:rFonts w:hint="eastAsia" w:ascii="宋体" w:hAnsi="宋体" w:cs="宋体" w:eastAsiaTheme="minorEastAsia"/>
                <w:kern w:val="0"/>
                <w:sz w:val="21"/>
                <w:szCs w:val="21"/>
                <w:highlight w:val="none"/>
                <w:lang w:val="en-US" w:eastAsia="zh-CN" w:bidi="ar-SA"/>
              </w:rPr>
            </w:pPr>
            <w:r>
              <w:rPr>
                <w:rFonts w:hint="eastAsia" w:ascii="宋体" w:hAnsi="宋体"/>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B126A4">
            <w:pPr>
              <w:spacing w:line="240" w:lineRule="exact"/>
              <w:jc w:val="center"/>
              <w:rPr>
                <w:rFonts w:hint="eastAsia" w:ascii="宋体" w:hAnsi="宋体" w:cs="宋体" w:eastAsiaTheme="minorEastAsia"/>
                <w:kern w:val="0"/>
                <w:sz w:val="21"/>
                <w:szCs w:val="21"/>
                <w:highlight w:val="none"/>
                <w:lang w:val="en-US" w:eastAsia="zh-CN" w:bidi="ar-SA"/>
              </w:rPr>
            </w:pPr>
            <w:r>
              <w:rPr>
                <w:rFonts w:hint="eastAsia" w:ascii="宋体" w:hAnsi="宋体"/>
                <w:szCs w:val="21"/>
                <w:highlight w:val="none"/>
                <w:lang w:val="en-US" w:eastAsia="zh-CN"/>
              </w:rPr>
              <w:t>3</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A2CA2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752F1C08">
            <w:pPr>
              <w:spacing w:line="240" w:lineRule="exact"/>
              <w:ind w:firstLine="0" w:firstLineChars="0"/>
              <w:rPr>
                <w:rFonts w:hint="eastAsia" w:ascii="宋体" w:hAnsi="宋体"/>
                <w:szCs w:val="21"/>
                <w:highlight w:val="none"/>
              </w:rPr>
            </w:pPr>
            <w:r>
              <w:rPr>
                <w:rFonts w:hint="eastAsia" w:ascii="宋体" w:hAnsi="宋体"/>
                <w:szCs w:val="21"/>
                <w:highlight w:val="none"/>
              </w:rPr>
              <w:t>自202</w:t>
            </w:r>
            <w:r>
              <w:rPr>
                <w:rFonts w:hint="eastAsia" w:ascii="宋体" w:hAnsi="宋体"/>
                <w:szCs w:val="21"/>
                <w:highlight w:val="none"/>
                <w:lang w:val="en-US" w:eastAsia="zh-CN"/>
              </w:rPr>
              <w:t>2</w:t>
            </w:r>
            <w:r>
              <w:rPr>
                <w:rFonts w:hint="eastAsia" w:ascii="宋体" w:hAnsi="宋体"/>
                <w:szCs w:val="21"/>
                <w:highlight w:val="none"/>
              </w:rPr>
              <w:t>年1月1日至本项目投标截止日之日（以合同签订时间为准）</w:t>
            </w:r>
            <w:r>
              <w:rPr>
                <w:rFonts w:hint="eastAsia" w:ascii="宋体" w:hAnsi="宋体"/>
                <w:szCs w:val="21"/>
                <w:highlight w:val="none"/>
                <w:lang w:eastAsia="zh-CN"/>
              </w:rPr>
              <w:t>，</w:t>
            </w:r>
            <w:r>
              <w:rPr>
                <w:rFonts w:hint="eastAsia" w:ascii="宋体" w:hAnsi="宋体"/>
                <w:szCs w:val="21"/>
                <w:highlight w:val="none"/>
              </w:rPr>
              <w:t>投标人</w:t>
            </w:r>
            <w:r>
              <w:rPr>
                <w:rFonts w:hint="eastAsia" w:ascii="宋体" w:hAnsi="宋体"/>
                <w:szCs w:val="21"/>
                <w:highlight w:val="none"/>
                <w:lang w:eastAsia="zh-CN"/>
              </w:rPr>
              <w:t>具有体育设施类项目经验的</w:t>
            </w:r>
            <w:r>
              <w:rPr>
                <w:rFonts w:hint="eastAsia" w:ascii="宋体" w:hAnsi="宋体"/>
                <w:szCs w:val="21"/>
                <w:highlight w:val="none"/>
              </w:rPr>
              <w:t>，每提供一个业绩计35分，累计最高得100分。</w:t>
            </w:r>
          </w:p>
          <w:p w14:paraId="705B2C4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6FA2D854">
            <w:pPr>
              <w:spacing w:line="240" w:lineRule="exact"/>
              <w:ind w:firstLine="0" w:firstLineChars="0"/>
              <w:rPr>
                <w:rFonts w:hint="default" w:ascii="宋体" w:hAnsi="宋体" w:eastAsia="宋体"/>
                <w:szCs w:val="21"/>
                <w:highlight w:val="none"/>
                <w:lang w:val="en-US" w:eastAsia="zh-CN"/>
              </w:rPr>
            </w:pPr>
            <w:r>
              <w:rPr>
                <w:rFonts w:hint="eastAsia" w:ascii="宋体" w:hAnsi="宋体"/>
                <w:szCs w:val="21"/>
                <w:highlight w:val="none"/>
              </w:rPr>
              <w:t>投标人需同时提供①中标通知书</w:t>
            </w:r>
            <w:r>
              <w:rPr>
                <w:rFonts w:hint="eastAsia" w:ascii="宋体" w:hAnsi="宋体"/>
                <w:szCs w:val="21"/>
                <w:highlight w:val="none"/>
                <w:lang w:eastAsia="zh-CN"/>
              </w:rPr>
              <w:t>、</w:t>
            </w:r>
            <w:r>
              <w:rPr>
                <w:rFonts w:hint="eastAsia" w:ascii="宋体" w:hAnsi="宋体"/>
                <w:szCs w:val="21"/>
                <w:highlight w:val="none"/>
              </w:rPr>
              <w:t>②合同关键页</w:t>
            </w:r>
            <w:r>
              <w:rPr>
                <w:rFonts w:hint="eastAsia" w:ascii="宋体" w:hAnsi="宋体"/>
                <w:szCs w:val="21"/>
                <w:highlight w:val="none"/>
                <w:lang w:eastAsia="zh-CN"/>
              </w:rPr>
              <w:t>以及</w:t>
            </w:r>
            <w:r>
              <w:rPr>
                <w:rFonts w:hint="eastAsia" w:ascii="宋体" w:hAnsi="宋体"/>
                <w:szCs w:val="21"/>
                <w:highlight w:val="none"/>
              </w:rPr>
              <w:t>③</w:t>
            </w:r>
            <w:r>
              <w:rPr>
                <w:rFonts w:hint="eastAsia" w:ascii="宋体" w:hAnsi="宋体"/>
                <w:szCs w:val="21"/>
                <w:highlight w:val="none"/>
                <w:lang w:val="en-US" w:eastAsia="zh-CN"/>
              </w:rPr>
              <w:t>验收合格的验收报告。</w:t>
            </w:r>
          </w:p>
          <w:p w14:paraId="395270FB">
            <w:pPr>
              <w:spacing w:line="240" w:lineRule="exact"/>
              <w:ind w:firstLine="0" w:firstLineChars="0"/>
              <w:rPr>
                <w:rFonts w:hint="eastAsia" w:ascii="宋体" w:hAnsi="宋体" w:cs="仿宋" w:eastAsiaTheme="minorEastAsia"/>
                <w:kern w:val="0"/>
                <w:sz w:val="21"/>
                <w:szCs w:val="21"/>
                <w:highlight w:val="none"/>
                <w:lang w:val="en-US" w:eastAsia="zh-CN" w:bidi="ar-SA"/>
              </w:rPr>
            </w:pPr>
            <w:r>
              <w:rPr>
                <w:rFonts w:hint="eastAsia" w:ascii="宋体" w:hAnsi="宋体"/>
                <w:szCs w:val="21"/>
                <w:highlight w:val="none"/>
              </w:rPr>
              <w:t>以上证明材料提供扫描件，原件备查，未按要求提供或提供不清晰导致专家无法判断的不得分。</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49A0EE20">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CD50C">
            <w:pPr>
              <w:spacing w:line="240" w:lineRule="exact"/>
              <w:jc w:val="center"/>
              <w:rPr>
                <w:rFonts w:hint="default" w:ascii="宋体" w:hAnsi="宋体" w:cs="宋体"/>
                <w:kern w:val="0"/>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jc w:val="center"/>
              <w:rPr>
                <w:rFonts w:hint="eastAsia" w:ascii="宋体" w:hAnsi="宋体" w:cs="宋体"/>
                <w:kern w:val="0"/>
                <w:szCs w:val="21"/>
                <w:highlight w:val="none"/>
              </w:rPr>
            </w:pPr>
            <w:r>
              <w:rPr>
                <w:rFonts w:hint="eastAsia" w:ascii="宋体" w:hAnsi="宋体"/>
                <w:szCs w:val="21"/>
                <w:highlight w:val="none"/>
              </w:rPr>
              <w:t>履约评价情况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spacing w:line="240" w:lineRule="exact"/>
              <w:jc w:val="center"/>
              <w:rPr>
                <w:rFonts w:hint="eastAsia" w:ascii="宋体" w:hAnsi="宋体" w:cs="宋体" w:eastAsiaTheme="minorEastAsia"/>
                <w:kern w:val="0"/>
                <w:szCs w:val="21"/>
                <w:highlight w:val="none"/>
                <w:lang w:val="en-US" w:eastAsia="zh-CN"/>
              </w:rPr>
            </w:pPr>
            <w:r>
              <w:rPr>
                <w:rFonts w:hint="eastAsia" w:ascii="宋体" w:hAnsi="宋体"/>
                <w:szCs w:val="21"/>
                <w:highlight w:val="none"/>
                <w:lang w:val="en-US" w:eastAsia="zh-CN"/>
              </w:rPr>
              <w:t>3</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BE9C0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797BD58F">
            <w:pPr>
              <w:spacing w:line="240" w:lineRule="exact"/>
              <w:ind w:firstLine="0" w:firstLineChars="0"/>
              <w:rPr>
                <w:rFonts w:hint="eastAsia" w:ascii="宋体" w:hAnsi="宋体"/>
                <w:szCs w:val="21"/>
                <w:highlight w:val="none"/>
              </w:rPr>
            </w:pPr>
            <w:r>
              <w:rPr>
                <w:rFonts w:hint="eastAsia" w:ascii="宋体" w:hAnsi="宋体" w:eastAsia="宋体" w:cs="宋体"/>
                <w:sz w:val="21"/>
                <w:szCs w:val="21"/>
                <w:highlight w:val="none"/>
                <w:lang w:val="en-US" w:eastAsia="zh-CN"/>
              </w:rPr>
              <w:t>2022年1月1日至本项目投标截止之日，具有上述“同类项目业绩”中有效得分的业绩，并经用户单位考核评价为优或满意（或同等级评价）的每提供1项得35分，满分100分。</w:t>
            </w:r>
            <w:r>
              <w:rPr>
                <w:rFonts w:hint="eastAsia" w:ascii="宋体" w:hAnsi="宋体"/>
                <w:szCs w:val="21"/>
                <w:highlight w:val="none"/>
              </w:rPr>
              <w:t>。</w:t>
            </w:r>
          </w:p>
          <w:p w14:paraId="08BE0A6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29C3AD92">
            <w:pPr>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eastAsia="宋体" w:cs="宋体"/>
                <w:sz w:val="21"/>
                <w:szCs w:val="21"/>
                <w:highlight w:val="none"/>
                <w:lang w:val="en-US" w:eastAsia="zh-CN"/>
              </w:rPr>
              <w:t>提供盖有用户单位公章的履约评价扫描件，原件备查。不提供或提供的不符合要求或提供不清晰导致专家无法判断的均不得分。</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10"/>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10"/>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75FB5AAF">
      <w:pPr>
        <w:jc w:val="center"/>
        <w:rPr>
          <w:b/>
          <w:sz w:val="120"/>
          <w:szCs w:val="120"/>
        </w:rPr>
      </w:pPr>
    </w:p>
    <w:p w14:paraId="34915A07">
      <w:pPr>
        <w:pStyle w:val="10"/>
        <w:rPr>
          <w:rFonts w:hint="eastAsia"/>
          <w:b/>
          <w:sz w:val="120"/>
          <w:szCs w:val="120"/>
        </w:rPr>
      </w:pPr>
    </w:p>
    <w:p w14:paraId="12902AF1">
      <w:pPr>
        <w:pStyle w:val="10"/>
        <w:rPr>
          <w:rFonts w:hint="eastAsia"/>
          <w:b/>
          <w:sz w:val="120"/>
          <w:szCs w:val="120"/>
        </w:rPr>
      </w:pPr>
    </w:p>
    <w:p w14:paraId="05868527">
      <w:pPr>
        <w:rPr>
          <w:rFonts w:hint="eastAsia"/>
          <w:b/>
          <w:sz w:val="120"/>
          <w:szCs w:val="120"/>
        </w:rPr>
      </w:pPr>
    </w:p>
    <w:p w14:paraId="51364DE1">
      <w:pPr>
        <w:pStyle w:val="11"/>
        <w:rPr>
          <w:rFonts w:hint="eastAsia"/>
          <w:b/>
          <w:sz w:val="120"/>
          <w:szCs w:val="120"/>
        </w:rPr>
      </w:pPr>
    </w:p>
    <w:p w14:paraId="0C7604F0">
      <w:pPr>
        <w:pStyle w:val="11"/>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3"/>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FF0000"/>
          <w:kern w:val="0"/>
          <w:szCs w:val="21"/>
          <w:highlight w:val="yellow"/>
        </w:rPr>
        <w:t>是，</w:t>
      </w:r>
      <w:r>
        <w:rPr>
          <w:rFonts w:hint="eastAsia" w:ascii="宋体" w:hAnsi="宋体" w:cs="宋体"/>
          <w:kern w:val="0"/>
          <w:szCs w:val="21"/>
          <w:highlight w:val="yellow"/>
        </w:rPr>
        <w:t>供应商提供的货物全部由符合政策要求的中小微企业、残疾人福利性</w:t>
      </w:r>
      <w:r>
        <w:rPr>
          <w:rFonts w:hint="eastAsia" w:ascii="宋体" w:hAnsi="宋体" w:cs="宋体"/>
          <w:kern w:val="0"/>
          <w:szCs w:val="21"/>
          <w:highlight w:val="yellow"/>
          <w:lang w:val="en-US" w:eastAsia="zh-CN"/>
        </w:rPr>
        <w:t>单位或</w:t>
      </w:r>
      <w:r>
        <w:rPr>
          <w:rFonts w:hint="eastAsia" w:ascii="宋体" w:hAnsi="宋体" w:cs="宋体"/>
          <w:kern w:val="0"/>
          <w:szCs w:val="21"/>
          <w:highlight w:val="yellow"/>
        </w:rPr>
        <w:t>监狱企业制造（由供应商在《中小企业声明函、残疾人福利性单位声明函及监狱企业声明函》中作出声明</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未提供声明函或声明函不符合政策要求的，按资格审查不通过处理</w:t>
      </w:r>
      <w:r>
        <w:rPr>
          <w:rFonts w:hint="eastAsia" w:ascii="宋体" w:hAnsi="宋体" w:cs="宋体"/>
          <w:kern w:val="0"/>
          <w:szCs w:val="21"/>
          <w:highlight w:val="yellow"/>
        </w:rPr>
        <w:t>）</w:t>
      </w:r>
      <w:r>
        <w:rPr>
          <w:rFonts w:hint="eastAsia" w:ascii="宋体" w:hAnsi="宋体" w:cs="宋体"/>
          <w:kern w:val="0"/>
          <w:szCs w:val="21"/>
          <w:highlight w:val="yellow"/>
          <w:lang w:eastAsia="zh-CN"/>
        </w:rPr>
        <w:t>。</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0052364"/>
      <w:bookmarkStart w:id="5" w:name="_Toc73521635"/>
      <w:bookmarkStart w:id="6" w:name="_Toc73521547"/>
      <w:bookmarkStart w:id="7" w:name="_Toc73518117"/>
      <w:bookmarkStart w:id="8" w:name="_Toc60560625"/>
      <w:bookmarkStart w:id="9" w:name="_Toc73517639"/>
      <w:bookmarkStart w:id="10" w:name="_Toc101074876"/>
      <w:bookmarkStart w:id="11" w:name="_Toc60631620"/>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深圳市龙华中学</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highlight w:val="none"/>
              </w:rPr>
            </w:pPr>
            <w:r>
              <w:rPr>
                <w:rFonts w:hint="eastAsia" w:ascii="宋体" w:hAnsi="宋体"/>
                <w:highlight w:val="none"/>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Arial" w:hAnsi="Arial" w:eastAsia="宋体" w:cs="Times New Roman"/>
                <w:szCs w:val="24"/>
                <w:highlight w:val="none"/>
                <w:lang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highlight w:val="none"/>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3" w:firstLineChars="196"/>
        <w:rPr>
          <w:rFonts w:hint="eastAsia" w:ascii="宋体" w:hAnsi="宋体"/>
          <w:b/>
          <w:bCs/>
          <w:color w:val="FF0000"/>
          <w:highlight w:val="yellow"/>
        </w:rPr>
      </w:pPr>
      <w:r>
        <w:rPr>
          <w:rFonts w:hint="eastAsia" w:ascii="宋体" w:hAnsi="宋体"/>
          <w:b/>
          <w:bCs/>
          <w:color w:val="FF0000"/>
          <w:highlight w:val="yellow"/>
        </w:rPr>
        <w:t>（1）</w:t>
      </w:r>
      <w:r>
        <w:rPr>
          <w:rFonts w:hint="eastAsia"/>
          <w:b/>
          <w:bCs/>
          <w:color w:val="FF0000"/>
          <w:highlight w:val="yellow"/>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49</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深圳市龙华中学体育馆篮球场主场地运动木地板采购</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231150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本项目控制金额为人民币231150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1.运动木地板</w:t>
      </w:r>
      <w:r>
        <w:rPr>
          <w:rFonts w:hint="eastAsia" w:ascii="宋体" w:hAnsi="宋体"/>
          <w:b/>
          <w:color w:val="FF0000"/>
          <w:sz w:val="32"/>
          <w:szCs w:val="32"/>
          <w:u w:val="single"/>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68"/>
        <w:gridCol w:w="686"/>
        <w:gridCol w:w="562"/>
        <w:gridCol w:w="808"/>
        <w:gridCol w:w="909"/>
        <w:gridCol w:w="1031"/>
        <w:gridCol w:w="1091"/>
        <w:gridCol w:w="682"/>
        <w:gridCol w:w="1218"/>
      </w:tblGrid>
      <w:tr w14:paraId="5796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9" w:type="pct"/>
            <w:vMerge w:val="restart"/>
            <w:noWrap w:val="0"/>
            <w:vAlign w:val="center"/>
          </w:tcPr>
          <w:p w14:paraId="3F1DF147">
            <w:pPr>
              <w:jc w:val="center"/>
              <w:rPr>
                <w:bCs/>
                <w:szCs w:val="21"/>
              </w:rPr>
            </w:pPr>
            <w:r>
              <w:rPr>
                <w:rFonts w:hint="eastAsia"/>
                <w:bCs/>
                <w:szCs w:val="21"/>
              </w:rPr>
              <w:t>序号</w:t>
            </w:r>
          </w:p>
        </w:tc>
        <w:tc>
          <w:tcPr>
            <w:tcW w:w="568" w:type="pct"/>
            <w:vMerge w:val="restart"/>
            <w:noWrap w:val="0"/>
            <w:vAlign w:val="center"/>
          </w:tcPr>
          <w:p w14:paraId="5E9170D4">
            <w:pPr>
              <w:jc w:val="center"/>
              <w:rPr>
                <w:rFonts w:hint="eastAsia"/>
                <w:bCs/>
                <w:szCs w:val="21"/>
              </w:rPr>
            </w:pPr>
            <w:r>
              <w:rPr>
                <w:rFonts w:hint="eastAsia"/>
                <w:bCs/>
                <w:szCs w:val="21"/>
              </w:rPr>
              <w:t>货物名称</w:t>
            </w:r>
          </w:p>
        </w:tc>
        <w:tc>
          <w:tcPr>
            <w:tcW w:w="402" w:type="pct"/>
            <w:vMerge w:val="restart"/>
            <w:noWrap w:val="0"/>
            <w:vAlign w:val="center"/>
          </w:tcPr>
          <w:p w14:paraId="3A09A6B5">
            <w:pPr>
              <w:jc w:val="center"/>
              <w:rPr>
                <w:bCs/>
                <w:szCs w:val="21"/>
              </w:rPr>
            </w:pPr>
            <w:r>
              <w:rPr>
                <w:rFonts w:hint="eastAsia"/>
                <w:bCs/>
                <w:szCs w:val="21"/>
              </w:rPr>
              <w:t>数量</w:t>
            </w:r>
          </w:p>
        </w:tc>
        <w:tc>
          <w:tcPr>
            <w:tcW w:w="329" w:type="pct"/>
            <w:vMerge w:val="restart"/>
            <w:noWrap w:val="0"/>
            <w:vAlign w:val="center"/>
          </w:tcPr>
          <w:p w14:paraId="1297DBBB">
            <w:pPr>
              <w:jc w:val="center"/>
              <w:rPr>
                <w:bCs/>
                <w:szCs w:val="21"/>
              </w:rPr>
            </w:pPr>
            <w:r>
              <w:rPr>
                <w:rFonts w:hint="eastAsia"/>
                <w:bCs/>
                <w:szCs w:val="21"/>
              </w:rPr>
              <w:t>单位</w:t>
            </w:r>
          </w:p>
        </w:tc>
        <w:tc>
          <w:tcPr>
            <w:tcW w:w="1007" w:type="pct"/>
            <w:gridSpan w:val="2"/>
            <w:noWrap w:val="0"/>
            <w:vAlign w:val="center"/>
          </w:tcPr>
          <w:p w14:paraId="21FFF2CB">
            <w:pPr>
              <w:jc w:val="center"/>
              <w:rPr>
                <w:rFonts w:hint="eastAsia"/>
                <w:bCs/>
                <w:szCs w:val="21"/>
                <w:lang w:val="en-US" w:eastAsia="zh-CN"/>
              </w:rPr>
            </w:pPr>
            <w:r>
              <w:rPr>
                <w:rFonts w:hint="eastAsia"/>
                <w:bCs/>
                <w:szCs w:val="21"/>
                <w:highlight w:val="yellow"/>
                <w:lang w:val="en-US" w:eastAsia="zh-CN"/>
              </w:rPr>
              <w:t>单价限额（元）</w:t>
            </w:r>
          </w:p>
        </w:tc>
        <w:tc>
          <w:tcPr>
            <w:tcW w:w="605" w:type="pct"/>
            <w:vMerge w:val="restart"/>
            <w:noWrap w:val="0"/>
            <w:vAlign w:val="center"/>
          </w:tcPr>
          <w:p w14:paraId="34C8A629">
            <w:pPr>
              <w:jc w:val="center"/>
              <w:rPr>
                <w:b/>
                <w:bCs/>
                <w:color w:val="FF0000"/>
                <w:szCs w:val="21"/>
              </w:rPr>
            </w:pPr>
            <w:r>
              <w:rPr>
                <w:rFonts w:hint="eastAsia"/>
                <w:b/>
                <w:bCs/>
                <w:color w:val="FF0000"/>
                <w:szCs w:val="21"/>
              </w:rPr>
              <w:t>备注</w:t>
            </w:r>
          </w:p>
        </w:tc>
        <w:tc>
          <w:tcPr>
            <w:tcW w:w="640" w:type="pct"/>
            <w:vMerge w:val="restart"/>
            <w:noWrap w:val="0"/>
            <w:vAlign w:val="center"/>
          </w:tcPr>
          <w:p w14:paraId="68A98B4E">
            <w:pPr>
              <w:jc w:val="center"/>
              <w:rPr>
                <w:rFonts w:hint="eastAsia"/>
                <w:b/>
                <w:bCs/>
                <w:color w:val="FF0000"/>
                <w:szCs w:val="21"/>
              </w:rPr>
            </w:pPr>
            <w:r>
              <w:rPr>
                <w:rFonts w:hint="eastAsia" w:ascii="Times New Roman" w:eastAsia="宋体"/>
                <w:b/>
                <w:bCs/>
                <w:color w:val="FF0000"/>
                <w:szCs w:val="21"/>
                <w:lang w:val="en-US" w:eastAsia="zh-CN"/>
              </w:rPr>
              <w:t>是否专门面向中小企业</w:t>
            </w:r>
          </w:p>
        </w:tc>
        <w:tc>
          <w:tcPr>
            <w:tcW w:w="400" w:type="pct"/>
            <w:vMerge w:val="restart"/>
            <w:noWrap w:val="0"/>
            <w:vAlign w:val="center"/>
          </w:tcPr>
          <w:p w14:paraId="7658C681">
            <w:pPr>
              <w:jc w:val="center"/>
              <w:rPr>
                <w:rFonts w:hint="eastAsia"/>
                <w:b/>
                <w:bCs/>
                <w:color w:val="FF0000"/>
                <w:szCs w:val="21"/>
              </w:rPr>
            </w:pPr>
            <w:r>
              <w:rPr>
                <w:rFonts w:hint="eastAsia" w:ascii="Times New Roman" w:eastAsia="宋体"/>
                <w:b/>
                <w:bCs/>
                <w:color w:val="FF0000"/>
                <w:szCs w:val="21"/>
                <w:lang w:val="en-US" w:eastAsia="zh-CN"/>
              </w:rPr>
              <w:t>标的所属行业</w:t>
            </w:r>
          </w:p>
        </w:tc>
        <w:tc>
          <w:tcPr>
            <w:tcW w:w="715" w:type="pct"/>
            <w:vMerge w:val="restart"/>
            <w:noWrap w:val="0"/>
            <w:vAlign w:val="center"/>
          </w:tcPr>
          <w:p w14:paraId="60E24845">
            <w:pPr>
              <w:jc w:val="center"/>
              <w:rPr>
                <w:b/>
                <w:bCs/>
                <w:color w:val="FF0000"/>
                <w:szCs w:val="21"/>
              </w:rPr>
            </w:pPr>
            <w:r>
              <w:rPr>
                <w:rFonts w:hint="eastAsia"/>
                <w:b/>
                <w:bCs/>
                <w:color w:val="FF0000"/>
                <w:szCs w:val="21"/>
              </w:rPr>
              <w:t>财政预算限额（元）</w:t>
            </w:r>
          </w:p>
        </w:tc>
      </w:tr>
      <w:tr w14:paraId="715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9" w:type="pct"/>
            <w:vMerge w:val="continue"/>
            <w:noWrap w:val="0"/>
            <w:vAlign w:val="center"/>
          </w:tcPr>
          <w:p w14:paraId="720A7DC9">
            <w:pPr>
              <w:jc w:val="center"/>
            </w:pPr>
          </w:p>
        </w:tc>
        <w:tc>
          <w:tcPr>
            <w:tcW w:w="568" w:type="pct"/>
            <w:vMerge w:val="continue"/>
            <w:noWrap w:val="0"/>
            <w:vAlign w:val="center"/>
          </w:tcPr>
          <w:p w14:paraId="68A9FEA8">
            <w:pPr>
              <w:jc w:val="center"/>
            </w:pPr>
          </w:p>
        </w:tc>
        <w:tc>
          <w:tcPr>
            <w:tcW w:w="402" w:type="pct"/>
            <w:vMerge w:val="continue"/>
            <w:noWrap w:val="0"/>
            <w:vAlign w:val="center"/>
          </w:tcPr>
          <w:p w14:paraId="6679ED23">
            <w:pPr>
              <w:jc w:val="center"/>
            </w:pPr>
          </w:p>
        </w:tc>
        <w:tc>
          <w:tcPr>
            <w:tcW w:w="329" w:type="pct"/>
            <w:vMerge w:val="continue"/>
            <w:noWrap w:val="0"/>
            <w:vAlign w:val="center"/>
          </w:tcPr>
          <w:p w14:paraId="5F96F4E4">
            <w:pPr>
              <w:jc w:val="center"/>
            </w:pPr>
          </w:p>
        </w:tc>
        <w:tc>
          <w:tcPr>
            <w:tcW w:w="474" w:type="pct"/>
            <w:noWrap w:val="0"/>
            <w:vAlign w:val="center"/>
          </w:tcPr>
          <w:p w14:paraId="37730022">
            <w:pPr>
              <w:jc w:val="center"/>
              <w:rPr>
                <w:rFonts w:hint="default"/>
                <w:bCs/>
                <w:szCs w:val="21"/>
                <w:highlight w:val="yellow"/>
                <w:lang w:val="en-US" w:eastAsia="zh-CN"/>
              </w:rPr>
            </w:pPr>
            <w:r>
              <w:rPr>
                <w:rFonts w:hint="eastAsia"/>
                <w:bCs/>
                <w:szCs w:val="21"/>
                <w:highlight w:val="yellow"/>
                <w:lang w:val="en-US" w:eastAsia="zh-CN"/>
              </w:rPr>
              <w:t>单价</w:t>
            </w:r>
          </w:p>
        </w:tc>
        <w:tc>
          <w:tcPr>
            <w:tcW w:w="533" w:type="pct"/>
            <w:noWrap w:val="0"/>
            <w:vAlign w:val="center"/>
          </w:tcPr>
          <w:p w14:paraId="23C65203">
            <w:pPr>
              <w:jc w:val="center"/>
              <w:rPr>
                <w:rFonts w:hint="default"/>
                <w:bCs/>
                <w:szCs w:val="21"/>
                <w:highlight w:val="yellow"/>
                <w:lang w:val="en-US" w:eastAsia="zh-CN"/>
              </w:rPr>
            </w:pPr>
            <w:r>
              <w:rPr>
                <w:rFonts w:hint="eastAsia"/>
                <w:bCs/>
                <w:szCs w:val="21"/>
                <w:highlight w:val="yellow"/>
                <w:lang w:val="en-US" w:eastAsia="zh-CN"/>
              </w:rPr>
              <w:t>单项总额</w:t>
            </w:r>
          </w:p>
        </w:tc>
        <w:tc>
          <w:tcPr>
            <w:tcW w:w="605" w:type="pct"/>
            <w:vMerge w:val="continue"/>
            <w:noWrap w:val="0"/>
            <w:vAlign w:val="center"/>
          </w:tcPr>
          <w:p w14:paraId="3D6CC1A0">
            <w:pPr>
              <w:jc w:val="center"/>
              <w:rPr>
                <w:rFonts w:hint="eastAsia"/>
                <w:b/>
                <w:bCs/>
                <w:color w:val="FF0000"/>
                <w:szCs w:val="21"/>
                <w:lang w:val="en-US" w:eastAsia="zh-CN"/>
              </w:rPr>
            </w:pPr>
          </w:p>
        </w:tc>
        <w:tc>
          <w:tcPr>
            <w:tcW w:w="640" w:type="pct"/>
            <w:vMerge w:val="continue"/>
            <w:noWrap w:val="0"/>
            <w:vAlign w:val="center"/>
          </w:tcPr>
          <w:p w14:paraId="500646DF">
            <w:pPr>
              <w:jc w:val="center"/>
              <w:rPr>
                <w:rFonts w:hint="eastAsia"/>
                <w:b/>
                <w:bCs/>
                <w:color w:val="FF0000"/>
                <w:szCs w:val="21"/>
                <w:lang w:val="en-US" w:eastAsia="zh-CN"/>
              </w:rPr>
            </w:pPr>
          </w:p>
        </w:tc>
        <w:tc>
          <w:tcPr>
            <w:tcW w:w="400" w:type="pct"/>
            <w:vMerge w:val="continue"/>
            <w:noWrap w:val="0"/>
            <w:vAlign w:val="center"/>
          </w:tcPr>
          <w:p w14:paraId="1091055A">
            <w:pPr>
              <w:jc w:val="center"/>
              <w:rPr>
                <w:rFonts w:hint="eastAsia"/>
                <w:b/>
                <w:bCs/>
                <w:color w:val="FF0000"/>
                <w:szCs w:val="21"/>
                <w:lang w:val="en-US" w:eastAsia="zh-CN"/>
              </w:rPr>
            </w:pPr>
          </w:p>
        </w:tc>
        <w:tc>
          <w:tcPr>
            <w:tcW w:w="715" w:type="pct"/>
            <w:vMerge w:val="continue"/>
            <w:noWrap w:val="0"/>
            <w:vAlign w:val="center"/>
          </w:tcPr>
          <w:p w14:paraId="28CF4230">
            <w:pPr>
              <w:jc w:val="center"/>
              <w:rPr>
                <w:rFonts w:hint="eastAsia"/>
                <w:b/>
                <w:bCs/>
                <w:color w:val="FF0000"/>
                <w:szCs w:val="21"/>
                <w:lang w:val="en-US" w:eastAsia="zh-CN"/>
              </w:rPr>
            </w:pPr>
          </w:p>
        </w:tc>
      </w:tr>
      <w:tr w14:paraId="110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9" w:type="pct"/>
            <w:noWrap w:val="0"/>
            <w:vAlign w:val="center"/>
          </w:tcPr>
          <w:p w14:paraId="18247F49">
            <w:pPr>
              <w:jc w:val="center"/>
              <w:rPr>
                <w:rFonts w:hint="eastAsia" w:ascii="宋体" w:hAnsi="宋体" w:cs="宋体"/>
                <w:color w:val="000000"/>
                <w:sz w:val="22"/>
              </w:rPr>
            </w:pPr>
            <w:r>
              <w:rPr>
                <w:rFonts w:hint="eastAsia"/>
                <w:bCs/>
                <w:szCs w:val="21"/>
              </w:rPr>
              <w:t>1</w:t>
            </w:r>
          </w:p>
        </w:tc>
        <w:tc>
          <w:tcPr>
            <w:tcW w:w="568" w:type="pct"/>
            <w:shd w:val="clear" w:color="auto" w:fill="auto"/>
            <w:noWrap w:val="0"/>
            <w:vAlign w:val="center"/>
          </w:tcPr>
          <w:p w14:paraId="3B599426">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运动木地板</w:t>
            </w:r>
          </w:p>
        </w:tc>
        <w:tc>
          <w:tcPr>
            <w:tcW w:w="402" w:type="pct"/>
            <w:shd w:val="clear" w:color="auto" w:fill="auto"/>
            <w:noWrap w:val="0"/>
            <w:vAlign w:val="center"/>
          </w:tcPr>
          <w:p w14:paraId="0C47CF69">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670</w:t>
            </w:r>
          </w:p>
        </w:tc>
        <w:tc>
          <w:tcPr>
            <w:tcW w:w="329" w:type="pct"/>
            <w:shd w:val="clear" w:color="auto" w:fill="auto"/>
            <w:noWrap w:val="0"/>
            <w:vAlign w:val="center"/>
          </w:tcPr>
          <w:p w14:paraId="195B1C78">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w:t>
            </w:r>
          </w:p>
        </w:tc>
        <w:tc>
          <w:tcPr>
            <w:tcW w:w="474" w:type="pct"/>
            <w:noWrap w:val="0"/>
            <w:vAlign w:val="center"/>
          </w:tcPr>
          <w:p w14:paraId="42A42CC8">
            <w:pPr>
              <w:jc w:val="center"/>
              <w:rPr>
                <w:rFonts w:hint="default"/>
                <w:highlight w:val="yellow"/>
                <w:lang w:val="en-US" w:eastAsia="zh-CN"/>
              </w:rPr>
            </w:pPr>
            <w:r>
              <w:rPr>
                <w:rFonts w:hint="eastAsia"/>
                <w:bCs/>
                <w:szCs w:val="21"/>
                <w:lang w:val="en-US" w:eastAsia="zh-CN"/>
              </w:rPr>
              <w:t>342</w:t>
            </w:r>
          </w:p>
        </w:tc>
        <w:tc>
          <w:tcPr>
            <w:tcW w:w="533" w:type="pct"/>
            <w:noWrap w:val="0"/>
            <w:vAlign w:val="center"/>
          </w:tcPr>
          <w:p w14:paraId="415C0081">
            <w:pPr>
              <w:jc w:val="center"/>
              <w:rPr>
                <w:rFonts w:hint="default"/>
                <w:bCs/>
                <w:szCs w:val="21"/>
                <w:highlight w:val="yellow"/>
                <w:lang w:val="en-US" w:eastAsia="zh-CN"/>
              </w:rPr>
            </w:pPr>
            <w:r>
              <w:rPr>
                <w:rFonts w:hint="eastAsia" w:eastAsia="宋体"/>
                <w:bCs/>
                <w:szCs w:val="21"/>
                <w:lang w:val="en-US" w:eastAsia="zh-CN"/>
              </w:rPr>
              <w:t>229140</w:t>
            </w:r>
          </w:p>
        </w:tc>
        <w:tc>
          <w:tcPr>
            <w:tcW w:w="605" w:type="pct"/>
            <w:noWrap w:val="0"/>
            <w:vAlign w:val="center"/>
          </w:tcPr>
          <w:p w14:paraId="1DBE0333">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640" w:type="pct"/>
            <w:noWrap w:val="0"/>
            <w:vAlign w:val="center"/>
          </w:tcPr>
          <w:p w14:paraId="0CA88827">
            <w:pPr>
              <w:jc w:val="center"/>
              <w:rPr>
                <w:rFonts w:hint="default" w:ascii="宋体" w:hAnsi="宋体" w:cs="宋体" w:eastAsiaTheme="minorEastAsia"/>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是</w:t>
            </w:r>
          </w:p>
        </w:tc>
        <w:tc>
          <w:tcPr>
            <w:tcW w:w="400" w:type="pct"/>
            <w:noWrap w:val="0"/>
            <w:vAlign w:val="center"/>
          </w:tcPr>
          <w:p w14:paraId="0BE0811B">
            <w:pPr>
              <w:jc w:val="center"/>
              <w:rPr>
                <w:rFonts w:hint="eastAsia" w:ascii="宋体" w:hAnsi="宋体" w:cs="宋体" w:eastAsiaTheme="minorEastAsia"/>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715" w:type="pct"/>
            <w:vMerge w:val="restart"/>
            <w:noWrap w:val="0"/>
            <w:vAlign w:val="center"/>
          </w:tcPr>
          <w:p w14:paraId="517D78EF">
            <w:pPr>
              <w:jc w:val="center"/>
              <w:rPr>
                <w:rFonts w:hint="default" w:eastAsiaTheme="minorEastAsia"/>
                <w:b/>
                <w:bCs/>
                <w:color w:val="FF0000"/>
                <w:szCs w:val="21"/>
                <w:lang w:val="en-US" w:eastAsia="zh-CN"/>
              </w:rPr>
            </w:pPr>
            <w:r>
              <w:rPr>
                <w:rFonts w:hint="default" w:eastAsiaTheme="minorEastAsia"/>
                <w:b/>
                <w:bCs/>
                <w:color w:val="FF0000"/>
                <w:szCs w:val="21"/>
                <w:lang w:val="en-US" w:eastAsia="zh-CN"/>
              </w:rPr>
              <w:t>231150</w:t>
            </w:r>
          </w:p>
        </w:tc>
      </w:tr>
      <w:tr w14:paraId="43D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7D0AA530">
            <w:pPr>
              <w:jc w:val="center"/>
              <w:rPr>
                <w:rFonts w:hint="eastAsia" w:ascii="宋体" w:hAnsi="宋体" w:cs="宋体"/>
                <w:color w:val="000000"/>
                <w:sz w:val="22"/>
              </w:rPr>
            </w:pPr>
            <w:r>
              <w:rPr>
                <w:rFonts w:hint="eastAsia"/>
                <w:bCs/>
                <w:szCs w:val="21"/>
              </w:rPr>
              <w:t>2</w:t>
            </w:r>
          </w:p>
        </w:tc>
        <w:tc>
          <w:tcPr>
            <w:tcW w:w="568" w:type="pct"/>
            <w:shd w:val="clear" w:color="auto" w:fill="auto"/>
            <w:noWrap w:val="0"/>
            <w:vAlign w:val="center"/>
          </w:tcPr>
          <w:p w14:paraId="57C7C212">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弹性橡胶垫</w:t>
            </w:r>
          </w:p>
        </w:tc>
        <w:tc>
          <w:tcPr>
            <w:tcW w:w="402" w:type="pct"/>
            <w:shd w:val="clear" w:color="auto" w:fill="auto"/>
            <w:noWrap w:val="0"/>
            <w:vAlign w:val="center"/>
          </w:tcPr>
          <w:p w14:paraId="734EBD49">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20.1</w:t>
            </w:r>
          </w:p>
        </w:tc>
        <w:tc>
          <w:tcPr>
            <w:tcW w:w="329" w:type="pct"/>
            <w:shd w:val="clear" w:color="auto" w:fill="auto"/>
            <w:noWrap w:val="0"/>
            <w:vAlign w:val="center"/>
          </w:tcPr>
          <w:p w14:paraId="2FF8FAE9">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w:t>
            </w:r>
          </w:p>
        </w:tc>
        <w:tc>
          <w:tcPr>
            <w:tcW w:w="474" w:type="pct"/>
            <w:noWrap w:val="0"/>
            <w:vAlign w:val="center"/>
          </w:tcPr>
          <w:p w14:paraId="2DB22CE4">
            <w:pPr>
              <w:jc w:val="center"/>
              <w:rPr>
                <w:rFonts w:hint="default"/>
                <w:bCs/>
                <w:szCs w:val="21"/>
                <w:highlight w:val="yellow"/>
                <w:lang w:val="en-US" w:eastAsia="zh-CN"/>
              </w:rPr>
            </w:pPr>
            <w:r>
              <w:rPr>
                <w:rFonts w:hint="eastAsia"/>
                <w:bCs/>
                <w:szCs w:val="21"/>
                <w:lang w:val="en-US" w:eastAsia="zh-CN"/>
              </w:rPr>
              <w:t>100</w:t>
            </w:r>
          </w:p>
        </w:tc>
        <w:tc>
          <w:tcPr>
            <w:tcW w:w="533" w:type="pct"/>
            <w:noWrap w:val="0"/>
            <w:vAlign w:val="center"/>
          </w:tcPr>
          <w:p w14:paraId="6C7EF379">
            <w:pPr>
              <w:jc w:val="center"/>
              <w:rPr>
                <w:rFonts w:hint="default"/>
                <w:bCs/>
                <w:szCs w:val="21"/>
                <w:highlight w:val="yellow"/>
                <w:lang w:val="en-US" w:eastAsia="zh-CN"/>
              </w:rPr>
            </w:pPr>
            <w:r>
              <w:rPr>
                <w:rFonts w:hint="eastAsia" w:eastAsia="宋体"/>
                <w:bCs/>
                <w:szCs w:val="21"/>
                <w:lang w:val="en-US" w:eastAsia="zh-CN"/>
              </w:rPr>
              <w:t>2010</w:t>
            </w:r>
          </w:p>
        </w:tc>
        <w:tc>
          <w:tcPr>
            <w:tcW w:w="605" w:type="pct"/>
            <w:noWrap w:val="0"/>
            <w:vAlign w:val="center"/>
          </w:tcPr>
          <w:p w14:paraId="56D9BB2D">
            <w:pPr>
              <w:jc w:val="center"/>
              <w:rPr>
                <w:b/>
                <w:bCs/>
                <w:color w:val="FF0000"/>
                <w:szCs w:val="21"/>
              </w:rPr>
            </w:pPr>
            <w:r>
              <w:rPr>
                <w:rFonts w:hint="eastAsia"/>
                <w:b/>
                <w:bCs/>
                <w:color w:val="FF0000"/>
                <w:szCs w:val="21"/>
                <w:lang w:val="en-US" w:eastAsia="zh-CN"/>
              </w:rPr>
              <w:t>拒绝进口</w:t>
            </w:r>
          </w:p>
        </w:tc>
        <w:tc>
          <w:tcPr>
            <w:tcW w:w="640" w:type="pct"/>
            <w:noWrap w:val="0"/>
            <w:vAlign w:val="center"/>
          </w:tcPr>
          <w:p w14:paraId="2C0368DC">
            <w:pPr>
              <w:jc w:val="center"/>
              <w:rPr>
                <w:bCs/>
                <w:szCs w:val="21"/>
              </w:rPr>
            </w:pPr>
            <w:r>
              <w:rPr>
                <w:rFonts w:hint="eastAsia" w:ascii="宋体" w:hAnsi="宋体" w:cs="宋体"/>
                <w:b/>
                <w:bCs/>
                <w:color w:val="FF0000"/>
                <w:kern w:val="0"/>
                <w:sz w:val="21"/>
                <w:szCs w:val="21"/>
                <w:highlight w:val="none"/>
                <w:lang w:val="en-US" w:eastAsia="zh-CN"/>
              </w:rPr>
              <w:t>是</w:t>
            </w:r>
          </w:p>
        </w:tc>
        <w:tc>
          <w:tcPr>
            <w:tcW w:w="400" w:type="pct"/>
            <w:noWrap w:val="0"/>
            <w:vAlign w:val="center"/>
          </w:tcPr>
          <w:p w14:paraId="537F7BAF">
            <w:pPr>
              <w:jc w:val="center"/>
              <w:rPr>
                <w:bCs/>
                <w:szCs w:val="21"/>
              </w:rPr>
            </w:pPr>
            <w:r>
              <w:rPr>
                <w:rFonts w:hint="eastAsia" w:ascii="宋体" w:hAnsi="宋体" w:cs="宋体"/>
                <w:b/>
                <w:bCs/>
                <w:color w:val="FF0000"/>
                <w:kern w:val="0"/>
                <w:sz w:val="21"/>
                <w:szCs w:val="21"/>
                <w:highlight w:val="none"/>
                <w:lang w:eastAsia="zh-CN"/>
              </w:rPr>
              <w:t>工业</w:t>
            </w:r>
          </w:p>
        </w:tc>
        <w:tc>
          <w:tcPr>
            <w:tcW w:w="715" w:type="pct"/>
            <w:vMerge w:val="continue"/>
            <w:noWrap w:val="0"/>
            <w:vAlign w:val="center"/>
          </w:tcPr>
          <w:p w14:paraId="217D0136">
            <w:pPr>
              <w:jc w:val="center"/>
              <w:rPr>
                <w:bCs/>
                <w:szCs w:val="21"/>
              </w:rPr>
            </w:pPr>
          </w:p>
        </w:tc>
      </w:tr>
      <w:tr w14:paraId="70E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488C3BF5">
            <w:pPr>
              <w:jc w:val="center"/>
              <w:rPr>
                <w:rFonts w:hint="eastAsia"/>
                <w:bCs/>
                <w:szCs w:val="21"/>
                <w:lang w:val="en-US" w:eastAsia="zh-CN"/>
              </w:rPr>
            </w:pPr>
            <w:r>
              <w:rPr>
                <w:rFonts w:hint="eastAsia"/>
                <w:bCs/>
                <w:szCs w:val="21"/>
                <w:lang w:val="en-US" w:eastAsia="zh-CN"/>
              </w:rPr>
              <w:t>合计</w:t>
            </w:r>
          </w:p>
        </w:tc>
        <w:tc>
          <w:tcPr>
            <w:tcW w:w="568" w:type="pct"/>
            <w:shd w:val="clear" w:color="auto" w:fill="auto"/>
            <w:noWrap w:val="0"/>
            <w:vAlign w:val="center"/>
          </w:tcPr>
          <w:p w14:paraId="2BB0D987">
            <w:pPr>
              <w:jc w:val="center"/>
              <w:rPr>
                <w:rFonts w:hint="eastAsia" w:cs="仿宋" w:asciiTheme="minorEastAsia" w:hAnsiTheme="minorEastAsia" w:eastAsiaTheme="minorEastAsia"/>
                <w:color w:val="000000"/>
                <w:kern w:val="0"/>
                <w:szCs w:val="21"/>
              </w:rPr>
            </w:pPr>
            <w:r>
              <w:rPr>
                <w:rFonts w:hint="eastAsia"/>
                <w:bCs/>
                <w:szCs w:val="21"/>
              </w:rPr>
              <w:t>\</w:t>
            </w:r>
          </w:p>
        </w:tc>
        <w:tc>
          <w:tcPr>
            <w:tcW w:w="402" w:type="pct"/>
            <w:shd w:val="clear" w:color="auto" w:fill="auto"/>
            <w:noWrap w:val="0"/>
            <w:vAlign w:val="center"/>
          </w:tcPr>
          <w:p w14:paraId="5145007D">
            <w:pPr>
              <w:jc w:val="center"/>
              <w:rPr>
                <w:rFonts w:hint="eastAsia" w:cs="仿宋" w:asciiTheme="minorEastAsia" w:hAnsiTheme="minorEastAsia" w:eastAsiaTheme="minorEastAsia"/>
                <w:color w:val="000000"/>
                <w:kern w:val="0"/>
                <w:szCs w:val="21"/>
              </w:rPr>
            </w:pPr>
            <w:r>
              <w:rPr>
                <w:rFonts w:hint="eastAsia"/>
                <w:bCs/>
                <w:szCs w:val="21"/>
              </w:rPr>
              <w:t>\</w:t>
            </w:r>
          </w:p>
        </w:tc>
        <w:tc>
          <w:tcPr>
            <w:tcW w:w="329" w:type="pct"/>
            <w:shd w:val="clear" w:color="auto" w:fill="auto"/>
            <w:noWrap w:val="0"/>
            <w:vAlign w:val="center"/>
          </w:tcPr>
          <w:p w14:paraId="73E4D9EC">
            <w:pPr>
              <w:jc w:val="center"/>
              <w:rPr>
                <w:rFonts w:hint="eastAsia" w:cs="仿宋" w:asciiTheme="minorEastAsia" w:hAnsiTheme="minorEastAsia" w:eastAsiaTheme="minorEastAsia"/>
                <w:color w:val="000000"/>
                <w:kern w:val="0"/>
                <w:szCs w:val="21"/>
              </w:rPr>
            </w:pPr>
            <w:r>
              <w:rPr>
                <w:rFonts w:hint="eastAsia"/>
                <w:bCs/>
                <w:szCs w:val="21"/>
              </w:rPr>
              <w:t>\</w:t>
            </w:r>
          </w:p>
        </w:tc>
        <w:tc>
          <w:tcPr>
            <w:tcW w:w="474" w:type="pct"/>
            <w:noWrap w:val="0"/>
            <w:vAlign w:val="center"/>
          </w:tcPr>
          <w:p w14:paraId="29F6E32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bCs/>
                <w:szCs w:val="21"/>
              </w:rPr>
              <w:t>\</w:t>
            </w:r>
          </w:p>
        </w:tc>
        <w:tc>
          <w:tcPr>
            <w:tcW w:w="533" w:type="pct"/>
            <w:noWrap w:val="0"/>
            <w:vAlign w:val="center"/>
          </w:tcPr>
          <w:p w14:paraId="17FEF3FF">
            <w:pPr>
              <w:jc w:val="center"/>
              <w:rPr>
                <w:rFonts w:hint="default" w:ascii="Calibri" w:hAnsi="Calibri" w:eastAsia="宋体" w:cs="Calibri"/>
                <w:i w:val="0"/>
                <w:iCs w:val="0"/>
                <w:color w:val="000000"/>
                <w:kern w:val="0"/>
                <w:sz w:val="21"/>
                <w:szCs w:val="21"/>
                <w:highlight w:val="yellow"/>
                <w:u w:val="none"/>
                <w:lang w:val="en-US" w:eastAsia="zh-CN" w:bidi="ar"/>
              </w:rPr>
            </w:pPr>
            <w:r>
              <w:rPr>
                <w:rFonts w:hint="default" w:ascii="Calibri" w:hAnsi="Calibri" w:eastAsia="宋体" w:cs="Calibri"/>
                <w:i w:val="0"/>
                <w:iCs w:val="0"/>
                <w:color w:val="000000"/>
                <w:kern w:val="0"/>
                <w:sz w:val="21"/>
                <w:szCs w:val="21"/>
                <w:highlight w:val="yellow"/>
                <w:u w:val="none"/>
                <w:lang w:val="en-US" w:eastAsia="zh-CN" w:bidi="ar"/>
              </w:rPr>
              <w:t>231150</w:t>
            </w:r>
          </w:p>
        </w:tc>
        <w:tc>
          <w:tcPr>
            <w:tcW w:w="605" w:type="pct"/>
            <w:noWrap w:val="0"/>
            <w:vAlign w:val="center"/>
          </w:tcPr>
          <w:p w14:paraId="284511ED">
            <w:pPr>
              <w:jc w:val="center"/>
              <w:rPr>
                <w:rFonts w:hint="eastAsia" w:eastAsiaTheme="minorEastAsia"/>
                <w:b/>
                <w:bCs/>
                <w:color w:val="FF0000"/>
                <w:szCs w:val="21"/>
                <w:lang w:eastAsia="zh-CN"/>
              </w:rPr>
            </w:pPr>
            <w:r>
              <w:rPr>
                <w:rFonts w:hint="eastAsia"/>
                <w:bCs/>
                <w:szCs w:val="21"/>
              </w:rPr>
              <w:t>\</w:t>
            </w:r>
          </w:p>
        </w:tc>
        <w:tc>
          <w:tcPr>
            <w:tcW w:w="640" w:type="pct"/>
            <w:noWrap w:val="0"/>
            <w:vAlign w:val="center"/>
          </w:tcPr>
          <w:p w14:paraId="53D5A158">
            <w:pPr>
              <w:jc w:val="center"/>
              <w:rPr>
                <w:bCs/>
                <w:szCs w:val="21"/>
              </w:rPr>
            </w:pPr>
            <w:r>
              <w:rPr>
                <w:rFonts w:hint="eastAsia"/>
                <w:bCs/>
                <w:szCs w:val="21"/>
              </w:rPr>
              <w:t>\</w:t>
            </w:r>
          </w:p>
        </w:tc>
        <w:tc>
          <w:tcPr>
            <w:tcW w:w="400" w:type="pct"/>
            <w:noWrap w:val="0"/>
            <w:vAlign w:val="center"/>
          </w:tcPr>
          <w:p w14:paraId="323896C0">
            <w:pPr>
              <w:jc w:val="center"/>
              <w:rPr>
                <w:bCs/>
                <w:szCs w:val="21"/>
              </w:rPr>
            </w:pPr>
            <w:r>
              <w:rPr>
                <w:rFonts w:hint="eastAsia"/>
                <w:bCs/>
                <w:szCs w:val="21"/>
              </w:rPr>
              <w:t>\</w:t>
            </w:r>
          </w:p>
        </w:tc>
        <w:tc>
          <w:tcPr>
            <w:tcW w:w="715" w:type="pct"/>
            <w:vMerge w:val="continue"/>
            <w:noWrap w:val="0"/>
            <w:vAlign w:val="center"/>
          </w:tcPr>
          <w:p w14:paraId="601337CB">
            <w:pPr>
              <w:jc w:val="center"/>
              <w:rPr>
                <w:bCs/>
                <w:szCs w:val="21"/>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4"/>
        <w:jc w:val="center"/>
      </w:pPr>
      <w:bookmarkStart w:id="13"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3"/>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28"/>
        <w:gridCol w:w="6249"/>
      </w:tblGrid>
      <w:tr w14:paraId="39B5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7" w:type="dxa"/>
            <w:noWrap w:val="0"/>
            <w:vAlign w:val="center"/>
          </w:tcPr>
          <w:p w14:paraId="699694C3">
            <w:pPr>
              <w:jc w:val="center"/>
              <w:rPr>
                <w:b/>
              </w:rPr>
            </w:pPr>
            <w:r>
              <w:rPr>
                <w:rFonts w:hint="eastAsia"/>
                <w:b/>
              </w:rPr>
              <w:t>序号</w:t>
            </w:r>
          </w:p>
        </w:tc>
        <w:tc>
          <w:tcPr>
            <w:tcW w:w="1428" w:type="dxa"/>
            <w:noWrap w:val="0"/>
            <w:vAlign w:val="center"/>
          </w:tcPr>
          <w:p w14:paraId="273E2D09">
            <w:pPr>
              <w:jc w:val="center"/>
              <w:rPr>
                <w:b/>
              </w:rPr>
            </w:pPr>
            <w:r>
              <w:rPr>
                <w:rFonts w:hint="eastAsia"/>
                <w:b/>
              </w:rPr>
              <w:t>目录</w:t>
            </w:r>
          </w:p>
        </w:tc>
        <w:tc>
          <w:tcPr>
            <w:tcW w:w="6249" w:type="dxa"/>
            <w:noWrap w:val="0"/>
            <w:vAlign w:val="center"/>
          </w:tcPr>
          <w:p w14:paraId="5ED45382">
            <w:pPr>
              <w:jc w:val="center"/>
              <w:rPr>
                <w:b/>
              </w:rPr>
            </w:pPr>
            <w:r>
              <w:rPr>
                <w:rFonts w:hint="eastAsia"/>
                <w:b/>
              </w:rPr>
              <w:t>采购商务需求</w:t>
            </w:r>
          </w:p>
        </w:tc>
      </w:tr>
      <w:tr w14:paraId="0580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20D02E20">
            <w:pPr>
              <w:rPr>
                <w:b/>
              </w:rPr>
            </w:pPr>
            <w:r>
              <w:rPr>
                <w:rFonts w:hint="eastAsia"/>
                <w:b/>
              </w:rPr>
              <w:t>（一）免费保修期内售后服务要求</w:t>
            </w:r>
          </w:p>
        </w:tc>
      </w:tr>
      <w:tr w14:paraId="055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97" w:type="dxa"/>
            <w:noWrap w:val="0"/>
            <w:vAlign w:val="center"/>
          </w:tcPr>
          <w:p w14:paraId="7B2959D2">
            <w:pPr>
              <w:jc w:val="center"/>
              <w:rPr>
                <w:b/>
                <w:color w:val="FF0000"/>
                <w:highlight w:val="yellow"/>
              </w:rPr>
            </w:pPr>
            <w:r>
              <w:rPr>
                <w:rFonts w:hint="eastAsia"/>
                <w:b/>
                <w:color w:val="FF0000"/>
                <w:highlight w:val="yellow"/>
              </w:rPr>
              <w:t>1</w:t>
            </w:r>
          </w:p>
        </w:tc>
        <w:tc>
          <w:tcPr>
            <w:tcW w:w="1428" w:type="dxa"/>
            <w:noWrap w:val="0"/>
            <w:vAlign w:val="center"/>
          </w:tcPr>
          <w:p w14:paraId="287FE563">
            <w:pPr>
              <w:rPr>
                <w:color w:val="FF0000"/>
                <w:highlight w:val="yellow"/>
              </w:rPr>
            </w:pPr>
            <w:r>
              <w:rPr>
                <w:rFonts w:hint="eastAsia"/>
                <w:color w:val="FF0000"/>
                <w:highlight w:val="yellow"/>
              </w:rPr>
              <w:t>免费保修期</w:t>
            </w:r>
          </w:p>
        </w:tc>
        <w:tc>
          <w:tcPr>
            <w:tcW w:w="6249" w:type="dxa"/>
            <w:noWrap w:val="0"/>
            <w:vAlign w:val="top"/>
          </w:tcPr>
          <w:p w14:paraId="64837665">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rPr>
              <w:t>货物免费保修期至少</w:t>
            </w:r>
            <w:r>
              <w:rPr>
                <w:rFonts w:hint="eastAsia"/>
                <w:bCs/>
                <w:color w:val="FF0000"/>
                <w:szCs w:val="21"/>
                <w:highlight w:val="yellow"/>
                <w:u w:val="single"/>
                <w:lang w:val="en-US" w:eastAsia="zh-CN"/>
              </w:rPr>
              <w:t>1</w:t>
            </w:r>
            <w:r>
              <w:rPr>
                <w:rFonts w:hint="eastAsia"/>
                <w:bCs/>
                <w:color w:val="FF0000"/>
                <w:szCs w:val="21"/>
                <w:highlight w:val="yellow"/>
              </w:rPr>
              <w:t>年，时间自最终验收合格并交付使用之日起计算。</w:t>
            </w:r>
          </w:p>
        </w:tc>
      </w:tr>
      <w:tr w14:paraId="2F4D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97" w:type="dxa"/>
            <w:noWrap w:val="0"/>
            <w:vAlign w:val="center"/>
          </w:tcPr>
          <w:p w14:paraId="5B73A26F">
            <w:pPr>
              <w:jc w:val="center"/>
              <w:rPr>
                <w:b/>
              </w:rPr>
            </w:pPr>
            <w:r>
              <w:rPr>
                <w:rFonts w:hint="eastAsia"/>
                <w:b/>
              </w:rPr>
              <w:t>2</w:t>
            </w:r>
          </w:p>
        </w:tc>
        <w:tc>
          <w:tcPr>
            <w:tcW w:w="1428" w:type="dxa"/>
            <w:noWrap w:val="0"/>
            <w:vAlign w:val="top"/>
          </w:tcPr>
          <w:p w14:paraId="684960A5">
            <w:r>
              <w:rPr>
                <w:rFonts w:hint="eastAsia"/>
              </w:rPr>
              <w:t>维修响应及故障解决时间</w:t>
            </w:r>
          </w:p>
        </w:tc>
        <w:tc>
          <w:tcPr>
            <w:tcW w:w="6249" w:type="dxa"/>
            <w:noWrap w:val="0"/>
            <w:vAlign w:val="top"/>
          </w:tcPr>
          <w:p w14:paraId="49043209">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7C07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97" w:type="dxa"/>
            <w:noWrap w:val="0"/>
            <w:vAlign w:val="center"/>
          </w:tcPr>
          <w:p w14:paraId="271832D5">
            <w:pPr>
              <w:jc w:val="center"/>
              <w:rPr>
                <w:b/>
              </w:rPr>
            </w:pPr>
            <w:r>
              <w:rPr>
                <w:rFonts w:hint="eastAsia"/>
                <w:b/>
                <w:lang w:val="en-US" w:eastAsia="zh-CN"/>
              </w:rPr>
              <w:t>3</w:t>
            </w:r>
          </w:p>
        </w:tc>
        <w:tc>
          <w:tcPr>
            <w:tcW w:w="1428" w:type="dxa"/>
            <w:noWrap w:val="0"/>
            <w:vAlign w:val="center"/>
          </w:tcPr>
          <w:p w14:paraId="3880B7BF">
            <w:pPr>
              <w:rPr>
                <w:b/>
              </w:rPr>
            </w:pPr>
            <w:r>
              <w:rPr>
                <w:rFonts w:hint="eastAsia"/>
              </w:rPr>
              <w:t>其他</w:t>
            </w:r>
          </w:p>
        </w:tc>
        <w:tc>
          <w:tcPr>
            <w:tcW w:w="6249" w:type="dxa"/>
            <w:noWrap w:val="0"/>
            <w:vAlign w:val="center"/>
          </w:tcPr>
          <w:p w14:paraId="7CBA378E">
            <w:pPr>
              <w:rPr>
                <w:b/>
              </w:rPr>
            </w:pPr>
            <w:r>
              <w:rPr>
                <w:rFonts w:hint="eastAsia"/>
                <w:bCs/>
                <w:szCs w:val="21"/>
                <w:lang w:eastAsia="zh-CN"/>
              </w:rPr>
              <w:t>投标人中标后，</w:t>
            </w:r>
            <w:r>
              <w:rPr>
                <w:rFonts w:hint="eastAsia"/>
                <w:bCs/>
                <w:szCs w:val="21"/>
              </w:rPr>
              <w:t>应按其投标文件中的承诺，进行其他售后服务工作。</w:t>
            </w:r>
          </w:p>
        </w:tc>
      </w:tr>
      <w:tr w14:paraId="4132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3BBDA6A8">
            <w:pPr>
              <w:rPr>
                <w:b/>
              </w:rPr>
            </w:pPr>
            <w:r>
              <w:rPr>
                <w:rFonts w:hint="eastAsia"/>
                <w:b/>
              </w:rPr>
              <w:t>（二）免费保修期外售后服务要求</w:t>
            </w:r>
          </w:p>
        </w:tc>
      </w:tr>
      <w:tr w14:paraId="5811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noWrap w:val="0"/>
            <w:vAlign w:val="center"/>
          </w:tcPr>
          <w:p w14:paraId="077C14C3">
            <w:pPr>
              <w:jc w:val="center"/>
              <w:rPr>
                <w:b/>
              </w:rPr>
            </w:pPr>
            <w:r>
              <w:rPr>
                <w:rFonts w:hint="eastAsia"/>
                <w:b/>
              </w:rPr>
              <w:t>1</w:t>
            </w:r>
          </w:p>
        </w:tc>
        <w:tc>
          <w:tcPr>
            <w:tcW w:w="1428" w:type="dxa"/>
            <w:noWrap w:val="0"/>
            <w:vAlign w:val="top"/>
          </w:tcPr>
          <w:p w14:paraId="5D1E4FAC">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售后服务期</w:t>
            </w:r>
          </w:p>
        </w:tc>
        <w:tc>
          <w:tcPr>
            <w:tcW w:w="6249" w:type="dxa"/>
            <w:noWrap w:val="0"/>
            <w:vAlign w:val="top"/>
          </w:tcPr>
          <w:p w14:paraId="6EBDD3AB">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1.1</w:t>
            </w:r>
            <w:r>
              <w:rPr>
                <w:rFonts w:hint="eastAsia" w:ascii="Times New Roman" w:hAnsi="Times New Roman" w:eastAsia="宋体" w:cs="Times New Roman"/>
                <w:bCs/>
                <w:szCs w:val="21"/>
                <w:lang w:eastAsia="zh-CN"/>
              </w:rPr>
              <w:t>项目验收合格后，需提供至少1年的免费保修期外技术支持服务（如咨询、解释服务）。</w:t>
            </w:r>
          </w:p>
        </w:tc>
      </w:tr>
      <w:tr w14:paraId="1D27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97" w:type="dxa"/>
            <w:noWrap w:val="0"/>
            <w:vAlign w:val="center"/>
          </w:tcPr>
          <w:p w14:paraId="2CD43EA3">
            <w:pPr>
              <w:jc w:val="center"/>
              <w:rPr>
                <w:b/>
              </w:rPr>
            </w:pPr>
            <w:r>
              <w:rPr>
                <w:rFonts w:hint="eastAsia"/>
                <w:b/>
              </w:rPr>
              <w:t>2</w:t>
            </w:r>
          </w:p>
        </w:tc>
        <w:tc>
          <w:tcPr>
            <w:tcW w:w="1428" w:type="dxa"/>
            <w:noWrap w:val="0"/>
            <w:vAlign w:val="top"/>
          </w:tcPr>
          <w:p w14:paraId="3CDB4A95">
            <w:pP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eastAsia="zh-CN"/>
              </w:rPr>
              <w:t>技术支持与维护</w:t>
            </w:r>
          </w:p>
        </w:tc>
        <w:tc>
          <w:tcPr>
            <w:tcW w:w="6249" w:type="dxa"/>
            <w:noWrap w:val="0"/>
            <w:vAlign w:val="top"/>
          </w:tcPr>
          <w:p w14:paraId="5697D305">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2.1.</w:t>
            </w:r>
            <w:r>
              <w:rPr>
                <w:rFonts w:hint="eastAsia" w:ascii="Times New Roman" w:hAnsi="Times New Roman" w:eastAsia="宋体" w:cs="Times New Roman"/>
                <w:bCs/>
                <w:szCs w:val="21"/>
                <w:lang w:eastAsia="zh-CN"/>
              </w:rPr>
              <w:t>提供专员支持：指定固定售后经理，提供7×24小时联络方式（电话、邮箱等），人员变动需提前报备采购方。</w:t>
            </w:r>
          </w:p>
          <w:p w14:paraId="4F84C08F">
            <w:pP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2.2.</w:t>
            </w:r>
            <w:r>
              <w:rPr>
                <w:rFonts w:hint="eastAsia" w:ascii="Times New Roman" w:hAnsi="Times New Roman" w:eastAsia="宋体" w:cs="Times New Roman"/>
                <w:bCs/>
                <w:szCs w:val="21"/>
                <w:lang w:eastAsia="zh-CN"/>
              </w:rPr>
              <w:t>定期巡检：每年至少2次主动上门检查</w:t>
            </w:r>
            <w:r>
              <w:rPr>
                <w:rFonts w:hint="eastAsia" w:ascii="Times New Roman" w:hAnsi="Times New Roman" w:eastAsia="宋体" w:cs="Times New Roman"/>
                <w:bCs/>
                <w:szCs w:val="21"/>
                <w:lang w:val="en-US" w:eastAsia="zh-CN"/>
              </w:rPr>
              <w:t>货物</w:t>
            </w:r>
            <w:r>
              <w:rPr>
                <w:rFonts w:hint="eastAsia" w:ascii="Times New Roman" w:hAnsi="Times New Roman" w:eastAsia="宋体" w:cs="Times New Roman"/>
                <w:bCs/>
                <w:szCs w:val="21"/>
                <w:lang w:eastAsia="zh-CN"/>
              </w:rPr>
              <w:t>状态，预防潜在问题。</w:t>
            </w:r>
          </w:p>
        </w:tc>
      </w:tr>
      <w:tr w14:paraId="4D44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noWrap w:val="0"/>
            <w:vAlign w:val="center"/>
          </w:tcPr>
          <w:p w14:paraId="171008F2">
            <w:pPr>
              <w:jc w:val="center"/>
              <w:rPr>
                <w:rFonts w:hint="eastAsia" w:eastAsia="宋体"/>
                <w:b/>
                <w:lang w:val="en-US" w:eastAsia="zh-CN"/>
              </w:rPr>
            </w:pPr>
            <w:r>
              <w:rPr>
                <w:rFonts w:hint="eastAsia"/>
                <w:b/>
                <w:lang w:val="en-US" w:eastAsia="zh-CN"/>
              </w:rPr>
              <w:t>3</w:t>
            </w:r>
          </w:p>
        </w:tc>
        <w:tc>
          <w:tcPr>
            <w:tcW w:w="1428" w:type="dxa"/>
            <w:noWrap w:val="0"/>
            <w:vAlign w:val="top"/>
          </w:tcPr>
          <w:p w14:paraId="1DA717FF">
            <w:pPr>
              <w:jc w:val="cente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配件支持​</w:t>
            </w:r>
          </w:p>
        </w:tc>
        <w:tc>
          <w:tcPr>
            <w:tcW w:w="6249" w:type="dxa"/>
            <w:noWrap w:val="0"/>
            <w:vAlign w:val="top"/>
          </w:tcPr>
          <w:p w14:paraId="46A91880">
            <w:pPr>
              <w:rPr>
                <w:rFonts w:hint="eastAsia" w:ascii="Times New Roman" w:hAnsi="Times New Roman" w:eastAsia="宋体" w:cs="Times New Roman"/>
                <w:bCs/>
                <w:szCs w:val="21"/>
                <w:lang w:eastAsia="zh-CN"/>
              </w:rPr>
            </w:pPr>
            <w:r>
              <w:rPr>
                <w:rFonts w:hint="eastAsia"/>
                <w:lang w:val="en-US" w:eastAsia="zh-CN"/>
              </w:rPr>
              <w:t>3.1.</w:t>
            </w:r>
            <w:r>
              <w:t>保</w:t>
            </w:r>
            <w:r>
              <w:rPr>
                <w:rFonts w:hint="eastAsia" w:ascii="Times New Roman" w:hAnsi="Times New Roman" w:eastAsia="宋体" w:cs="Times New Roman"/>
                <w:bCs/>
                <w:szCs w:val="21"/>
                <w:lang w:eastAsia="zh-CN"/>
              </w:rPr>
              <w:t>修期外维修时，需优惠提供原厂配件（折扣不低于市场价30%）；</w:t>
            </w:r>
          </w:p>
          <w:p w14:paraId="75C1F13A">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3.2.</w:t>
            </w:r>
            <w:r>
              <w:rPr>
                <w:rFonts w:hint="eastAsia" w:ascii="Times New Roman" w:hAnsi="Times New Roman" w:eastAsia="宋体" w:cs="Times New Roman"/>
                <w:bCs/>
                <w:szCs w:val="21"/>
                <w:lang w:eastAsia="zh-CN"/>
              </w:rPr>
              <w:t>故障处理：质保期外维修需明示收费标准，维修后配件提供90-180天保修。。</w:t>
            </w:r>
          </w:p>
        </w:tc>
      </w:tr>
      <w:tr w14:paraId="3FC2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61F01ADF">
            <w:pPr>
              <w:rPr>
                <w:b/>
              </w:rPr>
            </w:pPr>
            <w:r>
              <w:rPr>
                <w:rFonts w:hint="eastAsia"/>
                <w:b/>
              </w:rPr>
              <w:t>（三）其他商务要求</w:t>
            </w:r>
          </w:p>
        </w:tc>
      </w:tr>
      <w:tr w14:paraId="4BD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restart"/>
            <w:noWrap w:val="0"/>
            <w:vAlign w:val="center"/>
          </w:tcPr>
          <w:p w14:paraId="0F0B88E0">
            <w:pPr>
              <w:jc w:val="center"/>
              <w:rPr>
                <w:b/>
                <w:color w:val="FF0000"/>
                <w:highlight w:val="yellow"/>
              </w:rPr>
            </w:pPr>
            <w:r>
              <w:rPr>
                <w:rFonts w:hint="eastAsia"/>
                <w:b/>
                <w:color w:val="FF0000"/>
                <w:highlight w:val="yellow"/>
              </w:rPr>
              <w:t>1</w:t>
            </w:r>
          </w:p>
        </w:tc>
        <w:tc>
          <w:tcPr>
            <w:tcW w:w="1428" w:type="dxa"/>
            <w:vMerge w:val="restart"/>
            <w:noWrap w:val="0"/>
            <w:vAlign w:val="center"/>
          </w:tcPr>
          <w:p w14:paraId="6C31874F">
            <w:pPr>
              <w:jc w:val="center"/>
              <w:rPr>
                <w:color w:val="FF0000"/>
                <w:highlight w:val="yellow"/>
              </w:rPr>
            </w:pPr>
            <w:r>
              <w:rPr>
                <w:rFonts w:hint="eastAsia"/>
                <w:color w:val="FF0000"/>
                <w:highlight w:val="yellow"/>
              </w:rPr>
              <w:t>关于交货</w:t>
            </w:r>
          </w:p>
        </w:tc>
        <w:tc>
          <w:tcPr>
            <w:tcW w:w="6249" w:type="dxa"/>
            <w:noWrap w:val="0"/>
            <w:vAlign w:val="top"/>
          </w:tcPr>
          <w:p w14:paraId="6D07FB8F">
            <w:pPr>
              <w:rPr>
                <w:b/>
                <w:color w:val="FF0000"/>
                <w:highlight w:val="yellow"/>
              </w:rPr>
            </w:pPr>
            <w:r>
              <w:rPr>
                <w:rFonts w:hint="eastAsia"/>
                <w:bCs/>
                <w:color w:val="FF0000"/>
                <w:szCs w:val="21"/>
                <w:highlight w:val="yellow"/>
              </w:rPr>
              <w:t>1.1</w:t>
            </w:r>
            <w:r>
              <w:rPr>
                <w:rFonts w:hint="eastAsia" w:ascii="宋体" w:hAnsi="宋体" w:cs="宋体"/>
                <w:color w:val="FF0000"/>
                <w:szCs w:val="21"/>
                <w:highlight w:val="yellow"/>
              </w:rPr>
              <w:t>★</w:t>
            </w:r>
            <w:r>
              <w:rPr>
                <w:rFonts w:hint="eastAsia"/>
                <w:bCs/>
                <w:color w:val="FF0000"/>
                <w:szCs w:val="21"/>
                <w:highlight w:val="yellow"/>
              </w:rPr>
              <w:t>签订合同后</w:t>
            </w:r>
            <w:r>
              <w:rPr>
                <w:rFonts w:hint="eastAsia"/>
                <w:bCs/>
                <w:color w:val="FF0000"/>
                <w:szCs w:val="21"/>
                <w:highlight w:val="yellow"/>
                <w:u w:val="single"/>
                <w:lang w:val="en-US" w:eastAsia="zh-CN"/>
              </w:rPr>
              <w:t>30</w:t>
            </w:r>
            <w:r>
              <w:rPr>
                <w:rFonts w:hint="eastAsia"/>
                <w:bCs/>
                <w:color w:val="FF0000"/>
                <w:szCs w:val="21"/>
                <w:highlight w:val="yellow"/>
              </w:rPr>
              <w:t>天（日历日）内。</w:t>
            </w:r>
          </w:p>
        </w:tc>
      </w:tr>
      <w:tr w14:paraId="29F6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7" w:type="dxa"/>
            <w:vMerge w:val="continue"/>
            <w:noWrap w:val="0"/>
            <w:vAlign w:val="center"/>
          </w:tcPr>
          <w:p w14:paraId="203D6888">
            <w:pPr>
              <w:jc w:val="center"/>
              <w:rPr>
                <w:b/>
              </w:rPr>
            </w:pPr>
          </w:p>
        </w:tc>
        <w:tc>
          <w:tcPr>
            <w:tcW w:w="1428" w:type="dxa"/>
            <w:vMerge w:val="continue"/>
            <w:noWrap w:val="0"/>
            <w:vAlign w:val="center"/>
          </w:tcPr>
          <w:p w14:paraId="5943D3ED">
            <w:pPr>
              <w:jc w:val="center"/>
            </w:pPr>
          </w:p>
        </w:tc>
        <w:tc>
          <w:tcPr>
            <w:tcW w:w="6249" w:type="dxa"/>
            <w:noWrap w:val="0"/>
            <w:vAlign w:val="top"/>
          </w:tcPr>
          <w:p w14:paraId="027C2CFB">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14:paraId="2124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restart"/>
            <w:noWrap w:val="0"/>
            <w:vAlign w:val="center"/>
          </w:tcPr>
          <w:p w14:paraId="20C2CB6C">
            <w:pPr>
              <w:jc w:val="center"/>
              <w:rPr>
                <w:b/>
              </w:rPr>
            </w:pPr>
            <w:r>
              <w:rPr>
                <w:rFonts w:hint="eastAsia"/>
                <w:b/>
              </w:rPr>
              <w:t>2</w:t>
            </w:r>
          </w:p>
        </w:tc>
        <w:tc>
          <w:tcPr>
            <w:tcW w:w="1428" w:type="dxa"/>
            <w:vMerge w:val="restart"/>
            <w:noWrap w:val="0"/>
            <w:vAlign w:val="center"/>
          </w:tcPr>
          <w:p w14:paraId="37B8DB26">
            <w:pPr>
              <w:jc w:val="center"/>
            </w:pPr>
            <w:r>
              <w:rPr>
                <w:rFonts w:hint="eastAsia"/>
              </w:rPr>
              <w:t>关于验收</w:t>
            </w:r>
          </w:p>
        </w:tc>
        <w:tc>
          <w:tcPr>
            <w:tcW w:w="6249" w:type="dxa"/>
            <w:noWrap w:val="0"/>
            <w:vAlign w:val="top"/>
          </w:tcPr>
          <w:p w14:paraId="2EAA8EF2">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14:paraId="743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5B2C90AB">
            <w:pPr>
              <w:jc w:val="center"/>
              <w:rPr>
                <w:b/>
              </w:rPr>
            </w:pPr>
          </w:p>
        </w:tc>
        <w:tc>
          <w:tcPr>
            <w:tcW w:w="1428" w:type="dxa"/>
            <w:vMerge w:val="continue"/>
            <w:noWrap w:val="0"/>
            <w:vAlign w:val="top"/>
          </w:tcPr>
          <w:p w14:paraId="78D28B4C">
            <w:pPr>
              <w:rPr>
                <w:b/>
              </w:rPr>
            </w:pPr>
          </w:p>
        </w:tc>
        <w:tc>
          <w:tcPr>
            <w:tcW w:w="6249" w:type="dxa"/>
            <w:noWrap w:val="0"/>
            <w:vAlign w:val="top"/>
          </w:tcPr>
          <w:p w14:paraId="34F352F2">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14:paraId="7D2679D5">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14:paraId="149B8466">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14:paraId="065A583A">
            <w:pPr>
              <w:tabs>
                <w:tab w:val="left" w:pos="1260"/>
              </w:tabs>
              <w:spacing w:line="340" w:lineRule="exact"/>
              <w:rPr>
                <w:bCs/>
                <w:szCs w:val="21"/>
              </w:rPr>
            </w:pPr>
            <w:r>
              <w:rPr>
                <w:bCs/>
                <w:szCs w:val="21"/>
              </w:rPr>
              <w:t>c</w:t>
            </w:r>
            <w:r>
              <w:rPr>
                <w:rFonts w:hint="eastAsia"/>
                <w:bCs/>
                <w:szCs w:val="21"/>
                <w:highlight w:val="none"/>
              </w:rPr>
              <w:t>、</w:t>
            </w:r>
            <w:r>
              <w:rPr>
                <w:rFonts w:hint="eastAsia"/>
                <w:bCs/>
                <w:szCs w:val="21"/>
              </w:rPr>
              <w:t>货物具备产品合格证。</w:t>
            </w:r>
          </w:p>
        </w:tc>
      </w:tr>
      <w:tr w14:paraId="1753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restart"/>
            <w:noWrap w:val="0"/>
            <w:vAlign w:val="center"/>
          </w:tcPr>
          <w:p w14:paraId="06D19477">
            <w:pPr>
              <w:jc w:val="center"/>
              <w:rPr>
                <w:rFonts w:hint="eastAsia"/>
                <w:bCs/>
              </w:rPr>
            </w:pPr>
            <w:r>
              <w:rPr>
                <w:rFonts w:hint="eastAsia"/>
                <w:bCs/>
              </w:rPr>
              <w:t>3</w:t>
            </w:r>
          </w:p>
        </w:tc>
        <w:tc>
          <w:tcPr>
            <w:tcW w:w="1428" w:type="dxa"/>
            <w:vMerge w:val="restart"/>
            <w:noWrap w:val="0"/>
            <w:vAlign w:val="center"/>
          </w:tcPr>
          <w:p w14:paraId="5B8CA3CA">
            <w:pPr>
              <w:jc w:val="center"/>
              <w:rPr>
                <w:rFonts w:hint="eastAsia"/>
                <w:bCs/>
              </w:rPr>
            </w:pPr>
            <w:r>
              <w:rPr>
                <w:rFonts w:hint="eastAsia"/>
                <w:bCs/>
              </w:rPr>
              <w:t>违约责任</w:t>
            </w:r>
          </w:p>
        </w:tc>
        <w:tc>
          <w:tcPr>
            <w:tcW w:w="6249" w:type="dxa"/>
            <w:noWrap w:val="0"/>
            <w:vAlign w:val="top"/>
          </w:tcPr>
          <w:p w14:paraId="5D9353BD">
            <w:pPr>
              <w:spacing w:line="340" w:lineRule="exact"/>
              <w:rPr>
                <w:rFonts w:hint="eastAsia" w:ascii="宋体" w:hAnsi="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14:paraId="2D5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610C6B75">
            <w:pPr>
              <w:jc w:val="center"/>
              <w:rPr>
                <w:rFonts w:hint="eastAsia"/>
                <w:bCs/>
              </w:rPr>
            </w:pPr>
          </w:p>
        </w:tc>
        <w:tc>
          <w:tcPr>
            <w:tcW w:w="1428" w:type="dxa"/>
            <w:vMerge w:val="continue"/>
            <w:noWrap w:val="0"/>
            <w:vAlign w:val="center"/>
          </w:tcPr>
          <w:p w14:paraId="6D6DC0E6">
            <w:pPr>
              <w:jc w:val="center"/>
              <w:rPr>
                <w:rFonts w:hint="eastAsia"/>
                <w:bCs/>
              </w:rPr>
            </w:pPr>
          </w:p>
        </w:tc>
        <w:tc>
          <w:tcPr>
            <w:tcW w:w="6249" w:type="dxa"/>
            <w:noWrap w:val="0"/>
            <w:vAlign w:val="top"/>
          </w:tcPr>
          <w:p w14:paraId="0CD6D10B">
            <w:pPr>
              <w:spacing w:line="340" w:lineRule="exact"/>
              <w:rPr>
                <w:rFonts w:hint="eastAsia" w:ascii="宋体" w:hAnsi="宋体" w:cs="宋体"/>
                <w:bCs/>
                <w:szCs w:val="21"/>
              </w:rPr>
            </w:pPr>
            <w:r>
              <w:rPr>
                <w:rFonts w:hint="eastAsia" w:ascii="宋体" w:hAnsi="宋体" w:cs="宋体"/>
                <w:bCs/>
                <w:szCs w:val="21"/>
              </w:rPr>
              <w:t>3.2</w:t>
            </w:r>
            <w:r>
              <w:rPr>
                <w:rFonts w:hint="eastAsia"/>
                <w:bCs/>
                <w:szCs w:val="21"/>
                <w:lang w:eastAsia="zh-CN"/>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15</w:t>
            </w:r>
            <w:r>
              <w:rPr>
                <w:rFonts w:hint="eastAsia" w:ascii="宋体" w:hAnsi="宋体" w:cs="宋体"/>
                <w:bCs/>
                <w:szCs w:val="21"/>
                <w:highlight w:val="yellow"/>
              </w:rPr>
              <w:t xml:space="preserve">】% </w:t>
            </w:r>
            <w:r>
              <w:rPr>
                <w:rFonts w:hint="eastAsia" w:ascii="宋体" w:hAnsi="宋体" w:cs="宋体"/>
                <w:bCs/>
                <w:szCs w:val="21"/>
              </w:rPr>
              <w:t>的违约金</w:t>
            </w:r>
            <w:r>
              <w:rPr>
                <w:rFonts w:hint="eastAsia" w:ascii="宋体" w:hAnsi="宋体" w:cs="宋体"/>
                <w:bCs/>
                <w:szCs w:val="21"/>
                <w:lang w:val="en-US" w:eastAsia="zh-CN"/>
              </w:rPr>
              <w:t>并采取更换、补足等补救措施，致使逾期交付的，还应承担逾期交付的违约责任</w:t>
            </w:r>
            <w:r>
              <w:rPr>
                <w:rFonts w:hint="eastAsia" w:ascii="宋体" w:hAnsi="宋体" w:cs="宋体"/>
                <w:bCs/>
                <w:szCs w:val="21"/>
              </w:rPr>
              <w:t xml:space="preserve">。 </w:t>
            </w:r>
          </w:p>
        </w:tc>
      </w:tr>
      <w:tr w14:paraId="6C4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19A052DF">
            <w:pPr>
              <w:jc w:val="center"/>
              <w:rPr>
                <w:rFonts w:hint="eastAsia"/>
                <w:bCs/>
              </w:rPr>
            </w:pPr>
          </w:p>
        </w:tc>
        <w:tc>
          <w:tcPr>
            <w:tcW w:w="1428" w:type="dxa"/>
            <w:vMerge w:val="continue"/>
            <w:noWrap w:val="0"/>
            <w:vAlign w:val="center"/>
          </w:tcPr>
          <w:p w14:paraId="6D2C7877">
            <w:pPr>
              <w:jc w:val="center"/>
              <w:rPr>
                <w:rFonts w:hint="eastAsia"/>
                <w:bCs/>
              </w:rPr>
            </w:pPr>
          </w:p>
        </w:tc>
        <w:tc>
          <w:tcPr>
            <w:tcW w:w="6249" w:type="dxa"/>
            <w:noWrap w:val="0"/>
            <w:vAlign w:val="top"/>
          </w:tcPr>
          <w:p w14:paraId="1D6732FB">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15</w:t>
            </w:r>
            <w:r>
              <w:rPr>
                <w:rFonts w:hint="eastAsia" w:ascii="宋体" w:hAnsi="宋体" w:cs="宋体"/>
                <w:bCs/>
                <w:szCs w:val="21"/>
                <w:highlight w:val="yellow"/>
              </w:rPr>
              <w:t>】%</w:t>
            </w:r>
            <w:r>
              <w:rPr>
                <w:rFonts w:hint="eastAsia" w:ascii="宋体" w:hAnsi="宋体" w:cs="宋体"/>
                <w:bCs/>
                <w:szCs w:val="21"/>
              </w:rPr>
              <w:t>的违约金。</w:t>
            </w:r>
          </w:p>
        </w:tc>
      </w:tr>
      <w:tr w14:paraId="1DE6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7D4E2F49">
            <w:pPr>
              <w:jc w:val="center"/>
              <w:rPr>
                <w:rFonts w:hint="eastAsia"/>
                <w:bCs/>
              </w:rPr>
            </w:pPr>
          </w:p>
        </w:tc>
        <w:tc>
          <w:tcPr>
            <w:tcW w:w="1428" w:type="dxa"/>
            <w:vMerge w:val="continue"/>
            <w:noWrap w:val="0"/>
            <w:vAlign w:val="top"/>
          </w:tcPr>
          <w:p w14:paraId="15642047">
            <w:pPr>
              <w:rPr>
                <w:rFonts w:hint="eastAsia"/>
                <w:bCs/>
              </w:rPr>
            </w:pPr>
          </w:p>
        </w:tc>
        <w:tc>
          <w:tcPr>
            <w:tcW w:w="6249" w:type="dxa"/>
            <w:noWrap w:val="0"/>
            <w:vAlign w:val="top"/>
          </w:tcPr>
          <w:p w14:paraId="170BDF0A">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3</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lang w:val="en-US" w:eastAsia="zh-CN"/>
              </w:rPr>
              <w:t>15</w:t>
            </w:r>
            <w:r>
              <w:rPr>
                <w:rFonts w:hint="eastAsia" w:ascii="宋体" w:hAnsi="宋体" w:cs="宋体"/>
                <w:bCs/>
                <w:szCs w:val="21"/>
              </w:rPr>
              <w:t>天，采购人有权解除合同。</w:t>
            </w:r>
          </w:p>
        </w:tc>
      </w:tr>
      <w:tr w14:paraId="43F8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7A938F8D">
            <w:pPr>
              <w:jc w:val="center"/>
              <w:rPr>
                <w:rFonts w:hint="eastAsia"/>
                <w:bCs/>
              </w:rPr>
            </w:pPr>
          </w:p>
        </w:tc>
        <w:tc>
          <w:tcPr>
            <w:tcW w:w="1428" w:type="dxa"/>
            <w:vMerge w:val="continue"/>
            <w:noWrap w:val="0"/>
            <w:vAlign w:val="top"/>
          </w:tcPr>
          <w:p w14:paraId="7C55AD4B">
            <w:pPr>
              <w:rPr>
                <w:bCs/>
              </w:rPr>
            </w:pPr>
          </w:p>
        </w:tc>
        <w:tc>
          <w:tcPr>
            <w:tcW w:w="6249" w:type="dxa"/>
            <w:noWrap w:val="0"/>
            <w:vAlign w:val="top"/>
          </w:tcPr>
          <w:p w14:paraId="25B9BEDE">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79D3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6E6C3C31">
            <w:pPr>
              <w:jc w:val="center"/>
              <w:rPr>
                <w:rFonts w:hint="eastAsia"/>
                <w:bCs/>
              </w:rPr>
            </w:pPr>
          </w:p>
        </w:tc>
        <w:tc>
          <w:tcPr>
            <w:tcW w:w="1428" w:type="dxa"/>
            <w:vMerge w:val="continue"/>
            <w:noWrap w:val="0"/>
            <w:vAlign w:val="top"/>
          </w:tcPr>
          <w:p w14:paraId="304C1086">
            <w:pPr>
              <w:rPr>
                <w:bCs/>
              </w:rPr>
            </w:pPr>
          </w:p>
        </w:tc>
        <w:tc>
          <w:tcPr>
            <w:tcW w:w="6249" w:type="dxa"/>
            <w:noWrap w:val="0"/>
            <w:vAlign w:val="top"/>
          </w:tcPr>
          <w:p w14:paraId="08E6DD59">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3337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noWrap w:val="0"/>
            <w:vAlign w:val="center"/>
          </w:tcPr>
          <w:p w14:paraId="02F61962">
            <w:pPr>
              <w:jc w:val="center"/>
              <w:rPr>
                <w:rFonts w:hint="eastAsia"/>
                <w:bCs/>
              </w:rPr>
            </w:pPr>
            <w:r>
              <w:rPr>
                <w:rFonts w:hint="eastAsia"/>
                <w:bCs/>
              </w:rPr>
              <w:t>4</w:t>
            </w:r>
          </w:p>
        </w:tc>
        <w:tc>
          <w:tcPr>
            <w:tcW w:w="1428" w:type="dxa"/>
            <w:noWrap w:val="0"/>
            <w:vAlign w:val="top"/>
          </w:tcPr>
          <w:p w14:paraId="661957C0">
            <w:pPr>
              <w:rPr>
                <w:rFonts w:hint="eastAsia"/>
                <w:bCs/>
              </w:rPr>
            </w:pPr>
            <w:r>
              <w:rPr>
                <w:rFonts w:hint="eastAsia"/>
                <w:bCs/>
              </w:rPr>
              <w:t>其他</w:t>
            </w:r>
          </w:p>
        </w:tc>
        <w:tc>
          <w:tcPr>
            <w:tcW w:w="6249" w:type="dxa"/>
            <w:noWrap w:val="0"/>
            <w:vAlign w:val="top"/>
          </w:tcPr>
          <w:p w14:paraId="7EFA45C8">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bl>
    <w:p w14:paraId="7B5EBCBE">
      <w:pPr>
        <w:pStyle w:val="3"/>
        <w:rPr>
          <w:sz w:val="32"/>
          <w:szCs w:val="32"/>
          <w:highlight w:val="yellow"/>
        </w:rPr>
      </w:pPr>
      <w:r>
        <w:rPr>
          <w:rFonts w:hint="eastAsia"/>
          <w:sz w:val="32"/>
          <w:szCs w:val="32"/>
          <w:highlight w:val="yellow"/>
        </w:rPr>
        <w:t>★</w:t>
      </w:r>
      <w:r>
        <w:rPr>
          <w:sz w:val="32"/>
          <w:szCs w:val="32"/>
          <w:highlight w:val="yellow"/>
        </w:rPr>
        <w:t>付款方式</w:t>
      </w:r>
    </w:p>
    <w:p w14:paraId="57F2DF89">
      <w:pPr>
        <w:pStyle w:val="10"/>
        <w:rPr>
          <w:rFonts w:hint="eastAsia" w:ascii="宋体" w:hAnsi="宋体" w:cs="宋体"/>
          <w:b w:val="0"/>
          <w:bCs w:val="0"/>
          <w:sz w:val="21"/>
          <w:szCs w:val="21"/>
          <w:highlight w:val="yellow"/>
        </w:rPr>
      </w:pPr>
      <w:r>
        <w:rPr>
          <w:rFonts w:hint="eastAsia" w:ascii="宋体" w:hAnsi="宋体" w:cs="宋体"/>
          <w:b w:val="0"/>
          <w:bCs w:val="0"/>
          <w:sz w:val="21"/>
          <w:szCs w:val="21"/>
          <w:highlight w:val="yellow"/>
        </w:rPr>
        <w:t>1、合同签订后5个工作日内，采购人向中标供应商支付合同总价【50】%的款项；</w:t>
      </w:r>
    </w:p>
    <w:p w14:paraId="5C228780">
      <w:pPr>
        <w:pStyle w:val="10"/>
        <w:rPr>
          <w:rFonts w:hint="eastAsia" w:ascii="宋体" w:hAnsi="宋体" w:cs="宋体"/>
          <w:b w:val="0"/>
          <w:bCs w:val="0"/>
          <w:sz w:val="21"/>
          <w:szCs w:val="21"/>
          <w:highlight w:val="yellow"/>
        </w:rPr>
      </w:pPr>
      <w:r>
        <w:rPr>
          <w:rFonts w:hint="eastAsia" w:ascii="宋体" w:hAnsi="宋体" w:cs="宋体"/>
          <w:b w:val="0"/>
          <w:bCs w:val="0"/>
          <w:sz w:val="21"/>
          <w:szCs w:val="21"/>
          <w:highlight w:val="yellow"/>
        </w:rPr>
        <w:t>2、全部货物送到采购人指定地点、完成安装并验收合格后 30 个工作日内，采购人向中标供应商支付合同总价【50】%的款项；</w:t>
      </w:r>
    </w:p>
    <w:p w14:paraId="742FA3C6">
      <w:pPr>
        <w:pStyle w:val="10"/>
        <w:rPr>
          <w:rFonts w:hint="eastAsia" w:ascii="宋体" w:hAnsi="宋体" w:cs="宋体"/>
          <w:b w:val="0"/>
          <w:bCs w:val="0"/>
          <w:sz w:val="21"/>
          <w:szCs w:val="21"/>
          <w:highlight w:val="yellow"/>
        </w:rPr>
      </w:pPr>
      <w:r>
        <w:rPr>
          <w:rFonts w:hint="eastAsia" w:ascii="宋体" w:hAnsi="宋体" w:cs="宋体"/>
          <w:b w:val="0"/>
          <w:bCs w:val="0"/>
          <w:sz w:val="21"/>
          <w:szCs w:val="21"/>
          <w:highlight w:val="yellow"/>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3D91A6A9">
      <w:pPr>
        <w:widowControl/>
        <w:jc w:val="left"/>
        <w:rPr>
          <w:rFonts w:ascii="Arial" w:hAnsi="Arial" w:eastAsia="宋体" w:cs="Times New Roman"/>
          <w:szCs w:val="24"/>
        </w:rPr>
      </w:pP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0A2273DC">
      <w:pPr>
        <w:ind w:firstLine="420" w:firstLineChars="200"/>
        <w:rPr>
          <w:rFonts w:hint="eastAsia"/>
          <w:color w:val="auto"/>
        </w:rPr>
      </w:pPr>
      <w:r>
        <w:rPr>
          <w:rFonts w:hint="eastAsia"/>
          <w:color w:val="auto"/>
          <w:lang w:val="en-US" w:eastAsia="zh-CN"/>
        </w:rPr>
        <w:t>1</w:t>
      </w:r>
      <w:r>
        <w:rPr>
          <w:rFonts w:hint="eastAsia"/>
          <w:color w:val="auto"/>
        </w:rPr>
        <w:t>.项目背景</w:t>
      </w:r>
    </w:p>
    <w:p w14:paraId="4D6229A3">
      <w:pPr>
        <w:ind w:firstLine="420" w:firstLineChars="200"/>
        <w:rPr>
          <w:rFonts w:hint="eastAsia"/>
          <w:color w:val="auto"/>
        </w:rPr>
      </w:pPr>
      <w:r>
        <w:rPr>
          <w:rFonts w:hint="eastAsia"/>
          <w:color w:val="auto"/>
          <w:lang w:val="en-US" w:eastAsia="zh-CN"/>
        </w:rPr>
        <w:t>为配合篮球项目比赛和训练需求，</w:t>
      </w:r>
      <w:r>
        <w:rPr>
          <w:rFonts w:hint="eastAsia"/>
          <w:color w:val="auto"/>
        </w:rPr>
        <w:t>深圳市龙华中学弘毅校区体育馆</w:t>
      </w:r>
      <w:r>
        <w:rPr>
          <w:rFonts w:hint="eastAsia"/>
          <w:color w:val="auto"/>
          <w:lang w:val="en-US" w:eastAsia="zh-CN"/>
        </w:rPr>
        <w:t>拟将原有PVC运动地胶篮球场升级改造为运动木地板面层，</w:t>
      </w:r>
      <w:r>
        <w:rPr>
          <w:rFonts w:hint="eastAsia"/>
          <w:color w:val="auto"/>
        </w:rPr>
        <w:t>项目核心背景是弘毅校区作为龙华区教育新标杆，需通过体育馆设施现代化改造，支撑十二年一贯制办学需求、深化体育文化特色，并匹配区域教育高质量发展战略。改造既是硬件升级，也是校园文化载体与育人功能的综合提升。</w:t>
      </w:r>
    </w:p>
    <w:p w14:paraId="3BEFEDE3">
      <w:pPr>
        <w:ind w:firstLine="420" w:firstLineChars="200"/>
        <w:rPr>
          <w:rFonts w:hint="eastAsia"/>
          <w:color w:val="auto"/>
        </w:rPr>
      </w:pPr>
      <w:r>
        <w:rPr>
          <w:rFonts w:hint="eastAsia"/>
          <w:color w:val="auto"/>
        </w:rPr>
        <w:t>1</w:t>
      </w:r>
      <w:r>
        <w:rPr>
          <w:rFonts w:hint="eastAsia"/>
          <w:color w:val="auto"/>
          <w:lang w:val="en-US" w:eastAsia="zh-CN"/>
        </w:rPr>
        <w:t>、</w:t>
      </w:r>
      <w:r>
        <w:rPr>
          <w:rFonts w:hint="eastAsia"/>
          <w:color w:val="auto"/>
        </w:rPr>
        <w:t>校区建设与发展需求​</w:t>
      </w:r>
    </w:p>
    <w:p w14:paraId="49A506A2">
      <w:pPr>
        <w:ind w:firstLine="420" w:firstLineChars="200"/>
        <w:rPr>
          <w:rFonts w:hint="eastAsia"/>
          <w:color w:val="auto"/>
        </w:rPr>
      </w:pPr>
      <w:r>
        <w:rPr>
          <w:rFonts w:hint="eastAsia"/>
          <w:color w:val="auto"/>
        </w:rPr>
        <w:t>新校区启用​：弘毅校区于2020年9月正式招生（小学、初中部），是龙华中学“一校两区、两翼齐飞”十二年一贯制办学体系的重要组成部分。作为龙华区唯一以区名命名的公办十二年一贯制学校，校区硬件设施需匹配其高品质定位。</w:t>
      </w:r>
    </w:p>
    <w:p w14:paraId="40D3B442">
      <w:pPr>
        <w:ind w:firstLine="420" w:firstLineChars="200"/>
        <w:rPr>
          <w:rFonts w:hint="eastAsia"/>
          <w:color w:val="auto"/>
        </w:rPr>
      </w:pPr>
      <w:r>
        <w:rPr>
          <w:rFonts w:hint="eastAsia"/>
          <w:color w:val="auto"/>
        </w:rPr>
        <w:t>规模扩张：弘毅校区规划36个班、1680个学位，随着学生规模扩大，体育场馆作为校园核心功能区，亟需升级以满足师生日常运动、赛事及教学需求。</w:t>
      </w:r>
    </w:p>
    <w:p w14:paraId="4C0B2A16">
      <w:pPr>
        <w:ind w:firstLine="420" w:firstLineChars="200"/>
        <w:rPr>
          <w:rFonts w:hint="eastAsia"/>
          <w:color w:val="auto"/>
        </w:rPr>
      </w:pPr>
      <w:r>
        <w:rPr>
          <w:rFonts w:hint="eastAsia"/>
          <w:color w:val="auto"/>
        </w:rPr>
        <w:t>2</w:t>
      </w:r>
      <w:r>
        <w:rPr>
          <w:rFonts w:hint="eastAsia"/>
          <w:color w:val="auto"/>
          <w:lang w:eastAsia="zh-CN"/>
        </w:rPr>
        <w:t>、</w:t>
      </w:r>
      <w:r>
        <w:rPr>
          <w:rFonts w:hint="eastAsia"/>
          <w:color w:val="auto"/>
        </w:rPr>
        <w:t>提升体育文化与设施品质​</w:t>
      </w:r>
    </w:p>
    <w:p w14:paraId="56D761B9">
      <w:pPr>
        <w:ind w:firstLine="420" w:firstLineChars="200"/>
        <w:rPr>
          <w:rFonts w:hint="eastAsia"/>
          <w:color w:val="auto"/>
        </w:rPr>
      </w:pPr>
      <w:r>
        <w:rPr>
          <w:rFonts w:hint="eastAsia"/>
          <w:color w:val="auto"/>
        </w:rPr>
        <w:t>功能优化​：原有篮球场地胶及木地板因长期使用可能面临磨损、安全风险或功能滞后问题。升级旨在提升设施专业性、安全性及美观度，符合“广东省普通高中教学水平优秀学校”的硬件标准。</w:t>
      </w:r>
    </w:p>
    <w:p w14:paraId="255EAEAB">
      <w:pPr>
        <w:ind w:firstLine="420" w:firstLineChars="200"/>
        <w:rPr>
          <w:rFonts w:hint="eastAsia"/>
          <w:color w:val="auto"/>
        </w:rPr>
      </w:pPr>
      <w:r>
        <w:rPr>
          <w:rFonts w:hint="eastAsia"/>
          <w:color w:val="auto"/>
        </w:rPr>
        <w:t>3</w:t>
      </w:r>
      <w:r>
        <w:rPr>
          <w:rFonts w:hint="eastAsia"/>
          <w:color w:val="auto"/>
          <w:lang w:eastAsia="zh-CN"/>
        </w:rPr>
        <w:t>、</w:t>
      </w:r>
      <w:r>
        <w:rPr>
          <w:rFonts w:hint="eastAsia"/>
          <w:color w:val="auto"/>
        </w:rPr>
        <w:t>政策与品牌建设驱动​</w:t>
      </w:r>
    </w:p>
    <w:p w14:paraId="0C6AAD29">
      <w:pPr>
        <w:ind w:firstLine="420" w:firstLineChars="200"/>
        <w:rPr>
          <w:rFonts w:hint="eastAsia"/>
          <w:color w:val="auto"/>
        </w:rPr>
      </w:pPr>
      <w:r>
        <w:rPr>
          <w:rFonts w:hint="eastAsia"/>
          <w:color w:val="auto"/>
        </w:rPr>
        <w:t>区域教育标杆定位：龙华中学是龙华区第一所公办十二年一贯制学校，先后获评“广东省一级学校”“深圳市花园式单位”等称号。弘毅校区作为新拓展板块，其设施升级是巩固学校品牌影响力、响应区域教育高质量发展的重要举措。</w:t>
      </w:r>
    </w:p>
    <w:p w14:paraId="3708BFCD">
      <w:pPr>
        <w:ind w:firstLine="420" w:firstLineChars="200"/>
        <w:rPr>
          <w:rFonts w:hint="eastAsia"/>
          <w:color w:val="auto"/>
        </w:rPr>
      </w:pPr>
      <w:r>
        <w:rPr>
          <w:rFonts w:hint="eastAsia"/>
          <w:color w:val="auto"/>
        </w:rPr>
        <w:t>体育育人导向：学校践行“五育并举”，强调通过多元课程（如“和强”“和毅”体系）培养“善合作创新型人才”。体育馆作为体育课程和活动的载体，改造直接服务于这一育人目标。</w:t>
      </w:r>
    </w:p>
    <w:p w14:paraId="523AFD43">
      <w:pPr>
        <w:ind w:firstLine="420" w:firstLineChars="200"/>
        <w:rPr>
          <w:rFonts w:hint="eastAsia"/>
          <w:color w:val="auto"/>
        </w:rPr>
      </w:pPr>
      <w:r>
        <w:rPr>
          <w:rFonts w:hint="eastAsia"/>
          <w:color w:val="auto"/>
          <w:lang w:val="en-US" w:eastAsia="zh-CN"/>
        </w:rPr>
        <w:t>4</w:t>
      </w:r>
      <w:r>
        <w:rPr>
          <w:rFonts w:hint="eastAsia"/>
          <w:color w:val="auto"/>
          <w:lang w:eastAsia="zh-CN"/>
        </w:rPr>
        <w:t>、</w:t>
      </w:r>
      <w:r>
        <w:rPr>
          <w:rFonts w:hint="eastAsia"/>
          <w:color w:val="auto"/>
        </w:rPr>
        <w:t>地理位置与社区辐射​</w:t>
      </w:r>
    </w:p>
    <w:p w14:paraId="000A6AE1">
      <w:pPr>
        <w:ind w:firstLine="420" w:firstLineChars="200"/>
        <w:rPr>
          <w:rFonts w:hint="eastAsia"/>
          <w:color w:val="auto"/>
        </w:rPr>
      </w:pPr>
      <w:r>
        <w:rPr>
          <w:rFonts w:hint="eastAsia"/>
          <w:color w:val="auto"/>
        </w:rPr>
        <w:t>区位优势：校区紧邻深圳北站（粤港澳大湾区核心枢纽）、龙华公园及地铁4/6号线，高交通便利性使其成为区域文体活动潜在中心。体育馆升级可增强对周边社区的开放服务能力，提升社会效益。</w:t>
      </w:r>
    </w:p>
    <w:p w14:paraId="00217682">
      <w:pPr>
        <w:ind w:firstLine="420" w:firstLineChars="200"/>
        <w:rPr>
          <w:rFonts w:hint="eastAsia"/>
          <w:color w:val="auto"/>
        </w:rPr>
      </w:pPr>
      <w:r>
        <w:rPr>
          <w:rFonts w:hint="eastAsia"/>
          <w:color w:val="auto"/>
        </w:rPr>
        <w:t>2. 货物用途、功能说明</w:t>
      </w:r>
    </w:p>
    <w:p w14:paraId="06D2EB71">
      <w:pPr>
        <w:ind w:firstLine="420" w:firstLineChars="200"/>
        <w:rPr>
          <w:rFonts w:hint="eastAsia"/>
          <w:color w:val="auto"/>
          <w:lang w:val="en-US" w:eastAsia="zh-CN"/>
        </w:rPr>
      </w:pPr>
      <w:r>
        <w:rPr>
          <w:rFonts w:hint="eastAsia"/>
          <w:color w:val="auto"/>
          <w:lang w:val="en-US" w:eastAsia="zh-CN"/>
        </w:rPr>
        <w:t>1、运动木地板：</w:t>
      </w:r>
    </w:p>
    <w:p w14:paraId="7FB0FFC0">
      <w:pPr>
        <w:ind w:firstLine="420" w:firstLineChars="200"/>
        <w:rPr>
          <w:rFonts w:hint="eastAsia"/>
          <w:color w:val="auto"/>
          <w:lang w:val="en-US" w:eastAsia="zh-CN"/>
        </w:rPr>
      </w:pPr>
      <w:r>
        <w:rPr>
          <w:rFonts w:hint="eastAsia"/>
          <w:color w:val="auto"/>
          <w:lang w:val="en-US" w:eastAsia="zh-CN"/>
        </w:rPr>
        <w:t>货物用途：</w:t>
      </w:r>
    </w:p>
    <w:p w14:paraId="080FDA59">
      <w:pPr>
        <w:ind w:firstLine="420" w:firstLineChars="200"/>
        <w:rPr>
          <w:rFonts w:hint="eastAsia"/>
          <w:color w:val="auto"/>
          <w:lang w:val="en-US" w:eastAsia="zh-CN"/>
        </w:rPr>
      </w:pPr>
      <w:r>
        <w:rPr>
          <w:rFonts w:hint="eastAsia"/>
          <w:color w:val="auto"/>
          <w:lang w:val="en-US" w:eastAsia="zh-CN"/>
        </w:rPr>
        <w:t>提升原有室内篮球馆场地面层，满足高强度运动需求，兼顾安全性与运动性能。</w:t>
      </w:r>
    </w:p>
    <w:p w14:paraId="1D34C738">
      <w:pPr>
        <w:ind w:firstLine="420" w:firstLineChars="200"/>
        <w:rPr>
          <w:rFonts w:hint="eastAsia"/>
          <w:color w:val="auto"/>
          <w:lang w:val="en-US" w:eastAsia="zh-CN"/>
        </w:rPr>
      </w:pPr>
      <w:r>
        <w:rPr>
          <w:rFonts w:hint="eastAsia"/>
          <w:color w:val="auto"/>
          <w:lang w:val="en-US" w:eastAsia="zh-CN"/>
        </w:rPr>
        <w:t>功能说明：</w:t>
      </w:r>
    </w:p>
    <w:p w14:paraId="2BCB18AC">
      <w:pPr>
        <w:ind w:firstLine="420" w:firstLineChars="200"/>
        <w:rPr>
          <w:rFonts w:hint="eastAsia"/>
          <w:color w:val="auto"/>
          <w:lang w:val="en-US" w:eastAsia="zh-CN"/>
        </w:rPr>
      </w:pPr>
      <w:r>
        <w:rPr>
          <w:rFonts w:hint="eastAsia"/>
          <w:color w:val="auto"/>
          <w:lang w:val="en-US" w:eastAsia="zh-CN"/>
        </w:rPr>
        <w:t>1.运动性能优化</w:t>
      </w:r>
    </w:p>
    <w:p w14:paraId="0218EBBE">
      <w:pPr>
        <w:ind w:firstLine="420" w:firstLineChars="200"/>
        <w:rPr>
          <w:rFonts w:hint="eastAsia"/>
          <w:color w:val="auto"/>
          <w:lang w:val="en-US" w:eastAsia="zh-CN"/>
        </w:rPr>
      </w:pPr>
      <w:r>
        <w:rPr>
          <w:rFonts w:hint="eastAsia"/>
          <w:color w:val="auto"/>
          <w:lang w:val="en-US" w:eastAsia="zh-CN"/>
        </w:rPr>
        <w:t>（1）弹性与减震：多层结构（面层+缓冲层+底层）提供卓越冲击吸收能力，降低关节损伤风险。</w:t>
      </w:r>
    </w:p>
    <w:p w14:paraId="194769D8">
      <w:pPr>
        <w:ind w:firstLine="420" w:firstLineChars="200"/>
        <w:rPr>
          <w:rFonts w:hint="eastAsia"/>
          <w:color w:val="auto"/>
          <w:lang w:val="en-US" w:eastAsia="zh-CN"/>
        </w:rPr>
      </w:pPr>
      <w:r>
        <w:rPr>
          <w:rFonts w:hint="eastAsia"/>
          <w:color w:val="auto"/>
          <w:lang w:val="en-US" w:eastAsia="zh-CN"/>
        </w:rPr>
        <w:t>（2）球体反弹性能：反弹系数大，确保篮球、排球等球类运动轨迹稳定。</w:t>
      </w:r>
    </w:p>
    <w:p w14:paraId="62E2550B">
      <w:pPr>
        <w:ind w:firstLine="420" w:firstLineChars="200"/>
        <w:rPr>
          <w:rFonts w:hint="eastAsia"/>
          <w:color w:val="auto"/>
          <w:lang w:val="en-US" w:eastAsia="zh-CN"/>
        </w:rPr>
      </w:pPr>
      <w:r>
        <w:rPr>
          <w:rFonts w:hint="eastAsia"/>
          <w:color w:val="auto"/>
          <w:lang w:val="en-US" w:eastAsia="zh-CN"/>
        </w:rPr>
        <w:t>（3）防滑控制：表面特殊处理，摩擦系数0.4-0.6，保障快速移动时的抓地力。</w:t>
      </w:r>
    </w:p>
    <w:p w14:paraId="1B29E8E6">
      <w:pPr>
        <w:ind w:firstLine="420" w:firstLineChars="200"/>
        <w:rPr>
          <w:rFonts w:hint="eastAsia"/>
          <w:color w:val="auto"/>
          <w:lang w:val="en-US" w:eastAsia="zh-CN"/>
        </w:rPr>
      </w:pPr>
      <w:r>
        <w:rPr>
          <w:rFonts w:hint="eastAsia"/>
          <w:color w:val="auto"/>
          <w:lang w:val="en-US" w:eastAsia="zh-CN"/>
        </w:rPr>
        <w:t>2.安全保护功能：</w:t>
      </w:r>
    </w:p>
    <w:p w14:paraId="31BDA462">
      <w:pPr>
        <w:ind w:firstLine="420" w:firstLineChars="200"/>
        <w:rPr>
          <w:rFonts w:hint="eastAsia"/>
          <w:color w:val="auto"/>
          <w:lang w:val="en-US" w:eastAsia="zh-CN"/>
        </w:rPr>
      </w:pPr>
      <w:r>
        <w:rPr>
          <w:rFonts w:hint="eastAsia"/>
          <w:color w:val="auto"/>
          <w:lang w:val="en-US" w:eastAsia="zh-CN"/>
        </w:rPr>
        <w:t>（1）抗变形能力：承重负荷大，可承受篮球架移动及高强度踩踏。</w:t>
      </w:r>
    </w:p>
    <w:p w14:paraId="7E330F15">
      <w:pPr>
        <w:ind w:firstLine="420" w:firstLineChars="200"/>
        <w:rPr>
          <w:rFonts w:hint="eastAsia"/>
          <w:color w:val="auto"/>
          <w:lang w:val="en-US" w:eastAsia="zh-CN"/>
        </w:rPr>
      </w:pPr>
      <w:r>
        <w:rPr>
          <w:rFonts w:hint="eastAsia"/>
          <w:color w:val="auto"/>
          <w:lang w:val="en-US" w:eastAsia="zh-CN"/>
        </w:rPr>
        <w:t>（2）平整稳定性：平整度误差小，避免因地面起伏导致运动损伤。</w:t>
      </w:r>
    </w:p>
    <w:p w14:paraId="05570530">
      <w:pPr>
        <w:ind w:firstLine="420" w:firstLineChars="200"/>
        <w:rPr>
          <w:rFonts w:hint="eastAsia"/>
          <w:color w:val="auto"/>
          <w:lang w:val="en-US" w:eastAsia="zh-CN"/>
        </w:rPr>
      </w:pPr>
      <w:r>
        <w:rPr>
          <w:rFonts w:hint="eastAsia"/>
          <w:color w:val="auto"/>
          <w:lang w:val="en-US" w:eastAsia="zh-CN"/>
        </w:rPr>
        <w:t>3.耐用与环保性：</w:t>
      </w:r>
    </w:p>
    <w:p w14:paraId="5127A04D">
      <w:pPr>
        <w:ind w:firstLine="420" w:firstLineChars="200"/>
        <w:rPr>
          <w:rFonts w:hint="eastAsia"/>
          <w:color w:val="auto"/>
          <w:lang w:val="en-US" w:eastAsia="zh-CN"/>
        </w:rPr>
      </w:pPr>
      <w:r>
        <w:rPr>
          <w:rFonts w:hint="eastAsia"/>
          <w:color w:val="auto"/>
          <w:lang w:val="en-US" w:eastAsia="zh-CN"/>
        </w:rPr>
        <w:t>（1）耐磨寿命：面层采用硬木，厚度及耐磨转数更优。</w:t>
      </w:r>
    </w:p>
    <w:p w14:paraId="422E6DD8">
      <w:pPr>
        <w:ind w:firstLine="420" w:firstLineChars="200"/>
        <w:rPr>
          <w:rFonts w:hint="eastAsia"/>
          <w:color w:val="auto"/>
          <w:lang w:val="en-US" w:eastAsia="zh-CN"/>
        </w:rPr>
      </w:pPr>
      <w:r>
        <w:rPr>
          <w:rFonts w:hint="eastAsia"/>
          <w:color w:val="auto"/>
          <w:lang w:val="en-US" w:eastAsia="zh-CN"/>
        </w:rPr>
        <w:t>（2）环保认证：甲醛释放量符合GB18580标准。</w:t>
      </w:r>
    </w:p>
    <w:p w14:paraId="6F63022A">
      <w:pPr>
        <w:ind w:firstLine="420" w:firstLineChars="200"/>
        <w:rPr>
          <w:rFonts w:hint="eastAsia"/>
          <w:color w:val="auto"/>
          <w:lang w:val="en-US" w:eastAsia="zh-CN"/>
        </w:rPr>
      </w:pPr>
      <w:r>
        <w:rPr>
          <w:rFonts w:hint="eastAsia"/>
          <w:color w:val="auto"/>
          <w:lang w:val="en-US" w:eastAsia="zh-CN"/>
        </w:rPr>
        <w:t>2、弹性橡胶垫：</w:t>
      </w:r>
    </w:p>
    <w:p w14:paraId="1A877D5C">
      <w:pPr>
        <w:ind w:firstLine="420" w:firstLineChars="200"/>
        <w:rPr>
          <w:rFonts w:hint="eastAsia"/>
          <w:color w:val="auto"/>
          <w:lang w:val="en-US" w:eastAsia="zh-CN"/>
        </w:rPr>
      </w:pPr>
      <w:r>
        <w:rPr>
          <w:rFonts w:hint="eastAsia"/>
          <w:color w:val="auto"/>
          <w:lang w:val="en-US" w:eastAsia="zh-CN"/>
        </w:rPr>
        <w:t>货物用途：</w:t>
      </w:r>
    </w:p>
    <w:p w14:paraId="30120720">
      <w:pPr>
        <w:ind w:firstLine="420" w:firstLineChars="200"/>
        <w:rPr>
          <w:rFonts w:hint="eastAsia"/>
          <w:color w:val="auto"/>
        </w:rPr>
      </w:pPr>
      <w:r>
        <w:rPr>
          <w:rFonts w:hint="eastAsia"/>
          <w:color w:val="auto"/>
          <w:lang w:val="en-US" w:eastAsia="zh-CN"/>
        </w:rPr>
        <w:t>防止运动木地板局部基础底层水汽及液体渗透，提升运动木地板施工品质。</w:t>
      </w:r>
    </w:p>
    <w:p w14:paraId="09CA7A97">
      <w:pPr>
        <w:ind w:firstLine="420" w:firstLineChars="200"/>
        <w:rPr>
          <w:rFonts w:hint="eastAsia"/>
          <w:color w:val="auto"/>
          <w:lang w:val="en-US" w:eastAsia="zh-CN"/>
        </w:rPr>
      </w:pPr>
      <w:r>
        <w:rPr>
          <w:rFonts w:hint="eastAsia"/>
          <w:color w:val="auto"/>
          <w:lang w:val="en-US" w:eastAsia="zh-CN"/>
        </w:rPr>
        <w:t>功能说明：</w:t>
      </w:r>
    </w:p>
    <w:p w14:paraId="66D70DB7">
      <w:pPr>
        <w:ind w:firstLine="420" w:firstLineChars="200"/>
        <w:rPr>
          <w:rFonts w:hint="eastAsia"/>
          <w:color w:val="auto"/>
          <w:lang w:val="en-US" w:eastAsia="zh-CN"/>
        </w:rPr>
      </w:pPr>
      <w:r>
        <w:rPr>
          <w:rFonts w:hint="eastAsia"/>
          <w:color w:val="auto"/>
          <w:lang w:val="en-US" w:eastAsia="zh-CN"/>
        </w:rPr>
        <w:t>1.防水与耐候性能​：</w:t>
      </w:r>
    </w:p>
    <w:p w14:paraId="1E48BB8C">
      <w:pPr>
        <w:ind w:firstLine="420" w:firstLineChars="200"/>
        <w:rPr>
          <w:rFonts w:hint="eastAsia"/>
          <w:color w:val="auto"/>
          <w:lang w:val="en-US" w:eastAsia="zh-CN"/>
        </w:rPr>
      </w:pPr>
      <w:r>
        <w:rPr>
          <w:rFonts w:hint="eastAsia"/>
          <w:color w:val="auto"/>
          <w:lang w:val="en-US" w:eastAsia="zh-CN"/>
        </w:rPr>
        <w:t>（1）抗渗透性：三元乙丙（EPDM）耐静水压强，使用寿命长。</w:t>
      </w:r>
    </w:p>
    <w:p w14:paraId="1DB47C0B">
      <w:pPr>
        <w:ind w:firstLine="420" w:firstLineChars="200"/>
        <w:rPr>
          <w:rFonts w:hint="eastAsia"/>
          <w:color w:val="auto"/>
          <w:lang w:val="en-US" w:eastAsia="zh-CN"/>
        </w:rPr>
      </w:pPr>
      <w:r>
        <w:rPr>
          <w:rFonts w:hint="eastAsia"/>
          <w:color w:val="auto"/>
          <w:lang w:val="en-US" w:eastAsia="zh-CN"/>
        </w:rPr>
        <w:t>（2）温度适应性：耐候范围-40℃~120℃，低温弯折无裂纹。</w:t>
      </w:r>
    </w:p>
    <w:p w14:paraId="2EC54348">
      <w:pPr>
        <w:ind w:firstLine="420" w:firstLineChars="200"/>
        <w:rPr>
          <w:rFonts w:hint="eastAsia"/>
          <w:color w:val="auto"/>
          <w:lang w:val="en-US" w:eastAsia="zh-CN"/>
        </w:rPr>
      </w:pPr>
      <w:r>
        <w:rPr>
          <w:rFonts w:hint="eastAsia"/>
          <w:color w:val="auto"/>
          <w:lang w:val="en-US" w:eastAsia="zh-CN"/>
        </w:rPr>
        <w:t>（3）耐化学腐蚀：抗酸碱、盐雾，适用于污水处理厂、垃圾填埋场等腐蚀环境。</w:t>
      </w:r>
    </w:p>
    <w:p w14:paraId="78906F4E">
      <w:pPr>
        <w:ind w:firstLine="420" w:firstLineChars="200"/>
        <w:rPr>
          <w:rFonts w:hint="eastAsia"/>
          <w:color w:val="auto"/>
          <w:lang w:val="en-US" w:eastAsia="zh-CN"/>
        </w:rPr>
      </w:pPr>
      <w:r>
        <w:rPr>
          <w:rFonts w:hint="eastAsia"/>
          <w:color w:val="auto"/>
          <w:lang w:val="en-US" w:eastAsia="zh-CN"/>
        </w:rPr>
        <w:t>2.结构保护功能：</w:t>
      </w:r>
    </w:p>
    <w:p w14:paraId="7D143C44">
      <w:pPr>
        <w:ind w:firstLine="420" w:firstLineChars="200"/>
        <w:rPr>
          <w:rFonts w:hint="eastAsia"/>
          <w:color w:val="auto"/>
          <w:lang w:val="en-US" w:eastAsia="zh-CN"/>
        </w:rPr>
      </w:pPr>
      <w:r>
        <w:rPr>
          <w:rFonts w:hint="eastAsia"/>
          <w:color w:val="auto"/>
          <w:lang w:val="en-US" w:eastAsia="zh-CN"/>
        </w:rPr>
        <w:t>（1）抗基层开裂：延伸率较大，适应建筑沉降或热胀冷缩变形。</w:t>
      </w:r>
    </w:p>
    <w:p w14:paraId="1DEA1DA0">
      <w:pPr>
        <w:ind w:firstLine="420" w:firstLineChars="200"/>
        <w:rPr>
          <w:rFonts w:hint="eastAsia"/>
          <w:color w:val="auto"/>
          <w:lang w:val="en-US" w:eastAsia="zh-CN"/>
        </w:rPr>
      </w:pPr>
      <w:r>
        <w:rPr>
          <w:rFonts w:hint="eastAsia"/>
          <w:color w:val="auto"/>
          <w:lang w:val="en-US" w:eastAsia="zh-CN"/>
        </w:rPr>
        <w:t>（2）抗风揭能力：机械固定系统可抵御12级风力。</w:t>
      </w:r>
    </w:p>
    <w:p w14:paraId="5256A3E3">
      <w:pPr>
        <w:ind w:firstLine="420" w:firstLineChars="200"/>
        <w:rPr>
          <w:rFonts w:hint="eastAsia"/>
          <w:color w:val="auto"/>
          <w:lang w:val="en-US" w:eastAsia="zh-CN"/>
        </w:rPr>
      </w:pPr>
      <w:r>
        <w:rPr>
          <w:rFonts w:hint="eastAsia"/>
          <w:color w:val="auto"/>
          <w:lang w:val="en-US" w:eastAsia="zh-CN"/>
        </w:rPr>
        <w:t>3.施工与环保优势：</w:t>
      </w:r>
    </w:p>
    <w:p w14:paraId="7A6C6921">
      <w:pPr>
        <w:ind w:firstLine="420" w:firstLineChars="200"/>
        <w:rPr>
          <w:rFonts w:hint="eastAsia"/>
          <w:color w:val="auto"/>
          <w:lang w:val="en-US" w:eastAsia="zh-CN"/>
        </w:rPr>
      </w:pPr>
      <w:r>
        <w:rPr>
          <w:rFonts w:hint="eastAsia"/>
          <w:color w:val="auto"/>
          <w:lang w:val="en-US" w:eastAsia="zh-CN"/>
        </w:rPr>
        <w:t>（1）轻量化设计：重量小，降低屋顶荷载。</w:t>
      </w:r>
    </w:p>
    <w:p w14:paraId="03505484">
      <w:pPr>
        <w:ind w:firstLine="420" w:firstLineChars="200"/>
        <w:rPr>
          <w:rFonts w:hint="eastAsia"/>
          <w:color w:val="auto"/>
          <w:lang w:val="en-US" w:eastAsia="zh-CN"/>
        </w:rPr>
      </w:pPr>
      <w:r>
        <w:rPr>
          <w:rFonts w:hint="eastAsia"/>
          <w:color w:val="auto"/>
          <w:lang w:val="en-US" w:eastAsia="zh-CN"/>
        </w:rPr>
        <w:t>（2）绿色节能：白色外露面反射率高，降低建筑热吸附。</w:t>
      </w:r>
    </w:p>
    <w:p w14:paraId="43981FC7">
      <w:pPr>
        <w:ind w:firstLine="420" w:firstLineChars="200"/>
        <w:rPr>
          <w:rFonts w:hint="eastAsia"/>
          <w:color w:val="auto"/>
        </w:rPr>
      </w:pPr>
      <w:r>
        <w:rPr>
          <w:rFonts w:hint="eastAsia"/>
          <w:color w:val="auto"/>
          <w:lang w:val="en-US" w:eastAsia="zh-CN"/>
        </w:rPr>
        <w:t>3.</w:t>
      </w:r>
      <w:r>
        <w:rPr>
          <w:rFonts w:hint="eastAsia"/>
          <w:color w:val="auto"/>
        </w:rPr>
        <w:t xml:space="preserve"> 采购技术要求表</w:t>
      </w:r>
    </w:p>
    <w:p w14:paraId="7EF87B70">
      <w:pPr>
        <w:ind w:firstLine="420" w:firstLineChars="200"/>
        <w:rPr>
          <w:rFonts w:hint="eastAsia"/>
          <w:color w:val="auto"/>
        </w:rPr>
      </w:pPr>
      <w:r>
        <w:rPr>
          <w:rFonts w:hint="eastAsia"/>
          <w:color w:val="auto"/>
        </w:rPr>
        <w:t>注意：带▲符合的为重点技术参数。带★符号的为实质性条款，若有一条不满足，则不满足采购要求，投标将被否决，非单一产品采购项目，请标注核心产品。</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22"/>
        <w:gridCol w:w="7187"/>
      </w:tblGrid>
      <w:tr w14:paraId="59E2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0" w:type="dxa"/>
            <w:noWrap w:val="0"/>
            <w:vAlign w:val="center"/>
          </w:tcPr>
          <w:p w14:paraId="50AACA23">
            <w:pPr>
              <w:jc w:val="center"/>
              <w:rPr>
                <w:szCs w:val="21"/>
              </w:rPr>
            </w:pPr>
            <w:r>
              <w:rPr>
                <w:rFonts w:hint="eastAsia"/>
                <w:szCs w:val="21"/>
              </w:rPr>
              <w:t>序号</w:t>
            </w:r>
          </w:p>
        </w:tc>
        <w:tc>
          <w:tcPr>
            <w:tcW w:w="822" w:type="dxa"/>
            <w:noWrap w:val="0"/>
            <w:vAlign w:val="center"/>
          </w:tcPr>
          <w:p w14:paraId="1A86C422">
            <w:pPr>
              <w:widowControl/>
              <w:jc w:val="center"/>
              <w:rPr>
                <w:szCs w:val="21"/>
              </w:rPr>
            </w:pPr>
            <w:r>
              <w:rPr>
                <w:rFonts w:hint="eastAsia"/>
                <w:szCs w:val="21"/>
              </w:rPr>
              <w:t>货物名称</w:t>
            </w:r>
          </w:p>
        </w:tc>
        <w:tc>
          <w:tcPr>
            <w:tcW w:w="7187" w:type="dxa"/>
            <w:noWrap w:val="0"/>
            <w:vAlign w:val="center"/>
          </w:tcPr>
          <w:p w14:paraId="43F71D06">
            <w:pPr>
              <w:jc w:val="center"/>
              <w:rPr>
                <w:szCs w:val="21"/>
              </w:rPr>
            </w:pPr>
            <w:r>
              <w:rPr>
                <w:rFonts w:hint="eastAsia"/>
                <w:szCs w:val="21"/>
              </w:rPr>
              <w:t>招标技术要求</w:t>
            </w:r>
          </w:p>
        </w:tc>
      </w:tr>
      <w:tr w14:paraId="1972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restart"/>
            <w:noWrap w:val="0"/>
            <w:vAlign w:val="center"/>
          </w:tcPr>
          <w:p w14:paraId="4DBB39CC">
            <w:pPr>
              <w:jc w:val="center"/>
              <w:rPr>
                <w:b/>
                <w:szCs w:val="21"/>
              </w:rPr>
            </w:pPr>
            <w:r>
              <w:rPr>
                <w:rFonts w:hint="eastAsia"/>
                <w:b/>
                <w:szCs w:val="21"/>
              </w:rPr>
              <w:t>1</w:t>
            </w:r>
          </w:p>
        </w:tc>
        <w:tc>
          <w:tcPr>
            <w:tcW w:w="822" w:type="dxa"/>
            <w:vMerge w:val="restart"/>
            <w:noWrap w:val="0"/>
            <w:vAlign w:val="center"/>
          </w:tcPr>
          <w:p w14:paraId="561FA54F">
            <w:pPr>
              <w:jc w:val="center"/>
              <w:rPr>
                <w:rFonts w:hint="eastAsia"/>
                <w:b/>
                <w:bCs w:val="0"/>
                <w:szCs w:val="21"/>
                <w:lang w:val="en-US" w:eastAsia="zh-CN"/>
              </w:rPr>
            </w:pPr>
            <w:r>
              <w:rPr>
                <w:rFonts w:hint="eastAsia"/>
                <w:b/>
                <w:bCs w:val="0"/>
                <w:szCs w:val="21"/>
                <w:lang w:val="en-US" w:eastAsia="zh-CN"/>
              </w:rPr>
              <w:t>运动木地板</w:t>
            </w:r>
          </w:p>
          <w:p w14:paraId="58FB3A61">
            <w:pPr>
              <w:pStyle w:val="2"/>
              <w:jc w:val="center"/>
              <w:rPr>
                <w:rFonts w:hint="default" w:eastAsia="宋体"/>
                <w:lang w:val="en-US" w:eastAsia="zh-CN"/>
              </w:rPr>
            </w:pPr>
            <w:r>
              <w:rPr>
                <w:rFonts w:hint="eastAsia"/>
                <w:b/>
                <w:bCs/>
                <w:lang w:val="en-US" w:eastAsia="zh-CN"/>
              </w:rPr>
              <w:t>（核心产品）</w:t>
            </w:r>
          </w:p>
        </w:tc>
        <w:tc>
          <w:tcPr>
            <w:tcW w:w="7187" w:type="dxa"/>
            <w:noWrap w:val="0"/>
            <w:vAlign w:val="center"/>
          </w:tcPr>
          <w:p w14:paraId="46E2FF93">
            <w:pPr>
              <w:pStyle w:val="9"/>
              <w:rPr>
                <w:rStyle w:val="45"/>
                <w:color w:val="FF0000"/>
                <w:highlight w:val="yellow"/>
                <w:lang w:bidi="ar"/>
              </w:rPr>
            </w:pPr>
            <w:r>
              <w:rPr>
                <w:rFonts w:hint="eastAsia" w:ascii="宋体" w:hAnsi="宋体" w:cs="宋体"/>
                <w:b/>
                <w:kern w:val="0"/>
                <w:sz w:val="22"/>
                <w:szCs w:val="24"/>
                <w:highlight w:val="yellow"/>
              </w:rPr>
              <w:t>▲</w:t>
            </w:r>
            <w:r>
              <w:rPr>
                <w:rFonts w:hint="eastAsia" w:ascii="Times New Roman" w:hAnsi="Times New Roman" w:eastAsia="宋体" w:cs="Times New Roman"/>
                <w:szCs w:val="21"/>
                <w:lang w:val="en-US" w:eastAsia="zh-CN"/>
              </w:rPr>
              <w:t>1.面板:枫桦木，采用通过国际篮联认证的专业面漆，使用寿命长，保护性能好，同时面层实木地板无死节、孔洞、腐朽、裂纹、灼烧、漏漆、漆膜鼓泡；规格:1800*60-90*22mm。规格尺寸、尺寸偏差符合GB/T 15036.2-2018检验要求；面层地板外观质量要求符合GB/T 20239-2023检验要求；抗弯强度为66.4MPa，弹性模量为9950MPa，含水率为10.7%，符合GB/T 17657-2022的检验要求；漆膜表面耐磨磨耗值：0.041g/100r，磨100r后漆膜未磨透，漆膜附着力1级，漆膜硬度2H，符合GB/T 15036.2-2018检验要求，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1E383688">
            <w:pPr>
              <w:pStyle w:val="9"/>
              <w:rPr>
                <w:rStyle w:val="45"/>
                <w:color w:val="FF0000"/>
                <w:highlight w:val="yellow"/>
                <w:lang w:bidi="ar"/>
              </w:rPr>
            </w:pPr>
            <w:r>
              <w:rPr>
                <w:rStyle w:val="45"/>
                <w:color w:val="FF0000"/>
                <w:highlight w:val="yellow"/>
                <w:lang w:bidi="ar"/>
              </w:rPr>
              <w:t>（①送检单位（委托单位）需是投标人或所投产品制造商。</w:t>
            </w:r>
          </w:p>
          <w:p w14:paraId="06A55A44">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58C548B6">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6DC4E9CF">
            <w:pPr>
              <w:pStyle w:val="9"/>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66CD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0A8051A5">
            <w:pPr>
              <w:jc w:val="center"/>
              <w:rPr>
                <w:b/>
                <w:szCs w:val="21"/>
              </w:rPr>
            </w:pPr>
          </w:p>
        </w:tc>
        <w:tc>
          <w:tcPr>
            <w:tcW w:w="822" w:type="dxa"/>
            <w:vMerge w:val="continue"/>
            <w:noWrap w:val="0"/>
            <w:vAlign w:val="center"/>
          </w:tcPr>
          <w:p w14:paraId="0DAA0B93">
            <w:pPr>
              <w:jc w:val="center"/>
              <w:rPr>
                <w:b/>
                <w:szCs w:val="21"/>
              </w:rPr>
            </w:pPr>
          </w:p>
        </w:tc>
        <w:tc>
          <w:tcPr>
            <w:tcW w:w="7187" w:type="dxa"/>
            <w:noWrap w:val="0"/>
            <w:vAlign w:val="center"/>
          </w:tcPr>
          <w:p w14:paraId="1720F4F5">
            <w:pPr>
              <w:pStyle w:val="9"/>
              <w:rPr>
                <w:rStyle w:val="45"/>
                <w:color w:val="FF0000"/>
                <w:highlight w:val="yellow"/>
                <w:lang w:bidi="ar"/>
              </w:rPr>
            </w:pPr>
            <w:r>
              <w:rPr>
                <w:rFonts w:hint="eastAsia" w:ascii="宋体" w:hAnsi="宋体" w:cs="宋体"/>
                <w:b w:val="0"/>
                <w:bCs/>
                <w:kern w:val="0"/>
                <w:sz w:val="22"/>
                <w:szCs w:val="24"/>
                <w:highlight w:val="yellow"/>
              </w:rPr>
              <w:t>▲</w:t>
            </w:r>
            <w:r>
              <w:rPr>
                <w:rFonts w:hint="eastAsia" w:ascii="宋体" w:hAnsi="宋体" w:cs="宋体"/>
                <w:b w:val="0"/>
                <w:bCs/>
                <w:kern w:val="0"/>
                <w:sz w:val="22"/>
                <w:szCs w:val="24"/>
                <w:highlight w:val="yellow"/>
                <w:lang w:val="en-US" w:eastAsia="zh-CN"/>
              </w:rPr>
              <w:t>2</w:t>
            </w:r>
            <w:r>
              <w:rPr>
                <w:rFonts w:hint="eastAsia" w:ascii="Times New Roman" w:hAnsi="Times New Roman" w:eastAsia="宋体" w:cs="Times New Roman"/>
                <w:b w:val="0"/>
                <w:bCs/>
                <w:szCs w:val="21"/>
                <w:lang w:val="en-US" w:eastAsia="zh-CN"/>
              </w:rPr>
              <w:t>.载荷分布层采用多层实木复合板材，1220x2440x12mm具有很好的韧性，满足环保要求，胶合强度为1.77MPa，符合GB/T 20239-2023检验要求；单层防腐松木龙骨：2000*40*50mm具有很好的承载力和防腐效果。抗弯强度为76.9MPa，弹性模量为9560MPa,含水率10.5%，符合GB/T 20239-2023检验要求；天然橡胶减震垫：55*55*18mm具有很好的减震效果并且使用寿命很长。表观密度895.5kg/m³；拉伸强度4.73MPa；拉断伸长率530%；压碎强度10.8MPa;邵尔强度31（Shore D），符合GB/T 20239-2023检验要求，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63FA3309">
            <w:pPr>
              <w:pStyle w:val="9"/>
              <w:rPr>
                <w:rStyle w:val="45"/>
                <w:color w:val="FF0000"/>
                <w:highlight w:val="yellow"/>
                <w:lang w:bidi="ar"/>
              </w:rPr>
            </w:pPr>
            <w:r>
              <w:rPr>
                <w:rStyle w:val="45"/>
                <w:color w:val="FF0000"/>
                <w:highlight w:val="yellow"/>
                <w:lang w:bidi="ar"/>
              </w:rPr>
              <w:t>（①送检单位（委托单位）需是投标人或所投产品制造商。</w:t>
            </w:r>
          </w:p>
          <w:p w14:paraId="175886D4">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77F9F299">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431D4607">
            <w:pPr>
              <w:jc w:val="left"/>
              <w:rPr>
                <w:rFonts w:hint="eastAsia" w:ascii="Times New Roman" w:hAnsi="Times New Roman" w:eastAsia="宋体" w:cs="Times New Roman"/>
                <w:b w:val="0"/>
                <w:bCs/>
                <w:kern w:val="2"/>
                <w:sz w:val="21"/>
                <w:szCs w:val="21"/>
                <w:lang w:val="en-US" w:eastAsia="zh-CN" w:bidi="ar-SA"/>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6C54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0" w:type="dxa"/>
            <w:vMerge w:val="continue"/>
            <w:noWrap w:val="0"/>
            <w:vAlign w:val="center"/>
          </w:tcPr>
          <w:p w14:paraId="0BAE0BEC">
            <w:pPr>
              <w:jc w:val="center"/>
              <w:rPr>
                <w:b/>
                <w:szCs w:val="21"/>
              </w:rPr>
            </w:pPr>
          </w:p>
        </w:tc>
        <w:tc>
          <w:tcPr>
            <w:tcW w:w="822" w:type="dxa"/>
            <w:vMerge w:val="continue"/>
            <w:noWrap w:val="0"/>
            <w:vAlign w:val="center"/>
          </w:tcPr>
          <w:p w14:paraId="16355DC7">
            <w:pPr>
              <w:jc w:val="center"/>
              <w:rPr>
                <w:b/>
                <w:szCs w:val="21"/>
              </w:rPr>
            </w:pPr>
          </w:p>
        </w:tc>
        <w:tc>
          <w:tcPr>
            <w:tcW w:w="7187" w:type="dxa"/>
            <w:noWrap w:val="0"/>
            <w:vAlign w:val="center"/>
          </w:tcPr>
          <w:p w14:paraId="19D33D40">
            <w:pPr>
              <w:pStyle w:val="9"/>
              <w:rPr>
                <w:rStyle w:val="45"/>
                <w:color w:val="FF0000"/>
                <w:highlight w:val="yellow"/>
                <w:lang w:bidi="ar"/>
              </w:rPr>
            </w:pPr>
            <w:r>
              <w:rPr>
                <w:rFonts w:hint="eastAsia" w:ascii="宋体" w:hAnsi="宋体" w:cs="宋体"/>
                <w:b/>
                <w:kern w:val="0"/>
                <w:sz w:val="22"/>
                <w:szCs w:val="24"/>
                <w:highlight w:val="yellow"/>
              </w:rPr>
              <w:t>▲</w:t>
            </w:r>
            <w:r>
              <w:rPr>
                <w:rFonts w:hint="eastAsia" w:ascii="宋体" w:hAnsi="宋体" w:cs="宋体"/>
                <w:b/>
                <w:kern w:val="0"/>
                <w:sz w:val="22"/>
                <w:szCs w:val="24"/>
                <w:highlight w:val="yellow"/>
                <w:lang w:val="en-US" w:eastAsia="zh-CN"/>
              </w:rPr>
              <w:t>3</w:t>
            </w:r>
            <w:r>
              <w:rPr>
                <w:rFonts w:hint="eastAsia" w:ascii="Times New Roman" w:hAnsi="Times New Roman" w:eastAsia="宋体" w:cs="Times New Roman"/>
                <w:szCs w:val="21"/>
                <w:lang w:val="en-US" w:eastAsia="zh-CN"/>
              </w:rPr>
              <w:t>.冲击吸收：≥53%，</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601CA61B">
            <w:pPr>
              <w:pStyle w:val="9"/>
              <w:rPr>
                <w:rStyle w:val="45"/>
                <w:color w:val="FF0000"/>
                <w:highlight w:val="yellow"/>
                <w:lang w:bidi="ar"/>
              </w:rPr>
            </w:pPr>
            <w:r>
              <w:rPr>
                <w:rStyle w:val="45"/>
                <w:color w:val="FF0000"/>
                <w:highlight w:val="yellow"/>
                <w:lang w:bidi="ar"/>
              </w:rPr>
              <w:t>（①送检单位（委托单位）需是投标人或所投产品制造商。</w:t>
            </w:r>
          </w:p>
          <w:p w14:paraId="1A8C135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6E38C7CD">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175B157A">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2EC7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0" w:type="dxa"/>
            <w:vMerge w:val="continue"/>
            <w:noWrap w:val="0"/>
            <w:vAlign w:val="center"/>
          </w:tcPr>
          <w:p w14:paraId="1A9C349E">
            <w:pPr>
              <w:jc w:val="center"/>
              <w:rPr>
                <w:b/>
                <w:szCs w:val="21"/>
              </w:rPr>
            </w:pPr>
          </w:p>
        </w:tc>
        <w:tc>
          <w:tcPr>
            <w:tcW w:w="822" w:type="dxa"/>
            <w:vMerge w:val="continue"/>
            <w:noWrap w:val="0"/>
            <w:vAlign w:val="center"/>
          </w:tcPr>
          <w:p w14:paraId="60F7BB8E">
            <w:pPr>
              <w:jc w:val="center"/>
              <w:rPr>
                <w:b/>
                <w:szCs w:val="21"/>
              </w:rPr>
            </w:pPr>
          </w:p>
        </w:tc>
        <w:tc>
          <w:tcPr>
            <w:tcW w:w="7187" w:type="dxa"/>
            <w:noWrap w:val="0"/>
            <w:vAlign w:val="center"/>
          </w:tcPr>
          <w:p w14:paraId="1C84F845">
            <w:pPr>
              <w:pStyle w:val="9"/>
              <w:rPr>
                <w:rStyle w:val="45"/>
                <w:color w:val="FF0000"/>
                <w:highlight w:val="yellow"/>
                <w:lang w:bidi="ar"/>
              </w:rPr>
            </w:pPr>
            <w:r>
              <w:rPr>
                <w:rFonts w:hint="eastAsia" w:ascii="Times New Roman" w:hAnsi="Times New Roman" w:eastAsia="宋体" w:cs="Times New Roman"/>
                <w:szCs w:val="21"/>
                <w:lang w:val="en-US" w:eastAsia="zh-CN"/>
              </w:rPr>
              <w:t>4.标准垂直变形：≥2.3mm，</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061E9BF2">
            <w:pPr>
              <w:pStyle w:val="9"/>
              <w:rPr>
                <w:rStyle w:val="45"/>
                <w:color w:val="FF0000"/>
                <w:highlight w:val="yellow"/>
                <w:lang w:bidi="ar"/>
              </w:rPr>
            </w:pPr>
            <w:r>
              <w:rPr>
                <w:rStyle w:val="45"/>
                <w:color w:val="FF0000"/>
                <w:highlight w:val="yellow"/>
                <w:lang w:bidi="ar"/>
              </w:rPr>
              <w:t>（①送检单位（委托单位）需是投标人或所投产品制造商。</w:t>
            </w:r>
          </w:p>
          <w:p w14:paraId="7526ACD3">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47508724">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7220CA54">
            <w:pPr>
              <w:jc w:val="left"/>
              <w:rPr>
                <w:rFonts w:hint="eastAsia" w:ascii="宋体" w:hAnsi="宋体" w:cs="宋体"/>
                <w:b/>
                <w:kern w:val="0"/>
                <w:sz w:val="22"/>
                <w:szCs w:val="24"/>
                <w:highlight w:val="yellow"/>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5F71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0" w:type="dxa"/>
            <w:vMerge w:val="continue"/>
            <w:noWrap w:val="0"/>
            <w:vAlign w:val="center"/>
          </w:tcPr>
          <w:p w14:paraId="75B81058">
            <w:pPr>
              <w:jc w:val="center"/>
              <w:rPr>
                <w:b/>
                <w:szCs w:val="21"/>
              </w:rPr>
            </w:pPr>
          </w:p>
        </w:tc>
        <w:tc>
          <w:tcPr>
            <w:tcW w:w="822" w:type="dxa"/>
            <w:vMerge w:val="continue"/>
            <w:noWrap w:val="0"/>
            <w:vAlign w:val="center"/>
          </w:tcPr>
          <w:p w14:paraId="578CCAE0">
            <w:pPr>
              <w:jc w:val="center"/>
              <w:rPr>
                <w:b/>
                <w:szCs w:val="21"/>
              </w:rPr>
            </w:pPr>
          </w:p>
        </w:tc>
        <w:tc>
          <w:tcPr>
            <w:tcW w:w="7187" w:type="dxa"/>
            <w:noWrap w:val="0"/>
            <w:vAlign w:val="center"/>
          </w:tcPr>
          <w:p w14:paraId="32BCAB97">
            <w:pPr>
              <w:pStyle w:val="9"/>
              <w:rPr>
                <w:rStyle w:val="45"/>
                <w:color w:val="FF0000"/>
                <w:highlight w:val="yellow"/>
                <w:lang w:bidi="ar"/>
              </w:rPr>
            </w:pPr>
            <w:r>
              <w:rPr>
                <w:rFonts w:hint="eastAsia" w:ascii="Times New Roman" w:hAnsi="Times New Roman" w:eastAsia="宋体" w:cs="Times New Roman"/>
                <w:szCs w:val="21"/>
                <w:lang w:val="en-US" w:eastAsia="zh-CN"/>
              </w:rPr>
              <w:t>5.垂直变形率：≤15%，</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126B852B">
            <w:pPr>
              <w:pStyle w:val="9"/>
              <w:rPr>
                <w:rStyle w:val="45"/>
                <w:color w:val="FF0000"/>
                <w:highlight w:val="yellow"/>
                <w:lang w:bidi="ar"/>
              </w:rPr>
            </w:pPr>
            <w:r>
              <w:rPr>
                <w:rStyle w:val="45"/>
                <w:color w:val="FF0000"/>
                <w:highlight w:val="yellow"/>
                <w:lang w:bidi="ar"/>
              </w:rPr>
              <w:t>（①送检单位（委托单位）需是投标人或所投产品制造商。</w:t>
            </w:r>
          </w:p>
          <w:p w14:paraId="6A3A801D">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28A30528">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74607EC6">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0723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20" w:type="dxa"/>
            <w:vMerge w:val="continue"/>
            <w:noWrap w:val="0"/>
            <w:vAlign w:val="center"/>
          </w:tcPr>
          <w:p w14:paraId="33CB0843">
            <w:pPr>
              <w:jc w:val="center"/>
              <w:rPr>
                <w:b/>
                <w:szCs w:val="21"/>
              </w:rPr>
            </w:pPr>
          </w:p>
        </w:tc>
        <w:tc>
          <w:tcPr>
            <w:tcW w:w="822" w:type="dxa"/>
            <w:vMerge w:val="continue"/>
            <w:noWrap w:val="0"/>
            <w:vAlign w:val="center"/>
          </w:tcPr>
          <w:p w14:paraId="7D4EDE0A">
            <w:pPr>
              <w:jc w:val="center"/>
              <w:rPr>
                <w:b/>
                <w:szCs w:val="21"/>
              </w:rPr>
            </w:pPr>
          </w:p>
        </w:tc>
        <w:tc>
          <w:tcPr>
            <w:tcW w:w="7187" w:type="dxa"/>
            <w:noWrap w:val="0"/>
            <w:vAlign w:val="center"/>
          </w:tcPr>
          <w:p w14:paraId="52B2740A">
            <w:pPr>
              <w:pStyle w:val="9"/>
              <w:rPr>
                <w:rStyle w:val="45"/>
                <w:color w:val="FF0000"/>
                <w:highlight w:val="yellow"/>
                <w:lang w:bidi="ar"/>
              </w:rPr>
            </w:pPr>
            <w:r>
              <w:rPr>
                <w:rFonts w:hint="eastAsia" w:ascii="Times New Roman" w:hAnsi="Times New Roman" w:eastAsia="宋体" w:cs="Times New Roman"/>
                <w:szCs w:val="21"/>
                <w:lang w:val="en-US" w:eastAsia="zh-CN"/>
              </w:rPr>
              <w:t>6.球反弹：≥90%，</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7A335853">
            <w:pPr>
              <w:pStyle w:val="9"/>
              <w:rPr>
                <w:rStyle w:val="45"/>
                <w:color w:val="FF0000"/>
                <w:highlight w:val="yellow"/>
                <w:lang w:bidi="ar"/>
              </w:rPr>
            </w:pPr>
            <w:r>
              <w:rPr>
                <w:rStyle w:val="45"/>
                <w:color w:val="FF0000"/>
                <w:highlight w:val="yellow"/>
                <w:lang w:bidi="ar"/>
              </w:rPr>
              <w:t>（①送检单位（委托单位）需是投标人或所投产品制造商。</w:t>
            </w:r>
          </w:p>
          <w:p w14:paraId="27957D1F">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3302E2EE">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11169DE8">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793C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20" w:type="dxa"/>
            <w:vMerge w:val="continue"/>
            <w:noWrap w:val="0"/>
            <w:vAlign w:val="center"/>
          </w:tcPr>
          <w:p w14:paraId="071743D5">
            <w:pPr>
              <w:jc w:val="center"/>
              <w:rPr>
                <w:b/>
                <w:szCs w:val="21"/>
              </w:rPr>
            </w:pPr>
          </w:p>
        </w:tc>
        <w:tc>
          <w:tcPr>
            <w:tcW w:w="822" w:type="dxa"/>
            <w:vMerge w:val="continue"/>
            <w:noWrap w:val="0"/>
            <w:vAlign w:val="center"/>
          </w:tcPr>
          <w:p w14:paraId="3F05C2AA">
            <w:pPr>
              <w:jc w:val="center"/>
              <w:rPr>
                <w:b/>
                <w:szCs w:val="21"/>
              </w:rPr>
            </w:pPr>
          </w:p>
        </w:tc>
        <w:tc>
          <w:tcPr>
            <w:tcW w:w="7187" w:type="dxa"/>
            <w:noWrap w:val="0"/>
            <w:vAlign w:val="center"/>
          </w:tcPr>
          <w:p w14:paraId="631B909B">
            <w:pPr>
              <w:pStyle w:val="9"/>
              <w:rPr>
                <w:rStyle w:val="45"/>
                <w:color w:val="FF0000"/>
                <w:highlight w:val="yellow"/>
                <w:lang w:bidi="ar"/>
              </w:rPr>
            </w:pPr>
            <w:r>
              <w:rPr>
                <w:rFonts w:hint="eastAsia" w:ascii="Times New Roman" w:hAnsi="Times New Roman" w:eastAsia="宋体" w:cs="Times New Roman"/>
                <w:szCs w:val="21"/>
                <w:lang w:val="en-US" w:eastAsia="zh-CN"/>
              </w:rPr>
              <w:t>7.滑动摩擦系数：0°方向：0.54 ；90°方向:0.53，</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36ABDA79">
            <w:pPr>
              <w:pStyle w:val="9"/>
              <w:rPr>
                <w:rStyle w:val="45"/>
                <w:color w:val="FF0000"/>
                <w:highlight w:val="yellow"/>
                <w:lang w:bidi="ar"/>
              </w:rPr>
            </w:pPr>
            <w:r>
              <w:rPr>
                <w:rStyle w:val="45"/>
                <w:color w:val="FF0000"/>
                <w:highlight w:val="yellow"/>
                <w:lang w:bidi="ar"/>
              </w:rPr>
              <w:t>（①送检单位（委托单位）需是投标人或所投产品制造商。</w:t>
            </w:r>
          </w:p>
          <w:p w14:paraId="41C880F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A6A428E">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5313C206">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7498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280F2A39">
            <w:pPr>
              <w:jc w:val="center"/>
              <w:rPr>
                <w:b/>
                <w:szCs w:val="21"/>
              </w:rPr>
            </w:pPr>
          </w:p>
        </w:tc>
        <w:tc>
          <w:tcPr>
            <w:tcW w:w="822" w:type="dxa"/>
            <w:vMerge w:val="continue"/>
            <w:noWrap w:val="0"/>
            <w:vAlign w:val="center"/>
          </w:tcPr>
          <w:p w14:paraId="35F18347">
            <w:pPr>
              <w:jc w:val="center"/>
              <w:rPr>
                <w:b/>
                <w:szCs w:val="21"/>
              </w:rPr>
            </w:pPr>
          </w:p>
        </w:tc>
        <w:tc>
          <w:tcPr>
            <w:tcW w:w="7187" w:type="dxa"/>
            <w:noWrap w:val="0"/>
            <w:vAlign w:val="center"/>
          </w:tcPr>
          <w:p w14:paraId="252974FE">
            <w:pPr>
              <w:pStyle w:val="9"/>
              <w:rPr>
                <w:rStyle w:val="45"/>
                <w:color w:val="FF0000"/>
                <w:highlight w:val="yellow"/>
                <w:lang w:bidi="ar"/>
              </w:rPr>
            </w:pPr>
            <w:r>
              <w:rPr>
                <w:rFonts w:hint="eastAsia" w:ascii="Times New Roman" w:hAnsi="Times New Roman" w:eastAsia="宋体" w:cs="Times New Roman"/>
                <w:szCs w:val="21"/>
                <w:lang w:val="en-US" w:eastAsia="zh-CN"/>
              </w:rPr>
              <w:t>8.抗滚动载荷性能：外观要求：不起毛刺、没有裂纹、断裂、劈裂、漆膜损坏；横向压痕深度：0.20mm；纵向压痕深度：0.21mm，</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6E047AC0">
            <w:pPr>
              <w:pStyle w:val="9"/>
              <w:rPr>
                <w:rStyle w:val="45"/>
                <w:color w:val="FF0000"/>
                <w:highlight w:val="yellow"/>
                <w:lang w:bidi="ar"/>
              </w:rPr>
            </w:pPr>
            <w:r>
              <w:rPr>
                <w:rStyle w:val="45"/>
                <w:color w:val="FF0000"/>
                <w:highlight w:val="yellow"/>
                <w:lang w:bidi="ar"/>
              </w:rPr>
              <w:t>（①送检单位（委托单位）需是投标人或所投产品制造商。</w:t>
            </w:r>
          </w:p>
          <w:p w14:paraId="0140A964">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16C67099">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2E3C9F0D">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33E5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4FD3B365">
            <w:pPr>
              <w:jc w:val="center"/>
              <w:rPr>
                <w:b/>
                <w:szCs w:val="21"/>
              </w:rPr>
            </w:pPr>
          </w:p>
        </w:tc>
        <w:tc>
          <w:tcPr>
            <w:tcW w:w="822" w:type="dxa"/>
            <w:vMerge w:val="continue"/>
            <w:noWrap w:val="0"/>
            <w:vAlign w:val="center"/>
          </w:tcPr>
          <w:p w14:paraId="00343CC2">
            <w:pPr>
              <w:jc w:val="center"/>
              <w:rPr>
                <w:b/>
                <w:szCs w:val="21"/>
              </w:rPr>
            </w:pPr>
          </w:p>
        </w:tc>
        <w:tc>
          <w:tcPr>
            <w:tcW w:w="7187" w:type="dxa"/>
            <w:noWrap w:val="0"/>
            <w:vAlign w:val="center"/>
          </w:tcPr>
          <w:p w14:paraId="4EA3E48E">
            <w:pPr>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9.抗冲击强度：23℃预处理：无任何开裂、劈裂、分层，有永久性压痕，压痕深度0.38mm；70℃预处理：无任何开裂、劈裂、分层，有永久性压痕，压痕深度0.36mm。</w:t>
            </w:r>
          </w:p>
        </w:tc>
      </w:tr>
      <w:tr w14:paraId="4E09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7DFCADAD">
            <w:pPr>
              <w:jc w:val="center"/>
              <w:rPr>
                <w:b/>
                <w:szCs w:val="21"/>
              </w:rPr>
            </w:pPr>
          </w:p>
        </w:tc>
        <w:tc>
          <w:tcPr>
            <w:tcW w:w="822" w:type="dxa"/>
            <w:vMerge w:val="continue"/>
            <w:noWrap w:val="0"/>
            <w:vAlign w:val="center"/>
          </w:tcPr>
          <w:p w14:paraId="3C18EA4B">
            <w:pPr>
              <w:jc w:val="center"/>
              <w:rPr>
                <w:b/>
                <w:szCs w:val="21"/>
              </w:rPr>
            </w:pPr>
          </w:p>
        </w:tc>
        <w:tc>
          <w:tcPr>
            <w:tcW w:w="7187" w:type="dxa"/>
            <w:noWrap w:val="0"/>
            <w:vAlign w:val="center"/>
          </w:tcPr>
          <w:p w14:paraId="4E3DEFB0">
            <w:pPr>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10.甲醛释放量：根据 GB 18580-2017的要求，室内装饰装修材料人造板及其制品中甲醛释放限值为 0.124 mg/m3，符合GB 18580-2017的要求。</w:t>
            </w:r>
          </w:p>
        </w:tc>
      </w:tr>
      <w:tr w14:paraId="7AC4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3A6DF5A9">
            <w:pPr>
              <w:jc w:val="center"/>
              <w:rPr>
                <w:b/>
                <w:szCs w:val="21"/>
              </w:rPr>
            </w:pPr>
          </w:p>
        </w:tc>
        <w:tc>
          <w:tcPr>
            <w:tcW w:w="822" w:type="dxa"/>
            <w:vMerge w:val="continue"/>
            <w:noWrap w:val="0"/>
            <w:vAlign w:val="center"/>
          </w:tcPr>
          <w:p w14:paraId="72EDC6FA">
            <w:pPr>
              <w:jc w:val="center"/>
              <w:rPr>
                <w:b/>
                <w:szCs w:val="21"/>
              </w:rPr>
            </w:pPr>
          </w:p>
        </w:tc>
        <w:tc>
          <w:tcPr>
            <w:tcW w:w="7187" w:type="dxa"/>
            <w:noWrap w:val="0"/>
            <w:vAlign w:val="center"/>
          </w:tcPr>
          <w:p w14:paraId="6CB43538">
            <w:pPr>
              <w:pStyle w:val="9"/>
              <w:rPr>
                <w:rStyle w:val="45"/>
                <w:color w:val="FF0000"/>
                <w:highlight w:val="yellow"/>
                <w:lang w:bidi="ar"/>
              </w:rPr>
            </w:pPr>
            <w:r>
              <w:rPr>
                <w:rFonts w:hint="eastAsia" w:ascii="Times New Roman" w:hAnsi="Times New Roman" w:eastAsia="宋体" w:cs="Times New Roman"/>
                <w:szCs w:val="21"/>
                <w:lang w:val="en-US" w:eastAsia="zh-CN"/>
              </w:rPr>
              <w:t>11.燃烧性能：符合GB8624-2012《建筑材料及制品燃烧性能分级》标准中铺地材料B1级要求，临界热辐射通量CHF≥4.5kW/m2符合GB/T 11785-2005，20S内焰尖高度 Fs≤150mm符合GB/T8626-2007，</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38FF9F29">
            <w:pPr>
              <w:pStyle w:val="9"/>
              <w:rPr>
                <w:rStyle w:val="45"/>
                <w:color w:val="FF0000"/>
                <w:highlight w:val="yellow"/>
                <w:lang w:bidi="ar"/>
              </w:rPr>
            </w:pPr>
            <w:r>
              <w:rPr>
                <w:rStyle w:val="45"/>
                <w:color w:val="FF0000"/>
                <w:highlight w:val="yellow"/>
                <w:lang w:bidi="ar"/>
              </w:rPr>
              <w:t>（①送检单位（委托单位）需是投标人或所投产品制造商。</w:t>
            </w:r>
          </w:p>
          <w:p w14:paraId="14AD98B9">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6B9153B">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5F859E6C">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227E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1BEE590E">
            <w:pPr>
              <w:jc w:val="center"/>
              <w:rPr>
                <w:b/>
                <w:szCs w:val="21"/>
              </w:rPr>
            </w:pPr>
          </w:p>
        </w:tc>
        <w:tc>
          <w:tcPr>
            <w:tcW w:w="822" w:type="dxa"/>
            <w:vMerge w:val="continue"/>
            <w:noWrap w:val="0"/>
            <w:vAlign w:val="center"/>
          </w:tcPr>
          <w:p w14:paraId="3450A58E">
            <w:pPr>
              <w:jc w:val="center"/>
              <w:rPr>
                <w:b/>
                <w:szCs w:val="21"/>
              </w:rPr>
            </w:pPr>
          </w:p>
        </w:tc>
        <w:tc>
          <w:tcPr>
            <w:tcW w:w="7187" w:type="dxa"/>
            <w:noWrap w:val="0"/>
            <w:vAlign w:val="center"/>
          </w:tcPr>
          <w:p w14:paraId="3E762C46">
            <w:pPr>
              <w:pStyle w:val="9"/>
              <w:rPr>
                <w:rStyle w:val="45"/>
                <w:color w:val="FF0000"/>
                <w:highlight w:val="yellow"/>
                <w:lang w:bidi="ar"/>
              </w:rPr>
            </w:pPr>
            <w:r>
              <w:rPr>
                <w:rFonts w:hint="eastAsia" w:ascii="宋体" w:hAnsi="宋体" w:cs="宋体"/>
                <w:b/>
                <w:kern w:val="0"/>
                <w:sz w:val="22"/>
                <w:szCs w:val="24"/>
                <w:highlight w:val="yellow"/>
              </w:rPr>
              <w:t>▲</w:t>
            </w:r>
            <w:r>
              <w:rPr>
                <w:rFonts w:hint="default" w:ascii="Times New Roman" w:hAnsi="Times New Roman" w:eastAsia="宋体" w:cs="Times New Roman"/>
                <w:szCs w:val="21"/>
                <w:lang w:val="en-US" w:eastAsia="zh-CN"/>
              </w:rPr>
              <w:t>1</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冲击韧性测定：符合GB/T1927.17-2021《无疵小试样木材物理力学性质试验方法第17部分:冲击韧性测定》要求，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7BCAB145">
            <w:pPr>
              <w:pStyle w:val="9"/>
              <w:rPr>
                <w:rStyle w:val="45"/>
                <w:color w:val="FF0000"/>
                <w:highlight w:val="yellow"/>
                <w:lang w:bidi="ar"/>
              </w:rPr>
            </w:pPr>
            <w:r>
              <w:rPr>
                <w:rStyle w:val="45"/>
                <w:color w:val="FF0000"/>
                <w:highlight w:val="yellow"/>
                <w:lang w:bidi="ar"/>
              </w:rPr>
              <w:t>（①送检单位（委托单位）需是投标人或所投产品制造商。</w:t>
            </w:r>
          </w:p>
          <w:p w14:paraId="1AE0121E">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6AE0CF81">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41DAE018">
            <w:pPr>
              <w:jc w:val="left"/>
              <w:rPr>
                <w:rFonts w:hint="eastAsia" w:ascii="Times New Roman" w:hAnsi="Times New Roman" w:eastAsia="宋体" w:cs="Times New Roman"/>
                <w:kern w:val="2"/>
                <w:sz w:val="21"/>
                <w:szCs w:val="21"/>
                <w:lang w:val="en-US" w:eastAsia="zh-CN" w:bidi="ar-SA"/>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3F70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67F1A283">
            <w:pPr>
              <w:jc w:val="center"/>
              <w:rPr>
                <w:b/>
                <w:szCs w:val="21"/>
              </w:rPr>
            </w:pPr>
          </w:p>
        </w:tc>
        <w:tc>
          <w:tcPr>
            <w:tcW w:w="822" w:type="dxa"/>
            <w:vMerge w:val="continue"/>
            <w:noWrap w:val="0"/>
            <w:vAlign w:val="center"/>
          </w:tcPr>
          <w:p w14:paraId="0376ADAF">
            <w:pPr>
              <w:jc w:val="center"/>
              <w:rPr>
                <w:b/>
                <w:szCs w:val="21"/>
              </w:rPr>
            </w:pPr>
          </w:p>
        </w:tc>
        <w:tc>
          <w:tcPr>
            <w:tcW w:w="7187" w:type="dxa"/>
            <w:noWrap w:val="0"/>
            <w:vAlign w:val="center"/>
          </w:tcPr>
          <w:p w14:paraId="4615CFF2">
            <w:pPr>
              <w:pStyle w:val="9"/>
              <w:rPr>
                <w:rStyle w:val="45"/>
                <w:color w:val="FF0000"/>
                <w:highlight w:val="yellow"/>
                <w:lang w:bidi="ar"/>
              </w:rPr>
            </w:pPr>
            <w:r>
              <w:rPr>
                <w:rFonts w:hint="eastAsia" w:ascii="宋体" w:hAnsi="宋体" w:cs="宋体"/>
                <w:b/>
                <w:kern w:val="0"/>
                <w:sz w:val="22"/>
                <w:szCs w:val="24"/>
                <w:highlight w:val="yellow"/>
              </w:rPr>
              <w:t>▲</w:t>
            </w:r>
            <w:r>
              <w:rPr>
                <w:rFonts w:hint="eastAsia" w:ascii="Times New Roman" w:hAnsi="Times New Roman" w:eastAsia="宋体" w:cs="Times New Roman"/>
                <w:szCs w:val="21"/>
                <w:lang w:val="en-US" w:eastAsia="zh-CN"/>
              </w:rPr>
              <w:t>13.湿胀性测定：符合GB/T 1927.8-2021《无疵小试样木材物理力学性质试验方法第8部分:湿胀性测定》要求，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4BBE9F38">
            <w:pPr>
              <w:pStyle w:val="9"/>
              <w:rPr>
                <w:rStyle w:val="45"/>
                <w:color w:val="FF0000"/>
                <w:highlight w:val="yellow"/>
                <w:lang w:bidi="ar"/>
              </w:rPr>
            </w:pPr>
            <w:r>
              <w:rPr>
                <w:rStyle w:val="45"/>
                <w:color w:val="FF0000"/>
                <w:highlight w:val="yellow"/>
                <w:lang w:bidi="ar"/>
              </w:rPr>
              <w:t>（①送检单位（委托单位）需是投标人或所投产品制造商。</w:t>
            </w:r>
          </w:p>
          <w:p w14:paraId="22EE83A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7902B6D">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7DD0D925">
            <w:pPr>
              <w:jc w:val="left"/>
              <w:rPr>
                <w:rFonts w:hint="eastAsia" w:ascii="Times New Roman" w:hAnsi="Times New Roman" w:eastAsia="宋体" w:cs="Times New Roman"/>
                <w:kern w:val="2"/>
                <w:sz w:val="21"/>
                <w:szCs w:val="21"/>
                <w:lang w:val="en-US" w:eastAsia="zh-CN" w:bidi="ar-SA"/>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0556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0" w:type="dxa"/>
            <w:vMerge w:val="restart"/>
            <w:noWrap w:val="0"/>
            <w:vAlign w:val="center"/>
          </w:tcPr>
          <w:p w14:paraId="0180A2E1">
            <w:pPr>
              <w:jc w:val="center"/>
              <w:rPr>
                <w:b/>
                <w:szCs w:val="21"/>
              </w:rPr>
            </w:pPr>
            <w:r>
              <w:rPr>
                <w:rFonts w:hint="eastAsia"/>
                <w:b/>
                <w:szCs w:val="21"/>
              </w:rPr>
              <w:t>2</w:t>
            </w:r>
          </w:p>
        </w:tc>
        <w:tc>
          <w:tcPr>
            <w:tcW w:w="822" w:type="dxa"/>
            <w:vMerge w:val="restart"/>
            <w:noWrap w:val="0"/>
            <w:vAlign w:val="center"/>
          </w:tcPr>
          <w:p w14:paraId="5F033EA3">
            <w:pPr>
              <w:jc w:val="center"/>
              <w:rPr>
                <w:rFonts w:hint="eastAsia"/>
                <w:b/>
                <w:szCs w:val="21"/>
              </w:rPr>
            </w:pPr>
            <w:r>
              <w:rPr>
                <w:rFonts w:hint="eastAsia"/>
                <w:b/>
                <w:bCs w:val="0"/>
                <w:szCs w:val="21"/>
                <w:lang w:val="en-US" w:eastAsia="zh-CN"/>
              </w:rPr>
              <w:t>弹性橡胶垫</w:t>
            </w:r>
          </w:p>
        </w:tc>
        <w:tc>
          <w:tcPr>
            <w:tcW w:w="7187" w:type="dxa"/>
            <w:noWrap w:val="0"/>
            <w:vAlign w:val="top"/>
          </w:tcPr>
          <w:p w14:paraId="3A63DE42">
            <w:pPr>
              <w:pStyle w:val="9"/>
              <w:numPr>
                <w:ilvl w:val="0"/>
                <w:numId w:val="2"/>
              </w:numP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具有依据GB/T19889.3-2005 GB/T50121-2005 检测空气声隔声量，且检测结论为合格的检测报告。</w:t>
            </w:r>
          </w:p>
          <w:p w14:paraId="06B2041D">
            <w:pPr>
              <w:pStyle w:val="9"/>
              <w:numPr>
                <w:ilvl w:val="0"/>
                <w:numId w:val="0"/>
              </w:numPr>
              <w:rPr>
                <w:rStyle w:val="45"/>
                <w:color w:val="FF0000"/>
                <w:highlight w:val="yellow"/>
                <w:lang w:bidi="ar"/>
              </w:rPr>
            </w:pP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10C3DF15">
            <w:pPr>
              <w:pStyle w:val="9"/>
              <w:rPr>
                <w:rStyle w:val="45"/>
                <w:color w:val="FF0000"/>
                <w:highlight w:val="yellow"/>
                <w:lang w:bidi="ar"/>
              </w:rPr>
            </w:pPr>
            <w:r>
              <w:rPr>
                <w:rStyle w:val="45"/>
                <w:color w:val="FF0000"/>
                <w:highlight w:val="yellow"/>
                <w:lang w:bidi="ar"/>
              </w:rPr>
              <w:t>（①送检单位（委托单位）需是投标人或所投产品制造商。</w:t>
            </w:r>
          </w:p>
          <w:p w14:paraId="3D84B22C">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43215DE8">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68645104">
            <w:pPr>
              <w:jc w:val="left"/>
              <w:rPr>
                <w:rFonts w:hint="eastAsia" w:ascii="Times New Roman" w:hAnsi="Times New Roman" w:eastAsia="宋体" w:cs="Times New Roman"/>
                <w:color w:val="FF0000"/>
                <w:szCs w:val="21"/>
                <w:lang w:val="en-US" w:eastAsia="zh-CN"/>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5C10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0" w:type="dxa"/>
            <w:vMerge w:val="continue"/>
            <w:noWrap w:val="0"/>
            <w:vAlign w:val="center"/>
          </w:tcPr>
          <w:p w14:paraId="16533A95">
            <w:pPr>
              <w:jc w:val="center"/>
              <w:rPr>
                <w:b/>
                <w:szCs w:val="21"/>
              </w:rPr>
            </w:pPr>
          </w:p>
        </w:tc>
        <w:tc>
          <w:tcPr>
            <w:tcW w:w="822" w:type="dxa"/>
            <w:vMerge w:val="continue"/>
            <w:noWrap w:val="0"/>
            <w:vAlign w:val="center"/>
          </w:tcPr>
          <w:p w14:paraId="481A7635">
            <w:pPr>
              <w:jc w:val="center"/>
              <w:rPr>
                <w:b/>
                <w:szCs w:val="21"/>
              </w:rPr>
            </w:pPr>
          </w:p>
        </w:tc>
        <w:tc>
          <w:tcPr>
            <w:tcW w:w="7187" w:type="dxa"/>
            <w:noWrap w:val="0"/>
            <w:vAlign w:val="top"/>
          </w:tcPr>
          <w:p w14:paraId="0A45C6D4">
            <w:pPr>
              <w:pStyle w:val="9"/>
              <w:rPr>
                <w:rFonts w:hint="eastAsia" w:ascii="Times New Roman" w:hAnsi="Times New Roman" w:eastAsia="宋体" w:cs="Times New Roman"/>
                <w:b/>
                <w:bCs w:val="0"/>
                <w:color w:val="FF0000"/>
                <w:szCs w:val="21"/>
                <w:highlight w:val="yellow"/>
                <w:lang w:val="en-US" w:eastAsia="zh-CN"/>
              </w:rPr>
            </w:pPr>
            <w:r>
              <w:rPr>
                <w:rFonts w:hint="eastAsia" w:ascii="宋体" w:hAnsi="宋体" w:cs="宋体"/>
                <w:b/>
                <w:bCs w:val="0"/>
                <w:color w:val="FF0000"/>
                <w:kern w:val="0"/>
                <w:sz w:val="22"/>
                <w:szCs w:val="24"/>
                <w:highlight w:val="yellow"/>
              </w:rPr>
              <w:t>★</w:t>
            </w:r>
            <w:r>
              <w:rPr>
                <w:rFonts w:hint="eastAsia" w:ascii="Times New Roman" w:hAnsi="Times New Roman" w:eastAsia="宋体" w:cs="Times New Roman"/>
                <w:b/>
                <w:bCs w:val="0"/>
                <w:color w:val="FF0000"/>
                <w:szCs w:val="21"/>
                <w:highlight w:val="yellow"/>
                <w:lang w:val="en-US" w:eastAsia="zh-CN"/>
              </w:rPr>
              <w:t>2</w:t>
            </w:r>
            <w:r>
              <w:rPr>
                <w:rFonts w:hint="eastAsia" w:ascii="Times New Roman" w:hAnsi="Times New Roman" w:eastAsia="宋体" w:cs="Times New Roman"/>
                <w:color w:val="FF0000"/>
                <w:szCs w:val="21"/>
                <w:lang w:val="en-US" w:eastAsia="zh-CN"/>
              </w:rPr>
              <w:t>具有</w:t>
            </w:r>
            <w:r>
              <w:rPr>
                <w:rFonts w:hint="eastAsia" w:ascii="Times New Roman" w:hAnsi="Times New Roman" w:eastAsia="宋体" w:cs="Times New Roman"/>
                <w:b/>
                <w:bCs w:val="0"/>
                <w:color w:val="FF0000"/>
                <w:szCs w:val="21"/>
                <w:highlight w:val="yellow"/>
                <w:lang w:val="en-US" w:eastAsia="zh-CN"/>
              </w:rPr>
              <w:t>依据GB36246-2018《中小学合成材料面层运动场地》检测，且检测结论为合格的检测报告。</w:t>
            </w:r>
          </w:p>
          <w:p w14:paraId="6C90144D">
            <w:pPr>
              <w:pStyle w:val="9"/>
              <w:rPr>
                <w:rStyle w:val="45"/>
                <w:color w:val="FF0000"/>
                <w:highlight w:val="yellow"/>
                <w:lang w:bidi="ar"/>
              </w:rPr>
            </w:pP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4088115C">
            <w:pPr>
              <w:pStyle w:val="9"/>
              <w:rPr>
                <w:rStyle w:val="45"/>
                <w:color w:val="FF0000"/>
                <w:highlight w:val="yellow"/>
                <w:lang w:bidi="ar"/>
              </w:rPr>
            </w:pPr>
            <w:r>
              <w:rPr>
                <w:rStyle w:val="45"/>
                <w:color w:val="FF0000"/>
                <w:highlight w:val="yellow"/>
                <w:lang w:bidi="ar"/>
              </w:rPr>
              <w:t>（①送检单位（委托单位）需是投标人或所投产品制造商。</w:t>
            </w:r>
          </w:p>
          <w:p w14:paraId="01C7964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33857638">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4006C9FA">
            <w:pPr>
              <w:jc w:val="left"/>
              <w:rPr>
                <w:b/>
                <w:color w:val="FF0000"/>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4CA9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0" w:type="dxa"/>
            <w:vMerge w:val="continue"/>
            <w:noWrap w:val="0"/>
            <w:vAlign w:val="center"/>
          </w:tcPr>
          <w:p w14:paraId="6FC15FAA">
            <w:pPr>
              <w:jc w:val="center"/>
              <w:rPr>
                <w:b/>
                <w:szCs w:val="21"/>
              </w:rPr>
            </w:pPr>
          </w:p>
        </w:tc>
        <w:tc>
          <w:tcPr>
            <w:tcW w:w="822" w:type="dxa"/>
            <w:vMerge w:val="continue"/>
            <w:noWrap w:val="0"/>
            <w:vAlign w:val="center"/>
          </w:tcPr>
          <w:p w14:paraId="39F56F3A">
            <w:pPr>
              <w:jc w:val="center"/>
              <w:rPr>
                <w:b/>
                <w:szCs w:val="21"/>
              </w:rPr>
            </w:pPr>
          </w:p>
        </w:tc>
        <w:tc>
          <w:tcPr>
            <w:tcW w:w="7187" w:type="dxa"/>
            <w:noWrap w:val="0"/>
            <w:vAlign w:val="top"/>
          </w:tcPr>
          <w:p w14:paraId="3D41569A">
            <w:pPr>
              <w:pStyle w:val="9"/>
              <w:rPr>
                <w:rFonts w:hint="eastAsia" w:ascii="Times New Roman" w:hAnsi="Times New Roman" w:eastAsia="宋体" w:cs="Times New Roman"/>
                <w:color w:val="FF0000"/>
                <w:szCs w:val="21"/>
                <w:lang w:val="en-US" w:eastAsia="zh-CN"/>
              </w:rPr>
            </w:pPr>
            <w:r>
              <w:rPr>
                <w:rFonts w:hint="eastAsia" w:ascii="宋体" w:hAnsi="宋体" w:cs="宋体"/>
                <w:b/>
                <w:color w:val="FF0000"/>
                <w:kern w:val="0"/>
                <w:sz w:val="22"/>
                <w:szCs w:val="24"/>
                <w:highlight w:val="yellow"/>
              </w:rPr>
              <w:t>▲</w:t>
            </w:r>
            <w:r>
              <w:rPr>
                <w:rFonts w:hint="eastAsia" w:ascii="Times New Roman" w:hAnsi="Times New Roman" w:eastAsia="宋体" w:cs="Times New Roman"/>
                <w:color w:val="FF0000"/>
                <w:szCs w:val="21"/>
                <w:lang w:val="en-US" w:eastAsia="zh-CN"/>
              </w:rPr>
              <w:t>3.面层原材料环保EPDM橡胶颗粒具有依据HG/T 3747.1-2011标准检测，且检测结论为合格的检测报告。</w:t>
            </w:r>
          </w:p>
          <w:p w14:paraId="1FA763E9">
            <w:pPr>
              <w:pStyle w:val="9"/>
              <w:rPr>
                <w:rStyle w:val="45"/>
                <w:color w:val="FF0000"/>
                <w:highlight w:val="yellow"/>
                <w:lang w:bidi="ar"/>
              </w:rPr>
            </w:pP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418DB210">
            <w:pPr>
              <w:pStyle w:val="9"/>
              <w:rPr>
                <w:rStyle w:val="45"/>
                <w:color w:val="FF0000"/>
                <w:highlight w:val="yellow"/>
                <w:lang w:bidi="ar"/>
              </w:rPr>
            </w:pPr>
            <w:r>
              <w:rPr>
                <w:rStyle w:val="45"/>
                <w:color w:val="FF0000"/>
                <w:highlight w:val="yellow"/>
                <w:lang w:bidi="ar"/>
              </w:rPr>
              <w:t>（①送检单位（委托单位）需是投标人或所投产品制造商。</w:t>
            </w:r>
          </w:p>
          <w:p w14:paraId="5F15B0AE">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A5094D9">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3442C245">
            <w:pPr>
              <w:jc w:val="left"/>
              <w:rPr>
                <w:b/>
                <w:color w:val="FF0000"/>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bl>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w:t>
      </w:r>
      <w:bookmarkStart w:id="111" w:name="_GoBack"/>
      <w:bookmarkEnd w:id="111"/>
      <w:r>
        <w:rPr>
          <w:rFonts w:hint="eastAsia" w:ascii="宋体" w:hAnsi="宋体" w:eastAsia="宋体" w:cs="Times New Roman"/>
          <w:b/>
          <w:color w:val="FF0000"/>
          <w:szCs w:val="21"/>
        </w:rPr>
        <w:t>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6741708C">
      <w:pPr>
        <w:pStyle w:val="2"/>
        <w:rPr>
          <w:rFonts w:ascii="Calibri" w:hAnsi="Calibri" w:eastAsia="宋体" w:cs="Times New Roman"/>
          <w:color w:val="FF0000"/>
          <w:szCs w:val="21"/>
        </w:rPr>
      </w:pPr>
    </w:p>
    <w:p w14:paraId="121235C6">
      <w:pPr>
        <w:pStyle w:val="2"/>
        <w:rPr>
          <w:sz w:val="32"/>
          <w:szCs w:val="32"/>
        </w:rPr>
      </w:pPr>
      <w:r>
        <w:rPr>
          <w:sz w:val="32"/>
          <w:szCs w:val="32"/>
        </w:rPr>
        <w:t>项目技术要求</w:t>
      </w:r>
    </w:p>
    <w:p w14:paraId="5B99513C">
      <w:pPr>
        <w:ind w:firstLine="420" w:firstLineChars="200"/>
        <w:rPr>
          <w:rFonts w:hint="eastAsia"/>
          <w:color w:val="auto"/>
          <w:lang w:val="en-US" w:eastAsia="zh-CN"/>
        </w:rPr>
      </w:pPr>
      <w:r>
        <w:rPr>
          <w:rFonts w:hint="eastAsia"/>
          <w:color w:val="auto"/>
          <w:lang w:val="en-US" w:eastAsia="zh-CN"/>
        </w:rPr>
        <w:t>1、基础检测</w:t>
      </w:r>
      <w:r>
        <w:rPr>
          <w:rFonts w:hint="eastAsia"/>
          <w:color w:val="auto"/>
          <w:lang w:val="en-US" w:eastAsia="zh-CN"/>
        </w:rPr>
        <w:br w:type="textWrapping"/>
      </w:r>
      <w:r>
        <w:rPr>
          <w:rFonts w:hint="eastAsia"/>
          <w:color w:val="auto"/>
          <w:lang w:val="en-US" w:eastAsia="zh-CN"/>
        </w:rPr>
        <w:t>准备相关检测用品并对地面进行现场检测，保证场地有更好的施工效果和保障木地板场地的质量。</w:t>
      </w:r>
      <w:r>
        <w:rPr>
          <w:rFonts w:hint="eastAsia"/>
          <w:color w:val="auto"/>
          <w:lang w:val="en-US" w:eastAsia="zh-CN"/>
        </w:rPr>
        <w:br w:type="textWrapping"/>
      </w:r>
      <w:r>
        <w:rPr>
          <w:rFonts w:hint="eastAsia"/>
          <w:color w:val="auto"/>
          <w:lang w:val="en-US" w:eastAsia="zh-CN"/>
        </w:rPr>
        <w:t>（1）试水检测：利用水的流动性，在场地上浇水，积水区域便是较凹陷位置；</w:t>
      </w:r>
      <w:r>
        <w:rPr>
          <w:rFonts w:hint="eastAsia"/>
          <w:color w:val="auto"/>
          <w:lang w:val="en-US" w:eastAsia="zh-CN"/>
        </w:rPr>
        <w:br w:type="textWrapping"/>
      </w:r>
      <w:r>
        <w:rPr>
          <w:rFonts w:hint="eastAsia"/>
          <w:color w:val="auto"/>
          <w:lang w:val="en-US" w:eastAsia="zh-CN"/>
        </w:rPr>
        <w:t>（2）直尺检测：使用铝合金直尺，利用合金尺本身的刚性，找出凹陷区域；</w:t>
      </w:r>
      <w:r>
        <w:rPr>
          <w:rFonts w:hint="eastAsia"/>
          <w:color w:val="auto"/>
          <w:lang w:val="en-US" w:eastAsia="zh-CN"/>
        </w:rPr>
        <w:br w:type="textWrapping"/>
      </w:r>
      <w:r>
        <w:rPr>
          <w:rFonts w:hint="eastAsia"/>
          <w:color w:val="auto"/>
          <w:lang w:val="en-US" w:eastAsia="zh-CN"/>
        </w:rPr>
        <w:t>（3）使用温度计检测温度；</w:t>
      </w:r>
      <w:r>
        <w:rPr>
          <w:rFonts w:hint="eastAsia"/>
          <w:color w:val="auto"/>
          <w:lang w:val="en-US" w:eastAsia="zh-CN"/>
        </w:rPr>
        <w:br w:type="textWrapping"/>
      </w:r>
      <w:r>
        <w:rPr>
          <w:rFonts w:hint="eastAsia"/>
          <w:color w:val="auto"/>
          <w:lang w:val="en-US" w:eastAsia="zh-CN"/>
        </w:rPr>
        <w:t>（4）用硬度测试仪检测地面基层的表面硬度</w:t>
      </w:r>
    </w:p>
    <w:p w14:paraId="5F848A92">
      <w:pPr>
        <w:ind w:firstLine="420" w:firstLineChars="200"/>
        <w:rPr>
          <w:rFonts w:hint="eastAsia"/>
          <w:color w:val="auto"/>
          <w:lang w:val="en-US" w:eastAsia="zh-CN"/>
        </w:rPr>
      </w:pPr>
      <w:r>
        <w:rPr>
          <w:rFonts w:hint="eastAsia"/>
          <w:color w:val="auto"/>
          <w:lang w:val="en-US" w:eastAsia="zh-CN"/>
        </w:rPr>
        <w:t>2、基础处理</w:t>
      </w:r>
    </w:p>
    <w:p w14:paraId="61974E12">
      <w:pPr>
        <w:ind w:firstLine="420" w:firstLineChars="200"/>
        <w:rPr>
          <w:rFonts w:hint="eastAsia"/>
          <w:color w:val="auto"/>
          <w:lang w:val="en-US" w:eastAsia="zh-CN"/>
        </w:rPr>
      </w:pPr>
      <w:r>
        <w:rPr>
          <w:rFonts w:hint="eastAsia"/>
          <w:color w:val="auto"/>
          <w:lang w:val="en-US" w:eastAsia="zh-CN"/>
        </w:rPr>
        <w:t>在对场地进行施工前，可先对地面进行简单处理，使施工可顺利进行，减少因地面问题而导致的工期延误或出现其他影响完工效果的情况。</w:t>
      </w:r>
    </w:p>
    <w:p w14:paraId="4F5936D7">
      <w:pPr>
        <w:ind w:firstLine="420" w:firstLineChars="200"/>
        <w:rPr>
          <w:rFonts w:hint="eastAsia"/>
          <w:color w:val="auto"/>
          <w:lang w:val="en-US" w:eastAsia="zh-CN"/>
        </w:rPr>
      </w:pPr>
      <w:r>
        <w:rPr>
          <w:rFonts w:hint="eastAsia"/>
          <w:color w:val="auto"/>
          <w:lang w:val="en-US" w:eastAsia="zh-CN"/>
        </w:rPr>
        <w:t>（1）清理：</w:t>
      </w:r>
    </w:p>
    <w:p w14:paraId="7C14EB52">
      <w:pPr>
        <w:ind w:firstLine="420" w:firstLineChars="200"/>
        <w:rPr>
          <w:rFonts w:hint="eastAsia"/>
          <w:color w:val="auto"/>
          <w:lang w:val="en-US" w:eastAsia="zh-CN"/>
        </w:rPr>
      </w:pPr>
      <w:r>
        <w:rPr>
          <w:rFonts w:hint="eastAsia"/>
          <w:color w:val="auto"/>
          <w:lang w:val="en-US" w:eastAsia="zh-CN"/>
        </w:rPr>
        <w:t>油污：用专用清洗剂洗除；</w:t>
      </w:r>
    </w:p>
    <w:p w14:paraId="63FE6BA3">
      <w:pPr>
        <w:ind w:firstLine="420" w:firstLineChars="200"/>
        <w:rPr>
          <w:rFonts w:hint="eastAsia"/>
          <w:color w:val="auto"/>
          <w:lang w:val="en-US" w:eastAsia="zh-CN"/>
        </w:rPr>
      </w:pPr>
      <w:r>
        <w:rPr>
          <w:rFonts w:hint="eastAsia"/>
          <w:color w:val="auto"/>
          <w:lang w:val="en-US" w:eastAsia="zh-CN"/>
        </w:rPr>
        <w:t>污灰：扫帚扫净后用吹风机吹干净；</w:t>
      </w:r>
    </w:p>
    <w:p w14:paraId="0E30B5FA">
      <w:pPr>
        <w:ind w:firstLine="420" w:firstLineChars="200"/>
        <w:rPr>
          <w:rFonts w:hint="eastAsia"/>
          <w:color w:val="auto"/>
          <w:lang w:val="en-US" w:eastAsia="zh-CN"/>
        </w:rPr>
      </w:pPr>
      <w:r>
        <w:rPr>
          <w:rFonts w:hint="eastAsia"/>
          <w:color w:val="auto"/>
          <w:lang w:val="en-US" w:eastAsia="zh-CN"/>
        </w:rPr>
        <w:t>较牢固的凸状物：用铲刀铲除并清理；</w:t>
      </w:r>
    </w:p>
    <w:p w14:paraId="4083CDF7">
      <w:pPr>
        <w:ind w:firstLine="420" w:firstLineChars="200"/>
        <w:rPr>
          <w:rFonts w:hint="eastAsia"/>
          <w:color w:val="auto"/>
          <w:lang w:val="en-US" w:eastAsia="zh-CN"/>
        </w:rPr>
      </w:pPr>
      <w:r>
        <w:rPr>
          <w:rFonts w:hint="eastAsia"/>
          <w:color w:val="auto"/>
          <w:lang w:val="en-US" w:eastAsia="zh-CN"/>
        </w:rPr>
        <w:t>（2）修补：</w:t>
      </w:r>
    </w:p>
    <w:p w14:paraId="570EC241">
      <w:pPr>
        <w:ind w:firstLine="420" w:firstLineChars="200"/>
        <w:rPr>
          <w:rFonts w:hint="eastAsia"/>
          <w:color w:val="auto"/>
          <w:lang w:val="en-US" w:eastAsia="zh-CN"/>
        </w:rPr>
      </w:pPr>
      <w:r>
        <w:rPr>
          <w:rFonts w:hint="eastAsia"/>
          <w:color w:val="auto"/>
          <w:lang w:val="en-US" w:eastAsia="zh-CN"/>
        </w:rPr>
        <w:t>凹陷填补：对于凹陷区域，用配比好的弹性橡胶垫等修补材料将其填补；</w:t>
      </w:r>
    </w:p>
    <w:p w14:paraId="211877C2">
      <w:pPr>
        <w:ind w:firstLine="420" w:firstLineChars="200"/>
        <w:rPr>
          <w:rFonts w:hint="eastAsia"/>
          <w:color w:val="auto"/>
          <w:lang w:val="en-US" w:eastAsia="zh-CN"/>
        </w:rPr>
      </w:pPr>
      <w:r>
        <w:rPr>
          <w:rFonts w:hint="eastAsia"/>
          <w:color w:val="auto"/>
          <w:lang w:val="en-US" w:eastAsia="zh-CN"/>
        </w:rPr>
        <w:t>凸起处打磨：对于凸起的地方，使用水磨机或者砂带打磨机将其磨平。</w:t>
      </w:r>
    </w:p>
    <w:p w14:paraId="4B43FBD9">
      <w:pPr>
        <w:ind w:firstLine="420" w:firstLineChars="200"/>
        <w:rPr>
          <w:rFonts w:hint="eastAsia"/>
          <w:color w:val="auto"/>
          <w:lang w:val="en-US" w:eastAsia="zh-CN"/>
        </w:rPr>
      </w:pPr>
      <w:r>
        <w:rPr>
          <w:rFonts w:hint="eastAsia"/>
          <w:color w:val="auto"/>
          <w:lang w:val="en-US" w:eastAsia="zh-CN"/>
        </w:rPr>
        <w:t>3、安装工艺</w:t>
      </w:r>
    </w:p>
    <w:p w14:paraId="06BACDEB">
      <w:pPr>
        <w:ind w:firstLine="420" w:firstLineChars="200"/>
        <w:rPr>
          <w:rFonts w:hint="eastAsia"/>
          <w:color w:val="auto"/>
          <w:lang w:val="en-US" w:eastAsia="zh-CN"/>
        </w:rPr>
      </w:pPr>
      <w:r>
        <w:rPr>
          <w:rFonts w:hint="eastAsia"/>
          <w:color w:val="auto"/>
          <w:lang w:val="en-US" w:eastAsia="zh-CN"/>
        </w:rPr>
        <w:t>（1）测量放线、找平</w:t>
      </w:r>
    </w:p>
    <w:p w14:paraId="5C67D8D5">
      <w:pPr>
        <w:ind w:firstLine="420" w:firstLineChars="200"/>
        <w:rPr>
          <w:rFonts w:hint="eastAsia"/>
          <w:color w:val="auto"/>
          <w:lang w:val="en-US" w:eastAsia="zh-CN"/>
        </w:rPr>
      </w:pPr>
      <w:r>
        <w:rPr>
          <w:rFonts w:hint="eastAsia"/>
          <w:color w:val="auto"/>
          <w:lang w:val="en-US" w:eastAsia="zh-CN"/>
        </w:rPr>
        <w:t>1）满铺PVC防潮膜，弹线的距离400mm×408mm，防潮膜要铺装到四周墙壁位置（中间粘接要严密，地面连接不要搓动和移位）；</w:t>
      </w:r>
    </w:p>
    <w:p w14:paraId="74D9DE1A">
      <w:pPr>
        <w:ind w:firstLine="420" w:firstLineChars="200"/>
        <w:rPr>
          <w:rFonts w:hint="eastAsia"/>
          <w:color w:val="auto"/>
          <w:lang w:val="en-US" w:eastAsia="zh-CN"/>
        </w:rPr>
      </w:pPr>
      <w:r>
        <w:rPr>
          <w:rFonts w:hint="eastAsia"/>
          <w:color w:val="auto"/>
          <w:lang w:val="en-US" w:eastAsia="zh-CN"/>
        </w:rPr>
        <w:t>2）弹线尺寸跟龙骨和毛板尺寸有关联，龙骨的弹线方向要提前根据运动方向倒退。</w:t>
      </w:r>
    </w:p>
    <w:p w14:paraId="4D7771CC">
      <w:pPr>
        <w:ind w:firstLine="420" w:firstLineChars="200"/>
        <w:rPr>
          <w:rFonts w:hint="eastAsia"/>
          <w:color w:val="auto"/>
          <w:lang w:val="en-US" w:eastAsia="zh-CN"/>
        </w:rPr>
      </w:pPr>
      <w:r>
        <w:rPr>
          <w:rFonts w:hint="eastAsia"/>
          <w:color w:val="auto"/>
          <w:lang w:val="en-US" w:eastAsia="zh-CN"/>
        </w:rPr>
        <w:t>3）水平仪通过多个位置确定最高点，找到场地的落差和起伏，制定的找平方案和找平材料。</w:t>
      </w:r>
    </w:p>
    <w:p w14:paraId="20F5D8FB">
      <w:pPr>
        <w:ind w:firstLine="420" w:firstLineChars="200"/>
        <w:rPr>
          <w:rFonts w:hint="eastAsia"/>
          <w:color w:val="auto"/>
          <w:lang w:val="en-US" w:eastAsia="zh-CN"/>
        </w:rPr>
      </w:pPr>
      <w:r>
        <w:rPr>
          <w:rFonts w:hint="eastAsia"/>
          <w:color w:val="auto"/>
          <w:lang w:val="en-US" w:eastAsia="zh-CN"/>
        </w:rPr>
        <w:t>4）找平是场地的基础，一定把误差控制在最小≤3㎜\2m。</w:t>
      </w:r>
    </w:p>
    <w:p w14:paraId="780F7354">
      <w:pPr>
        <w:ind w:firstLine="420" w:firstLineChars="200"/>
        <w:rPr>
          <w:rFonts w:hint="eastAsia"/>
          <w:color w:val="auto"/>
          <w:lang w:val="en-US" w:eastAsia="zh-CN"/>
        </w:rPr>
      </w:pPr>
      <w:r>
        <w:rPr>
          <w:rFonts w:hint="eastAsia"/>
          <w:color w:val="auto"/>
          <w:lang w:val="en-US" w:eastAsia="zh-CN"/>
        </w:rPr>
        <w:t>（2）基础检测及处理</w:t>
      </w:r>
    </w:p>
    <w:p w14:paraId="3EB5709E">
      <w:pPr>
        <w:ind w:firstLine="420" w:firstLineChars="200"/>
        <w:rPr>
          <w:rFonts w:hint="eastAsia"/>
          <w:color w:val="auto"/>
          <w:lang w:val="en-US" w:eastAsia="zh-CN"/>
        </w:rPr>
      </w:pPr>
      <w:r>
        <w:rPr>
          <w:rFonts w:hint="eastAsia"/>
          <w:color w:val="auto"/>
          <w:lang w:val="en-US" w:eastAsia="zh-CN"/>
        </w:rPr>
        <w:t>对基础进行严格检查，对存在的表面缺陷及时予以修正，在确保符合面层施工条件的情 况下，用进口镭射找平仪在基准点上测水泥地面的高度误差，同时做好记录，在基准点的地面上标出高度值。</w:t>
      </w:r>
    </w:p>
    <w:p w14:paraId="3CC3173E">
      <w:pPr>
        <w:pStyle w:val="2"/>
        <w:rPr>
          <w:rFonts w:hint="eastAsia" w:ascii="宋体" w:hAnsi="宋体" w:eastAsia="宋体" w:cs="宋体"/>
          <w:bCs/>
          <w:lang w:eastAsia="zh-CN"/>
        </w:rPr>
      </w:pPr>
    </w:p>
    <w:p w14:paraId="543182F6">
      <w:pPr>
        <w:pStyle w:val="2"/>
        <w:rPr>
          <w:rFonts w:hint="eastAsia" w:ascii="宋体" w:hAnsi="宋体" w:eastAsia="宋体" w:cs="宋体"/>
          <w:bCs/>
          <w:lang w:eastAsia="zh-CN"/>
        </w:rPr>
      </w:pPr>
    </w:p>
    <w:p w14:paraId="6CD72CFF">
      <w:pPr>
        <w:pStyle w:val="2"/>
        <w:rPr>
          <w:rFonts w:hint="eastAsia" w:ascii="宋体" w:hAnsi="宋体" w:eastAsia="宋体" w:cs="宋体"/>
          <w:bCs/>
          <w:lang w:eastAsia="zh-CN"/>
        </w:rPr>
      </w:pPr>
    </w:p>
    <w:p w14:paraId="1AAAB979">
      <w:pPr>
        <w:pStyle w:val="2"/>
        <w:rPr>
          <w:rFonts w:hint="eastAsia" w:ascii="宋体" w:hAnsi="宋体" w:eastAsia="宋体" w:cs="宋体"/>
          <w:bCs/>
          <w:lang w:eastAsia="zh-CN"/>
        </w:rPr>
      </w:pPr>
    </w:p>
    <w:p w14:paraId="688CD17F">
      <w:pPr>
        <w:pStyle w:val="2"/>
        <w:rPr>
          <w:rFonts w:hint="eastAsia" w:ascii="宋体" w:hAnsi="宋体" w:eastAsia="宋体" w:cs="宋体"/>
          <w:bCs/>
          <w:lang w:eastAsia="zh-CN"/>
        </w:rPr>
      </w:pPr>
    </w:p>
    <w:p w14:paraId="48317813">
      <w:pPr>
        <w:pStyle w:val="2"/>
        <w:rPr>
          <w:rFonts w:hint="eastAsia" w:ascii="宋体" w:hAnsi="宋体" w:eastAsia="宋体" w:cs="宋体"/>
          <w:bCs/>
          <w:lang w:eastAsia="zh-CN"/>
        </w:rPr>
      </w:pPr>
    </w:p>
    <w:p w14:paraId="26D3C4CD">
      <w:pPr>
        <w:pStyle w:val="2"/>
        <w:rPr>
          <w:rFonts w:hint="eastAsia" w:ascii="宋体" w:hAnsi="宋体" w:eastAsia="宋体" w:cs="宋体"/>
          <w:bCs/>
          <w:lang w:eastAsia="zh-CN"/>
        </w:rPr>
      </w:pPr>
    </w:p>
    <w:p w14:paraId="011C9BEA">
      <w:pPr>
        <w:pStyle w:val="2"/>
        <w:rPr>
          <w:rFonts w:hint="eastAsia" w:ascii="宋体" w:hAnsi="宋体" w:eastAsia="宋体" w:cs="宋体"/>
          <w:bCs/>
          <w:lang w:eastAsia="zh-CN"/>
        </w:rPr>
      </w:pPr>
    </w:p>
    <w:p w14:paraId="2A5EF475">
      <w:pPr>
        <w:pStyle w:val="2"/>
        <w:rPr>
          <w:rFonts w:hint="eastAsia" w:ascii="宋体" w:hAnsi="宋体" w:eastAsia="宋体" w:cs="宋体"/>
          <w:bCs/>
          <w:lang w:eastAsia="zh-CN"/>
        </w:rPr>
      </w:pPr>
    </w:p>
    <w:p w14:paraId="458D9BF7">
      <w:pPr>
        <w:pStyle w:val="2"/>
        <w:keepNext w:val="0"/>
        <w:keepLines w:val="0"/>
        <w:pageBreakBefore w:val="0"/>
        <w:widowControl w:val="0"/>
        <w:kinsoku/>
        <w:wordWrap w:val="0"/>
        <w:overflowPunct/>
        <w:topLinePunct w:val="0"/>
        <w:autoSpaceDE/>
        <w:autoSpaceDN/>
        <w:bidi w:val="0"/>
        <w:adjustRightInd/>
        <w:snapToGrid/>
        <w:textAlignment w:val="auto"/>
        <w:rPr>
          <w:rFonts w:hint="eastAsia"/>
          <w:sz w:val="32"/>
          <w:szCs w:val="32"/>
          <w:lang w:eastAsia="zh-CN"/>
        </w:rPr>
      </w:pPr>
      <w:r>
        <w:rPr>
          <w:rFonts w:hint="eastAsia"/>
          <w:sz w:val="32"/>
          <w:szCs w:val="32"/>
          <w:lang w:eastAsia="zh-CN"/>
        </w:rPr>
        <w:t>图纸</w:t>
      </w:r>
    </w:p>
    <w:p w14:paraId="1807D5D6">
      <w:pPr>
        <w:pStyle w:val="2"/>
        <w:keepNext w:val="0"/>
        <w:keepLines w:val="0"/>
        <w:pageBreakBefore w:val="0"/>
        <w:widowControl w:val="0"/>
        <w:kinsoku/>
        <w:wordWrap w:val="0"/>
        <w:overflowPunct/>
        <w:topLinePunct w:val="0"/>
        <w:autoSpaceDE/>
        <w:autoSpaceDN/>
        <w:bidi w:val="0"/>
        <w:adjustRightInd/>
        <w:snapToGrid/>
        <w:textAlignment w:val="auto"/>
        <w:rPr>
          <w:rFonts w:hint="eastAsia"/>
          <w:sz w:val="32"/>
          <w:szCs w:val="32"/>
          <w:lang w:eastAsia="zh-CN"/>
        </w:rPr>
      </w:pPr>
      <w:r>
        <w:rPr>
          <w:rFonts w:hint="eastAsia"/>
          <w:sz w:val="32"/>
          <w:szCs w:val="32"/>
        </w:rPr>
        <w:drawing>
          <wp:inline distT="0" distB="0" distL="114300" distR="114300">
            <wp:extent cx="5055235" cy="7607300"/>
            <wp:effectExtent l="0" t="0" r="12065" b="12700"/>
            <wp:docPr id="1" name="图片 1" descr="175161826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1618262376"/>
                    <pic:cNvPicPr>
                      <a:picLocks noChangeAspect="1"/>
                    </pic:cNvPicPr>
                  </pic:nvPicPr>
                  <pic:blipFill>
                    <a:blip r:embed="rId15"/>
                    <a:stretch>
                      <a:fillRect/>
                    </a:stretch>
                  </pic:blipFill>
                  <pic:spPr>
                    <a:xfrm>
                      <a:off x="0" y="0"/>
                      <a:ext cx="5055235" cy="7607300"/>
                    </a:xfrm>
                    <a:prstGeom prst="rect">
                      <a:avLst/>
                    </a:prstGeom>
                    <a:noFill/>
                    <a:ln>
                      <a:noFill/>
                    </a:ln>
                  </pic:spPr>
                </pic:pic>
              </a:graphicData>
            </a:graphic>
          </wp:inline>
        </w:drawing>
      </w:r>
    </w:p>
    <w:p w14:paraId="166C17C9">
      <w:pPr>
        <w:pStyle w:val="5"/>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10"/>
      </w:pPr>
      <w:bookmarkStart w:id="14" w:name="_Hlk72257167"/>
    </w:p>
    <w:bookmarkEnd w:id="14"/>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14:paraId="2B8101CD">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F4D69A2">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）认证情况</w:t>
      </w:r>
    </w:p>
    <w:p w14:paraId="27856829">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）同类项目业绩</w:t>
      </w:r>
    </w:p>
    <w:p w14:paraId="70D8DB35">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）履约评价情况</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5"/>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0"/>
    <w:p w14:paraId="16B0821A">
      <w:pPr>
        <w:pStyle w:val="5"/>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5" w:name="OLE_LINK12"/>
      <w:bookmarkStart w:id="26"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5"/>
      <w:r>
        <w:rPr>
          <w:rFonts w:hint="eastAsia" w:ascii="宋体" w:hAnsi="宋体"/>
          <w:b w:val="0"/>
          <w:bCs/>
          <w:color w:val="auto"/>
          <w:lang w:eastAsia="zh-CN"/>
        </w:rPr>
        <w:t>。</w:t>
      </w:r>
      <w:bookmarkEnd w:id="26"/>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5"/>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1"/>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1"/>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3"/>
        </w:numPr>
        <w:jc w:val="center"/>
        <w:outlineLvl w:val="3"/>
        <w:rPr>
          <w:b/>
          <w:sz w:val="24"/>
        </w:rPr>
      </w:pPr>
      <w:r>
        <w:rPr>
          <w:b/>
          <w:sz w:val="24"/>
        </w:rPr>
        <w:t>中小企业声明函（货物）</w:t>
      </w:r>
    </w:p>
    <w:p w14:paraId="271BC498">
      <w:pPr>
        <w:pStyle w:val="10"/>
      </w:pPr>
    </w:p>
    <w:p w14:paraId="4D34EB40">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1"/>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29"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9"/>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0" w:name="_Hlk73562331"/>
      <w:bookmarkStart w:id="31"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0"/>
    </w:p>
    <w:bookmarkEnd w:id="31"/>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02"/>
        <w:gridCol w:w="661"/>
        <w:gridCol w:w="779"/>
        <w:gridCol w:w="866"/>
        <w:gridCol w:w="643"/>
        <w:gridCol w:w="616"/>
        <w:gridCol w:w="445"/>
        <w:gridCol w:w="640"/>
        <w:gridCol w:w="863"/>
        <w:gridCol w:w="864"/>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23DEB3B4">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1519" w:type="dxa"/>
            <w:vAlign w:val="center"/>
          </w:tcPr>
          <w:p w14:paraId="79151974">
            <w:pPr>
              <w:widowControl/>
              <w:jc w:val="center"/>
              <w:textAlignment w:val="center"/>
              <w:rPr>
                <w:rFonts w:hint="eastAsia" w:ascii="Arial" w:hAnsi="Arial" w:eastAsia="宋体" w:cs="Times New Roman"/>
                <w:b/>
                <w:szCs w:val="24"/>
                <w:lang w:eastAsia="zh-CN"/>
              </w:rPr>
            </w:pPr>
            <w:r>
              <w:rPr>
                <w:rFonts w:hint="eastAsia" w:ascii="宋体" w:hAnsi="宋体" w:eastAsia="宋体" w:cs="宋体"/>
                <w:color w:val="000000"/>
                <w:kern w:val="0"/>
                <w:sz w:val="20"/>
                <w:szCs w:val="20"/>
                <w:lang w:eastAsia="zh-CN" w:bidi="ar"/>
              </w:rPr>
              <w:t>高中课桌椅</w:t>
            </w: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widowControl/>
              <w:jc w:val="center"/>
              <w:textAlignment w:val="center"/>
              <w:rPr>
                <w:rFonts w:ascii="Arial" w:hAnsi="Arial" w:eastAsia="宋体" w:cs="Times New Roman"/>
                <w:szCs w:val="24"/>
              </w:rPr>
            </w:pPr>
            <w:r>
              <w:rPr>
                <w:rFonts w:hint="eastAsia" w:ascii="宋体" w:hAnsi="宋体" w:cs="宋体"/>
                <w:color w:val="000000"/>
                <w:kern w:val="0"/>
                <w:sz w:val="20"/>
                <w:szCs w:val="20"/>
                <w:lang w:bidi="ar"/>
              </w:rPr>
              <w:t>1260</w:t>
            </w:r>
          </w:p>
        </w:tc>
        <w:tc>
          <w:tcPr>
            <w:tcW w:w="462" w:type="dxa"/>
            <w:vAlign w:val="center"/>
          </w:tcPr>
          <w:p w14:paraId="521A9B3A">
            <w:pPr>
              <w:widowControl/>
              <w:jc w:val="center"/>
              <w:textAlignment w:val="center"/>
              <w:rPr>
                <w:rFonts w:ascii="Arial" w:hAnsi="Arial" w:eastAsia="宋体" w:cs="Times New Roman"/>
                <w:szCs w:val="24"/>
              </w:rPr>
            </w:pPr>
            <w:r>
              <w:rPr>
                <w:rFonts w:hint="eastAsia" w:ascii="宋体" w:hAnsi="宋体" w:cs="宋体"/>
                <w:color w:val="000000"/>
                <w:kern w:val="0"/>
                <w:sz w:val="20"/>
                <w:szCs w:val="20"/>
                <w:lang w:bidi="ar"/>
              </w:rPr>
              <w:t>套</w:t>
            </w: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5D7B2ADC">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1519" w:type="dxa"/>
            <w:vAlign w:val="center"/>
          </w:tcPr>
          <w:p w14:paraId="4CB8C4DC">
            <w:pPr>
              <w:widowControl/>
              <w:jc w:val="center"/>
              <w:textAlignment w:val="center"/>
              <w:rPr>
                <w:rFonts w:ascii="Arial" w:hAnsi="Arial" w:eastAsia="宋体" w:cs="Times New Roman"/>
                <w:b/>
                <w:szCs w:val="24"/>
              </w:rPr>
            </w:pPr>
            <w:r>
              <w:rPr>
                <w:rFonts w:hint="eastAsia"/>
                <w:bCs/>
                <w:szCs w:val="21"/>
              </w:rPr>
              <w:t>小学课桌椅1</w:t>
            </w: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widowControl/>
              <w:jc w:val="center"/>
              <w:textAlignment w:val="center"/>
              <w:rPr>
                <w:rFonts w:ascii="Arial" w:hAnsi="Arial" w:eastAsia="宋体" w:cs="Times New Roman"/>
                <w:szCs w:val="24"/>
              </w:rPr>
            </w:pPr>
            <w:r>
              <w:rPr>
                <w:rFonts w:hint="eastAsia" w:ascii="宋体" w:hAnsi="宋体" w:cs="宋体"/>
                <w:color w:val="000000"/>
                <w:kern w:val="0"/>
                <w:sz w:val="20"/>
                <w:szCs w:val="20"/>
                <w:lang w:val="en-US" w:eastAsia="zh-CN" w:bidi="ar"/>
              </w:rPr>
              <w:t>200</w:t>
            </w:r>
          </w:p>
        </w:tc>
        <w:tc>
          <w:tcPr>
            <w:tcW w:w="462" w:type="dxa"/>
            <w:vAlign w:val="center"/>
          </w:tcPr>
          <w:p w14:paraId="64BDF432">
            <w:pPr>
              <w:widowControl/>
              <w:jc w:val="center"/>
              <w:textAlignment w:val="center"/>
              <w:rPr>
                <w:rFonts w:ascii="Arial" w:hAnsi="Arial" w:eastAsia="宋体" w:cs="Times New Roman"/>
                <w:szCs w:val="24"/>
              </w:rPr>
            </w:pPr>
            <w:r>
              <w:rPr>
                <w:rFonts w:hint="eastAsia" w:ascii="宋体" w:hAnsi="宋体" w:cs="宋体"/>
                <w:color w:val="000000"/>
                <w:kern w:val="0"/>
                <w:sz w:val="20"/>
                <w:szCs w:val="20"/>
                <w:lang w:bidi="ar"/>
              </w:rPr>
              <w:t>套</w:t>
            </w: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684D1F4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1519" w:type="dxa"/>
            <w:vAlign w:val="center"/>
          </w:tcPr>
          <w:p w14:paraId="3231E968">
            <w:pPr>
              <w:widowControl/>
              <w:jc w:val="center"/>
              <w:textAlignment w:val="center"/>
              <w:rPr>
                <w:rFonts w:ascii="Arial" w:hAnsi="Arial" w:eastAsia="宋体" w:cs="Times New Roman"/>
                <w:b/>
                <w:szCs w:val="24"/>
              </w:rPr>
            </w:pPr>
            <w:r>
              <w:rPr>
                <w:rFonts w:hint="eastAsia"/>
                <w:bCs/>
                <w:szCs w:val="21"/>
              </w:rPr>
              <w:t>小学课桌椅2</w:t>
            </w: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widowControl/>
              <w:jc w:val="center"/>
              <w:textAlignment w:val="center"/>
              <w:rPr>
                <w:rFonts w:ascii="Arial" w:hAnsi="Arial" w:eastAsia="宋体" w:cs="Times New Roman"/>
                <w:szCs w:val="24"/>
              </w:rPr>
            </w:pPr>
            <w:r>
              <w:rPr>
                <w:rFonts w:hint="eastAsia" w:ascii="宋体" w:hAnsi="宋体" w:cs="宋体"/>
                <w:color w:val="000000"/>
                <w:kern w:val="0"/>
                <w:sz w:val="20"/>
                <w:szCs w:val="20"/>
                <w:lang w:val="en-US" w:eastAsia="zh-CN" w:bidi="ar"/>
              </w:rPr>
              <w:t>50</w:t>
            </w:r>
          </w:p>
        </w:tc>
        <w:tc>
          <w:tcPr>
            <w:tcW w:w="462" w:type="dxa"/>
            <w:vAlign w:val="center"/>
          </w:tcPr>
          <w:p w14:paraId="36F59C59">
            <w:pPr>
              <w:widowControl/>
              <w:jc w:val="center"/>
              <w:textAlignment w:val="center"/>
              <w:rPr>
                <w:rFonts w:ascii="Arial" w:hAnsi="Arial" w:eastAsia="宋体" w:cs="Times New Roman"/>
                <w:szCs w:val="24"/>
              </w:rPr>
            </w:pPr>
            <w:r>
              <w:rPr>
                <w:rFonts w:hint="eastAsia" w:ascii="宋体" w:hAnsi="宋体" w:cs="宋体"/>
                <w:color w:val="000000"/>
                <w:kern w:val="0"/>
                <w:sz w:val="20"/>
                <w:szCs w:val="20"/>
                <w:lang w:bidi="ar"/>
              </w:rPr>
              <w:t>套</w:t>
            </w: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2"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2"/>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3" w:name="_Hlk72074795"/>
      <w:r>
        <w:rPr>
          <w:rFonts w:hint="eastAsia" w:cs="Times New Roman" w:asciiTheme="minorEastAsia" w:hAnsiTheme="minorEastAsia"/>
          <w:b/>
          <w:szCs w:val="24"/>
        </w:rPr>
        <w:t>“原产地”是指该货物的实际生产加工地，而非品牌所在地</w:t>
      </w:r>
      <w:bookmarkEnd w:id="33"/>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4" w:name="_Hlk72260501"/>
      <w:r>
        <w:t xml:space="preserve">  </w:t>
      </w:r>
      <w:r>
        <w:rPr>
          <w:rFonts w:hint="eastAsia" w:ascii="宋体" w:hAnsi="宋体"/>
        </w:rPr>
        <w:t>………………</w:t>
      </w:r>
      <w:bookmarkEnd w:id="34"/>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5"/>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10"/>
              <w:jc w:val="center"/>
            </w:pPr>
          </w:p>
          <w:p w14:paraId="590BC3DE">
            <w:pPr>
              <w:pStyle w:val="11"/>
              <w:jc w:val="center"/>
            </w:pPr>
          </w:p>
        </w:tc>
        <w:tc>
          <w:tcPr>
            <w:tcW w:w="4265" w:type="dxa"/>
          </w:tcPr>
          <w:p w14:paraId="06AD27DF">
            <w:pPr>
              <w:jc w:val="center"/>
            </w:pPr>
            <w:r>
              <w:rPr>
                <w:rFonts w:hint="eastAsia"/>
              </w:rPr>
              <w:t>证件扫描件反面</w:t>
            </w:r>
          </w:p>
          <w:p w14:paraId="7408AA01">
            <w:pPr>
              <w:pStyle w:val="10"/>
              <w:jc w:val="center"/>
            </w:pPr>
          </w:p>
          <w:p w14:paraId="58FA13F5">
            <w:pPr>
              <w:pStyle w:val="11"/>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5"/>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10"/>
              <w:jc w:val="center"/>
            </w:pPr>
          </w:p>
          <w:p w14:paraId="6C8E1BB8">
            <w:pPr>
              <w:pStyle w:val="11"/>
              <w:jc w:val="center"/>
            </w:pPr>
          </w:p>
        </w:tc>
        <w:tc>
          <w:tcPr>
            <w:tcW w:w="4265" w:type="dxa"/>
          </w:tcPr>
          <w:p w14:paraId="1E65ECAD">
            <w:pPr>
              <w:jc w:val="center"/>
            </w:pPr>
            <w:r>
              <w:rPr>
                <w:rFonts w:hint="eastAsia" w:ascii="Times New Roman" w:eastAsia="宋体"/>
              </w:rPr>
              <w:t>证件扫描件反面</w:t>
            </w:r>
          </w:p>
          <w:p w14:paraId="31A5117F">
            <w:pPr>
              <w:pStyle w:val="10"/>
              <w:jc w:val="center"/>
            </w:pPr>
          </w:p>
          <w:p w14:paraId="2A2985A7">
            <w:pPr>
              <w:pStyle w:val="11"/>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5"/>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5"/>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7" w:name="_Hlk72095977"/>
      <w:r>
        <w:rPr>
          <w:rFonts w:hint="eastAsia"/>
          <w:szCs w:val="21"/>
        </w:rPr>
        <w:t>证明资料【如有的话，提供的证明资料应统一编号（排序），格式自定】</w:t>
      </w:r>
      <w:bookmarkEnd w:id="37"/>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38" w:name="_Hlk72094407"/>
      <w:r>
        <w:rPr>
          <w:rFonts w:hint="eastAsia"/>
          <w:bCs/>
          <w:szCs w:val="21"/>
        </w:rPr>
        <w:t>对应“用户需求书”中的“技术要求”章节</w:t>
      </w:r>
      <w:bookmarkEnd w:id="38"/>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9" w:name="_Hlk72158270"/>
      <w:r>
        <w:rPr>
          <w:rFonts w:hint="eastAsia"/>
          <w:bCs/>
          <w:szCs w:val="21"/>
        </w:rPr>
        <w:t>“偏离情况”</w:t>
      </w:r>
      <w:bookmarkEnd w:id="39"/>
      <w:r>
        <w:rPr>
          <w:rFonts w:hint="eastAsia"/>
          <w:bCs/>
          <w:szCs w:val="21"/>
        </w:rPr>
        <w:t>一栏填写如实填写“正偏离”、“负偏离”或“无偏离”，其中：</w:t>
      </w:r>
      <w:bookmarkStart w:id="40" w:name="_Hlk72093866"/>
      <w:r>
        <w:rPr>
          <w:rFonts w:hint="eastAsia"/>
          <w:bCs/>
          <w:szCs w:val="21"/>
        </w:rPr>
        <w:t>“正偏离”表示“投标响应优于招标技术要求”，“负偏离”表示“投标响应不满足招标技术要求”，“无偏离”表示“投标响应与招标技术要求一致”</w:t>
      </w:r>
      <w:bookmarkEnd w:id="4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1" w:name="_Hlk72096106"/>
      <w:r>
        <w:rPr>
          <w:rFonts w:hint="eastAsia"/>
          <w:bCs/>
          <w:szCs w:val="21"/>
        </w:rPr>
        <w:t>证明资料条款响应要求</w:t>
      </w:r>
      <w:bookmarkEnd w:id="4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3" w:name="_Hlk73558164"/>
      <w:r>
        <w:rPr>
          <w:rFonts w:hint="eastAsia"/>
          <w:bCs/>
          <w:szCs w:val="21"/>
        </w:rPr>
        <w:t>且投标人在“偏离情况”一栏响应为“正偏离”或“无偏离”的，经评审委员会认定，将判定为负偏离。</w:t>
      </w:r>
      <w:bookmarkEnd w:id="42"/>
      <w:bookmarkEnd w:id="43"/>
    </w:p>
    <w:p w14:paraId="7E769C96">
      <w:pPr>
        <w:ind w:firstLine="420" w:firstLineChars="200"/>
        <w:rPr>
          <w:bCs/>
          <w:szCs w:val="21"/>
        </w:rPr>
      </w:pPr>
      <w:r>
        <w:rPr>
          <w:rFonts w:hint="eastAsia"/>
          <w:bCs/>
          <w:szCs w:val="21"/>
        </w:rPr>
        <w:t>6、</w:t>
      </w:r>
      <w:bookmarkStart w:id="44" w:name="_Hlk72096137"/>
      <w:r>
        <w:rPr>
          <w:rFonts w:hint="eastAsia"/>
          <w:bCs/>
          <w:szCs w:val="21"/>
        </w:rPr>
        <w:t>表后“证明资料”部分内容的编制</w:t>
      </w:r>
      <w:bookmarkEnd w:id="44"/>
      <w:r>
        <w:rPr>
          <w:rFonts w:hint="eastAsia"/>
          <w:bCs/>
          <w:szCs w:val="21"/>
        </w:rPr>
        <w:t>：提供的所有证明资料应当统一编号（排序），且证明资料的编号（顺序）、数量和名称（形式）均应与“说明”一栏所填内容保持一致（一一对应），以便评审委员会查看。</w:t>
      </w:r>
      <w:bookmarkStart w:id="45" w:name="_Hlk73558180"/>
      <w:r>
        <w:rPr>
          <w:rFonts w:hint="eastAsia"/>
          <w:bCs/>
          <w:szCs w:val="21"/>
        </w:rPr>
        <w:t>未按照招标文件要求在表后放置证明材料的供应商将承担不利后果，经评审委员会认定，相关技术要求将判定为负偏离。</w:t>
      </w:r>
      <w:bookmarkEnd w:id="45"/>
    </w:p>
    <w:p w14:paraId="1A18F46C">
      <w:pPr>
        <w:ind w:firstLine="420" w:firstLineChars="200"/>
        <w:rPr>
          <w:bCs/>
          <w:szCs w:val="21"/>
        </w:rPr>
      </w:pPr>
      <w:r>
        <w:rPr>
          <w:rFonts w:hint="eastAsia"/>
          <w:bCs/>
          <w:szCs w:val="21"/>
        </w:rPr>
        <w:t>7、</w:t>
      </w:r>
      <w:bookmarkStart w:id="46" w:name="_Hlk72096176"/>
      <w:r>
        <w:rPr>
          <w:rFonts w:hint="eastAsia"/>
          <w:bCs/>
          <w:szCs w:val="21"/>
        </w:rPr>
        <w:t>证明资料的形式及其它具体要求</w:t>
      </w:r>
      <w:bookmarkEnd w:id="46"/>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7"/>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48" w:name="_Hlk72588611"/>
      <w:bookmarkStart w:id="49" w:name="_Hlk72260843"/>
      <w:r>
        <w:rPr>
          <w:rFonts w:hint="eastAsia" w:ascii="宋体" w:hAnsi="宋体"/>
        </w:rPr>
        <w:t>………………</w:t>
      </w:r>
      <w:bookmarkEnd w:id="48"/>
      <w:r>
        <w:rPr>
          <w:rFonts w:hint="eastAsia" w:ascii="宋体" w:hAnsi="宋体"/>
        </w:rPr>
        <w:t>（根据项目具体情况增加与技术、商务评审相关的节点）</w:t>
      </w:r>
      <w:bookmarkEnd w:id="49"/>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0"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七、认证情况</w:t>
      </w:r>
    </w:p>
    <w:p w14:paraId="0B90BA07">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八、同类项目业绩</w:t>
      </w:r>
    </w:p>
    <w:p w14:paraId="7CC373F5">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九、履约评价情况</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0"/>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1"/>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1" w:name="_Hlk72574405"/>
      <w:r>
        <w:rPr>
          <w:rFonts w:hint="eastAsia"/>
          <w:b/>
          <w:sz w:val="24"/>
        </w:rPr>
        <w:t>（仅供参考，具体以项目需求及采购结果为准）</w:t>
      </w:r>
      <w:bookmarkEnd w:id="51"/>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776F5E71">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2"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2"/>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6"/>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5"/>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7"/>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3" w:name="_Toc27624"/>
      <w:r>
        <w:rPr>
          <w:rFonts w:hint="eastAsia" w:ascii="黑体" w:hAnsi="黑体" w:eastAsia="黑体" w:cs="Times New Roman"/>
          <w:sz w:val="28"/>
          <w:szCs w:val="28"/>
        </w:rPr>
        <w:t>第二节 政府采购合同通用条款</w:t>
      </w:r>
      <w:bookmarkEnd w:id="53"/>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4"/>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1"/>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5"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5"/>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3"/>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6" w:name="_Hlk72399513"/>
      <w:r>
        <w:rPr>
          <w:rFonts w:hint="eastAsia" w:asciiTheme="majorHAnsi" w:hAnsiTheme="majorHAnsi" w:eastAsiaTheme="majorEastAsia" w:cstheme="majorBidi"/>
          <w:b/>
          <w:bCs/>
          <w:sz w:val="28"/>
          <w:szCs w:val="28"/>
        </w:rPr>
        <w:t>总则</w:t>
      </w:r>
    </w:p>
    <w:bookmarkEnd w:id="56"/>
    <w:p w14:paraId="54DC9BDA">
      <w:pPr>
        <w:rPr>
          <w:rFonts w:hint="eastAsia" w:ascii="黑体" w:hAnsi="宋体" w:eastAsia="黑体"/>
          <w:sz w:val="24"/>
        </w:rPr>
      </w:pPr>
      <w:bookmarkStart w:id="57"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8" w:name="_Hlk72399729"/>
      <w:r>
        <w:rPr>
          <w:rFonts w:hint="eastAsia" w:ascii="宋体" w:hAnsi="宋体"/>
          <w:szCs w:val="21"/>
        </w:rPr>
        <w:t>如有需要，政府集中采购机构可以对通用条款的内容进行补充。</w:t>
      </w:r>
      <w:bookmarkEnd w:id="58"/>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59"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0"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9"/>
    <w:p w14:paraId="6855AD67">
      <w:pPr>
        <w:ind w:firstLine="411" w:firstLineChars="196"/>
        <w:rPr>
          <w:rFonts w:hint="eastAsia" w:ascii="宋体" w:hAnsi="宋体"/>
        </w:rPr>
      </w:pPr>
    </w:p>
    <w:p w14:paraId="60CD1CA0">
      <w:pPr>
        <w:pStyle w:val="4"/>
        <w:numPr>
          <w:ilvl w:val="0"/>
          <w:numId w:val="13"/>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1"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1"/>
    </w:p>
    <w:p w14:paraId="4ECB551B">
      <w:pPr>
        <w:rPr>
          <w:rFonts w:hint="eastAsia" w:ascii="宋体" w:hAnsi="宋体"/>
          <w:szCs w:val="21"/>
        </w:rPr>
      </w:pPr>
    </w:p>
    <w:p w14:paraId="16C11958">
      <w:pPr>
        <w:pStyle w:val="4"/>
        <w:numPr>
          <w:ilvl w:val="0"/>
          <w:numId w:val="13"/>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2"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2"/>
    <w:p w14:paraId="6E394B22">
      <w:pPr>
        <w:rPr>
          <w:rFonts w:hint="eastAsia" w:ascii="黑体" w:hAnsi="宋体" w:eastAsia="黑体"/>
          <w:sz w:val="24"/>
        </w:rPr>
      </w:pPr>
      <w:r>
        <w:rPr>
          <w:rFonts w:hint="eastAsia" w:ascii="黑体" w:hAnsi="宋体" w:eastAsia="黑体"/>
          <w:sz w:val="24"/>
        </w:rPr>
        <w:t>15．</w:t>
      </w:r>
      <w:bookmarkStart w:id="63"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3"/>
    <w:p w14:paraId="09837412">
      <w:pPr>
        <w:rPr>
          <w:rFonts w:hint="eastAsia" w:ascii="黑体" w:hAnsi="宋体" w:eastAsia="黑体"/>
          <w:sz w:val="24"/>
        </w:rPr>
      </w:pPr>
      <w:r>
        <w:rPr>
          <w:rFonts w:hint="eastAsia" w:ascii="黑体" w:hAnsi="宋体" w:eastAsia="黑体"/>
          <w:sz w:val="24"/>
        </w:rPr>
        <w:t>18．</w:t>
      </w:r>
      <w:bookmarkStart w:id="64"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4"/>
    <w:p w14:paraId="4E8E0E8D">
      <w:pPr>
        <w:rPr>
          <w:rFonts w:hint="eastAsia" w:ascii="黑体" w:hAnsi="宋体" w:eastAsia="黑体"/>
          <w:sz w:val="24"/>
        </w:rPr>
      </w:pPr>
      <w:r>
        <w:rPr>
          <w:rFonts w:hint="eastAsia" w:ascii="黑体" w:hAnsi="宋体" w:eastAsia="黑体"/>
          <w:sz w:val="24"/>
        </w:rPr>
        <w:t>19．</w:t>
      </w:r>
      <w:bookmarkStart w:id="65"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6"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6"/>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5"/>
    <w:p w14:paraId="5C4ACA47">
      <w:pPr>
        <w:ind w:firstLine="411" w:firstLineChars="196"/>
        <w:rPr>
          <w:rFonts w:hint="eastAsia" w:ascii="宋体" w:hAnsi="宋体"/>
          <w:szCs w:val="21"/>
        </w:rPr>
      </w:pPr>
      <w:bookmarkStart w:id="6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7"/>
    <w:p w14:paraId="54502A06">
      <w:pPr>
        <w:rPr>
          <w:rFonts w:hint="eastAsia" w:ascii="黑体" w:hAnsi="宋体" w:eastAsia="黑体"/>
          <w:sz w:val="24"/>
        </w:rPr>
      </w:pPr>
      <w:r>
        <w:rPr>
          <w:rFonts w:hint="eastAsia" w:ascii="黑体" w:hAnsi="宋体" w:eastAsia="黑体"/>
          <w:sz w:val="24"/>
        </w:rPr>
        <w:t>21．</w:t>
      </w:r>
      <w:bookmarkStart w:id="68"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8"/>
    <w:p w14:paraId="71D413E2">
      <w:pPr>
        <w:rPr>
          <w:rFonts w:hint="eastAsia" w:ascii="黑体" w:hAnsi="宋体" w:eastAsia="黑体"/>
          <w:sz w:val="24"/>
        </w:rPr>
      </w:pPr>
      <w:r>
        <w:rPr>
          <w:rFonts w:hint="eastAsia" w:ascii="黑体" w:hAnsi="宋体" w:eastAsia="黑体"/>
          <w:sz w:val="24"/>
        </w:rPr>
        <w:t>23．</w:t>
      </w:r>
      <w:bookmarkStart w:id="69"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9"/>
    </w:p>
    <w:p w14:paraId="047B1E33">
      <w:pPr>
        <w:ind w:firstLine="411" w:firstLineChars="196"/>
        <w:rPr>
          <w:rFonts w:hint="eastAsia" w:ascii="宋体" w:hAnsi="宋体"/>
          <w:szCs w:val="21"/>
        </w:rPr>
      </w:pPr>
    </w:p>
    <w:p w14:paraId="6DF6EF67">
      <w:pPr>
        <w:pStyle w:val="4"/>
        <w:numPr>
          <w:ilvl w:val="0"/>
          <w:numId w:val="13"/>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0"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0"/>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1"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1"/>
    <w:p w14:paraId="08C11BEA">
      <w:pPr>
        <w:pStyle w:val="4"/>
        <w:numPr>
          <w:ilvl w:val="0"/>
          <w:numId w:val="13"/>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4"/>
        <w:numPr>
          <w:ilvl w:val="0"/>
          <w:numId w:val="13"/>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2"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2"/>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4"/>
        <w:numPr>
          <w:ilvl w:val="0"/>
          <w:numId w:val="13"/>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3"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3"/>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4" w:name="_Toc100052400"/>
      <w:bookmarkStart w:id="75" w:name="_Toc73518151"/>
      <w:bookmarkStart w:id="76" w:name="_Toc73521669"/>
      <w:bookmarkStart w:id="77" w:name="_Toc73517673"/>
      <w:bookmarkStart w:id="78" w:name="_Toc73521581"/>
      <w:r>
        <w:rPr>
          <w:rFonts w:hint="eastAsia" w:ascii="黑体" w:hAnsi="宋体" w:eastAsia="黑体"/>
          <w:sz w:val="24"/>
        </w:rPr>
        <w:t>34．错误的修正</w:t>
      </w:r>
      <w:bookmarkEnd w:id="74"/>
      <w:bookmarkEnd w:id="75"/>
      <w:bookmarkEnd w:id="76"/>
      <w:bookmarkEnd w:id="77"/>
      <w:bookmarkEnd w:id="78"/>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79"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9"/>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4"/>
        <w:numPr>
          <w:ilvl w:val="0"/>
          <w:numId w:val="13"/>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0"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1"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2"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1"/>
      <w:bookmarkEnd w:id="82"/>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0"/>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3"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3"/>
      <w:bookmarkStart w:id="84"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4"/>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5"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5"/>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6" w:name="_Hlk71407340"/>
      <w:r>
        <w:rPr>
          <w:rFonts w:hint="eastAsia" w:ascii="宋体" w:hAnsi="宋体"/>
          <w:szCs w:val="21"/>
        </w:rPr>
        <w:t>41.3因质疑投诉或其它原因导致项目结果变更或采购终止的，政府集中采购机构有权吊销中标通知书。</w:t>
      </w:r>
    </w:p>
    <w:bookmarkEnd w:id="86"/>
    <w:p w14:paraId="2CA7B90F">
      <w:pPr>
        <w:ind w:firstLine="411" w:firstLineChars="196"/>
        <w:rPr>
          <w:rFonts w:hint="eastAsia" w:ascii="宋体" w:hAnsi="宋体"/>
          <w:szCs w:val="21"/>
        </w:rPr>
      </w:pPr>
    </w:p>
    <w:p w14:paraId="03817F7D">
      <w:pPr>
        <w:pStyle w:val="4"/>
        <w:numPr>
          <w:ilvl w:val="0"/>
          <w:numId w:val="13"/>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4"/>
        <w:numPr>
          <w:ilvl w:val="0"/>
          <w:numId w:val="13"/>
        </w:numPr>
        <w:spacing w:before="156" w:beforeLines="50" w:after="156" w:afterLines="50"/>
        <w:ind w:left="562" w:hanging="562"/>
        <w:rPr>
          <w:sz w:val="28"/>
          <w:szCs w:val="28"/>
        </w:rPr>
      </w:pPr>
      <w:bookmarkStart w:id="87" w:name="_Hlk72439043"/>
      <w:r>
        <w:rPr>
          <w:rFonts w:hint="eastAsia"/>
          <w:sz w:val="28"/>
          <w:szCs w:val="28"/>
        </w:rPr>
        <w:t>合同的授予与备案</w:t>
      </w:r>
      <w:bookmarkEnd w:id="87"/>
    </w:p>
    <w:p w14:paraId="0D486303">
      <w:pPr>
        <w:rPr>
          <w:rFonts w:hint="eastAsia" w:ascii="黑体" w:hAnsi="宋体" w:eastAsia="黑体"/>
          <w:sz w:val="24"/>
        </w:rPr>
      </w:pPr>
      <w:bookmarkStart w:id="88" w:name="_Toc73521586"/>
      <w:bookmarkStart w:id="89" w:name="_Toc73518157"/>
      <w:bookmarkStart w:id="90" w:name="_Toc73517679"/>
      <w:bookmarkStart w:id="91" w:name="_Toc100052408"/>
      <w:bookmarkStart w:id="92" w:name="_Toc73521674"/>
      <w:bookmarkStart w:id="93" w:name="_Hlk72439088"/>
      <w:r>
        <w:rPr>
          <w:rFonts w:hint="eastAsia" w:ascii="黑体" w:hAnsi="宋体" w:eastAsia="黑体"/>
          <w:sz w:val="24"/>
        </w:rPr>
        <w:t>43．合同授予标准</w:t>
      </w:r>
      <w:bookmarkEnd w:id="88"/>
      <w:bookmarkEnd w:id="89"/>
      <w:bookmarkEnd w:id="90"/>
      <w:bookmarkEnd w:id="91"/>
      <w:bookmarkEnd w:id="92"/>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4" w:name="_Toc73517680"/>
      <w:bookmarkStart w:id="95" w:name="_Toc73521587"/>
      <w:bookmarkStart w:id="96" w:name="_Toc100052409"/>
      <w:bookmarkStart w:id="97" w:name="_Toc73518158"/>
      <w:bookmarkStart w:id="98" w:name="_Toc73521675"/>
      <w:r>
        <w:rPr>
          <w:rFonts w:hint="eastAsia" w:ascii="黑体" w:hAnsi="宋体" w:eastAsia="黑体"/>
          <w:sz w:val="24"/>
        </w:rPr>
        <w:t>44．</w:t>
      </w:r>
      <w:bookmarkEnd w:id="94"/>
      <w:bookmarkEnd w:id="95"/>
      <w:bookmarkEnd w:id="96"/>
      <w:bookmarkEnd w:id="97"/>
      <w:bookmarkEnd w:id="98"/>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99" w:name="_Toc73521677"/>
      <w:bookmarkStart w:id="100" w:name="_Toc100052410"/>
      <w:bookmarkStart w:id="101" w:name="_Toc73521589"/>
      <w:bookmarkStart w:id="102" w:name="_Toc73517682"/>
      <w:bookmarkStart w:id="103" w:name="_Toc73518160"/>
      <w:r>
        <w:rPr>
          <w:rFonts w:hint="eastAsia" w:ascii="黑体" w:hAnsi="宋体" w:eastAsia="黑体"/>
          <w:sz w:val="24"/>
        </w:rPr>
        <w:t>45．合同的签订</w:t>
      </w:r>
      <w:bookmarkEnd w:id="99"/>
      <w:bookmarkEnd w:id="100"/>
      <w:bookmarkEnd w:id="101"/>
      <w:bookmarkEnd w:id="102"/>
      <w:bookmarkEnd w:id="103"/>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4" w:name="_Toc73518161"/>
      <w:bookmarkStart w:id="105" w:name="_Toc73521590"/>
      <w:bookmarkStart w:id="106" w:name="_Toc73521678"/>
      <w:bookmarkStart w:id="107" w:name="_Toc100052411"/>
      <w:bookmarkStart w:id="108" w:name="_Toc73517683"/>
      <w:r>
        <w:rPr>
          <w:rFonts w:hint="eastAsia" w:ascii="黑体" w:hAnsi="宋体" w:eastAsia="黑体"/>
          <w:sz w:val="24"/>
        </w:rPr>
        <w:t>46．履约担保</w:t>
      </w:r>
      <w:bookmarkEnd w:id="104"/>
      <w:bookmarkEnd w:id="105"/>
      <w:bookmarkEnd w:id="106"/>
      <w:bookmarkEnd w:id="107"/>
      <w:bookmarkEnd w:id="108"/>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9" w:name="_Hlk72440769"/>
      <w:r>
        <w:rPr>
          <w:rFonts w:hint="eastAsia" w:ascii="宋体" w:hAnsi="宋体"/>
          <w:szCs w:val="21"/>
        </w:rPr>
        <w:t>政府集中采购机构或采购人不予退还其交纳的谈判保证金，情节严重的，并由主管部门</w:t>
      </w:r>
      <w:bookmarkEnd w:id="109"/>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3"/>
    <w:p w14:paraId="7E765356">
      <w:pPr>
        <w:pStyle w:val="4"/>
        <w:numPr>
          <w:ilvl w:val="0"/>
          <w:numId w:val="13"/>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0" w:name="_Hlk75374941"/>
      <w:r>
        <w:rPr>
          <w:rFonts w:hint="eastAsia" w:ascii="宋体" w:hAnsi="宋体"/>
          <w:szCs w:val="21"/>
        </w:rPr>
        <w:t>以联合体形式参与的，质疑应当由组成联合体的所有成员共同提出</w:t>
      </w:r>
      <w:bookmarkEnd w:id="110"/>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7"/>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2"/>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2"/>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2"/>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2"/>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3"/>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3"/>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F8C6445"/>
    <w:multiLevelType w:val="singleLevel"/>
    <w:tmpl w:val="EF8C6445"/>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4"/>
  </w:num>
  <w:num w:numId="2">
    <w:abstractNumId w:val="8"/>
  </w:num>
  <w:num w:numId="3">
    <w:abstractNumId w:val="0"/>
  </w:num>
  <w:num w:numId="4">
    <w:abstractNumId w:val="1"/>
  </w:num>
  <w:num w:numId="5">
    <w:abstractNumId w:val="12"/>
  </w:num>
  <w:num w:numId="6">
    <w:abstractNumId w:val="3"/>
  </w:num>
  <w:num w:numId="7">
    <w:abstractNumId w:val="9"/>
  </w:num>
  <w:num w:numId="8">
    <w:abstractNumId w:val="6"/>
  </w:num>
  <w:num w:numId="9">
    <w:abstractNumId w:val="5"/>
  </w:num>
  <w:num w:numId="10">
    <w:abstractNumId w:val="2"/>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4B796E"/>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785BBA"/>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735E22"/>
    <w:rsid w:val="194505FE"/>
    <w:rsid w:val="19687E48"/>
    <w:rsid w:val="196B1CEA"/>
    <w:rsid w:val="197420E8"/>
    <w:rsid w:val="197C5840"/>
    <w:rsid w:val="198E1EAE"/>
    <w:rsid w:val="19E05949"/>
    <w:rsid w:val="19FB3499"/>
    <w:rsid w:val="1A24288D"/>
    <w:rsid w:val="1B1B5294"/>
    <w:rsid w:val="1B356450"/>
    <w:rsid w:val="1B434F04"/>
    <w:rsid w:val="1B9C14FB"/>
    <w:rsid w:val="1BEB4F4B"/>
    <w:rsid w:val="1BEF4851"/>
    <w:rsid w:val="1BFE3C79"/>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C36564"/>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CB538F"/>
    <w:rsid w:val="5A1445ED"/>
    <w:rsid w:val="5A564466"/>
    <w:rsid w:val="5A902780"/>
    <w:rsid w:val="5A9F4737"/>
    <w:rsid w:val="5AAE2C06"/>
    <w:rsid w:val="5AE8436A"/>
    <w:rsid w:val="5AF80325"/>
    <w:rsid w:val="5B6339F0"/>
    <w:rsid w:val="5BF6561B"/>
    <w:rsid w:val="5BFA4C14"/>
    <w:rsid w:val="5C2A6C04"/>
    <w:rsid w:val="5C3543D2"/>
    <w:rsid w:val="5C406532"/>
    <w:rsid w:val="5C4E69BE"/>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17DE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00438"/>
    <w:rsid w:val="75387844"/>
    <w:rsid w:val="753903C8"/>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4">
    <w:name w:val="heading 2"/>
    <w:basedOn w:val="5"/>
    <w:next w:val="6"/>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semiHidden/>
    <w:unhideWhenUsed/>
    <w:qFormat/>
    <w:uiPriority w:val="99"/>
    <w:rPr>
      <w:sz w:val="18"/>
      <w:szCs w:val="18"/>
    </w:rPr>
  </w:style>
  <w:style w:type="paragraph" w:styleId="7">
    <w:name w:val="Normal Indent"/>
    <w:basedOn w:val="1"/>
    <w:qFormat/>
    <w:uiPriority w:val="0"/>
    <w:pPr>
      <w:ind w:firstLine="420"/>
    </w:pPr>
    <w:rPr>
      <w:szCs w:val="20"/>
    </w:rPr>
  </w:style>
  <w:style w:type="paragraph" w:styleId="8">
    <w:name w:val="Document Map"/>
    <w:basedOn w:val="1"/>
    <w:link w:val="34"/>
    <w:semiHidden/>
    <w:unhideWhenUsed/>
    <w:qFormat/>
    <w:uiPriority w:val="99"/>
    <w:rPr>
      <w:rFonts w:ascii="宋体" w:eastAsia="宋体"/>
      <w:sz w:val="18"/>
      <w:szCs w:val="18"/>
    </w:rPr>
  </w:style>
  <w:style w:type="paragraph" w:styleId="9">
    <w:name w:val="annotation text"/>
    <w:basedOn w:val="1"/>
    <w:link w:val="36"/>
    <w:unhideWhenUsed/>
    <w:qFormat/>
    <w:uiPriority w:val="99"/>
    <w:pPr>
      <w:jc w:val="left"/>
    </w:pPr>
  </w:style>
  <w:style w:type="paragraph" w:styleId="10">
    <w:name w:val="Body Text"/>
    <w:basedOn w:val="1"/>
    <w:next w:val="11"/>
    <w:qFormat/>
    <w:uiPriority w:val="0"/>
    <w:pPr>
      <w:spacing w:line="360" w:lineRule="auto"/>
    </w:pPr>
    <w:rPr>
      <w:b/>
      <w:bCs/>
      <w:sz w:val="24"/>
    </w:rPr>
  </w:style>
  <w:style w:type="paragraph" w:styleId="11">
    <w:name w:val="Body Text 2"/>
    <w:basedOn w:val="1"/>
    <w:qFormat/>
    <w:uiPriority w:val="0"/>
    <w:pPr>
      <w:spacing w:line="360" w:lineRule="auto"/>
    </w:pPr>
    <w:rPr>
      <w:sz w:val="24"/>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9"/>
    <w:next w:val="9"/>
    <w:link w:val="38"/>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表格文字"/>
    <w:basedOn w:val="1"/>
    <w:next w:val="10"/>
    <w:qFormat/>
    <w:uiPriority w:val="0"/>
    <w:pPr>
      <w:spacing w:before="25" w:after="25"/>
      <w:jc w:val="left"/>
    </w:pPr>
    <w:rPr>
      <w:bCs/>
      <w:spacing w:val="10"/>
      <w:kern w:val="0"/>
      <w:sz w:val="24"/>
    </w:rPr>
  </w:style>
  <w:style w:type="paragraph" w:customStyle="1" w:styleId="26">
    <w:name w:val="正文内容格式"/>
    <w:basedOn w:val="1"/>
    <w:qFormat/>
    <w:uiPriority w:val="0"/>
    <w:pPr>
      <w:widowControl/>
      <w:ind w:firstLine="482"/>
      <w:textAlignment w:val="baseline"/>
    </w:pPr>
    <w:rPr>
      <w:rFonts w:eastAsia="仿宋_GB2312"/>
      <w:kern w:val="0"/>
      <w:sz w:val="28"/>
    </w:rPr>
  </w:style>
  <w:style w:type="paragraph" w:styleId="27">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8">
    <w:name w:val="页眉 字符"/>
    <w:basedOn w:val="19"/>
    <w:link w:val="13"/>
    <w:qFormat/>
    <w:uiPriority w:val="99"/>
    <w:rPr>
      <w:sz w:val="18"/>
      <w:szCs w:val="18"/>
    </w:rPr>
  </w:style>
  <w:style w:type="character" w:customStyle="1" w:styleId="29">
    <w:name w:val="页脚 字符"/>
    <w:basedOn w:val="19"/>
    <w:link w:val="12"/>
    <w:qFormat/>
    <w:uiPriority w:val="99"/>
    <w:rPr>
      <w:sz w:val="18"/>
      <w:szCs w:val="18"/>
    </w:rPr>
  </w:style>
  <w:style w:type="character" w:customStyle="1" w:styleId="30">
    <w:name w:val="批注框文本 字符"/>
    <w:basedOn w:val="19"/>
    <w:link w:val="2"/>
    <w:semiHidden/>
    <w:qFormat/>
    <w:uiPriority w:val="99"/>
    <w:rPr>
      <w:sz w:val="18"/>
      <w:szCs w:val="18"/>
    </w:rPr>
  </w:style>
  <w:style w:type="character" w:customStyle="1" w:styleId="31">
    <w:name w:val="普通(网站) 字符"/>
    <w:link w:val="14"/>
    <w:qFormat/>
    <w:uiPriority w:val="99"/>
    <w:rPr>
      <w:rFonts w:ascii="宋体" w:hAnsi="宋体"/>
      <w:sz w:val="24"/>
      <w:szCs w:val="24"/>
    </w:rPr>
  </w:style>
  <w:style w:type="character" w:customStyle="1" w:styleId="32">
    <w:name w:val="标题 1 字符"/>
    <w:basedOn w:val="19"/>
    <w:link w:val="3"/>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19"/>
    <w:link w:val="8"/>
    <w:semiHidden/>
    <w:qFormat/>
    <w:uiPriority w:val="99"/>
    <w:rPr>
      <w:rFonts w:ascii="宋体" w:eastAsia="宋体"/>
      <w:sz w:val="18"/>
      <w:szCs w:val="18"/>
    </w:rPr>
  </w:style>
  <w:style w:type="character" w:customStyle="1" w:styleId="35">
    <w:name w:val="标题 2 字符"/>
    <w:basedOn w:val="19"/>
    <w:link w:val="4"/>
    <w:semiHidden/>
    <w:qFormat/>
    <w:uiPriority w:val="9"/>
    <w:rPr>
      <w:rFonts w:asciiTheme="majorHAnsi" w:hAnsiTheme="majorHAnsi" w:eastAsiaTheme="majorEastAsia" w:cstheme="majorBidi"/>
      <w:b/>
      <w:bCs/>
      <w:sz w:val="32"/>
      <w:szCs w:val="32"/>
    </w:rPr>
  </w:style>
  <w:style w:type="character" w:customStyle="1" w:styleId="36">
    <w:name w:val="批注文字 字符"/>
    <w:basedOn w:val="19"/>
    <w:link w:val="9"/>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6"/>
    <w:semiHidden/>
    <w:qFormat/>
    <w:uiPriority w:val="99"/>
    <w:rPr>
      <w:b/>
      <w:bCs/>
    </w:rPr>
  </w:style>
  <w:style w:type="table" w:customStyle="1" w:styleId="39">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19"/>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 w:type="character" w:customStyle="1" w:styleId="47">
    <w:name w:val="font51"/>
    <w:basedOn w:val="19"/>
    <w:qFormat/>
    <w:uiPriority w:val="0"/>
    <w:rPr>
      <w:rFonts w:hint="eastAsia" w:ascii="宋体" w:hAnsi="宋体" w:eastAsia="宋体" w:cs="宋体"/>
      <w:color w:val="000000"/>
      <w:sz w:val="21"/>
      <w:szCs w:val="21"/>
      <w:u w:val="none"/>
    </w:rPr>
  </w:style>
  <w:style w:type="character" w:customStyle="1" w:styleId="48">
    <w:name w:val="font61"/>
    <w:basedOn w:val="19"/>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101"/>
    <w:basedOn w:val="19"/>
    <w:qFormat/>
    <w:uiPriority w:val="0"/>
    <w:rPr>
      <w:rFonts w:hint="default" w:ascii="Times New Roman" w:hAnsi="Times New Roman" w:cs="Times New Roman"/>
      <w:color w:val="FF0000"/>
      <w:sz w:val="21"/>
      <w:szCs w:val="21"/>
      <w:u w:val="single"/>
    </w:rPr>
  </w:style>
  <w:style w:type="character" w:customStyle="1" w:styleId="53">
    <w:name w:val="font111"/>
    <w:basedOn w:val="19"/>
    <w:qFormat/>
    <w:uiPriority w:val="0"/>
    <w:rPr>
      <w:rFonts w:hint="eastAsia" w:ascii="宋体" w:hAnsi="宋体" w:eastAsia="宋体" w:cs="宋体"/>
      <w:color w:val="FF0000"/>
      <w:sz w:val="21"/>
      <w:szCs w:val="21"/>
      <w:u w:val="none"/>
    </w:rPr>
  </w:style>
  <w:style w:type="character" w:customStyle="1" w:styleId="54">
    <w:name w:val="font121"/>
    <w:basedOn w:val="19"/>
    <w:qFormat/>
    <w:uiPriority w:val="0"/>
    <w:rPr>
      <w:rFonts w:hint="eastAsia" w:ascii="宋体" w:hAnsi="宋体" w:eastAsia="宋体" w:cs="宋体"/>
      <w:color w:val="000000"/>
      <w:sz w:val="20"/>
      <w:szCs w:val="20"/>
      <w:u w:val="single"/>
    </w:rPr>
  </w:style>
  <w:style w:type="character" w:customStyle="1" w:styleId="55">
    <w:name w:val="font131"/>
    <w:basedOn w:val="19"/>
    <w:qFormat/>
    <w:uiPriority w:val="0"/>
    <w:rPr>
      <w:rFonts w:hint="default" w:ascii="Times New Roman" w:hAnsi="Times New Roman" w:cs="Times New Roman"/>
      <w:b/>
      <w:bCs/>
      <w:color w:val="000000"/>
      <w:sz w:val="24"/>
      <w:szCs w:val="24"/>
      <w:u w:val="none"/>
    </w:rPr>
  </w:style>
  <w:style w:type="character" w:customStyle="1" w:styleId="56">
    <w:name w:val="font81"/>
    <w:basedOn w:val="19"/>
    <w:qFormat/>
    <w:uiPriority w:val="0"/>
    <w:rPr>
      <w:rFonts w:hint="eastAsia" w:ascii="宋体" w:hAnsi="宋体" w:eastAsia="宋体" w:cs="宋体"/>
      <w:b/>
      <w:bCs/>
      <w:color w:val="000000"/>
      <w:sz w:val="24"/>
      <w:szCs w:val="24"/>
      <w:u w:val="none"/>
    </w:rPr>
  </w:style>
  <w:style w:type="character" w:customStyle="1" w:styleId="57">
    <w:name w:val="font141"/>
    <w:basedOn w:val="19"/>
    <w:qFormat/>
    <w:uiPriority w:val="0"/>
    <w:rPr>
      <w:rFonts w:hint="eastAsia" w:ascii="宋体" w:hAnsi="宋体" w:eastAsia="宋体" w:cs="宋体"/>
      <w:b/>
      <w:bCs/>
      <w:color w:val="FF0000"/>
      <w:sz w:val="24"/>
      <w:szCs w:val="24"/>
      <w:u w:val="none"/>
    </w:rPr>
  </w:style>
  <w:style w:type="character" w:customStyle="1" w:styleId="58">
    <w:name w:val="font11"/>
    <w:basedOn w:val="19"/>
    <w:qFormat/>
    <w:uiPriority w:val="0"/>
    <w:rPr>
      <w:rFonts w:hint="eastAsia" w:ascii="宋体" w:hAnsi="宋体" w:eastAsia="宋体" w:cs="宋体"/>
      <w:color w:val="000000"/>
      <w:sz w:val="20"/>
      <w:szCs w:val="20"/>
      <w:u w:val="none"/>
    </w:rPr>
  </w:style>
  <w:style w:type="character" w:customStyle="1" w:styleId="59">
    <w:name w:val="font71"/>
    <w:qFormat/>
    <w:uiPriority w:val="0"/>
    <w:rPr>
      <w:rFonts w:ascii="Arial" w:hAnsi="Arial" w:cs="Arial"/>
      <w:color w:val="000000"/>
      <w:sz w:val="22"/>
      <w:szCs w:val="22"/>
      <w:u w:val="none"/>
    </w:rPr>
  </w:style>
  <w:style w:type="character" w:customStyle="1" w:styleId="60">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57103</Words>
  <Characters>60234</Characters>
  <Lines>470</Lines>
  <Paragraphs>132</Paragraphs>
  <TotalTime>11</TotalTime>
  <ScaleCrop>false</ScaleCrop>
  <LinksUpToDate>false</LinksUpToDate>
  <CharactersWithSpaces>63761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2025-07-10T08:05:14Z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E1BE97847B4C4AC9AD4E1A36D61FDE46_13</vt:lpwstr>
  </property>
  <property fmtid="{D5CDD505-2E9C-101B-9397-08002B2CF9AE}" pid="4" name="KSOTemplateDocerSaveRecord">
    <vt:lpwstr>eyJoZGlkIjoiNzkwNjY2NjcxZDBhNTdkNjlmNDI4MmI2M2FkYmM3YmYiLCJ1c2VySWQiOiIyMTQzMDMyMTEifQ==</vt:lpwstr>
  </property>
</Properties>
</file>